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13.xml" ContentType="application/vnd.openxmlformats-officedocument.drawingml.chart+xml"/>
  <Override PartName="/word/theme/theme1.xml" ContentType="application/vnd.openxmlformats-officedocument.theme+xml"/>
  <Override PartName="/word/charts/chart12.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8.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0DD4" w14:textId="32BEDCBF" w:rsidR="00855217" w:rsidRDefault="00855217" w:rsidP="00855217">
      <w:pPr>
        <w:jc w:val="center"/>
      </w:pPr>
      <w:r>
        <w:rPr>
          <w:noProof/>
          <w:lang w:eastAsia="hr-HR"/>
        </w:rPr>
        <w:drawing>
          <wp:inline distT="0" distB="0" distL="0" distR="0" wp14:anchorId="3BD98423" wp14:editId="6649A7FF">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30B2530F" w14:textId="77777777" w:rsidR="00855217" w:rsidRDefault="00855217" w:rsidP="00855217">
      <w:pPr>
        <w:spacing w:before="60" w:after="1680"/>
        <w:jc w:val="center"/>
        <w:rPr>
          <w:sz w:val="28"/>
        </w:rPr>
      </w:pPr>
      <w:r>
        <w:rPr>
          <w:sz w:val="28"/>
        </w:rPr>
        <w:t>VLADA REPUBLIKE HRVATSKE</w:t>
      </w:r>
    </w:p>
    <w:p w14:paraId="44294682" w14:textId="77777777" w:rsidR="00855217" w:rsidRDefault="00855217" w:rsidP="00855217"/>
    <w:p w14:paraId="7E82BDD1" w14:textId="70828EAC" w:rsidR="00855217" w:rsidRDefault="00855217" w:rsidP="00855217">
      <w:pPr>
        <w:jc w:val="right"/>
      </w:pPr>
      <w:r w:rsidRPr="00855217">
        <w:t xml:space="preserve">Zagreb, </w:t>
      </w:r>
      <w:r w:rsidR="00AA50C4">
        <w:t>20</w:t>
      </w:r>
      <w:r w:rsidRPr="00855217">
        <w:t>. prosinca 2024.</w:t>
      </w:r>
    </w:p>
    <w:p w14:paraId="1CCE9EBB" w14:textId="40BEDA9D" w:rsidR="00855217" w:rsidRDefault="00855217" w:rsidP="00855217"/>
    <w:p w14:paraId="1D59DCA3" w14:textId="2A4C6EAB" w:rsidR="00855217" w:rsidRDefault="00855217" w:rsidP="00855217">
      <w:pPr>
        <w:pBdr>
          <w:bottom w:val="single" w:sz="12" w:space="1" w:color="auto"/>
        </w:pBdr>
      </w:pPr>
    </w:p>
    <w:p w14:paraId="513E628C" w14:textId="47B1817D" w:rsidR="00855217" w:rsidRDefault="00855217" w:rsidP="00855217">
      <w:pPr>
        <w:pBdr>
          <w:bottom w:val="single" w:sz="12" w:space="1" w:color="auto"/>
        </w:pBdr>
      </w:pPr>
    </w:p>
    <w:p w14:paraId="7FC173F8" w14:textId="3B8AEFF3" w:rsidR="00855217" w:rsidRDefault="00855217" w:rsidP="00855217">
      <w:pPr>
        <w:pBdr>
          <w:bottom w:val="single" w:sz="12" w:space="1" w:color="auto"/>
        </w:pBdr>
      </w:pPr>
    </w:p>
    <w:p w14:paraId="5C2404AF" w14:textId="6CD48B62" w:rsidR="00855217" w:rsidRDefault="00855217" w:rsidP="00855217">
      <w:pPr>
        <w:pBdr>
          <w:bottom w:val="single" w:sz="12" w:space="1" w:color="auto"/>
        </w:pBdr>
      </w:pPr>
    </w:p>
    <w:p w14:paraId="30F41854" w14:textId="1F560D62" w:rsidR="00855217" w:rsidRDefault="00855217" w:rsidP="00855217">
      <w:pPr>
        <w:pBdr>
          <w:bottom w:val="single" w:sz="12" w:space="1" w:color="auto"/>
        </w:pBdr>
      </w:pPr>
    </w:p>
    <w:p w14:paraId="434C2B4A" w14:textId="77777777" w:rsidR="00855217" w:rsidRPr="00AA50C4" w:rsidRDefault="00855217" w:rsidP="00855217">
      <w:pPr>
        <w:pBdr>
          <w:bottom w:val="single" w:sz="12" w:space="1" w:color="auto"/>
        </w:pBdr>
      </w:pPr>
    </w:p>
    <w:p w14:paraId="618519AF" w14:textId="77777777" w:rsidR="00855217" w:rsidRDefault="00855217" w:rsidP="008552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6433"/>
      </w:tblGrid>
      <w:tr w:rsidR="00855217" w:rsidRPr="00855217" w14:paraId="294DA96F" w14:textId="77777777" w:rsidTr="00855217">
        <w:tc>
          <w:tcPr>
            <w:tcW w:w="1879" w:type="dxa"/>
            <w:hideMark/>
          </w:tcPr>
          <w:p w14:paraId="7D8ACFAA" w14:textId="77777777" w:rsidR="00855217" w:rsidRPr="00855217" w:rsidRDefault="00855217" w:rsidP="00855217">
            <w:r w:rsidRPr="00855217">
              <w:t>Predlagatelj:</w:t>
            </w:r>
          </w:p>
        </w:tc>
        <w:tc>
          <w:tcPr>
            <w:tcW w:w="6433" w:type="dxa"/>
            <w:hideMark/>
          </w:tcPr>
          <w:p w14:paraId="514D9B5A" w14:textId="77777777" w:rsidR="00855217" w:rsidRPr="00855217" w:rsidRDefault="00855217" w:rsidP="00855217">
            <w:r w:rsidRPr="00855217">
              <w:t>Ministarstvo financija</w:t>
            </w:r>
          </w:p>
        </w:tc>
      </w:tr>
    </w:tbl>
    <w:p w14:paraId="2B2A64EF" w14:textId="77612797" w:rsidR="00855217" w:rsidRDefault="00855217" w:rsidP="00855217">
      <w:pPr>
        <w:pBdr>
          <w:bottom w:val="single" w:sz="12" w:space="1" w:color="auto"/>
        </w:pBdr>
      </w:pPr>
    </w:p>
    <w:p w14:paraId="65126360" w14:textId="77777777" w:rsidR="00855217" w:rsidRPr="00855217" w:rsidRDefault="00855217" w:rsidP="008552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449"/>
      </w:tblGrid>
      <w:tr w:rsidR="00855217" w:rsidRPr="00855217" w14:paraId="66A08674" w14:textId="77777777" w:rsidTr="00855217">
        <w:tc>
          <w:tcPr>
            <w:tcW w:w="1863" w:type="dxa"/>
            <w:hideMark/>
          </w:tcPr>
          <w:p w14:paraId="58670E8B" w14:textId="77777777" w:rsidR="00855217" w:rsidRPr="00855217" w:rsidRDefault="00855217" w:rsidP="00855217">
            <w:r w:rsidRPr="00855217">
              <w:t>Predmet:</w:t>
            </w:r>
          </w:p>
        </w:tc>
        <w:tc>
          <w:tcPr>
            <w:tcW w:w="6449" w:type="dxa"/>
            <w:hideMark/>
          </w:tcPr>
          <w:p w14:paraId="04A5C5C3" w14:textId="77777777" w:rsidR="00855217" w:rsidRPr="00855217" w:rsidRDefault="00855217" w:rsidP="00855217">
            <w:r w:rsidRPr="00855217">
              <w:t>Godišnje izvješće o državnim potporama za 2023. godinu</w:t>
            </w:r>
          </w:p>
        </w:tc>
      </w:tr>
    </w:tbl>
    <w:p w14:paraId="08593523" w14:textId="503479C5" w:rsidR="00855217" w:rsidRDefault="00855217" w:rsidP="00855217">
      <w:pPr>
        <w:pBdr>
          <w:bottom w:val="single" w:sz="12" w:space="1" w:color="auto"/>
        </w:pBdr>
      </w:pPr>
    </w:p>
    <w:p w14:paraId="24BEB18B" w14:textId="42ADE395" w:rsidR="00855217" w:rsidRDefault="00855217" w:rsidP="00855217"/>
    <w:p w14:paraId="2400ACEA" w14:textId="48F6420F" w:rsidR="00855217" w:rsidRDefault="00855217" w:rsidP="00855217"/>
    <w:p w14:paraId="2A510401" w14:textId="011369F1" w:rsidR="00855217" w:rsidRDefault="00855217" w:rsidP="00855217"/>
    <w:p w14:paraId="60D3F247" w14:textId="77777777" w:rsidR="00855217" w:rsidRDefault="00855217" w:rsidP="00855217"/>
    <w:p w14:paraId="5EE4A49C" w14:textId="2DB1EC6B" w:rsidR="00855217" w:rsidRDefault="00855217">
      <w:pPr>
        <w:rPr>
          <w:b/>
        </w:rPr>
      </w:pPr>
      <w:r>
        <w:rPr>
          <w:b/>
        </w:rPr>
        <w:br w:type="page"/>
      </w:r>
    </w:p>
    <w:p w14:paraId="1DC79E1D" w14:textId="77777777" w:rsidR="00855217" w:rsidRDefault="00855217" w:rsidP="00BE487D">
      <w:pPr>
        <w:pBdr>
          <w:bottom w:val="single" w:sz="12" w:space="1" w:color="auto"/>
        </w:pBdr>
        <w:jc w:val="center"/>
        <w:rPr>
          <w:b/>
        </w:rPr>
      </w:pPr>
    </w:p>
    <w:p w14:paraId="747B7D59" w14:textId="60F62B36" w:rsidR="002314F7" w:rsidRPr="008149B5" w:rsidRDefault="00217ECC" w:rsidP="00BE487D">
      <w:pPr>
        <w:pBdr>
          <w:bottom w:val="single" w:sz="12" w:space="1" w:color="auto"/>
        </w:pBdr>
        <w:jc w:val="center"/>
        <w:rPr>
          <w:b/>
        </w:rPr>
      </w:pPr>
      <w:r w:rsidRPr="008149B5">
        <w:rPr>
          <w:b/>
        </w:rPr>
        <w:t>VLADA REPUBLIKE HRVATSKE</w:t>
      </w:r>
    </w:p>
    <w:p w14:paraId="4084C3F5" w14:textId="77777777" w:rsidR="002314F7" w:rsidRPr="008149B5" w:rsidRDefault="002314F7" w:rsidP="00BE487D">
      <w:pPr>
        <w:jc w:val="both"/>
        <w:rPr>
          <w:b/>
        </w:rPr>
      </w:pPr>
    </w:p>
    <w:p w14:paraId="405E54F6" w14:textId="77777777" w:rsidR="002314F7" w:rsidRPr="008149B5" w:rsidRDefault="002314F7" w:rsidP="00BE487D">
      <w:pPr>
        <w:contextualSpacing/>
        <w:jc w:val="both"/>
      </w:pPr>
    </w:p>
    <w:p w14:paraId="7DEE3BBA" w14:textId="77777777" w:rsidR="005B7944" w:rsidRPr="008149B5" w:rsidRDefault="005B7944" w:rsidP="00BE487D">
      <w:pPr>
        <w:contextualSpacing/>
        <w:jc w:val="both"/>
      </w:pPr>
    </w:p>
    <w:p w14:paraId="37765105" w14:textId="77777777" w:rsidR="005B7944" w:rsidRPr="008149B5" w:rsidRDefault="005B7944" w:rsidP="00BE487D">
      <w:pPr>
        <w:contextualSpacing/>
        <w:jc w:val="both"/>
      </w:pPr>
    </w:p>
    <w:p w14:paraId="510F0FCC" w14:textId="77777777" w:rsidR="005B7944" w:rsidRPr="008149B5" w:rsidRDefault="005B7944" w:rsidP="00BE487D">
      <w:pPr>
        <w:contextualSpacing/>
        <w:jc w:val="both"/>
      </w:pPr>
    </w:p>
    <w:p w14:paraId="49DDDCED" w14:textId="77777777" w:rsidR="005B7944" w:rsidRPr="008149B5" w:rsidRDefault="005B7944" w:rsidP="00BE487D">
      <w:pPr>
        <w:contextualSpacing/>
        <w:jc w:val="both"/>
      </w:pPr>
    </w:p>
    <w:p w14:paraId="5F714570" w14:textId="77777777" w:rsidR="002314F7" w:rsidRPr="008149B5" w:rsidRDefault="002314F7" w:rsidP="00BE487D">
      <w:pPr>
        <w:contextualSpacing/>
        <w:jc w:val="both"/>
      </w:pPr>
    </w:p>
    <w:p w14:paraId="1781D59F" w14:textId="77777777" w:rsidR="00217ECC" w:rsidRPr="008149B5" w:rsidRDefault="00217ECC" w:rsidP="00BE487D">
      <w:pPr>
        <w:contextualSpacing/>
        <w:jc w:val="both"/>
      </w:pPr>
    </w:p>
    <w:p w14:paraId="6AECF8DF" w14:textId="77777777" w:rsidR="00217ECC" w:rsidRPr="008149B5" w:rsidRDefault="00217ECC" w:rsidP="00BE487D">
      <w:pPr>
        <w:contextualSpacing/>
        <w:jc w:val="both"/>
      </w:pPr>
    </w:p>
    <w:p w14:paraId="20146120" w14:textId="77777777" w:rsidR="00217ECC" w:rsidRPr="008149B5" w:rsidRDefault="00217ECC" w:rsidP="00BE487D">
      <w:pPr>
        <w:contextualSpacing/>
        <w:jc w:val="both"/>
      </w:pPr>
    </w:p>
    <w:p w14:paraId="48DEC17F" w14:textId="77777777" w:rsidR="00217ECC" w:rsidRPr="008149B5" w:rsidRDefault="00217ECC" w:rsidP="00BE487D">
      <w:pPr>
        <w:contextualSpacing/>
        <w:jc w:val="both"/>
      </w:pPr>
    </w:p>
    <w:p w14:paraId="1956E87F" w14:textId="77777777" w:rsidR="002314F7" w:rsidRPr="008149B5" w:rsidRDefault="002314F7" w:rsidP="00BE487D">
      <w:pPr>
        <w:contextualSpacing/>
        <w:jc w:val="both"/>
      </w:pPr>
    </w:p>
    <w:p w14:paraId="3622026A" w14:textId="77777777" w:rsidR="002314F7" w:rsidRPr="008149B5" w:rsidRDefault="002314F7" w:rsidP="00BE487D">
      <w:pPr>
        <w:contextualSpacing/>
        <w:jc w:val="both"/>
      </w:pPr>
    </w:p>
    <w:p w14:paraId="51C371C7" w14:textId="77777777" w:rsidR="002314F7" w:rsidRPr="008149B5" w:rsidRDefault="002314F7" w:rsidP="00BE487D">
      <w:pPr>
        <w:contextualSpacing/>
        <w:jc w:val="both"/>
      </w:pPr>
    </w:p>
    <w:p w14:paraId="51F0ADE4" w14:textId="77777777" w:rsidR="002314F7" w:rsidRPr="008149B5" w:rsidRDefault="002314F7" w:rsidP="00BE487D">
      <w:pPr>
        <w:contextualSpacing/>
        <w:jc w:val="both"/>
      </w:pPr>
    </w:p>
    <w:p w14:paraId="194BF26D" w14:textId="77777777" w:rsidR="002314F7" w:rsidRPr="008149B5" w:rsidRDefault="002314F7" w:rsidP="00BE487D">
      <w:pPr>
        <w:contextualSpacing/>
        <w:jc w:val="both"/>
      </w:pPr>
    </w:p>
    <w:p w14:paraId="119FF6F9" w14:textId="77777777" w:rsidR="002314F7" w:rsidRPr="008149B5" w:rsidRDefault="002314F7" w:rsidP="00BE487D">
      <w:pPr>
        <w:contextualSpacing/>
        <w:jc w:val="both"/>
      </w:pPr>
    </w:p>
    <w:p w14:paraId="40D26AD9" w14:textId="77777777" w:rsidR="002314F7" w:rsidRPr="008149B5" w:rsidRDefault="002314F7" w:rsidP="00BE487D">
      <w:pPr>
        <w:contextualSpacing/>
        <w:jc w:val="both"/>
      </w:pPr>
    </w:p>
    <w:p w14:paraId="6359F01B" w14:textId="0378D78B" w:rsidR="002314F7" w:rsidRPr="008149B5" w:rsidRDefault="00A56245" w:rsidP="00BE487D">
      <w:pPr>
        <w:contextualSpacing/>
        <w:jc w:val="center"/>
        <w:rPr>
          <w:b/>
        </w:rPr>
      </w:pPr>
      <w:r w:rsidRPr="008149B5">
        <w:rPr>
          <w:b/>
        </w:rPr>
        <w:t>GODIŠNJE IZVJEŠĆE O DRŽAVNIM POTPORAMA ZA 202</w:t>
      </w:r>
      <w:r w:rsidR="0053450E" w:rsidRPr="008149B5">
        <w:rPr>
          <w:b/>
        </w:rPr>
        <w:t>3</w:t>
      </w:r>
      <w:r w:rsidRPr="008149B5">
        <w:rPr>
          <w:b/>
        </w:rPr>
        <w:t>. GODINU</w:t>
      </w:r>
    </w:p>
    <w:p w14:paraId="0C5D1D85" w14:textId="77777777" w:rsidR="002314F7" w:rsidRPr="008149B5" w:rsidRDefault="002314F7" w:rsidP="00BE487D">
      <w:pPr>
        <w:contextualSpacing/>
        <w:jc w:val="both"/>
      </w:pPr>
    </w:p>
    <w:p w14:paraId="6B422565" w14:textId="77777777" w:rsidR="002314F7" w:rsidRPr="008149B5" w:rsidRDefault="002314F7" w:rsidP="00BE487D">
      <w:pPr>
        <w:contextualSpacing/>
        <w:jc w:val="both"/>
      </w:pPr>
    </w:p>
    <w:p w14:paraId="63A188BA" w14:textId="77777777" w:rsidR="002314F7" w:rsidRPr="008149B5" w:rsidRDefault="002314F7" w:rsidP="00BE487D">
      <w:pPr>
        <w:contextualSpacing/>
        <w:jc w:val="both"/>
      </w:pPr>
    </w:p>
    <w:p w14:paraId="47073D48" w14:textId="77777777" w:rsidR="005B7944" w:rsidRPr="008149B5" w:rsidRDefault="005B7944" w:rsidP="00BE487D">
      <w:pPr>
        <w:contextualSpacing/>
        <w:jc w:val="both"/>
      </w:pPr>
    </w:p>
    <w:p w14:paraId="0BDA7629" w14:textId="77777777" w:rsidR="005B7944" w:rsidRPr="008149B5" w:rsidRDefault="005B7944" w:rsidP="00BE487D">
      <w:pPr>
        <w:contextualSpacing/>
        <w:jc w:val="both"/>
      </w:pPr>
    </w:p>
    <w:p w14:paraId="56F3A98E" w14:textId="77777777" w:rsidR="005B7944" w:rsidRPr="008149B5" w:rsidRDefault="005B7944" w:rsidP="00BE487D">
      <w:pPr>
        <w:contextualSpacing/>
        <w:jc w:val="both"/>
      </w:pPr>
    </w:p>
    <w:p w14:paraId="5CBCA24C" w14:textId="77777777" w:rsidR="005B7944" w:rsidRPr="008149B5" w:rsidRDefault="005B7944" w:rsidP="00BE487D">
      <w:pPr>
        <w:contextualSpacing/>
        <w:jc w:val="both"/>
      </w:pPr>
    </w:p>
    <w:p w14:paraId="4BAB2529" w14:textId="77777777" w:rsidR="002314F7" w:rsidRPr="008149B5" w:rsidRDefault="002314F7" w:rsidP="00BE487D">
      <w:pPr>
        <w:contextualSpacing/>
        <w:jc w:val="both"/>
      </w:pPr>
    </w:p>
    <w:p w14:paraId="7FBD70C7" w14:textId="77777777" w:rsidR="005B7944" w:rsidRPr="008149B5" w:rsidRDefault="005B7944" w:rsidP="00BE487D">
      <w:pPr>
        <w:contextualSpacing/>
        <w:jc w:val="both"/>
      </w:pPr>
    </w:p>
    <w:p w14:paraId="219C8F29" w14:textId="77777777" w:rsidR="005B7944" w:rsidRPr="008149B5" w:rsidRDefault="005B7944" w:rsidP="00BE487D">
      <w:pPr>
        <w:contextualSpacing/>
        <w:jc w:val="both"/>
      </w:pPr>
    </w:p>
    <w:p w14:paraId="0E2CDDF5" w14:textId="77777777" w:rsidR="005B7944" w:rsidRPr="008149B5" w:rsidRDefault="005B7944" w:rsidP="00BE487D">
      <w:pPr>
        <w:contextualSpacing/>
        <w:jc w:val="both"/>
      </w:pPr>
    </w:p>
    <w:p w14:paraId="6A4BAD1C" w14:textId="77777777" w:rsidR="005B7944" w:rsidRPr="008149B5" w:rsidRDefault="005B7944" w:rsidP="00BE487D">
      <w:pPr>
        <w:contextualSpacing/>
        <w:jc w:val="both"/>
      </w:pPr>
    </w:p>
    <w:p w14:paraId="743CF258" w14:textId="77777777" w:rsidR="005B7944" w:rsidRPr="008149B5" w:rsidRDefault="005B7944" w:rsidP="00BE487D">
      <w:pPr>
        <w:contextualSpacing/>
        <w:jc w:val="both"/>
      </w:pPr>
    </w:p>
    <w:p w14:paraId="612A1EBD" w14:textId="77777777" w:rsidR="002314F7" w:rsidRPr="008149B5" w:rsidRDefault="002314F7" w:rsidP="00BE487D">
      <w:pPr>
        <w:contextualSpacing/>
        <w:jc w:val="both"/>
      </w:pPr>
    </w:p>
    <w:p w14:paraId="27EA33C5" w14:textId="77777777" w:rsidR="002314F7" w:rsidRPr="008149B5" w:rsidRDefault="002314F7" w:rsidP="00BE487D">
      <w:pPr>
        <w:contextualSpacing/>
        <w:jc w:val="both"/>
      </w:pPr>
    </w:p>
    <w:p w14:paraId="5ED0D0C0" w14:textId="77777777" w:rsidR="002314F7" w:rsidRPr="008149B5" w:rsidRDefault="002314F7" w:rsidP="00BE487D">
      <w:pPr>
        <w:contextualSpacing/>
        <w:jc w:val="both"/>
      </w:pPr>
    </w:p>
    <w:p w14:paraId="0BE53AD5" w14:textId="77777777" w:rsidR="00BE487D" w:rsidRPr="008149B5" w:rsidRDefault="00BE487D" w:rsidP="00BE487D">
      <w:pPr>
        <w:contextualSpacing/>
        <w:jc w:val="both"/>
      </w:pPr>
    </w:p>
    <w:p w14:paraId="740EB220" w14:textId="77777777" w:rsidR="00BE487D" w:rsidRPr="008149B5" w:rsidRDefault="00BE487D" w:rsidP="00BE487D">
      <w:pPr>
        <w:contextualSpacing/>
        <w:jc w:val="both"/>
      </w:pPr>
    </w:p>
    <w:p w14:paraId="72D47107" w14:textId="77777777" w:rsidR="002314F7" w:rsidRPr="008149B5" w:rsidRDefault="002314F7" w:rsidP="00BE487D">
      <w:pPr>
        <w:contextualSpacing/>
        <w:jc w:val="both"/>
      </w:pPr>
    </w:p>
    <w:p w14:paraId="5B01200A" w14:textId="77777777" w:rsidR="002314F7" w:rsidRPr="008149B5" w:rsidRDefault="002314F7" w:rsidP="00BE487D">
      <w:pPr>
        <w:contextualSpacing/>
        <w:jc w:val="both"/>
      </w:pPr>
    </w:p>
    <w:p w14:paraId="5536FB45" w14:textId="77777777" w:rsidR="002314F7" w:rsidRPr="008149B5" w:rsidRDefault="002314F7" w:rsidP="00BE487D">
      <w:pPr>
        <w:contextualSpacing/>
        <w:jc w:val="both"/>
      </w:pPr>
    </w:p>
    <w:p w14:paraId="39526587" w14:textId="77777777" w:rsidR="002314F7" w:rsidRPr="008149B5" w:rsidRDefault="002314F7" w:rsidP="00BE487D">
      <w:pPr>
        <w:pBdr>
          <w:bottom w:val="single" w:sz="12" w:space="1" w:color="auto"/>
        </w:pBdr>
        <w:jc w:val="both"/>
        <w:rPr>
          <w:b/>
        </w:rPr>
      </w:pPr>
    </w:p>
    <w:p w14:paraId="290DAF41" w14:textId="77777777" w:rsidR="002314F7" w:rsidRPr="008149B5" w:rsidRDefault="002314F7" w:rsidP="00BE487D">
      <w:pPr>
        <w:pBdr>
          <w:bottom w:val="single" w:sz="12" w:space="1" w:color="auto"/>
        </w:pBdr>
        <w:jc w:val="both"/>
        <w:rPr>
          <w:b/>
        </w:rPr>
      </w:pPr>
    </w:p>
    <w:p w14:paraId="0D0927D5" w14:textId="77777777" w:rsidR="002314F7" w:rsidRPr="008149B5" w:rsidRDefault="002314F7" w:rsidP="00BE487D">
      <w:pPr>
        <w:pBdr>
          <w:bottom w:val="single" w:sz="12" w:space="1" w:color="auto"/>
        </w:pBdr>
        <w:jc w:val="both"/>
        <w:rPr>
          <w:b/>
        </w:rPr>
      </w:pPr>
    </w:p>
    <w:p w14:paraId="3349DA57" w14:textId="727C344D" w:rsidR="002314F7" w:rsidRPr="008149B5" w:rsidRDefault="002314F7" w:rsidP="00BE487D">
      <w:pPr>
        <w:contextualSpacing/>
        <w:jc w:val="center"/>
        <w:rPr>
          <w:b/>
        </w:rPr>
        <w:sectPr w:rsidR="002314F7" w:rsidRPr="008149B5" w:rsidSect="00857D5E">
          <w:headerReference w:type="default" r:id="rId9"/>
          <w:footerReference w:type="default" r:id="rId10"/>
          <w:headerReference w:type="first" r:id="rId11"/>
          <w:pgSz w:w="11906" w:h="16838"/>
          <w:pgMar w:top="1440" w:right="1797" w:bottom="1440" w:left="1797" w:header="709" w:footer="709" w:gutter="0"/>
          <w:cols w:space="708"/>
          <w:titlePg/>
          <w:docGrid w:linePitch="360"/>
        </w:sectPr>
      </w:pPr>
      <w:r w:rsidRPr="008149B5">
        <w:rPr>
          <w:b/>
        </w:rPr>
        <w:t xml:space="preserve">Zagreb, </w:t>
      </w:r>
      <w:r w:rsidR="001038BF">
        <w:rPr>
          <w:b/>
        </w:rPr>
        <w:t>prosinac</w:t>
      </w:r>
      <w:r w:rsidRPr="008149B5">
        <w:rPr>
          <w:b/>
        </w:rPr>
        <w:t xml:space="preserve"> 202</w:t>
      </w:r>
      <w:r w:rsidR="0053450E" w:rsidRPr="008149B5">
        <w:rPr>
          <w:b/>
        </w:rPr>
        <w:t>4</w:t>
      </w:r>
      <w:r w:rsidRPr="008149B5">
        <w:rPr>
          <w:b/>
        </w:rPr>
        <w:t>.</w:t>
      </w:r>
    </w:p>
    <w:p w14:paraId="334A0BC8" w14:textId="77777777" w:rsidR="002314F7" w:rsidRPr="00AF6B8D" w:rsidRDefault="002314F7" w:rsidP="00CB00FC">
      <w:pPr>
        <w:contextualSpacing/>
        <w:jc w:val="both"/>
        <w:rPr>
          <w:sz w:val="22"/>
          <w:szCs w:val="20"/>
        </w:rPr>
      </w:pPr>
      <w:r w:rsidRPr="00AF6B8D">
        <w:rPr>
          <w:b/>
          <w:sz w:val="22"/>
          <w:szCs w:val="20"/>
        </w:rPr>
        <w:lastRenderedPageBreak/>
        <w:t>SADRŽAJ</w:t>
      </w:r>
    </w:p>
    <w:p w14:paraId="3AB2B8C5" w14:textId="77777777" w:rsidR="007E3C55" w:rsidRPr="005C0303" w:rsidRDefault="007E3C55" w:rsidP="005C0303">
      <w:pPr>
        <w:jc w:val="both"/>
        <w:rPr>
          <w:rFonts w:eastAsiaTheme="majorEastAsia"/>
          <w:sz w:val="22"/>
          <w:szCs w:val="22"/>
          <w:highlight w:val="red"/>
          <w:lang w:eastAsia="hr-HR"/>
        </w:rPr>
      </w:pPr>
    </w:p>
    <w:p w14:paraId="1D5DD7AC" w14:textId="7D8994FC" w:rsidR="005C0303" w:rsidRPr="00FF55E0" w:rsidRDefault="007E3C55" w:rsidP="005C0303">
      <w:pPr>
        <w:pStyle w:val="TOC1"/>
        <w:tabs>
          <w:tab w:val="left" w:pos="901"/>
          <w:tab w:val="right" w:leader="dot" w:pos="9060"/>
        </w:tabs>
        <w:spacing w:after="0" w:line="240" w:lineRule="auto"/>
        <w:rPr>
          <w:rFonts w:ascii="Times New Roman" w:hAnsi="Times New Roman"/>
          <w:noProof/>
        </w:rPr>
      </w:pPr>
      <w:r w:rsidRPr="00FF55E0">
        <w:rPr>
          <w:rFonts w:ascii="Times New Roman" w:eastAsiaTheme="majorEastAsia" w:hAnsi="Times New Roman"/>
          <w:highlight w:val="red"/>
        </w:rPr>
        <w:fldChar w:fldCharType="begin"/>
      </w:r>
      <w:r w:rsidRPr="00FF55E0">
        <w:rPr>
          <w:rFonts w:ascii="Times New Roman" w:eastAsiaTheme="majorEastAsia" w:hAnsi="Times New Roman"/>
          <w:highlight w:val="red"/>
        </w:rPr>
        <w:instrText xml:space="preserve"> TOC \o "1-3" \h \z \u </w:instrText>
      </w:r>
      <w:r w:rsidRPr="00FF55E0">
        <w:rPr>
          <w:rFonts w:ascii="Times New Roman" w:eastAsiaTheme="majorEastAsia" w:hAnsi="Times New Roman"/>
          <w:highlight w:val="red"/>
        </w:rPr>
        <w:fldChar w:fldCharType="separate"/>
      </w:r>
      <w:hyperlink w:anchor="_Toc184635831" w:history="1">
        <w:r w:rsidR="005C0303" w:rsidRPr="00FF55E0">
          <w:rPr>
            <w:rStyle w:val="Hyperlink"/>
            <w:rFonts w:ascii="Times New Roman" w:hAnsi="Times New Roman"/>
            <w:noProof/>
          </w:rPr>
          <w:t>1.</w:t>
        </w:r>
        <w:r w:rsidR="005C0303" w:rsidRPr="00FF55E0">
          <w:rPr>
            <w:rFonts w:ascii="Times New Roman" w:hAnsi="Times New Roman"/>
            <w:noProof/>
          </w:rPr>
          <w:tab/>
        </w:r>
        <w:r w:rsidR="005C0303" w:rsidRPr="00FF55E0">
          <w:rPr>
            <w:rStyle w:val="Hyperlink"/>
            <w:rFonts w:ascii="Times New Roman" w:hAnsi="Times New Roman"/>
            <w:noProof/>
          </w:rPr>
          <w:t>UVOD</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_Toc184635831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w:t>
        </w:r>
        <w:r w:rsidR="005C0303" w:rsidRPr="00FF55E0">
          <w:rPr>
            <w:rFonts w:ascii="Times New Roman" w:hAnsi="Times New Roman"/>
            <w:noProof/>
            <w:webHidden/>
          </w:rPr>
          <w:fldChar w:fldCharType="end"/>
        </w:r>
      </w:hyperlink>
    </w:p>
    <w:p w14:paraId="3427B21C" w14:textId="2B29D375" w:rsidR="005C0303" w:rsidRPr="00FF55E0" w:rsidRDefault="005C7874" w:rsidP="005C0303">
      <w:pPr>
        <w:pStyle w:val="TOC2"/>
        <w:rPr>
          <w:rFonts w:ascii="Times New Roman" w:hAnsi="Times New Roman"/>
          <w:noProof/>
        </w:rPr>
      </w:pPr>
      <w:hyperlink w:anchor="_Toc184635832" w:history="1">
        <w:r w:rsidR="005C0303" w:rsidRPr="00FF55E0">
          <w:rPr>
            <w:rStyle w:val="Hyperlink"/>
            <w:rFonts w:ascii="Times New Roman" w:hAnsi="Times New Roman"/>
            <w:noProof/>
            <w14:scene3d>
              <w14:camera w14:prst="orthographicFront"/>
              <w14:lightRig w14:rig="threePt" w14:dir="t">
                <w14:rot w14:lat="0" w14:lon="0" w14:rev="0"/>
              </w14:lightRig>
            </w14:scene3d>
          </w:rPr>
          <w:t>1.1.</w:t>
        </w:r>
        <w:r w:rsidR="005C0303" w:rsidRPr="00FF55E0">
          <w:rPr>
            <w:rFonts w:ascii="Times New Roman" w:hAnsi="Times New Roman"/>
            <w:noProof/>
          </w:rPr>
          <w:tab/>
        </w:r>
        <w:r w:rsidR="005C0303" w:rsidRPr="00FF55E0">
          <w:rPr>
            <w:rStyle w:val="Hyperlink"/>
            <w:rFonts w:ascii="Times New Roman" w:hAnsi="Times New Roman"/>
            <w:noProof/>
          </w:rPr>
          <w:t>METODOLOGIJA PRAĆENJA I PRIKAZA DRŽAVNIH POTPORA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_Toc184635832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7</w:t>
        </w:r>
        <w:r w:rsidR="005C0303" w:rsidRPr="00FF55E0">
          <w:rPr>
            <w:rFonts w:ascii="Times New Roman" w:hAnsi="Times New Roman"/>
            <w:noProof/>
            <w:webHidden/>
          </w:rPr>
          <w:fldChar w:fldCharType="end"/>
        </w:r>
      </w:hyperlink>
    </w:p>
    <w:p w14:paraId="71E8A0BB" w14:textId="29CBC0F4" w:rsidR="005C0303" w:rsidRPr="00FF55E0" w:rsidRDefault="005C7874" w:rsidP="005C0303">
      <w:pPr>
        <w:pStyle w:val="TOC2"/>
        <w:rPr>
          <w:rFonts w:ascii="Times New Roman" w:hAnsi="Times New Roman"/>
          <w:noProof/>
        </w:rPr>
      </w:pPr>
      <w:hyperlink w:anchor="_Toc184635833" w:history="1">
        <w:r w:rsidR="005C0303" w:rsidRPr="00FF55E0">
          <w:rPr>
            <w:rStyle w:val="Hyperlink"/>
            <w:rFonts w:ascii="Times New Roman" w:hAnsi="Times New Roman"/>
            <w:noProof/>
            <w14:scene3d>
              <w14:camera w14:prst="orthographicFront"/>
              <w14:lightRig w14:rig="threePt" w14:dir="t">
                <w14:rot w14:lat="0" w14:lon="0" w14:rev="0"/>
              </w14:lightRig>
            </w14:scene3d>
          </w:rPr>
          <w:t>1.2.</w:t>
        </w:r>
        <w:r w:rsidR="005C0303" w:rsidRPr="00FF55E0">
          <w:rPr>
            <w:rFonts w:ascii="Times New Roman" w:hAnsi="Times New Roman"/>
            <w:noProof/>
          </w:rPr>
          <w:tab/>
        </w:r>
        <w:r w:rsidR="005C0303" w:rsidRPr="00FF55E0">
          <w:rPr>
            <w:rStyle w:val="Hyperlink"/>
            <w:rFonts w:ascii="Times New Roman" w:hAnsi="Times New Roman"/>
            <w:noProof/>
          </w:rPr>
          <w:t>PRIKUPLJANJE I OBRADA PODATAKA O DRŽAVNIM POTPORAMA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_Toc184635833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9</w:t>
        </w:r>
        <w:r w:rsidR="005C0303" w:rsidRPr="00FF55E0">
          <w:rPr>
            <w:rFonts w:ascii="Times New Roman" w:hAnsi="Times New Roman"/>
            <w:noProof/>
            <w:webHidden/>
          </w:rPr>
          <w:fldChar w:fldCharType="end"/>
        </w:r>
      </w:hyperlink>
    </w:p>
    <w:p w14:paraId="046B077F" w14:textId="4B4FB2FB" w:rsidR="005C0303" w:rsidRPr="00FF55E0" w:rsidRDefault="005C7874" w:rsidP="005C0303">
      <w:pPr>
        <w:pStyle w:val="TOC2"/>
        <w:rPr>
          <w:rFonts w:ascii="Times New Roman" w:hAnsi="Times New Roman"/>
          <w:noProof/>
        </w:rPr>
      </w:pPr>
      <w:hyperlink w:anchor="_Toc184635834" w:history="1">
        <w:r w:rsidR="005C0303" w:rsidRPr="00FF55E0">
          <w:rPr>
            <w:rStyle w:val="Hyperlink"/>
            <w:rFonts w:ascii="Times New Roman" w:hAnsi="Times New Roman"/>
            <w:noProof/>
            <w14:scene3d>
              <w14:camera w14:prst="orthographicFront"/>
              <w14:lightRig w14:rig="threePt" w14:dir="t">
                <w14:rot w14:lat="0" w14:lon="0" w14:rev="0"/>
              </w14:lightRig>
            </w14:scene3d>
          </w:rPr>
          <w:t>1.3.</w:t>
        </w:r>
        <w:r w:rsidR="005C0303" w:rsidRPr="00FF55E0">
          <w:rPr>
            <w:rFonts w:ascii="Times New Roman" w:hAnsi="Times New Roman"/>
            <w:noProof/>
          </w:rPr>
          <w:tab/>
        </w:r>
        <w:r w:rsidR="005C0303" w:rsidRPr="00FF55E0">
          <w:rPr>
            <w:rStyle w:val="Hyperlink"/>
            <w:rFonts w:ascii="Times New Roman" w:hAnsi="Times New Roman"/>
            <w:noProof/>
          </w:rPr>
          <w:t>METODOLOGIJA PRIKAZA PODATAKA O DRŽAVNIM POTPORAMA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_Toc184635834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10</w:t>
        </w:r>
        <w:r w:rsidR="005C0303" w:rsidRPr="00FF55E0">
          <w:rPr>
            <w:rFonts w:ascii="Times New Roman" w:hAnsi="Times New Roman"/>
            <w:noProof/>
            <w:webHidden/>
          </w:rPr>
          <w:fldChar w:fldCharType="end"/>
        </w:r>
      </w:hyperlink>
    </w:p>
    <w:p w14:paraId="190B336F" w14:textId="42375BC3" w:rsidR="005C0303" w:rsidRPr="00FF55E0" w:rsidRDefault="005C7874" w:rsidP="005C0303">
      <w:pPr>
        <w:pStyle w:val="TOC2"/>
        <w:rPr>
          <w:rFonts w:ascii="Times New Roman" w:hAnsi="Times New Roman"/>
          <w:noProof/>
        </w:rPr>
      </w:pPr>
      <w:hyperlink w:anchor="_Toc184635835" w:history="1">
        <w:r w:rsidR="005C0303" w:rsidRPr="00FF55E0">
          <w:rPr>
            <w:rStyle w:val="Hyperlink"/>
            <w:rFonts w:ascii="Times New Roman" w:hAnsi="Times New Roman"/>
            <w:noProof/>
            <w14:scene3d>
              <w14:camera w14:prst="orthographicFront"/>
              <w14:lightRig w14:rig="threePt" w14:dir="t">
                <w14:rot w14:lat="0" w14:lon="0" w14:rev="0"/>
              </w14:lightRig>
            </w14:scene3d>
          </w:rPr>
          <w:t>1.4.</w:t>
        </w:r>
        <w:r w:rsidR="005C0303" w:rsidRPr="00FF55E0">
          <w:rPr>
            <w:rFonts w:ascii="Times New Roman" w:hAnsi="Times New Roman"/>
            <w:noProof/>
          </w:rPr>
          <w:tab/>
        </w:r>
        <w:r w:rsidR="005C0303" w:rsidRPr="00FF55E0">
          <w:rPr>
            <w:rStyle w:val="Hyperlink"/>
            <w:rFonts w:ascii="Times New Roman" w:hAnsi="Times New Roman"/>
            <w:noProof/>
          </w:rPr>
          <w:t>SAŽETAK GODIŠNJEG IZVJEŠĆA O DODIJELJENIM DRŽAVNIM POTPORAMA ZA 2023. GODINU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_Toc184635835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11</w:t>
        </w:r>
        <w:r w:rsidR="005C0303" w:rsidRPr="00FF55E0">
          <w:rPr>
            <w:rFonts w:ascii="Times New Roman" w:hAnsi="Times New Roman"/>
            <w:noProof/>
            <w:webHidden/>
          </w:rPr>
          <w:fldChar w:fldCharType="end"/>
        </w:r>
      </w:hyperlink>
    </w:p>
    <w:p w14:paraId="5DC0E7D0" w14:textId="799B580D" w:rsidR="005C0303" w:rsidRPr="00FF55E0" w:rsidRDefault="005C7874" w:rsidP="005C0303">
      <w:pPr>
        <w:pStyle w:val="TOC1"/>
        <w:tabs>
          <w:tab w:val="left" w:pos="901"/>
          <w:tab w:val="right" w:leader="dot" w:pos="9060"/>
        </w:tabs>
        <w:spacing w:after="0" w:line="240" w:lineRule="auto"/>
        <w:rPr>
          <w:rFonts w:ascii="Times New Roman" w:hAnsi="Times New Roman"/>
          <w:noProof/>
        </w:rPr>
      </w:pPr>
      <w:hyperlink w:anchor="_Toc184635836" w:history="1">
        <w:r w:rsidR="005C0303" w:rsidRPr="00FF55E0">
          <w:rPr>
            <w:rStyle w:val="Hyperlink"/>
            <w:rFonts w:ascii="Times New Roman" w:hAnsi="Times New Roman"/>
            <w:noProof/>
          </w:rPr>
          <w:t>2.</w:t>
        </w:r>
        <w:r w:rsidR="005C0303" w:rsidRPr="00FF55E0">
          <w:rPr>
            <w:rFonts w:ascii="Times New Roman" w:hAnsi="Times New Roman"/>
            <w:noProof/>
          </w:rPr>
          <w:tab/>
        </w:r>
        <w:r w:rsidR="005C0303" w:rsidRPr="00FF55E0">
          <w:rPr>
            <w:rStyle w:val="Hyperlink"/>
            <w:rFonts w:ascii="Times New Roman" w:hAnsi="Times New Roman"/>
            <w:noProof/>
          </w:rPr>
          <w:t>DRŽAVNE POTPORE U 2023. GODINI</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_Toc184635836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15</w:t>
        </w:r>
        <w:r w:rsidR="005C0303" w:rsidRPr="00FF55E0">
          <w:rPr>
            <w:rFonts w:ascii="Times New Roman" w:hAnsi="Times New Roman"/>
            <w:noProof/>
            <w:webHidden/>
          </w:rPr>
          <w:fldChar w:fldCharType="end"/>
        </w:r>
      </w:hyperlink>
    </w:p>
    <w:p w14:paraId="4C8A0322" w14:textId="7977A37B" w:rsidR="005C0303" w:rsidRPr="00FF55E0" w:rsidRDefault="005C7874" w:rsidP="005C0303">
      <w:pPr>
        <w:pStyle w:val="TOC2"/>
        <w:rPr>
          <w:rFonts w:ascii="Times New Roman" w:hAnsi="Times New Roman"/>
          <w:noProof/>
        </w:rPr>
      </w:pPr>
      <w:hyperlink w:anchor="_Toc184635837" w:history="1">
        <w:r w:rsidR="005C0303" w:rsidRPr="00FF55E0">
          <w:rPr>
            <w:rStyle w:val="Hyperlink"/>
            <w:rFonts w:ascii="Times New Roman" w:hAnsi="Times New Roman"/>
            <w:noProof/>
            <w14:scene3d>
              <w14:camera w14:prst="orthographicFront"/>
              <w14:lightRig w14:rig="threePt" w14:dir="t">
                <w14:rot w14:lat="0" w14:lon="0" w14:rev="0"/>
              </w14:lightRig>
            </w14:scene3d>
          </w:rPr>
          <w:t>2.1.</w:t>
        </w:r>
        <w:r w:rsidR="005C0303" w:rsidRPr="00FF55E0">
          <w:rPr>
            <w:rFonts w:ascii="Times New Roman" w:hAnsi="Times New Roman"/>
            <w:noProof/>
          </w:rPr>
          <w:tab/>
        </w:r>
        <w:r w:rsidR="005C0303" w:rsidRPr="00FF55E0">
          <w:rPr>
            <w:rStyle w:val="Hyperlink"/>
            <w:rFonts w:ascii="Times New Roman" w:hAnsi="Times New Roman"/>
            <w:noProof/>
          </w:rPr>
          <w:t>MAKROEKONOMSKI POKAZATELJI</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_Toc184635837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15</w:t>
        </w:r>
        <w:r w:rsidR="005C0303" w:rsidRPr="00FF55E0">
          <w:rPr>
            <w:rFonts w:ascii="Times New Roman" w:hAnsi="Times New Roman"/>
            <w:noProof/>
            <w:webHidden/>
          </w:rPr>
          <w:fldChar w:fldCharType="end"/>
        </w:r>
      </w:hyperlink>
    </w:p>
    <w:p w14:paraId="65A710C2" w14:textId="6E4531DE" w:rsidR="005C0303" w:rsidRPr="00FF55E0" w:rsidRDefault="005C7874" w:rsidP="005C0303">
      <w:pPr>
        <w:pStyle w:val="TOC2"/>
        <w:rPr>
          <w:rFonts w:ascii="Times New Roman" w:hAnsi="Times New Roman"/>
          <w:noProof/>
        </w:rPr>
      </w:pPr>
      <w:hyperlink w:anchor="_Toc184635838" w:history="1">
        <w:r w:rsidR="005C0303" w:rsidRPr="00FF55E0">
          <w:rPr>
            <w:rStyle w:val="Hyperlink"/>
            <w:rFonts w:ascii="Times New Roman" w:hAnsi="Times New Roman"/>
            <w:noProof/>
            <w14:scene3d>
              <w14:camera w14:prst="orthographicFront"/>
              <w14:lightRig w14:rig="threePt" w14:dir="t">
                <w14:rot w14:lat="0" w14:lon="0" w14:rev="0"/>
              </w14:lightRig>
            </w14:scene3d>
          </w:rPr>
          <w:t>2.2.</w:t>
        </w:r>
        <w:r w:rsidR="005C0303" w:rsidRPr="00FF55E0">
          <w:rPr>
            <w:rFonts w:ascii="Times New Roman" w:hAnsi="Times New Roman"/>
            <w:noProof/>
          </w:rPr>
          <w:tab/>
        </w:r>
        <w:r w:rsidR="005C0303" w:rsidRPr="00FF55E0">
          <w:rPr>
            <w:rStyle w:val="Hyperlink"/>
            <w:rFonts w:ascii="Times New Roman" w:hAnsi="Times New Roman"/>
            <w:noProof/>
          </w:rPr>
          <w:t>KATEGORIJE DRŽAVNIH POTPORA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_Toc184635838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17</w:t>
        </w:r>
        <w:r w:rsidR="005C0303" w:rsidRPr="00FF55E0">
          <w:rPr>
            <w:rFonts w:ascii="Times New Roman" w:hAnsi="Times New Roman"/>
            <w:noProof/>
            <w:webHidden/>
          </w:rPr>
          <w:fldChar w:fldCharType="end"/>
        </w:r>
      </w:hyperlink>
    </w:p>
    <w:p w14:paraId="553AC169" w14:textId="110AB027" w:rsidR="005C0303" w:rsidRPr="00FF55E0" w:rsidRDefault="005C7874" w:rsidP="005C0303">
      <w:pPr>
        <w:pStyle w:val="TOC2"/>
        <w:rPr>
          <w:rFonts w:ascii="Times New Roman" w:hAnsi="Times New Roman"/>
          <w:noProof/>
        </w:rPr>
      </w:pPr>
      <w:hyperlink w:anchor="_Toc184635839" w:history="1">
        <w:r w:rsidR="005C0303" w:rsidRPr="00FF55E0">
          <w:rPr>
            <w:rStyle w:val="Hyperlink"/>
            <w:rFonts w:ascii="Times New Roman" w:hAnsi="Times New Roman"/>
            <w:noProof/>
            <w14:scene3d>
              <w14:camera w14:prst="orthographicFront"/>
              <w14:lightRig w14:rig="threePt" w14:dir="t">
                <w14:rot w14:lat="0" w14:lon="0" w14:rev="0"/>
              </w14:lightRig>
            </w14:scene3d>
          </w:rPr>
          <w:t>2.3.</w:t>
        </w:r>
        <w:r w:rsidR="005C0303" w:rsidRPr="00FF55E0">
          <w:rPr>
            <w:rFonts w:ascii="Times New Roman" w:hAnsi="Times New Roman"/>
            <w:noProof/>
          </w:rPr>
          <w:tab/>
        </w:r>
        <w:r w:rsidR="005C0303" w:rsidRPr="00FF55E0">
          <w:rPr>
            <w:rStyle w:val="Hyperlink"/>
            <w:rFonts w:ascii="Times New Roman" w:hAnsi="Times New Roman"/>
            <w:noProof/>
          </w:rPr>
          <w:t>DRŽAVNE POTPORE PREMA INSTRUMENTIMA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_Toc184635839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19</w:t>
        </w:r>
        <w:r w:rsidR="005C0303" w:rsidRPr="00FF55E0">
          <w:rPr>
            <w:rFonts w:ascii="Times New Roman" w:hAnsi="Times New Roman"/>
            <w:noProof/>
            <w:webHidden/>
          </w:rPr>
          <w:fldChar w:fldCharType="end"/>
        </w:r>
      </w:hyperlink>
    </w:p>
    <w:p w14:paraId="4A1AB84E" w14:textId="48BB24E3" w:rsidR="005C0303" w:rsidRPr="00FF55E0" w:rsidRDefault="005C7874" w:rsidP="005C0303">
      <w:pPr>
        <w:pStyle w:val="TOC1"/>
        <w:tabs>
          <w:tab w:val="left" w:pos="901"/>
          <w:tab w:val="right" w:leader="dot" w:pos="9060"/>
        </w:tabs>
        <w:spacing w:after="0" w:line="240" w:lineRule="auto"/>
        <w:rPr>
          <w:rFonts w:ascii="Times New Roman" w:hAnsi="Times New Roman"/>
          <w:noProof/>
        </w:rPr>
      </w:pPr>
      <w:hyperlink w:anchor="_Toc184635840" w:history="1">
        <w:r w:rsidR="005C0303" w:rsidRPr="00FF55E0">
          <w:rPr>
            <w:rStyle w:val="Hyperlink"/>
            <w:rFonts w:ascii="Times New Roman" w:hAnsi="Times New Roman"/>
            <w:noProof/>
          </w:rPr>
          <w:t>3.</w:t>
        </w:r>
        <w:r w:rsidR="005C0303" w:rsidRPr="00FF55E0">
          <w:rPr>
            <w:rFonts w:ascii="Times New Roman" w:hAnsi="Times New Roman"/>
            <w:noProof/>
          </w:rPr>
          <w:tab/>
        </w:r>
        <w:r w:rsidR="005C0303" w:rsidRPr="00FF55E0">
          <w:rPr>
            <w:rStyle w:val="Hyperlink"/>
            <w:rFonts w:ascii="Times New Roman" w:hAnsi="Times New Roman"/>
            <w:noProof/>
          </w:rPr>
          <w:t>POTPORE U POLJOPRIVREDI I RIBARSTVU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_Toc184635840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23</w:t>
        </w:r>
        <w:r w:rsidR="005C0303" w:rsidRPr="00FF55E0">
          <w:rPr>
            <w:rFonts w:ascii="Times New Roman" w:hAnsi="Times New Roman"/>
            <w:noProof/>
            <w:webHidden/>
          </w:rPr>
          <w:fldChar w:fldCharType="end"/>
        </w:r>
      </w:hyperlink>
    </w:p>
    <w:p w14:paraId="7E1D5608" w14:textId="10402FE4" w:rsidR="005C0303" w:rsidRPr="00FF55E0" w:rsidRDefault="005C7874" w:rsidP="005C0303">
      <w:pPr>
        <w:pStyle w:val="TOC1"/>
        <w:tabs>
          <w:tab w:val="left" w:pos="901"/>
          <w:tab w:val="right" w:leader="dot" w:pos="9060"/>
        </w:tabs>
        <w:spacing w:after="0" w:line="240" w:lineRule="auto"/>
        <w:rPr>
          <w:rFonts w:ascii="Times New Roman" w:hAnsi="Times New Roman"/>
          <w:noProof/>
        </w:rPr>
      </w:pPr>
      <w:hyperlink w:anchor="_Toc184635841" w:history="1">
        <w:r w:rsidR="005C0303" w:rsidRPr="00FF55E0">
          <w:rPr>
            <w:rStyle w:val="Hyperlink"/>
            <w:rFonts w:ascii="Times New Roman" w:hAnsi="Times New Roman"/>
            <w:noProof/>
          </w:rPr>
          <w:t>4.</w:t>
        </w:r>
        <w:r w:rsidR="005C0303" w:rsidRPr="00FF55E0">
          <w:rPr>
            <w:rFonts w:ascii="Times New Roman" w:hAnsi="Times New Roman"/>
            <w:noProof/>
          </w:rPr>
          <w:tab/>
        </w:r>
        <w:r w:rsidR="005C0303" w:rsidRPr="00FF55E0">
          <w:rPr>
            <w:rStyle w:val="Hyperlink"/>
            <w:rFonts w:ascii="Times New Roman" w:hAnsi="Times New Roman"/>
            <w:noProof/>
          </w:rPr>
          <w:t>POTPORE INDUSTRIJI I USLUGAMA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_Toc184635841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27</w:t>
        </w:r>
        <w:r w:rsidR="005C0303" w:rsidRPr="00FF55E0">
          <w:rPr>
            <w:rFonts w:ascii="Times New Roman" w:hAnsi="Times New Roman"/>
            <w:noProof/>
            <w:webHidden/>
          </w:rPr>
          <w:fldChar w:fldCharType="end"/>
        </w:r>
      </w:hyperlink>
    </w:p>
    <w:p w14:paraId="467A7EF8" w14:textId="2761810B" w:rsidR="005C0303" w:rsidRPr="00FF55E0" w:rsidRDefault="005C7874" w:rsidP="005C0303">
      <w:pPr>
        <w:pStyle w:val="TOC2"/>
        <w:rPr>
          <w:rFonts w:ascii="Times New Roman" w:hAnsi="Times New Roman"/>
          <w:noProof/>
        </w:rPr>
      </w:pPr>
      <w:hyperlink w:anchor="_Toc184635842" w:history="1">
        <w:r w:rsidR="005C0303" w:rsidRPr="00FF55E0">
          <w:rPr>
            <w:rStyle w:val="Hyperlink"/>
            <w:rFonts w:ascii="Times New Roman" w:hAnsi="Times New Roman"/>
            <w:noProof/>
            <w14:scene3d>
              <w14:camera w14:prst="orthographicFront"/>
              <w14:lightRig w14:rig="threePt" w14:dir="t">
                <w14:rot w14:lat="0" w14:lon="0" w14:rev="0"/>
              </w14:lightRig>
            </w14:scene3d>
          </w:rPr>
          <w:t>4.1.</w:t>
        </w:r>
        <w:r w:rsidR="005C0303" w:rsidRPr="00FF55E0">
          <w:rPr>
            <w:rFonts w:ascii="Times New Roman" w:hAnsi="Times New Roman"/>
            <w:noProof/>
          </w:rPr>
          <w:tab/>
        </w:r>
        <w:r w:rsidR="005C0303" w:rsidRPr="00FF55E0">
          <w:rPr>
            <w:rStyle w:val="Hyperlink"/>
            <w:rFonts w:ascii="Times New Roman" w:hAnsi="Times New Roman"/>
            <w:noProof/>
          </w:rPr>
          <w:t>HORIZONTALNE POTPORE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_Toc184635842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29</w:t>
        </w:r>
        <w:r w:rsidR="005C0303" w:rsidRPr="00FF55E0">
          <w:rPr>
            <w:rFonts w:ascii="Times New Roman" w:hAnsi="Times New Roman"/>
            <w:noProof/>
            <w:webHidden/>
          </w:rPr>
          <w:fldChar w:fldCharType="end"/>
        </w:r>
      </w:hyperlink>
    </w:p>
    <w:p w14:paraId="6465D8EB" w14:textId="398FB806" w:rsidR="005C0303" w:rsidRPr="00FF55E0" w:rsidRDefault="005C7874" w:rsidP="005C0303">
      <w:pPr>
        <w:pStyle w:val="TOC3"/>
        <w:tabs>
          <w:tab w:val="right" w:leader="dot" w:pos="9060"/>
        </w:tabs>
        <w:spacing w:after="0" w:line="240" w:lineRule="auto"/>
        <w:rPr>
          <w:rFonts w:ascii="Times New Roman" w:hAnsi="Times New Roman"/>
          <w:noProof/>
        </w:rPr>
      </w:pPr>
      <w:hyperlink w:anchor="_Toc184635843" w:history="1">
        <w:r w:rsidR="005C0303" w:rsidRPr="00FF55E0">
          <w:rPr>
            <w:rStyle w:val="Hyperlink"/>
            <w:rFonts w:ascii="Times New Roman" w:hAnsi="Times New Roman"/>
            <w:noProof/>
          </w:rPr>
          <w:t>Horizontalne potpore u „užem smislu“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_Toc184635843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30</w:t>
        </w:r>
        <w:r w:rsidR="005C0303" w:rsidRPr="00FF55E0">
          <w:rPr>
            <w:rFonts w:ascii="Times New Roman" w:hAnsi="Times New Roman"/>
            <w:noProof/>
            <w:webHidden/>
          </w:rPr>
          <w:fldChar w:fldCharType="end"/>
        </w:r>
      </w:hyperlink>
    </w:p>
    <w:p w14:paraId="323F8DA2" w14:textId="0C9DDC1D"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44" w:history="1">
        <w:r w:rsidR="005C0303" w:rsidRPr="00FF55E0">
          <w:rPr>
            <w:rStyle w:val="Hyperlink"/>
            <w:rFonts w:ascii="Times New Roman" w:hAnsi="Times New Roman"/>
            <w:i/>
            <w:noProof/>
          </w:rPr>
          <w:t>4.1.1.</w:t>
        </w:r>
        <w:r w:rsidR="005C0303" w:rsidRPr="00FF55E0">
          <w:rPr>
            <w:rFonts w:ascii="Times New Roman" w:hAnsi="Times New Roman"/>
            <w:noProof/>
          </w:rPr>
          <w:tab/>
        </w:r>
        <w:r w:rsidR="005C0303" w:rsidRPr="00FF55E0">
          <w:rPr>
            <w:rStyle w:val="Hyperlink"/>
            <w:rFonts w:ascii="Times New Roman" w:hAnsi="Times New Roman"/>
            <w:i/>
            <w:noProof/>
          </w:rPr>
          <w:t>Potpore za istraživanje i razvoj i inovacije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_Toc184635844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32</w:t>
        </w:r>
        <w:r w:rsidR="005C0303" w:rsidRPr="00FF55E0">
          <w:rPr>
            <w:rFonts w:ascii="Times New Roman" w:hAnsi="Times New Roman"/>
            <w:noProof/>
            <w:webHidden/>
          </w:rPr>
          <w:fldChar w:fldCharType="end"/>
        </w:r>
      </w:hyperlink>
    </w:p>
    <w:p w14:paraId="4B2946A9" w14:textId="1204FE81"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45" w:history="1">
        <w:r w:rsidR="005C0303" w:rsidRPr="00FF55E0">
          <w:rPr>
            <w:rStyle w:val="Hyperlink"/>
            <w:rFonts w:ascii="Times New Roman" w:hAnsi="Times New Roman"/>
            <w:i/>
            <w:noProof/>
          </w:rPr>
          <w:t>4.1.2.</w:t>
        </w:r>
        <w:r w:rsidR="005C0303" w:rsidRPr="00FF55E0">
          <w:rPr>
            <w:rFonts w:ascii="Times New Roman" w:hAnsi="Times New Roman"/>
            <w:noProof/>
          </w:rPr>
          <w:tab/>
        </w:r>
        <w:r w:rsidR="005C0303" w:rsidRPr="00FF55E0">
          <w:rPr>
            <w:rStyle w:val="Hyperlink"/>
            <w:rFonts w:ascii="Times New Roman" w:hAnsi="Times New Roman"/>
            <w:i/>
            <w:noProof/>
          </w:rPr>
          <w:t>Potpore za zapošljavanje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_Toc184635845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33</w:t>
        </w:r>
        <w:r w:rsidR="005C0303" w:rsidRPr="00FF55E0">
          <w:rPr>
            <w:rFonts w:ascii="Times New Roman" w:hAnsi="Times New Roman"/>
            <w:noProof/>
            <w:webHidden/>
          </w:rPr>
          <w:fldChar w:fldCharType="end"/>
        </w:r>
      </w:hyperlink>
    </w:p>
    <w:p w14:paraId="09888DD3" w14:textId="0D83BB1C"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46" w:history="1">
        <w:r w:rsidR="005C0303" w:rsidRPr="00FF55E0">
          <w:rPr>
            <w:rStyle w:val="Hyperlink"/>
            <w:rFonts w:ascii="Times New Roman" w:hAnsi="Times New Roman"/>
            <w:i/>
            <w:noProof/>
          </w:rPr>
          <w:t>4.1.3.</w:t>
        </w:r>
        <w:r w:rsidR="005C0303" w:rsidRPr="00FF55E0">
          <w:rPr>
            <w:rFonts w:ascii="Times New Roman" w:hAnsi="Times New Roman"/>
            <w:noProof/>
          </w:rPr>
          <w:tab/>
        </w:r>
        <w:r w:rsidR="005C0303" w:rsidRPr="00FF55E0">
          <w:rPr>
            <w:rStyle w:val="Hyperlink"/>
            <w:rFonts w:ascii="Times New Roman" w:hAnsi="Times New Roman"/>
            <w:i/>
            <w:noProof/>
          </w:rPr>
          <w:t>Potpore za usavršavanje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_Toc184635846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34</w:t>
        </w:r>
        <w:r w:rsidR="005C0303" w:rsidRPr="00FF55E0">
          <w:rPr>
            <w:rFonts w:ascii="Times New Roman" w:hAnsi="Times New Roman"/>
            <w:noProof/>
            <w:webHidden/>
          </w:rPr>
          <w:fldChar w:fldCharType="end"/>
        </w:r>
      </w:hyperlink>
    </w:p>
    <w:p w14:paraId="56B5959E" w14:textId="55A3EBE3"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47" w:history="1">
        <w:r w:rsidR="005C0303" w:rsidRPr="00FF55E0">
          <w:rPr>
            <w:rStyle w:val="Hyperlink"/>
            <w:rFonts w:ascii="Times New Roman" w:hAnsi="Times New Roman"/>
            <w:i/>
            <w:noProof/>
          </w:rPr>
          <w:t>4.1.4.</w:t>
        </w:r>
        <w:r w:rsidR="005C0303" w:rsidRPr="00FF55E0">
          <w:rPr>
            <w:rFonts w:ascii="Times New Roman" w:hAnsi="Times New Roman"/>
            <w:noProof/>
          </w:rPr>
          <w:tab/>
        </w:r>
        <w:r w:rsidR="005C0303" w:rsidRPr="00FF55E0">
          <w:rPr>
            <w:rStyle w:val="Hyperlink"/>
            <w:rFonts w:ascii="Times New Roman" w:hAnsi="Times New Roman"/>
            <w:i/>
            <w:noProof/>
          </w:rPr>
          <w:t>Potpore malim i srednjim poduzetnicima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_Toc184635847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34</w:t>
        </w:r>
        <w:r w:rsidR="005C0303" w:rsidRPr="00FF55E0">
          <w:rPr>
            <w:rFonts w:ascii="Times New Roman" w:hAnsi="Times New Roman"/>
            <w:noProof/>
            <w:webHidden/>
          </w:rPr>
          <w:fldChar w:fldCharType="end"/>
        </w:r>
      </w:hyperlink>
    </w:p>
    <w:p w14:paraId="0F39B08F" w14:textId="0AC682A9"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48" w:history="1">
        <w:r w:rsidR="005C0303" w:rsidRPr="00FF55E0">
          <w:rPr>
            <w:rStyle w:val="Hyperlink"/>
            <w:rFonts w:ascii="Times New Roman" w:hAnsi="Times New Roman"/>
            <w:i/>
            <w:noProof/>
          </w:rPr>
          <w:t>4.1.5.</w:t>
        </w:r>
        <w:r w:rsidR="005C0303" w:rsidRPr="00FF55E0">
          <w:rPr>
            <w:rFonts w:ascii="Times New Roman" w:hAnsi="Times New Roman"/>
            <w:noProof/>
          </w:rPr>
          <w:tab/>
        </w:r>
        <w:r w:rsidR="005C0303" w:rsidRPr="00FF55E0">
          <w:rPr>
            <w:rStyle w:val="Hyperlink"/>
            <w:rFonts w:ascii="Times New Roman" w:hAnsi="Times New Roman"/>
            <w:i/>
            <w:noProof/>
          </w:rPr>
          <w:t>Potpore kulturi</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_Toc184635848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36</w:t>
        </w:r>
        <w:r w:rsidR="005C0303" w:rsidRPr="00FF55E0">
          <w:rPr>
            <w:rFonts w:ascii="Times New Roman" w:hAnsi="Times New Roman"/>
            <w:noProof/>
            <w:webHidden/>
          </w:rPr>
          <w:fldChar w:fldCharType="end"/>
        </w:r>
      </w:hyperlink>
    </w:p>
    <w:p w14:paraId="33370F7A" w14:textId="21701D64" w:rsidR="005C0303" w:rsidRPr="00FF55E0" w:rsidRDefault="005C7874" w:rsidP="005C0303">
      <w:pPr>
        <w:pStyle w:val="TOC2"/>
        <w:rPr>
          <w:rFonts w:ascii="Times New Roman" w:hAnsi="Times New Roman"/>
          <w:noProof/>
        </w:rPr>
      </w:pPr>
      <w:hyperlink w:anchor="_Toc184635849" w:history="1">
        <w:r w:rsidR="005C0303" w:rsidRPr="00FF55E0">
          <w:rPr>
            <w:rStyle w:val="Hyperlink"/>
            <w:rFonts w:ascii="Times New Roman" w:hAnsi="Times New Roman"/>
            <w:noProof/>
            <w14:scene3d>
              <w14:camera w14:prst="orthographicFront"/>
              <w14:lightRig w14:rig="threePt" w14:dir="t">
                <w14:rot w14:lat="0" w14:lon="0" w14:rev="0"/>
              </w14:lightRig>
            </w14:scene3d>
          </w:rPr>
          <w:t>4.2.</w:t>
        </w:r>
        <w:r w:rsidR="005C0303" w:rsidRPr="00FF55E0">
          <w:rPr>
            <w:rFonts w:ascii="Times New Roman" w:hAnsi="Times New Roman"/>
            <w:noProof/>
          </w:rPr>
          <w:tab/>
        </w:r>
        <w:r w:rsidR="005C0303" w:rsidRPr="00FF55E0">
          <w:rPr>
            <w:rStyle w:val="Hyperlink"/>
            <w:rFonts w:ascii="Times New Roman" w:hAnsi="Times New Roman"/>
            <w:noProof/>
          </w:rPr>
          <w:t>REGIONALNE POTPORE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_Toc184635849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37</w:t>
        </w:r>
        <w:r w:rsidR="005C0303" w:rsidRPr="00FF55E0">
          <w:rPr>
            <w:rFonts w:ascii="Times New Roman" w:hAnsi="Times New Roman"/>
            <w:noProof/>
            <w:webHidden/>
          </w:rPr>
          <w:fldChar w:fldCharType="end"/>
        </w:r>
      </w:hyperlink>
    </w:p>
    <w:p w14:paraId="625997A1" w14:textId="39988907" w:rsidR="005C0303" w:rsidRPr="00FF55E0" w:rsidRDefault="005C7874" w:rsidP="005C0303">
      <w:pPr>
        <w:pStyle w:val="TOC2"/>
        <w:rPr>
          <w:rFonts w:ascii="Times New Roman" w:hAnsi="Times New Roman"/>
          <w:noProof/>
        </w:rPr>
      </w:pPr>
      <w:hyperlink w:anchor="_Toc184635850" w:history="1">
        <w:r w:rsidR="005C0303" w:rsidRPr="00FF55E0">
          <w:rPr>
            <w:rStyle w:val="Hyperlink"/>
            <w:rFonts w:ascii="Times New Roman" w:hAnsi="Times New Roman"/>
            <w:noProof/>
            <w14:scene3d>
              <w14:camera w14:prst="orthographicFront"/>
              <w14:lightRig w14:rig="threePt" w14:dir="t">
                <w14:rot w14:lat="0" w14:lon="0" w14:rev="0"/>
              </w14:lightRig>
            </w14:scene3d>
          </w:rPr>
          <w:t>4.3.</w:t>
        </w:r>
        <w:r w:rsidR="005C0303" w:rsidRPr="00FF55E0">
          <w:rPr>
            <w:rFonts w:ascii="Times New Roman" w:hAnsi="Times New Roman"/>
            <w:noProof/>
          </w:rPr>
          <w:tab/>
        </w:r>
        <w:r w:rsidR="005C0303" w:rsidRPr="00FF55E0">
          <w:rPr>
            <w:rStyle w:val="Hyperlink"/>
            <w:rFonts w:ascii="Times New Roman" w:hAnsi="Times New Roman"/>
            <w:noProof/>
            <w:spacing w:val="-2"/>
          </w:rPr>
          <w:t>POTPORE NA RAZINI JEDINICA LOKALNE I PODRUČNE (REGIONALNE) SAMOUPRAVE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_Toc184635850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39</w:t>
        </w:r>
        <w:r w:rsidR="005C0303" w:rsidRPr="00FF55E0">
          <w:rPr>
            <w:rFonts w:ascii="Times New Roman" w:hAnsi="Times New Roman"/>
            <w:noProof/>
            <w:webHidden/>
          </w:rPr>
          <w:fldChar w:fldCharType="end"/>
        </w:r>
      </w:hyperlink>
    </w:p>
    <w:p w14:paraId="221AF34D" w14:textId="08DC06D1" w:rsidR="005C0303" w:rsidRPr="00FF55E0" w:rsidRDefault="005C7874" w:rsidP="005C0303">
      <w:pPr>
        <w:pStyle w:val="TOC2"/>
        <w:rPr>
          <w:rFonts w:ascii="Times New Roman" w:hAnsi="Times New Roman"/>
          <w:noProof/>
        </w:rPr>
      </w:pPr>
      <w:hyperlink w:anchor="_Toc184635851" w:history="1">
        <w:r w:rsidR="005C0303" w:rsidRPr="00FF55E0">
          <w:rPr>
            <w:rStyle w:val="Hyperlink"/>
            <w:rFonts w:ascii="Times New Roman" w:hAnsi="Times New Roman"/>
            <w:noProof/>
            <w14:scene3d>
              <w14:camera w14:prst="orthographicFront"/>
              <w14:lightRig w14:rig="threePt" w14:dir="t">
                <w14:rot w14:lat="0" w14:lon="0" w14:rev="0"/>
              </w14:lightRig>
            </w14:scene3d>
          </w:rPr>
          <w:t>4.4.</w:t>
        </w:r>
        <w:r w:rsidR="005C0303" w:rsidRPr="00FF55E0">
          <w:rPr>
            <w:rFonts w:ascii="Times New Roman" w:hAnsi="Times New Roman"/>
            <w:noProof/>
          </w:rPr>
          <w:tab/>
        </w:r>
        <w:r w:rsidR="005C0303" w:rsidRPr="00FF55E0">
          <w:rPr>
            <w:rStyle w:val="Hyperlink"/>
            <w:rFonts w:ascii="Times New Roman" w:hAnsi="Times New Roman"/>
            <w:noProof/>
          </w:rPr>
          <w:t>SEKTORSKE POTPORE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_Toc184635851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40</w:t>
        </w:r>
        <w:r w:rsidR="005C0303" w:rsidRPr="00FF55E0">
          <w:rPr>
            <w:rFonts w:ascii="Times New Roman" w:hAnsi="Times New Roman"/>
            <w:noProof/>
            <w:webHidden/>
          </w:rPr>
          <w:fldChar w:fldCharType="end"/>
        </w:r>
      </w:hyperlink>
    </w:p>
    <w:p w14:paraId="7EF49574" w14:textId="6206C817" w:rsidR="005C0303" w:rsidRPr="00FF55E0" w:rsidRDefault="005C7874" w:rsidP="005C0303">
      <w:pPr>
        <w:pStyle w:val="TOC3"/>
        <w:tabs>
          <w:tab w:val="right" w:leader="dot" w:pos="9060"/>
        </w:tabs>
        <w:spacing w:after="0" w:line="240" w:lineRule="auto"/>
        <w:rPr>
          <w:rFonts w:ascii="Times New Roman" w:hAnsi="Times New Roman"/>
          <w:noProof/>
        </w:rPr>
      </w:pPr>
      <w:hyperlink w:anchor="_Toc184635852" w:history="1">
        <w:r w:rsidR="005C0303" w:rsidRPr="00FF55E0">
          <w:rPr>
            <w:rStyle w:val="Hyperlink"/>
            <w:rFonts w:ascii="Times New Roman" w:hAnsi="Times New Roman"/>
            <w:noProof/>
          </w:rPr>
          <w:t>Potpore za obavljanje usluga od općeg gospodarskog interesa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_Toc184635852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41</w:t>
        </w:r>
        <w:r w:rsidR="005C0303" w:rsidRPr="00FF55E0">
          <w:rPr>
            <w:rFonts w:ascii="Times New Roman" w:hAnsi="Times New Roman"/>
            <w:noProof/>
            <w:webHidden/>
          </w:rPr>
          <w:fldChar w:fldCharType="end"/>
        </w:r>
      </w:hyperlink>
    </w:p>
    <w:p w14:paraId="08168419" w14:textId="0C37745B"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3" w:history="1">
        <w:r w:rsidR="005C0303" w:rsidRPr="00FF55E0">
          <w:rPr>
            <w:rStyle w:val="Hyperlink"/>
            <w:rFonts w:ascii="Times New Roman" w:hAnsi="Times New Roman"/>
            <w:i/>
            <w:noProof/>
          </w:rPr>
          <w:t>4.4.1.</w:t>
        </w:r>
        <w:r w:rsidR="005C0303" w:rsidRPr="00FF55E0">
          <w:rPr>
            <w:rFonts w:ascii="Times New Roman" w:hAnsi="Times New Roman"/>
            <w:noProof/>
          </w:rPr>
          <w:tab/>
        </w:r>
        <w:r w:rsidR="005C0303" w:rsidRPr="00FF55E0">
          <w:rPr>
            <w:rStyle w:val="Hyperlink"/>
            <w:rFonts w:ascii="Times New Roman" w:hAnsi="Times New Roman"/>
            <w:i/>
            <w:noProof/>
          </w:rPr>
          <w:t>Potpore za poštanske usluge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_Toc184635853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44</w:t>
        </w:r>
        <w:r w:rsidR="005C0303" w:rsidRPr="00FF55E0">
          <w:rPr>
            <w:rFonts w:ascii="Times New Roman" w:hAnsi="Times New Roman"/>
            <w:noProof/>
            <w:webHidden/>
          </w:rPr>
          <w:fldChar w:fldCharType="end"/>
        </w:r>
      </w:hyperlink>
    </w:p>
    <w:p w14:paraId="62D6576C" w14:textId="730BCFC3"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4" w:history="1">
        <w:r w:rsidR="005C0303" w:rsidRPr="00FF55E0">
          <w:rPr>
            <w:rStyle w:val="Hyperlink"/>
            <w:rFonts w:ascii="Times New Roman" w:hAnsi="Times New Roman"/>
            <w:i/>
            <w:noProof/>
          </w:rPr>
          <w:t>4.4.2.</w:t>
        </w:r>
        <w:r w:rsidR="005C0303" w:rsidRPr="00FF55E0">
          <w:rPr>
            <w:rFonts w:ascii="Times New Roman" w:hAnsi="Times New Roman"/>
            <w:noProof/>
          </w:rPr>
          <w:tab/>
        </w:r>
        <w:r w:rsidR="005C0303" w:rsidRPr="00FF55E0">
          <w:rPr>
            <w:rStyle w:val="Hyperlink"/>
            <w:rFonts w:ascii="Times New Roman" w:hAnsi="Times New Roman"/>
            <w:i/>
            <w:noProof/>
          </w:rPr>
          <w:t>Potpore za zaštitu okoliša i uštedu energije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_Toc184635854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44</w:t>
        </w:r>
        <w:r w:rsidR="005C0303" w:rsidRPr="00FF55E0">
          <w:rPr>
            <w:rFonts w:ascii="Times New Roman" w:hAnsi="Times New Roman"/>
            <w:noProof/>
            <w:webHidden/>
          </w:rPr>
          <w:fldChar w:fldCharType="end"/>
        </w:r>
      </w:hyperlink>
    </w:p>
    <w:p w14:paraId="53E4A7BE" w14:textId="3AF3B3BE"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5" w:history="1">
        <w:r w:rsidR="005C0303" w:rsidRPr="00FF55E0">
          <w:rPr>
            <w:rStyle w:val="Hyperlink"/>
            <w:rFonts w:ascii="Times New Roman" w:hAnsi="Times New Roman"/>
            <w:i/>
            <w:noProof/>
          </w:rPr>
          <w:t>4.4.3.</w:t>
        </w:r>
        <w:r w:rsidR="005C0303" w:rsidRPr="00FF55E0">
          <w:rPr>
            <w:rFonts w:ascii="Times New Roman" w:hAnsi="Times New Roman"/>
            <w:noProof/>
          </w:rPr>
          <w:tab/>
        </w:r>
        <w:r w:rsidR="005C0303" w:rsidRPr="00FF55E0">
          <w:rPr>
            <w:rStyle w:val="Hyperlink"/>
            <w:rFonts w:ascii="Times New Roman" w:hAnsi="Times New Roman"/>
            <w:i/>
            <w:noProof/>
          </w:rPr>
          <w:t>Potpore prometu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_Toc184635855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46</w:t>
        </w:r>
        <w:r w:rsidR="005C0303" w:rsidRPr="00FF55E0">
          <w:rPr>
            <w:rFonts w:ascii="Times New Roman" w:hAnsi="Times New Roman"/>
            <w:noProof/>
            <w:webHidden/>
          </w:rPr>
          <w:fldChar w:fldCharType="end"/>
        </w:r>
      </w:hyperlink>
    </w:p>
    <w:p w14:paraId="0604183E" w14:textId="5DD559B4"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6" w:history="1">
        <w:r w:rsidR="005C0303" w:rsidRPr="00FF55E0">
          <w:rPr>
            <w:rStyle w:val="Hyperlink"/>
            <w:rFonts w:ascii="Times New Roman" w:hAnsi="Times New Roman"/>
            <w:i/>
            <w:noProof/>
          </w:rPr>
          <w:t>4.4.4.</w:t>
        </w:r>
        <w:r w:rsidR="005C0303" w:rsidRPr="00FF55E0">
          <w:rPr>
            <w:rFonts w:ascii="Times New Roman" w:hAnsi="Times New Roman"/>
            <w:noProof/>
          </w:rPr>
          <w:tab/>
        </w:r>
        <w:r w:rsidR="005C0303" w:rsidRPr="00FF55E0">
          <w:rPr>
            <w:rStyle w:val="Hyperlink"/>
            <w:rFonts w:ascii="Times New Roman" w:hAnsi="Times New Roman"/>
            <w:i/>
            <w:noProof/>
          </w:rPr>
          <w:t>Potpore brodogradnji</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_Toc184635856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50</w:t>
        </w:r>
        <w:r w:rsidR="005C0303" w:rsidRPr="00FF55E0">
          <w:rPr>
            <w:rFonts w:ascii="Times New Roman" w:hAnsi="Times New Roman"/>
            <w:noProof/>
            <w:webHidden/>
          </w:rPr>
          <w:fldChar w:fldCharType="end"/>
        </w:r>
      </w:hyperlink>
    </w:p>
    <w:p w14:paraId="6622AB6F" w14:textId="7BC8E68E"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7" w:history="1">
        <w:r w:rsidR="005C0303" w:rsidRPr="00FF55E0">
          <w:rPr>
            <w:rStyle w:val="Hyperlink"/>
            <w:rFonts w:ascii="Times New Roman" w:hAnsi="Times New Roman"/>
            <w:i/>
            <w:noProof/>
          </w:rPr>
          <w:t>4.4.5.</w:t>
        </w:r>
        <w:r w:rsidR="005C0303" w:rsidRPr="00FF55E0">
          <w:rPr>
            <w:rFonts w:ascii="Times New Roman" w:hAnsi="Times New Roman"/>
            <w:noProof/>
          </w:rPr>
          <w:tab/>
        </w:r>
        <w:r w:rsidR="005C0303" w:rsidRPr="00FF55E0">
          <w:rPr>
            <w:rStyle w:val="Hyperlink"/>
            <w:rFonts w:ascii="Times New Roman" w:hAnsi="Times New Roman"/>
            <w:i/>
            <w:noProof/>
          </w:rPr>
          <w:t>Potpore turizmu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_Toc184635857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51</w:t>
        </w:r>
        <w:r w:rsidR="005C0303" w:rsidRPr="00FF55E0">
          <w:rPr>
            <w:rFonts w:ascii="Times New Roman" w:hAnsi="Times New Roman"/>
            <w:noProof/>
            <w:webHidden/>
          </w:rPr>
          <w:fldChar w:fldCharType="end"/>
        </w:r>
      </w:hyperlink>
    </w:p>
    <w:p w14:paraId="5B17A1E8" w14:textId="27AB2F9D"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8" w:history="1">
        <w:r w:rsidR="005C0303" w:rsidRPr="00FF55E0">
          <w:rPr>
            <w:rStyle w:val="Hyperlink"/>
            <w:rFonts w:ascii="Times New Roman" w:hAnsi="Times New Roman"/>
            <w:i/>
            <w:noProof/>
          </w:rPr>
          <w:t>4.4.6.</w:t>
        </w:r>
        <w:r w:rsidR="005C0303" w:rsidRPr="00FF55E0">
          <w:rPr>
            <w:rFonts w:ascii="Times New Roman" w:hAnsi="Times New Roman"/>
            <w:noProof/>
          </w:rPr>
          <w:tab/>
        </w:r>
        <w:r w:rsidR="005C0303" w:rsidRPr="00FF55E0">
          <w:rPr>
            <w:rStyle w:val="Hyperlink"/>
            <w:rFonts w:ascii="Times New Roman" w:hAnsi="Times New Roman"/>
            <w:i/>
            <w:noProof/>
          </w:rPr>
          <w:t>Potpore za sanaciju i restrukturiranje</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_Toc184635858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52</w:t>
        </w:r>
        <w:r w:rsidR="005C0303" w:rsidRPr="00FF55E0">
          <w:rPr>
            <w:rFonts w:ascii="Times New Roman" w:hAnsi="Times New Roman"/>
            <w:noProof/>
            <w:webHidden/>
          </w:rPr>
          <w:fldChar w:fldCharType="end"/>
        </w:r>
      </w:hyperlink>
    </w:p>
    <w:p w14:paraId="34AB204B" w14:textId="749257A0"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59" w:history="1">
        <w:r w:rsidR="005C0303" w:rsidRPr="00FF55E0">
          <w:rPr>
            <w:rStyle w:val="Hyperlink"/>
            <w:rFonts w:ascii="Times New Roman" w:hAnsi="Times New Roman"/>
            <w:i/>
            <w:noProof/>
          </w:rPr>
          <w:t>4.4.7.</w:t>
        </w:r>
        <w:r w:rsidR="005C0303" w:rsidRPr="00FF55E0">
          <w:rPr>
            <w:rFonts w:ascii="Times New Roman" w:hAnsi="Times New Roman"/>
            <w:noProof/>
          </w:rPr>
          <w:tab/>
        </w:r>
        <w:r w:rsidR="005C0303" w:rsidRPr="00FF55E0">
          <w:rPr>
            <w:rStyle w:val="Hyperlink"/>
            <w:rFonts w:ascii="Times New Roman" w:hAnsi="Times New Roman"/>
            <w:i/>
            <w:noProof/>
          </w:rPr>
          <w:t>Potpore za javno radiotelevizijsko emitiranje i audiovizualnu industriju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_Toc184635859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52</w:t>
        </w:r>
        <w:r w:rsidR="005C0303" w:rsidRPr="00FF55E0">
          <w:rPr>
            <w:rFonts w:ascii="Times New Roman" w:hAnsi="Times New Roman"/>
            <w:noProof/>
            <w:webHidden/>
          </w:rPr>
          <w:fldChar w:fldCharType="end"/>
        </w:r>
      </w:hyperlink>
    </w:p>
    <w:p w14:paraId="24029D03" w14:textId="6A9279A1" w:rsidR="005C0303" w:rsidRPr="00FF55E0" w:rsidRDefault="005C7874" w:rsidP="005C0303">
      <w:pPr>
        <w:pStyle w:val="TOC3"/>
        <w:tabs>
          <w:tab w:val="left" w:pos="1320"/>
          <w:tab w:val="right" w:leader="dot" w:pos="9060"/>
        </w:tabs>
        <w:spacing w:after="0" w:line="240" w:lineRule="auto"/>
        <w:rPr>
          <w:rFonts w:ascii="Times New Roman" w:hAnsi="Times New Roman"/>
          <w:noProof/>
        </w:rPr>
      </w:pPr>
      <w:hyperlink w:anchor="_Toc184635860" w:history="1">
        <w:r w:rsidR="005C0303" w:rsidRPr="00FF55E0">
          <w:rPr>
            <w:rStyle w:val="Hyperlink"/>
            <w:rFonts w:ascii="Times New Roman" w:hAnsi="Times New Roman"/>
            <w:i/>
            <w:noProof/>
          </w:rPr>
          <w:t>4.4.8.</w:t>
        </w:r>
        <w:r w:rsidR="005C0303" w:rsidRPr="00FF55E0">
          <w:rPr>
            <w:rFonts w:ascii="Times New Roman" w:hAnsi="Times New Roman"/>
            <w:noProof/>
          </w:rPr>
          <w:tab/>
        </w:r>
        <w:r w:rsidR="005C0303" w:rsidRPr="00FF55E0">
          <w:rPr>
            <w:rStyle w:val="Hyperlink"/>
            <w:rFonts w:ascii="Times New Roman" w:hAnsi="Times New Roman"/>
            <w:i/>
            <w:noProof/>
          </w:rPr>
          <w:t>Potpore za razvoj širokopojasnih mreža</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_Toc184635860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54</w:t>
        </w:r>
        <w:r w:rsidR="005C0303" w:rsidRPr="00FF55E0">
          <w:rPr>
            <w:rFonts w:ascii="Times New Roman" w:hAnsi="Times New Roman"/>
            <w:noProof/>
            <w:webHidden/>
          </w:rPr>
          <w:fldChar w:fldCharType="end"/>
        </w:r>
      </w:hyperlink>
    </w:p>
    <w:p w14:paraId="134E45AC" w14:textId="0DF7044D" w:rsidR="005C0303" w:rsidRPr="00FF55E0" w:rsidRDefault="005C7874" w:rsidP="005C0303">
      <w:pPr>
        <w:pStyle w:val="TOC2"/>
        <w:rPr>
          <w:rFonts w:ascii="Times New Roman" w:hAnsi="Times New Roman"/>
          <w:noProof/>
        </w:rPr>
      </w:pPr>
      <w:hyperlink w:anchor="_Toc184635861" w:history="1">
        <w:r w:rsidR="005C0303" w:rsidRPr="00FF55E0">
          <w:rPr>
            <w:rStyle w:val="Hyperlink"/>
            <w:rFonts w:ascii="Times New Roman" w:hAnsi="Times New Roman"/>
            <w:noProof/>
            <w14:scene3d>
              <w14:camera w14:prst="orthographicFront"/>
              <w14:lightRig w14:rig="threePt" w14:dir="t">
                <w14:rot w14:lat="0" w14:lon="0" w14:rev="0"/>
              </w14:lightRig>
            </w14:scene3d>
          </w:rPr>
          <w:t>4.5.</w:t>
        </w:r>
        <w:r w:rsidR="005C0303" w:rsidRPr="00FF55E0">
          <w:rPr>
            <w:rFonts w:ascii="Times New Roman" w:hAnsi="Times New Roman"/>
            <w:noProof/>
          </w:rPr>
          <w:tab/>
        </w:r>
        <w:r w:rsidR="005C0303" w:rsidRPr="00FF55E0">
          <w:rPr>
            <w:rStyle w:val="Hyperlink"/>
            <w:rFonts w:ascii="Times New Roman" w:hAnsi="Times New Roman"/>
            <w:noProof/>
          </w:rPr>
          <w:t>POTPORE U SVRHU PODRŠKE GOSPODARSTVU U AKTUALNOJ PANDEMIJI COVID–19 I ZA SUZBIJANJE UČINAKA RUSKE AGRESIJE NA UKRAJINU</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_Toc184635861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55</w:t>
        </w:r>
        <w:r w:rsidR="005C0303" w:rsidRPr="00FF55E0">
          <w:rPr>
            <w:rFonts w:ascii="Times New Roman" w:hAnsi="Times New Roman"/>
            <w:noProof/>
            <w:webHidden/>
          </w:rPr>
          <w:fldChar w:fldCharType="end"/>
        </w:r>
      </w:hyperlink>
    </w:p>
    <w:p w14:paraId="3CD39932" w14:textId="5CBAFC21" w:rsidR="005C0303" w:rsidRPr="00FF55E0" w:rsidRDefault="005C7874" w:rsidP="005C0303">
      <w:pPr>
        <w:pStyle w:val="TOC1"/>
        <w:tabs>
          <w:tab w:val="left" w:pos="901"/>
          <w:tab w:val="right" w:leader="dot" w:pos="9060"/>
        </w:tabs>
        <w:spacing w:after="0" w:line="240" w:lineRule="auto"/>
        <w:rPr>
          <w:rFonts w:ascii="Times New Roman" w:hAnsi="Times New Roman"/>
          <w:noProof/>
        </w:rPr>
      </w:pPr>
      <w:hyperlink w:anchor="_Toc184635862" w:history="1">
        <w:r w:rsidR="005C0303" w:rsidRPr="00FF55E0">
          <w:rPr>
            <w:rStyle w:val="Hyperlink"/>
            <w:rFonts w:ascii="Times New Roman" w:hAnsi="Times New Roman"/>
            <w:noProof/>
          </w:rPr>
          <w:t>5.</w:t>
        </w:r>
        <w:r w:rsidR="005C0303" w:rsidRPr="00FF55E0">
          <w:rPr>
            <w:rFonts w:ascii="Times New Roman" w:hAnsi="Times New Roman"/>
            <w:noProof/>
          </w:rPr>
          <w:tab/>
        </w:r>
        <w:r w:rsidR="005C0303" w:rsidRPr="00FF55E0">
          <w:rPr>
            <w:rStyle w:val="Hyperlink"/>
            <w:rFonts w:ascii="Times New Roman" w:hAnsi="Times New Roman"/>
            <w:noProof/>
          </w:rPr>
          <w:t>POTPORE MALE VRIJEDNOSTI</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_Toc184635862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58</w:t>
        </w:r>
        <w:r w:rsidR="005C0303" w:rsidRPr="00FF55E0">
          <w:rPr>
            <w:rFonts w:ascii="Times New Roman" w:hAnsi="Times New Roman"/>
            <w:noProof/>
            <w:webHidden/>
          </w:rPr>
          <w:fldChar w:fldCharType="end"/>
        </w:r>
      </w:hyperlink>
    </w:p>
    <w:p w14:paraId="1CA8F878" w14:textId="75D77835" w:rsidR="005C0303" w:rsidRPr="00FF55E0" w:rsidRDefault="005C7874" w:rsidP="005C0303">
      <w:pPr>
        <w:pStyle w:val="TOC1"/>
        <w:tabs>
          <w:tab w:val="left" w:pos="901"/>
          <w:tab w:val="right" w:leader="dot" w:pos="9060"/>
        </w:tabs>
        <w:spacing w:after="0" w:line="240" w:lineRule="auto"/>
        <w:rPr>
          <w:rFonts w:ascii="Times New Roman" w:hAnsi="Times New Roman"/>
          <w:noProof/>
        </w:rPr>
      </w:pPr>
      <w:hyperlink w:anchor="_Toc184635863" w:history="1">
        <w:r w:rsidR="005C0303" w:rsidRPr="00FF55E0">
          <w:rPr>
            <w:rStyle w:val="Hyperlink"/>
            <w:rFonts w:ascii="Times New Roman" w:hAnsi="Times New Roman"/>
            <w:noProof/>
          </w:rPr>
          <w:t>6.</w:t>
        </w:r>
        <w:r w:rsidR="005C0303" w:rsidRPr="00FF55E0">
          <w:rPr>
            <w:rFonts w:ascii="Times New Roman" w:hAnsi="Times New Roman"/>
            <w:noProof/>
          </w:rPr>
          <w:tab/>
        </w:r>
        <w:r w:rsidR="005C0303" w:rsidRPr="00FF55E0">
          <w:rPr>
            <w:rStyle w:val="Hyperlink"/>
            <w:rFonts w:ascii="Times New Roman" w:hAnsi="Times New Roman"/>
            <w:noProof/>
          </w:rPr>
          <w:t>ZAKLJUČAK</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_Toc184635863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63</w:t>
        </w:r>
        <w:r w:rsidR="005C0303" w:rsidRPr="00FF55E0">
          <w:rPr>
            <w:rFonts w:ascii="Times New Roman" w:hAnsi="Times New Roman"/>
            <w:noProof/>
            <w:webHidden/>
          </w:rPr>
          <w:fldChar w:fldCharType="end"/>
        </w:r>
      </w:hyperlink>
    </w:p>
    <w:p w14:paraId="1950DD40" w14:textId="2E454AD6" w:rsidR="005C0303" w:rsidRPr="00FF55E0" w:rsidRDefault="005C7874" w:rsidP="005C0303">
      <w:pPr>
        <w:pStyle w:val="TOC1"/>
        <w:tabs>
          <w:tab w:val="right" w:leader="dot" w:pos="9060"/>
        </w:tabs>
        <w:spacing w:after="0" w:line="240" w:lineRule="auto"/>
        <w:rPr>
          <w:rFonts w:ascii="Times New Roman" w:hAnsi="Times New Roman"/>
          <w:noProof/>
        </w:rPr>
      </w:pPr>
      <w:hyperlink w:anchor="_Toc184635864" w:history="1">
        <w:r w:rsidR="005C0303" w:rsidRPr="00FF55E0">
          <w:rPr>
            <w:rStyle w:val="Hyperlink"/>
            <w:rFonts w:ascii="Times New Roman" w:hAnsi="Times New Roman"/>
            <w:noProof/>
          </w:rPr>
          <w:t>PRILOG 1.</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_Toc184635864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67</w:t>
        </w:r>
        <w:r w:rsidR="005C0303" w:rsidRPr="00FF55E0">
          <w:rPr>
            <w:rFonts w:ascii="Times New Roman" w:hAnsi="Times New Roman"/>
            <w:noProof/>
            <w:webHidden/>
          </w:rPr>
          <w:fldChar w:fldCharType="end"/>
        </w:r>
      </w:hyperlink>
    </w:p>
    <w:p w14:paraId="4E44A8EE" w14:textId="56DE449F" w:rsidR="005C0303" w:rsidRPr="00FF55E0" w:rsidRDefault="005C7874" w:rsidP="005C0303">
      <w:pPr>
        <w:pStyle w:val="TOC1"/>
        <w:tabs>
          <w:tab w:val="right" w:leader="dot" w:pos="9060"/>
        </w:tabs>
        <w:spacing w:after="0" w:line="240" w:lineRule="auto"/>
        <w:rPr>
          <w:rFonts w:ascii="Times New Roman" w:hAnsi="Times New Roman"/>
          <w:noProof/>
        </w:rPr>
      </w:pPr>
      <w:hyperlink w:anchor="_Toc184635865" w:history="1">
        <w:r w:rsidR="005C0303" w:rsidRPr="00FF55E0">
          <w:rPr>
            <w:rStyle w:val="Hyperlink"/>
            <w:rFonts w:ascii="Times New Roman" w:hAnsi="Times New Roman"/>
            <w:noProof/>
          </w:rPr>
          <w:t>PRILOG 2.</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_Toc184635865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68</w:t>
        </w:r>
        <w:r w:rsidR="005C0303" w:rsidRPr="00FF55E0">
          <w:rPr>
            <w:rFonts w:ascii="Times New Roman" w:hAnsi="Times New Roman"/>
            <w:noProof/>
            <w:webHidden/>
          </w:rPr>
          <w:fldChar w:fldCharType="end"/>
        </w:r>
      </w:hyperlink>
    </w:p>
    <w:p w14:paraId="3B1193A5" w14:textId="70D68E62" w:rsidR="005C0303" w:rsidRPr="00FF55E0" w:rsidRDefault="005C7874" w:rsidP="005C0303">
      <w:pPr>
        <w:pStyle w:val="TOC1"/>
        <w:tabs>
          <w:tab w:val="right" w:leader="dot" w:pos="9060"/>
        </w:tabs>
        <w:spacing w:after="0" w:line="240" w:lineRule="auto"/>
        <w:rPr>
          <w:rFonts w:ascii="Times New Roman" w:hAnsi="Times New Roman"/>
          <w:noProof/>
        </w:rPr>
      </w:pPr>
      <w:hyperlink w:anchor="_Toc184635866" w:history="1">
        <w:r w:rsidR="005C0303" w:rsidRPr="00FF55E0">
          <w:rPr>
            <w:rStyle w:val="Hyperlink"/>
            <w:rFonts w:ascii="Times New Roman" w:hAnsi="Times New Roman"/>
            <w:noProof/>
          </w:rPr>
          <w:t>PRILOG 3.</w:t>
        </w:r>
        <w:r w:rsidR="005C0303" w:rsidRPr="00FF55E0">
          <w:rPr>
            <w:rFonts w:ascii="Times New Roman" w:hAnsi="Times New Roman"/>
            <w:noProof/>
            <w:webHidden/>
          </w:rPr>
          <w:tab/>
        </w:r>
        <w:r w:rsidR="005C0303" w:rsidRPr="00FF55E0">
          <w:rPr>
            <w:rFonts w:ascii="Times New Roman" w:hAnsi="Times New Roman"/>
            <w:noProof/>
            <w:webHidden/>
          </w:rPr>
          <w:fldChar w:fldCharType="begin"/>
        </w:r>
        <w:r w:rsidR="005C0303" w:rsidRPr="00FF55E0">
          <w:rPr>
            <w:rFonts w:ascii="Times New Roman" w:hAnsi="Times New Roman"/>
            <w:noProof/>
            <w:webHidden/>
          </w:rPr>
          <w:instrText xml:space="preserve"> PAGEREF _Toc184635866 \h </w:instrText>
        </w:r>
        <w:r w:rsidR="005C0303" w:rsidRPr="00FF55E0">
          <w:rPr>
            <w:rFonts w:ascii="Times New Roman" w:hAnsi="Times New Roman"/>
            <w:noProof/>
            <w:webHidden/>
          </w:rPr>
        </w:r>
        <w:r w:rsidR="005C0303" w:rsidRPr="00FF55E0">
          <w:rPr>
            <w:rFonts w:ascii="Times New Roman" w:hAnsi="Times New Roman"/>
            <w:noProof/>
            <w:webHidden/>
          </w:rPr>
          <w:fldChar w:fldCharType="separate"/>
        </w:r>
        <w:r w:rsidR="00181B51">
          <w:rPr>
            <w:rFonts w:ascii="Times New Roman" w:hAnsi="Times New Roman"/>
            <w:noProof/>
            <w:webHidden/>
          </w:rPr>
          <w:t>70</w:t>
        </w:r>
        <w:r w:rsidR="005C0303" w:rsidRPr="00FF55E0">
          <w:rPr>
            <w:rFonts w:ascii="Times New Roman" w:hAnsi="Times New Roman"/>
            <w:noProof/>
            <w:webHidden/>
          </w:rPr>
          <w:fldChar w:fldCharType="end"/>
        </w:r>
      </w:hyperlink>
    </w:p>
    <w:p w14:paraId="7D6868C2" w14:textId="5D8DA0C7" w:rsidR="007E3C55" w:rsidRPr="008149B5" w:rsidRDefault="007E3C55" w:rsidP="005C0303">
      <w:pPr>
        <w:jc w:val="both"/>
        <w:rPr>
          <w:rFonts w:eastAsiaTheme="majorEastAsia"/>
          <w:highlight w:val="red"/>
          <w:lang w:eastAsia="hr-HR"/>
        </w:rPr>
      </w:pPr>
      <w:r w:rsidRPr="00FF55E0">
        <w:rPr>
          <w:rFonts w:eastAsiaTheme="majorEastAsia"/>
          <w:sz w:val="22"/>
          <w:szCs w:val="22"/>
          <w:highlight w:val="red"/>
          <w:lang w:eastAsia="hr-HR"/>
        </w:rPr>
        <w:fldChar w:fldCharType="end"/>
      </w:r>
    </w:p>
    <w:p w14:paraId="2987C986" w14:textId="77777777" w:rsidR="00857D5E" w:rsidRPr="00792283" w:rsidRDefault="00857D5E" w:rsidP="00BE487D">
      <w:pPr>
        <w:jc w:val="both"/>
        <w:rPr>
          <w:b/>
        </w:rPr>
      </w:pPr>
      <w:r w:rsidRPr="00792283">
        <w:rPr>
          <w:b/>
        </w:rPr>
        <w:br w:type="page"/>
      </w:r>
    </w:p>
    <w:p w14:paraId="594AD4A6" w14:textId="43609DE2" w:rsidR="00BE0817" w:rsidRPr="00792283" w:rsidRDefault="00BE0817" w:rsidP="00BE487D">
      <w:pPr>
        <w:pStyle w:val="Heading1"/>
        <w:numPr>
          <w:ilvl w:val="0"/>
          <w:numId w:val="1"/>
        </w:numPr>
        <w:spacing w:before="0"/>
        <w:ind w:left="714" w:hanging="357"/>
        <w:jc w:val="both"/>
        <w:rPr>
          <w:rFonts w:ascii="Times New Roman" w:hAnsi="Times New Roman" w:cs="Times New Roman"/>
          <w:b/>
          <w:color w:val="auto"/>
          <w:sz w:val="24"/>
          <w:szCs w:val="24"/>
        </w:rPr>
      </w:pPr>
      <w:bookmarkStart w:id="0" w:name="_Toc184635831"/>
      <w:r w:rsidRPr="00792283">
        <w:rPr>
          <w:rFonts w:ascii="Times New Roman" w:hAnsi="Times New Roman" w:cs="Times New Roman"/>
          <w:b/>
          <w:color w:val="auto"/>
          <w:sz w:val="24"/>
          <w:szCs w:val="24"/>
        </w:rPr>
        <w:lastRenderedPageBreak/>
        <w:t>UVOD</w:t>
      </w:r>
      <w:bookmarkEnd w:id="0"/>
    </w:p>
    <w:p w14:paraId="26CCBC46" w14:textId="77777777" w:rsidR="00BE0817" w:rsidRPr="00792283" w:rsidRDefault="00BE0817" w:rsidP="00BE487D">
      <w:pPr>
        <w:jc w:val="both"/>
        <w:rPr>
          <w:b/>
        </w:rPr>
      </w:pPr>
    </w:p>
    <w:p w14:paraId="175F8659" w14:textId="77777777" w:rsidR="00857D5E" w:rsidRPr="00792283" w:rsidRDefault="00857D5E" w:rsidP="00BE487D">
      <w:pPr>
        <w:jc w:val="both"/>
        <w:rPr>
          <w:b/>
        </w:rPr>
      </w:pPr>
    </w:p>
    <w:p w14:paraId="46B1D1A8" w14:textId="3B95EF56" w:rsidR="00FA5483" w:rsidRPr="00792283" w:rsidRDefault="00792283" w:rsidP="00BE487D">
      <w:pPr>
        <w:jc w:val="both"/>
      </w:pPr>
      <w:r w:rsidRPr="00792283">
        <w:t>Ministarstvo financija je s</w:t>
      </w:r>
      <w:r w:rsidR="00BA7066" w:rsidRPr="00792283">
        <w:t xml:space="preserve">ukladno Zakonu o državnim potporama („Narodne novine“, br. 47/14. i 69/17.; u daljnjem tekstu: Zakon) </w:t>
      </w:r>
      <w:r w:rsidR="00EC56EF" w:rsidRPr="00792283">
        <w:t xml:space="preserve">izradilo </w:t>
      </w:r>
      <w:r w:rsidR="00FA5483" w:rsidRPr="00792283">
        <w:t>Godišnje izvješće o državnim potporama za 202</w:t>
      </w:r>
      <w:r w:rsidRPr="00792283">
        <w:t>3</w:t>
      </w:r>
      <w:r w:rsidR="00FA5483" w:rsidRPr="00792283">
        <w:t xml:space="preserve">. godinu (u daljnjem tekstu: Izvješće) </w:t>
      </w:r>
      <w:r w:rsidR="00BA7066" w:rsidRPr="00792283">
        <w:t xml:space="preserve">koje je </w:t>
      </w:r>
      <w:r w:rsidR="00EC56EF" w:rsidRPr="00792283">
        <w:t>o</w:t>
      </w:r>
      <w:r w:rsidR="00FA5483" w:rsidRPr="00792283">
        <w:t>bvez</w:t>
      </w:r>
      <w:r w:rsidR="00EC56EF" w:rsidRPr="00792283">
        <w:t>no</w:t>
      </w:r>
      <w:r w:rsidR="00FA5483" w:rsidRPr="00792283">
        <w:t xml:space="preserve"> dostaviti Vladi Republike Hrvatske koja </w:t>
      </w:r>
      <w:r w:rsidR="00BA7066" w:rsidRPr="00792283">
        <w:t>isto</w:t>
      </w:r>
      <w:r w:rsidR="00FA5483" w:rsidRPr="00792283">
        <w:t xml:space="preserve"> dostavlja Hrvatskom</w:t>
      </w:r>
      <w:r w:rsidR="00F13FE5" w:rsidRPr="00792283">
        <w:t>e</w:t>
      </w:r>
      <w:r w:rsidR="00066A40" w:rsidRPr="00792283">
        <w:t xml:space="preserve"> </w:t>
      </w:r>
      <w:r w:rsidR="00FA5483" w:rsidRPr="00792283">
        <w:t>saboru</w:t>
      </w:r>
      <w:r w:rsidR="00EC56EF" w:rsidRPr="00792283">
        <w:t xml:space="preserve"> na usvajanje</w:t>
      </w:r>
      <w:r w:rsidR="00750794">
        <w:t xml:space="preserve"> temeljem odredbe članka 17. Zakona</w:t>
      </w:r>
      <w:r w:rsidR="00FA5483" w:rsidRPr="00792283">
        <w:t xml:space="preserve">. </w:t>
      </w:r>
    </w:p>
    <w:p w14:paraId="2EC50541" w14:textId="0CEC57E9" w:rsidR="00FA5483" w:rsidRDefault="00FA5483" w:rsidP="00BE487D">
      <w:pPr>
        <w:jc w:val="both"/>
      </w:pPr>
    </w:p>
    <w:p w14:paraId="61F5390B" w14:textId="44A6A770" w:rsidR="00702A00" w:rsidRPr="00702A00" w:rsidRDefault="00702A00" w:rsidP="00BE487D">
      <w:pPr>
        <w:jc w:val="both"/>
        <w:rPr>
          <w:spacing w:val="-4"/>
        </w:rPr>
      </w:pPr>
      <w:r w:rsidRPr="00702A00">
        <w:rPr>
          <w:spacing w:val="-4"/>
        </w:rPr>
        <w:t>U tekstu Izvješća navedeni su nazivi ministarstava sukladno Zakonu o ustrojstvu i djelokrugu tijela državne uprave („Narodne novine“, br. 85/20. i 21/23.), s obzirom na to da se Izvješće podnosi za 2023. godinu, odnosno za razdoblje prije stupanja na snagu Zakona o izmjenama i dopunama Zakona o ustrojstvu i djelokrugu tijela državne uprave („Narodne novine“, broj 57/24.).</w:t>
      </w:r>
    </w:p>
    <w:p w14:paraId="1AC35A87" w14:textId="77777777" w:rsidR="00702A00" w:rsidRPr="00792283" w:rsidRDefault="00702A00" w:rsidP="00BE487D">
      <w:pPr>
        <w:jc w:val="both"/>
      </w:pPr>
    </w:p>
    <w:p w14:paraId="2745995C" w14:textId="37C541AC" w:rsidR="00792283" w:rsidRPr="00792283" w:rsidRDefault="00EC56EF" w:rsidP="00792283">
      <w:pPr>
        <w:jc w:val="both"/>
      </w:pPr>
      <w:r w:rsidRPr="00792283">
        <w:t xml:space="preserve">Ministarstvo financija </w:t>
      </w:r>
      <w:r w:rsidR="00066A40" w:rsidRPr="00792283">
        <w:t xml:space="preserve">je </w:t>
      </w:r>
      <w:r w:rsidR="00FA5483" w:rsidRPr="00792283">
        <w:t>izra</w:t>
      </w:r>
      <w:r w:rsidRPr="00792283">
        <w:t>dilo</w:t>
      </w:r>
      <w:r w:rsidR="00FA5483" w:rsidRPr="00792283">
        <w:t xml:space="preserve"> </w:t>
      </w:r>
      <w:r w:rsidR="00792283" w:rsidRPr="00792283">
        <w:t xml:space="preserve">navedeno </w:t>
      </w:r>
      <w:r w:rsidR="00BA7066" w:rsidRPr="00792283">
        <w:t xml:space="preserve">Izvješće </w:t>
      </w:r>
      <w:r w:rsidR="00FA5483" w:rsidRPr="00792283">
        <w:t xml:space="preserve">temeljem </w:t>
      </w:r>
      <w:r w:rsidR="00792283" w:rsidRPr="00792283">
        <w:t xml:space="preserve">svih </w:t>
      </w:r>
      <w:r w:rsidR="00BA7066" w:rsidRPr="00792283">
        <w:t xml:space="preserve">preuzetih </w:t>
      </w:r>
      <w:r w:rsidR="00FA5483" w:rsidRPr="00792283">
        <w:t xml:space="preserve">podataka o dodijeljenim državnim potporama i potporama male vrijednosti </w:t>
      </w:r>
      <w:r w:rsidR="00BA7066" w:rsidRPr="00792283">
        <w:t xml:space="preserve">iz Registra državnih potpora i potpora male vrijednosti (u </w:t>
      </w:r>
      <w:r w:rsidR="00792283" w:rsidRPr="00792283">
        <w:t xml:space="preserve">daljnjem tekstu: Registar). Registar je uspostavljen kao jedinstvena elektronička baza podataka koja sadrži podatke o svim prijavljenim programima i pojedinačnim potporama te podatke o svim dodijeljenim državnim potporama i potporama male vrijednosti na području Republike Hrvatske, a koje su u Registar unijeli davatelji </w:t>
      </w:r>
      <w:r w:rsidR="001E7609" w:rsidRPr="00792283">
        <w:t xml:space="preserve">državnih </w:t>
      </w:r>
      <w:r w:rsidR="00792283" w:rsidRPr="00792283">
        <w:t>potpora i potpora male vrijednosti, sukladno Zakonu i Pravilniku o dostavi prijedloga državnih potpora, podataka o državnim potporama i potporama male vrijednosti te registru državnih potpora i potpora male vrijednosti („Narodne novine“, broj 125/17.; u daljnjem tekstu: Pravilnik) od 1. siječnja 2017. od kada je Registar uspostavljen te kada je započeo s radom.</w:t>
      </w:r>
    </w:p>
    <w:p w14:paraId="62614E5D" w14:textId="77777777" w:rsidR="00FA5483" w:rsidRPr="00792283" w:rsidRDefault="00FA5483" w:rsidP="00BE487D">
      <w:pPr>
        <w:jc w:val="both"/>
      </w:pPr>
    </w:p>
    <w:p w14:paraId="4A0820BF" w14:textId="646A88FE" w:rsidR="0086041F" w:rsidRPr="00792283" w:rsidRDefault="00792283" w:rsidP="006129EF">
      <w:pPr>
        <w:jc w:val="both"/>
      </w:pPr>
      <w:r w:rsidRPr="00792283">
        <w:t xml:space="preserve">Navedeno </w:t>
      </w:r>
      <w:r w:rsidR="006129EF" w:rsidRPr="00792283">
        <w:t xml:space="preserve">Izvješće analitički prikazuje podatke </w:t>
      </w:r>
      <w:r w:rsidR="00060583" w:rsidRPr="00792283">
        <w:t xml:space="preserve">o dodijeljenim </w:t>
      </w:r>
      <w:r w:rsidR="00FA5483" w:rsidRPr="00792283">
        <w:t>državn</w:t>
      </w:r>
      <w:r w:rsidR="00060583" w:rsidRPr="00792283">
        <w:t>im</w:t>
      </w:r>
      <w:r w:rsidR="00FA5483" w:rsidRPr="00792283">
        <w:t xml:space="preserve"> potpor</w:t>
      </w:r>
      <w:r w:rsidR="00060583" w:rsidRPr="00792283">
        <w:t>ama</w:t>
      </w:r>
      <w:r w:rsidR="00FA5483" w:rsidRPr="00792283">
        <w:t xml:space="preserve"> i potpora</w:t>
      </w:r>
      <w:r w:rsidR="00060583" w:rsidRPr="00792283">
        <w:t>ma</w:t>
      </w:r>
      <w:r w:rsidR="00FA5483" w:rsidRPr="00792283">
        <w:t xml:space="preserve"> male vrijednosti u Republici Hrvatskoj u 202</w:t>
      </w:r>
      <w:r w:rsidRPr="00792283">
        <w:t>3</w:t>
      </w:r>
      <w:r w:rsidR="00FA5483" w:rsidRPr="00792283">
        <w:t>. godini</w:t>
      </w:r>
      <w:r w:rsidR="006129EF" w:rsidRPr="00792283">
        <w:t xml:space="preserve"> te revidirane podatke za 202</w:t>
      </w:r>
      <w:r w:rsidRPr="00792283">
        <w:t>2</w:t>
      </w:r>
      <w:r w:rsidR="006129EF" w:rsidRPr="00792283">
        <w:t>. i 202</w:t>
      </w:r>
      <w:r w:rsidRPr="00792283">
        <w:t>1</w:t>
      </w:r>
      <w:r w:rsidR="006129EF" w:rsidRPr="00792283">
        <w:t>. godinu unesen</w:t>
      </w:r>
      <w:r w:rsidR="00531A96">
        <w:t>e</w:t>
      </w:r>
      <w:r w:rsidR="006129EF" w:rsidRPr="00792283">
        <w:t xml:space="preserve"> u Registar, a isti su prikazani sukladno metodologiji prikazivanja državnih potpora u Europskoj uniji (u daljnjem tekstu: EU). Davatelji </w:t>
      </w:r>
      <w:r w:rsidRPr="00792283">
        <w:t xml:space="preserve">državnih potpora i potpora male vrijednosti, su sukladno Zakonu i Pravilniku, u obvezi </w:t>
      </w:r>
      <w:r w:rsidR="006129EF" w:rsidRPr="00792283">
        <w:t>unos</w:t>
      </w:r>
      <w:r w:rsidRPr="00792283">
        <w:t>iti</w:t>
      </w:r>
      <w:r w:rsidR="006129EF" w:rsidRPr="00792283">
        <w:t xml:space="preserve"> u Registar podatke o svim </w:t>
      </w:r>
      <w:r w:rsidR="0086041F" w:rsidRPr="00792283">
        <w:t>dodijeljenim državnim potporama i potporama male vrijednosti bez odgode</w:t>
      </w:r>
      <w:r w:rsidR="006129EF" w:rsidRPr="00792283">
        <w:t xml:space="preserve"> </w:t>
      </w:r>
      <w:r w:rsidRPr="00792283">
        <w:t xml:space="preserve">odnosno </w:t>
      </w:r>
      <w:r w:rsidR="0086041F" w:rsidRPr="00792283">
        <w:t xml:space="preserve">odmah po dodijeli, te su </w:t>
      </w:r>
      <w:r w:rsidR="006129EF" w:rsidRPr="00792283">
        <w:t xml:space="preserve">isključivo davatelji </w:t>
      </w:r>
      <w:r w:rsidR="0086041F" w:rsidRPr="00792283">
        <w:t xml:space="preserve">odgovorni za </w:t>
      </w:r>
      <w:r w:rsidR="003D432C">
        <w:t>istinitost</w:t>
      </w:r>
      <w:r w:rsidR="0086041F" w:rsidRPr="00792283">
        <w:t xml:space="preserve"> </w:t>
      </w:r>
      <w:r w:rsidR="006129EF" w:rsidRPr="00792283">
        <w:t xml:space="preserve">unesenih </w:t>
      </w:r>
      <w:r w:rsidR="0086041F" w:rsidRPr="00792283">
        <w:t xml:space="preserve">podataka </w:t>
      </w:r>
      <w:r w:rsidR="006129EF" w:rsidRPr="00792283">
        <w:t xml:space="preserve">i njihov pravovremeni unos u Registar, sukladno </w:t>
      </w:r>
      <w:r w:rsidR="005A4839" w:rsidRPr="00792283">
        <w:t>člank</w:t>
      </w:r>
      <w:r w:rsidR="006129EF" w:rsidRPr="00792283">
        <w:t>u</w:t>
      </w:r>
      <w:r w:rsidR="005A4839" w:rsidRPr="00792283">
        <w:t xml:space="preserve"> 5. Pravilnika i člank</w:t>
      </w:r>
      <w:r w:rsidR="006129EF" w:rsidRPr="00792283">
        <w:t>u</w:t>
      </w:r>
      <w:r w:rsidR="005A4839" w:rsidRPr="00792283">
        <w:t xml:space="preserve"> 14. Zakona</w:t>
      </w:r>
      <w:r w:rsidR="00976C42" w:rsidRPr="00792283">
        <w:t>, a na temelju kojih je Ministarstvo financija izradilo ovo Izvješće</w:t>
      </w:r>
      <w:r w:rsidR="003E642B">
        <w:rPr>
          <w:rStyle w:val="FootnoteReference"/>
        </w:rPr>
        <w:footnoteReference w:id="1"/>
      </w:r>
      <w:r w:rsidR="00976C42" w:rsidRPr="00792283">
        <w:t>.</w:t>
      </w:r>
    </w:p>
    <w:p w14:paraId="09F7ADC2" w14:textId="46E2D6EF" w:rsidR="00792283" w:rsidRPr="00792283" w:rsidRDefault="00792283" w:rsidP="0086041F">
      <w:pPr>
        <w:jc w:val="both"/>
      </w:pPr>
    </w:p>
    <w:p w14:paraId="240EB5DC" w14:textId="6076D1C9" w:rsidR="00FA5483" w:rsidRPr="00452278" w:rsidRDefault="00792283" w:rsidP="00BE487D">
      <w:pPr>
        <w:jc w:val="both"/>
      </w:pPr>
      <w:r w:rsidRPr="00792283">
        <w:t xml:space="preserve">Također, </w:t>
      </w:r>
      <w:r w:rsidR="006129EF" w:rsidRPr="00792283">
        <w:t xml:space="preserve">Izvješće sadrži </w:t>
      </w:r>
      <w:r w:rsidR="00060583" w:rsidRPr="00792283">
        <w:t>poda</w:t>
      </w:r>
      <w:r w:rsidR="006129EF" w:rsidRPr="00792283">
        <w:t xml:space="preserve">tke i </w:t>
      </w:r>
      <w:r w:rsidR="00060583" w:rsidRPr="00792283">
        <w:t xml:space="preserve">o </w:t>
      </w:r>
      <w:r w:rsidR="00FA5483" w:rsidRPr="00792283">
        <w:t xml:space="preserve">dodijeljenim državnim potporama i potporama male vrijednosti u sektoru poljoprivrede i ribarstva, iako </w:t>
      </w:r>
      <w:r w:rsidR="00060583" w:rsidRPr="00792283">
        <w:t xml:space="preserve">navedene </w:t>
      </w:r>
      <w:r w:rsidR="00FA5483" w:rsidRPr="00792283">
        <w:t xml:space="preserve">potpore nisu predmet Zakona, </w:t>
      </w:r>
      <w:r w:rsidRPr="00792283">
        <w:t>međutim</w:t>
      </w:r>
      <w:r w:rsidR="006129EF" w:rsidRPr="00792283">
        <w:t xml:space="preserve"> </w:t>
      </w:r>
      <w:r w:rsidR="00FA5483" w:rsidRPr="00792283">
        <w:t>sukladno Zakonu</w:t>
      </w:r>
      <w:r w:rsidR="006129EF" w:rsidRPr="00792283">
        <w:t>, Ministarstvo poljoprivrede</w:t>
      </w:r>
      <w:r w:rsidR="00F64327">
        <w:t xml:space="preserve"> </w:t>
      </w:r>
      <w:r w:rsidR="006129EF" w:rsidRPr="00792283">
        <w:t>je</w:t>
      </w:r>
      <w:r w:rsidR="00FA5483" w:rsidRPr="00792283">
        <w:t xml:space="preserve"> obvezno dostavljati navedene podatke Ministarstvu financija </w:t>
      </w:r>
      <w:r w:rsidR="00CD4843" w:rsidRPr="00792283">
        <w:t xml:space="preserve">s ciljem </w:t>
      </w:r>
      <w:r w:rsidR="00060583" w:rsidRPr="00792283">
        <w:t>prikazivanj</w:t>
      </w:r>
      <w:r w:rsidR="006129EF" w:rsidRPr="00792283">
        <w:t>a jedinstvenog</w:t>
      </w:r>
      <w:r w:rsidR="00976C42" w:rsidRPr="00792283">
        <w:t>, sveobuhvatnog</w:t>
      </w:r>
      <w:r w:rsidR="006129EF" w:rsidRPr="00792283">
        <w:t xml:space="preserve"> Izvješća, što uključuje i državne potpore</w:t>
      </w:r>
      <w:r w:rsidR="00FA5483" w:rsidRPr="00792283">
        <w:t xml:space="preserve"> i potpor</w:t>
      </w:r>
      <w:r w:rsidR="006129EF" w:rsidRPr="00792283">
        <w:t>e</w:t>
      </w:r>
      <w:r w:rsidR="00FA5483" w:rsidRPr="00792283">
        <w:t xml:space="preserve"> male vrijednosti</w:t>
      </w:r>
      <w:r w:rsidR="005A4839" w:rsidRPr="00792283">
        <w:t xml:space="preserve"> dodijeljene sektoru </w:t>
      </w:r>
      <w:r w:rsidR="005A4839" w:rsidRPr="00452278">
        <w:t>poljoprivrede i ribarstva</w:t>
      </w:r>
      <w:r w:rsidR="00FA5483" w:rsidRPr="00452278">
        <w:t xml:space="preserve"> na cijelom području Republike Hrvatske.</w:t>
      </w:r>
    </w:p>
    <w:p w14:paraId="098DB72A" w14:textId="0FD09FAF" w:rsidR="00FA5483" w:rsidRPr="00452278" w:rsidRDefault="00FA5483" w:rsidP="00F31E30">
      <w:pPr>
        <w:jc w:val="both"/>
      </w:pPr>
    </w:p>
    <w:p w14:paraId="26420C04" w14:textId="5A85CFFA" w:rsidR="00B45071" w:rsidRDefault="00452278" w:rsidP="00452278">
      <w:pPr>
        <w:jc w:val="both"/>
      </w:pPr>
      <w:r w:rsidRPr="00B45071">
        <w:t>Važno je naglasiti i kako je Registar vrlo važan izvor podataka vezano za transparentnost</w:t>
      </w:r>
      <w:r w:rsidRPr="00B45071">
        <w:rPr>
          <w:rStyle w:val="FootnoteReference"/>
        </w:rPr>
        <w:footnoteReference w:id="2"/>
      </w:r>
      <w:r w:rsidRPr="00B45071">
        <w:t xml:space="preserve"> u pogledu dodjele </w:t>
      </w:r>
      <w:r w:rsidR="001E7609" w:rsidRPr="00792283">
        <w:t xml:space="preserve">državnih </w:t>
      </w:r>
      <w:r w:rsidRPr="00B45071">
        <w:t xml:space="preserve">potpora te je od velike važnosti jer se zahvaljujući transparentnosti promiče </w:t>
      </w:r>
      <w:r w:rsidR="00F31E30" w:rsidRPr="00B45071">
        <w:t xml:space="preserve">odgovornost </w:t>
      </w:r>
      <w:r w:rsidRPr="00B45071">
        <w:t>da</w:t>
      </w:r>
      <w:r w:rsidR="00F31E30" w:rsidRPr="00B45071">
        <w:t xml:space="preserve"> se </w:t>
      </w:r>
      <w:r w:rsidRPr="00B45071">
        <w:t>svima zainteresiranim osobama</w:t>
      </w:r>
      <w:r w:rsidR="00F31E30" w:rsidRPr="00B45071">
        <w:t xml:space="preserve"> omogućava bolja informiranost o javnim politikama te dodjeli državnih potpora </w:t>
      </w:r>
      <w:r w:rsidRPr="00B45071">
        <w:t xml:space="preserve">odnosno </w:t>
      </w:r>
      <w:r w:rsidR="00F31E30" w:rsidRPr="00B45071">
        <w:t xml:space="preserve">javnih sredstava poduzetnicima. </w:t>
      </w:r>
      <w:r w:rsidRPr="00B45071">
        <w:lastRenderedPageBreak/>
        <w:t>Sukladno navedenom</w:t>
      </w:r>
      <w:r w:rsidR="001038BF">
        <w:t>e</w:t>
      </w:r>
      <w:r w:rsidRPr="00B45071">
        <w:t xml:space="preserve">, a kako bi se </w:t>
      </w:r>
      <w:r w:rsidR="00F31E30" w:rsidRPr="00B45071">
        <w:t>osigural</w:t>
      </w:r>
      <w:r w:rsidRPr="00B45071">
        <w:t>o</w:t>
      </w:r>
      <w:r w:rsidR="00F31E30" w:rsidRPr="00B45071">
        <w:t xml:space="preserve"> poštivanje načela transparentnosti, države članice, kao jedan od uvjeta za dodjelu </w:t>
      </w:r>
      <w:r w:rsidR="001E7609" w:rsidRPr="00792283">
        <w:t xml:space="preserve">državnih </w:t>
      </w:r>
      <w:r w:rsidR="00F31E30" w:rsidRPr="00B45071">
        <w:t>potpor</w:t>
      </w:r>
      <w:r w:rsidR="001E7609">
        <w:t>a</w:t>
      </w:r>
      <w:r w:rsidR="00F31E30" w:rsidRPr="00B45071">
        <w:t>, moraju imati sveobuhvatnu mrežnu stranicu za državne potpore na regionalnoj ili nacionalnom razini, na kojoj će objavljivati podatke o mjerama</w:t>
      </w:r>
      <w:r w:rsidRPr="00B45071">
        <w:t xml:space="preserve"> potpora</w:t>
      </w:r>
      <w:r w:rsidR="00B45071" w:rsidRPr="00B45071">
        <w:t xml:space="preserve">, odnosno podatke o programima državnih potpora temeljem kojih davatelji dodjeljuju državne potpore kao i podatke o pojedinačnim/jednokratnim tzv. ad </w:t>
      </w:r>
      <w:proofErr w:type="spellStart"/>
      <w:r w:rsidR="00B45071" w:rsidRPr="00B45071">
        <w:t>hoc</w:t>
      </w:r>
      <w:proofErr w:type="spellEnd"/>
      <w:r w:rsidR="00B45071" w:rsidRPr="00B45071">
        <w:t xml:space="preserve"> </w:t>
      </w:r>
      <w:r w:rsidR="001E7609" w:rsidRPr="00792283">
        <w:t>državni</w:t>
      </w:r>
      <w:r w:rsidR="001E7609">
        <w:t>m</w:t>
      </w:r>
      <w:r w:rsidR="001E7609" w:rsidRPr="00792283">
        <w:t xml:space="preserve"> </w:t>
      </w:r>
      <w:r w:rsidR="00B45071" w:rsidRPr="00B45071">
        <w:t>potporama, koje se ne dodjeljuju na temelju programa državnih potpora.</w:t>
      </w:r>
    </w:p>
    <w:p w14:paraId="643891C2" w14:textId="77777777" w:rsidR="00B45071" w:rsidRDefault="00B45071" w:rsidP="00452278">
      <w:pPr>
        <w:jc w:val="both"/>
      </w:pPr>
    </w:p>
    <w:p w14:paraId="6319745B" w14:textId="5973E21E" w:rsidR="00041EDD" w:rsidRDefault="00041EDD" w:rsidP="00041EDD">
      <w:pPr>
        <w:jc w:val="both"/>
      </w:pPr>
      <w:r>
        <w:t xml:space="preserve">Isto tako važno je naglasiti kako sukladno navedenoj </w:t>
      </w:r>
      <w:r w:rsidRPr="00452278">
        <w:t>transparentnost</w:t>
      </w:r>
      <w:r>
        <w:t>i</w:t>
      </w:r>
      <w:r w:rsidRPr="00452278">
        <w:t xml:space="preserve"> u pogledu </w:t>
      </w:r>
      <w:r w:rsidR="00B45071" w:rsidRPr="00452278">
        <w:t>dodije</w:t>
      </w:r>
      <w:r w:rsidR="00B45071">
        <w:t>ljenih</w:t>
      </w:r>
      <w:r w:rsidRPr="00452278">
        <w:t xml:space="preserve"> </w:t>
      </w:r>
      <w:r w:rsidR="001E7609" w:rsidRPr="00792283">
        <w:t xml:space="preserve">državnih </w:t>
      </w:r>
      <w:r w:rsidRPr="00452278">
        <w:t>potpora</w:t>
      </w:r>
      <w:r>
        <w:t xml:space="preserve">, Ministarstvo financija javno objavljuje na svojim </w:t>
      </w:r>
      <w:r w:rsidR="001038BF">
        <w:t>mrežnim</w:t>
      </w:r>
      <w:r>
        <w:t xml:space="preserve"> stranicama</w:t>
      </w:r>
      <w:r>
        <w:rPr>
          <w:rStyle w:val="FootnoteReference"/>
        </w:rPr>
        <w:footnoteReference w:id="3"/>
      </w:r>
      <w:r w:rsidR="00B45071">
        <w:t xml:space="preserve"> </w:t>
      </w:r>
      <w:r>
        <w:t xml:space="preserve">podatke o dodijeljenim državnim potporama i potporama male vrijednosti </w:t>
      </w:r>
      <w:r w:rsidR="00B45071">
        <w:t>koje su davatelji potpora unijeli u Registar, a na temelju kojih se izrađuje Izvješće.</w:t>
      </w:r>
    </w:p>
    <w:p w14:paraId="6FD48728" w14:textId="77777777" w:rsidR="00041EDD" w:rsidRDefault="00041EDD" w:rsidP="00041EDD">
      <w:pPr>
        <w:jc w:val="both"/>
      </w:pPr>
    </w:p>
    <w:p w14:paraId="0FB9F207" w14:textId="085B23B1" w:rsidR="005F5A47" w:rsidRPr="005F5A47" w:rsidRDefault="00041EDD" w:rsidP="005F5A47">
      <w:pPr>
        <w:jc w:val="both"/>
      </w:pPr>
      <w:r w:rsidRPr="005F5A47">
        <w:t xml:space="preserve">Ministarstvo financija u ovom Izvješću po prvi puta prikazuje podatke o svim dodijeljenim </w:t>
      </w:r>
      <w:r w:rsidR="005F5A47" w:rsidRPr="005F5A47">
        <w:t xml:space="preserve">državnim </w:t>
      </w:r>
      <w:r w:rsidRPr="005F5A47">
        <w:t>potporama i potporama male vrijednosti u eurima</w:t>
      </w:r>
      <w:r w:rsidR="00550C54" w:rsidRPr="005F5A47">
        <w:t xml:space="preserve">, s obzirom da </w:t>
      </w:r>
      <w:r w:rsidR="005F5A47" w:rsidRPr="005F5A47">
        <w:t xml:space="preserve">je Republika Hrvatska 1. siječnja 2023. zamijenila kunu eurom koji je tog dana postao hrvatska službena nacionalna valuta te jedino službeno sredstvo plaćanja u Republici Hrvatskoj. Prilikom preračunavanja koristi se fiksni tečaj konverzije, koji iznosi 7,53450 HRK za 1,00 EUR, a koji je utvrdilo Vijeće Europske unije </w:t>
      </w:r>
      <w:r w:rsidR="00B45071">
        <w:t>u posebnoj odluci</w:t>
      </w:r>
      <w:r w:rsidR="005F5A47" w:rsidRPr="005F5A47">
        <w:rPr>
          <w:rStyle w:val="FootnoteReference"/>
        </w:rPr>
        <w:footnoteReference w:id="4"/>
      </w:r>
      <w:r w:rsidR="005F5A47" w:rsidRPr="005F5A47">
        <w:t>.</w:t>
      </w:r>
    </w:p>
    <w:p w14:paraId="05DCFC39" w14:textId="48EE07D8" w:rsidR="005F5A47" w:rsidRDefault="005F5A47" w:rsidP="00041EDD">
      <w:pPr>
        <w:jc w:val="both"/>
      </w:pPr>
    </w:p>
    <w:p w14:paraId="6EAFC0E8" w14:textId="035DB652" w:rsidR="005F5A47" w:rsidRPr="001C7CCF" w:rsidRDefault="005F5A47" w:rsidP="00041EDD">
      <w:pPr>
        <w:jc w:val="both"/>
      </w:pPr>
      <w:r>
        <w:t xml:space="preserve">S obzirom na navedeno, sve </w:t>
      </w:r>
      <w:r w:rsidRPr="005F5A47">
        <w:t>državn</w:t>
      </w:r>
      <w:r>
        <w:t>e</w:t>
      </w:r>
      <w:r w:rsidRPr="005F5A47">
        <w:t xml:space="preserve"> potpor</w:t>
      </w:r>
      <w:r>
        <w:t>e</w:t>
      </w:r>
      <w:r w:rsidRPr="005F5A47">
        <w:t xml:space="preserve"> i potpor</w:t>
      </w:r>
      <w:r>
        <w:t>e</w:t>
      </w:r>
      <w:r w:rsidRPr="005F5A47">
        <w:t xml:space="preserve"> male vrijednosti</w:t>
      </w:r>
      <w:r>
        <w:t xml:space="preserve"> koje su </w:t>
      </w:r>
      <w:r w:rsidRPr="005F5A47">
        <w:t>dodijeljen</w:t>
      </w:r>
      <w:r>
        <w:t xml:space="preserve">e u kunama u 2022. godini te također i u 2021. godini, u ovom su Izvješću prikazane u eurima, jer su svi </w:t>
      </w:r>
      <w:r w:rsidRPr="001C7CCF">
        <w:t xml:space="preserve">podaci </w:t>
      </w:r>
      <w:r w:rsidR="00151CD6" w:rsidRPr="001C7CCF">
        <w:t>konvertirani</w:t>
      </w:r>
      <w:r w:rsidRPr="001C7CCF">
        <w:t xml:space="preserve"> u euro po fiksnom tečaju.</w:t>
      </w:r>
    </w:p>
    <w:p w14:paraId="22C95CA8" w14:textId="56349541" w:rsidR="00550C54" w:rsidRPr="001C7CCF" w:rsidRDefault="00550C54" w:rsidP="00550C54">
      <w:pPr>
        <w:jc w:val="both"/>
      </w:pPr>
    </w:p>
    <w:p w14:paraId="3A4EB229" w14:textId="70857319" w:rsidR="00151CD6" w:rsidRPr="00151CD6" w:rsidRDefault="00151CD6" w:rsidP="00550C54">
      <w:pPr>
        <w:jc w:val="both"/>
      </w:pPr>
      <w:r w:rsidRPr="001C7CCF">
        <w:t xml:space="preserve">Isto tako potrebno je napomenuti kako su u 2023. godini, sukladno zakonodavnom okviru kojim se uređuju državne potpore, donesena i neka nova pravila o potporama, a sve je objavljeno na </w:t>
      </w:r>
      <w:r w:rsidR="001038BF">
        <w:t>mrežnim</w:t>
      </w:r>
      <w:r w:rsidRPr="001C7CCF">
        <w:t xml:space="preserve"> stranicama Ministarstva financija</w:t>
      </w:r>
      <w:r w:rsidRPr="001C7CCF">
        <w:rPr>
          <w:rStyle w:val="FootnoteReference"/>
        </w:rPr>
        <w:footnoteReference w:id="5"/>
      </w:r>
      <w:r w:rsidR="0013108C" w:rsidRPr="001C7CCF">
        <w:t xml:space="preserve"> te se svi </w:t>
      </w:r>
      <w:r w:rsidR="0013108C" w:rsidRPr="001C7CCF">
        <w:rPr>
          <w:color w:val="424242"/>
        </w:rPr>
        <w:t xml:space="preserve">propisi Europske unije kojima se uređuju državne potpore mogu preuzeti i na mrežnoj stranici </w:t>
      </w:r>
      <w:r w:rsidR="0013108C" w:rsidRPr="001C7CCF">
        <w:rPr>
          <w:rFonts w:eastAsiaTheme="majorEastAsia"/>
          <w:color w:val="424242"/>
        </w:rPr>
        <w:t>Europske komisije</w:t>
      </w:r>
      <w:r w:rsidR="0013108C" w:rsidRPr="001C7CCF">
        <w:rPr>
          <w:rStyle w:val="FootnoteReference"/>
          <w:rFonts w:eastAsiaTheme="majorEastAsia"/>
          <w:color w:val="424242"/>
        </w:rPr>
        <w:footnoteReference w:id="6"/>
      </w:r>
      <w:r w:rsidR="0013108C" w:rsidRPr="001C7CCF">
        <w:rPr>
          <w:rFonts w:eastAsiaTheme="majorEastAsia"/>
          <w:color w:val="424242"/>
        </w:rPr>
        <w:t>.</w:t>
      </w:r>
    </w:p>
    <w:p w14:paraId="14F7BF52" w14:textId="20DC11EA" w:rsidR="00F31E30" w:rsidRDefault="00F31E30" w:rsidP="00F31E30">
      <w:pPr>
        <w:jc w:val="both"/>
      </w:pPr>
    </w:p>
    <w:p w14:paraId="2D1CAB99" w14:textId="5F5CCBC3" w:rsidR="00151CD6" w:rsidRPr="0013108C" w:rsidRDefault="00151CD6" w:rsidP="00F31E30">
      <w:pPr>
        <w:jc w:val="both"/>
      </w:pPr>
      <w:r w:rsidRPr="001D565F">
        <w:t xml:space="preserve">Nova pravila </w:t>
      </w:r>
      <w:r w:rsidR="001D565F" w:rsidRPr="001D565F">
        <w:t xml:space="preserve">usvojena od strane Europske komisije u </w:t>
      </w:r>
      <w:r w:rsidR="0013108C" w:rsidRPr="001D565F">
        <w:t>2023. godin</w:t>
      </w:r>
      <w:r w:rsidR="001D565F" w:rsidRPr="001D565F">
        <w:t>i</w:t>
      </w:r>
      <w:r w:rsidR="0013108C" w:rsidRPr="001D565F">
        <w:t xml:space="preserve"> </w:t>
      </w:r>
      <w:r w:rsidRPr="001D565F">
        <w:t>odnose se na pravila o potporama male vrijednosti</w:t>
      </w:r>
      <w:r w:rsidR="0013108C" w:rsidRPr="001D565F">
        <w:t xml:space="preserve"> te </w:t>
      </w:r>
      <w:r w:rsidR="001D565F" w:rsidRPr="001D565F">
        <w:t>na</w:t>
      </w:r>
      <w:r w:rsidR="00B45071">
        <w:t xml:space="preserve"> dopunu</w:t>
      </w:r>
      <w:r w:rsidR="001D565F" w:rsidRPr="001D565F">
        <w:t xml:space="preserve"> </w:t>
      </w:r>
      <w:r w:rsidRPr="001D565F">
        <w:t>Uredb</w:t>
      </w:r>
      <w:r w:rsidR="00B45071">
        <w:t>e</w:t>
      </w:r>
      <w:r w:rsidRPr="001D565F">
        <w:t xml:space="preserve"> o </w:t>
      </w:r>
      <w:r w:rsidR="00B45071">
        <w:t xml:space="preserve">općem </w:t>
      </w:r>
      <w:r w:rsidRPr="001D565F">
        <w:t>sku</w:t>
      </w:r>
      <w:r w:rsidR="0013108C" w:rsidRPr="001D565F">
        <w:t>pnom izuzeću.</w:t>
      </w:r>
    </w:p>
    <w:p w14:paraId="1DA8B29D" w14:textId="4788E5CE" w:rsidR="00F31E30" w:rsidRPr="00303007" w:rsidRDefault="00F31E30" w:rsidP="00F31E30">
      <w:pPr>
        <w:jc w:val="both"/>
      </w:pPr>
    </w:p>
    <w:p w14:paraId="0D40767C" w14:textId="77777777" w:rsidR="00372969" w:rsidRDefault="00372969">
      <w:r>
        <w:br w:type="page"/>
      </w:r>
    </w:p>
    <w:p w14:paraId="2FFC9C46" w14:textId="7531A97F" w:rsidR="00E17276" w:rsidRPr="00303007" w:rsidRDefault="0027298F" w:rsidP="00473541">
      <w:pPr>
        <w:jc w:val="both"/>
      </w:pPr>
      <w:r w:rsidRPr="00303007">
        <w:lastRenderedPageBreak/>
        <w:t xml:space="preserve">Vezano za Uredbu o </w:t>
      </w:r>
      <w:r w:rsidR="00E17276" w:rsidRPr="00303007">
        <w:t xml:space="preserve">općem </w:t>
      </w:r>
      <w:r w:rsidRPr="00303007">
        <w:t xml:space="preserve">skupnom </w:t>
      </w:r>
      <w:r w:rsidR="00E17276" w:rsidRPr="00303007">
        <w:t>izuzeću</w:t>
      </w:r>
      <w:r w:rsidR="00E17276" w:rsidRPr="00303007">
        <w:rPr>
          <w:rStyle w:val="FootnoteReference"/>
        </w:rPr>
        <w:footnoteReference w:id="7"/>
      </w:r>
      <w:r w:rsidRPr="00303007">
        <w:t xml:space="preserve">, Europska komisija je usvojila 23. lipnja 2023. Uredbu Komisije (EU) 2023/1315 </w:t>
      </w:r>
      <w:proofErr w:type="spellStart"/>
      <w:r w:rsidRPr="00303007">
        <w:t>оd</w:t>
      </w:r>
      <w:proofErr w:type="spellEnd"/>
      <w:r w:rsidRPr="00303007">
        <w:t xml:space="preserve"> 23. lipnja 2023. </w:t>
      </w:r>
      <w:r w:rsidR="00201B3E" w:rsidRPr="00303007">
        <w:t xml:space="preserve">o izmjeni </w:t>
      </w:r>
      <w:r w:rsidRPr="00303007">
        <w:t>Uredb</w:t>
      </w:r>
      <w:r w:rsidR="00201B3E" w:rsidRPr="00303007">
        <w:t>e</w:t>
      </w:r>
      <w:r w:rsidRPr="00303007">
        <w:t xml:space="preserve"> (EU) br. 651/2014 o ocjenjivanju određenih kategorija potpora spojivima s unutarnjim tržištem u primjeni članaka 107. i 108. Ugovora </w:t>
      </w:r>
      <w:r w:rsidR="00201B3E" w:rsidRPr="00303007">
        <w:t xml:space="preserve">i Uredbe (EU) 2022/2473 o proglašenju određenih kategorija potpora poduzetnicima koji se bave proizvodnjom, preradom i stavljanjem na tržište proizvoda ribarstva i akvakulture spojivima s unutarnjim tržištem u primjeni članaka 107. i 108. Ugovora </w:t>
      </w:r>
      <w:r w:rsidRPr="00303007">
        <w:t>(Službeni list Europske unije, L 167, od 30. lipnja 2023.</w:t>
      </w:r>
      <w:r w:rsidR="00E17276" w:rsidRPr="00303007">
        <w:t>;</w:t>
      </w:r>
      <w:r w:rsidRPr="00303007">
        <w:t xml:space="preserve"> u daljnjem tekstu: Uredba 2023/1315) koja je stupila na snagu 1. </w:t>
      </w:r>
      <w:r w:rsidR="00E17276" w:rsidRPr="00303007">
        <w:t>srpnja</w:t>
      </w:r>
      <w:r w:rsidRPr="00303007">
        <w:t xml:space="preserve"> 202</w:t>
      </w:r>
      <w:r w:rsidR="00E17276" w:rsidRPr="00303007">
        <w:t>3</w:t>
      </w:r>
      <w:r w:rsidR="00201B3E" w:rsidRPr="00303007">
        <w:t>.</w:t>
      </w:r>
    </w:p>
    <w:p w14:paraId="4289A323" w14:textId="77777777" w:rsidR="00201B3E" w:rsidRPr="00303007" w:rsidRDefault="00201B3E" w:rsidP="00473541">
      <w:pPr>
        <w:jc w:val="both"/>
      </w:pPr>
    </w:p>
    <w:p w14:paraId="344195DE" w14:textId="0B405887" w:rsidR="001C7CCF" w:rsidRPr="00D35146" w:rsidRDefault="001C7CCF" w:rsidP="001C7CCF">
      <w:pPr>
        <w:jc w:val="both"/>
        <w:rPr>
          <w:spacing w:val="-2"/>
        </w:rPr>
      </w:pPr>
      <w:r w:rsidRPr="00D35146">
        <w:rPr>
          <w:spacing w:val="-2"/>
        </w:rPr>
        <w:t xml:space="preserve">Vezano za potpore male vrijednosti ili de </w:t>
      </w:r>
      <w:r w:rsidR="00106DF8" w:rsidRPr="00D35146">
        <w:rPr>
          <w:spacing w:val="-2"/>
        </w:rPr>
        <w:t>minimis</w:t>
      </w:r>
      <w:r w:rsidRPr="00D35146">
        <w:rPr>
          <w:spacing w:val="-2"/>
        </w:rPr>
        <w:t xml:space="preserve"> potpore, iste se mogu dodjeljivati temeljem pravila propisanih Uredbom Komisije (EU) 2023/2831 od 13. prosinca 2023. o primjeni članaka 107. i 108. Ugovora o funkcioniranju Europske unije na de minimis potpore (Službeni list Europske unije, L 2023/2831, od 15. prosinca 2023.; u daljnjem tekstu: Uredba 2023/2831) </w:t>
      </w:r>
      <w:r w:rsidR="001D565F" w:rsidRPr="00D35146">
        <w:rPr>
          <w:spacing w:val="-2"/>
        </w:rPr>
        <w:t xml:space="preserve">koje je usvojena od strane Europske komisije 13. prosinca 2023., a </w:t>
      </w:r>
      <w:r w:rsidRPr="00D35146">
        <w:rPr>
          <w:spacing w:val="-2"/>
        </w:rPr>
        <w:t>stupila na snagu 1. siječnja 202</w:t>
      </w:r>
      <w:r w:rsidR="001D565F" w:rsidRPr="00D35146">
        <w:rPr>
          <w:spacing w:val="-2"/>
        </w:rPr>
        <w:t>4</w:t>
      </w:r>
      <w:r w:rsidRPr="00D35146">
        <w:rPr>
          <w:spacing w:val="-2"/>
        </w:rPr>
        <w:t>.</w:t>
      </w:r>
      <w:r w:rsidR="0027298F" w:rsidRPr="00D35146">
        <w:rPr>
          <w:spacing w:val="-2"/>
        </w:rPr>
        <w:t xml:space="preserve"> Navedena Uredba 2023/2831</w:t>
      </w:r>
      <w:r w:rsidRPr="00D35146">
        <w:rPr>
          <w:spacing w:val="-2"/>
        </w:rPr>
        <w:t xml:space="preserve"> zamjenjuje Uredbu Komisije (EU) br. 1407/2013 od 18. prosinca 2013. o primjeni članaka 107. i 108. Ugovora u funkcioniranju Europske unije na de minimis potpore (Službeni list Europske unije, L 352/1, od 24. prosinca 2013.; u daljnjem tekstu: Uredba 1407/2013) i Uredbom Komisije (EU) 2020/972 od 2. srpnja 2020. godine o izmjeni Uredbe (EU) br. 1407/2013 u pogledu njezina produljenja i o izmjeni Uredbe (EU) br. 651/2014 u pogledu njezina produljenja i odgovarajućih prilagodbi (Službeni list Europske unije, L 215/3, od 7. srpnja 2020.; u daljnjem tekstu: Uredba 2020/972) koja je važila do 31. prosinca 202</w:t>
      </w:r>
      <w:r w:rsidR="001D565F" w:rsidRPr="00D35146">
        <w:rPr>
          <w:spacing w:val="-2"/>
        </w:rPr>
        <w:t>3</w:t>
      </w:r>
      <w:r w:rsidRPr="00D35146">
        <w:rPr>
          <w:spacing w:val="-2"/>
        </w:rPr>
        <w:t xml:space="preserve">. </w:t>
      </w:r>
    </w:p>
    <w:p w14:paraId="40A1D90F" w14:textId="662533D8" w:rsidR="001C7CCF" w:rsidRDefault="001C7CCF" w:rsidP="001C7CCF">
      <w:pPr>
        <w:jc w:val="both"/>
      </w:pPr>
    </w:p>
    <w:p w14:paraId="1AA36931" w14:textId="4763C84E" w:rsidR="00AB6D5C" w:rsidRPr="00D62EB6" w:rsidRDefault="001D565F" w:rsidP="00AB6D5C">
      <w:pPr>
        <w:jc w:val="both"/>
      </w:pPr>
      <w:r w:rsidRPr="00D62EB6">
        <w:t>Isto tako Europska komisija je usvojila 13. prosinca 2023. U</w:t>
      </w:r>
      <w:r w:rsidR="00AB6D5C" w:rsidRPr="00D62EB6">
        <w:t>redb</w:t>
      </w:r>
      <w:r w:rsidRPr="00D62EB6">
        <w:t>u</w:t>
      </w:r>
      <w:r w:rsidR="00AB6D5C" w:rsidRPr="00D62EB6">
        <w:t xml:space="preserve"> Komisije (EU) 2023/2832 </w:t>
      </w:r>
      <w:proofErr w:type="spellStart"/>
      <w:r w:rsidR="00AB6D5C" w:rsidRPr="00D62EB6">
        <w:t>оd</w:t>
      </w:r>
      <w:proofErr w:type="spellEnd"/>
      <w:r w:rsidR="00AB6D5C" w:rsidRPr="00D62EB6">
        <w:t xml:space="preserve"> 13. prosinca 2023. o primjeni članaka 107. i 108. Ugovora o funkcioniranju Europske Unije na de minimis potpore koje se dodjeljuju poduzetnicima koji pružaju usluge od općeg gospodarskog interesa (</w:t>
      </w:r>
      <w:r w:rsidR="00D62EB6" w:rsidRPr="001C7CCF">
        <w:t>Službeni list Europske unije</w:t>
      </w:r>
      <w:r w:rsidR="00D62EB6">
        <w:t>,</w:t>
      </w:r>
      <w:r w:rsidR="00D62EB6" w:rsidRPr="00D62EB6">
        <w:t xml:space="preserve"> </w:t>
      </w:r>
      <w:r w:rsidR="00AB6D5C" w:rsidRPr="00D62EB6">
        <w:t xml:space="preserve">L 2023/2832, </w:t>
      </w:r>
      <w:r w:rsidR="00D62EB6" w:rsidRPr="00D62EB6">
        <w:t>od 15. prosinca 2023</w:t>
      </w:r>
      <w:r w:rsidR="00AB6D5C" w:rsidRPr="00D62EB6">
        <w:t>.)</w:t>
      </w:r>
      <w:r w:rsidR="00D62EB6" w:rsidRPr="00D62EB6">
        <w:t xml:space="preserve">, koja je </w:t>
      </w:r>
      <w:r w:rsidR="00AB6D5C" w:rsidRPr="00D62EB6">
        <w:t>stupila n</w:t>
      </w:r>
      <w:r w:rsidR="00D62EB6" w:rsidRPr="00D62EB6">
        <w:t>a snagu 1. siječnja 2024., a koja zamjenjuje Uredb</w:t>
      </w:r>
      <w:r w:rsidR="00D62EB6">
        <w:t>u</w:t>
      </w:r>
      <w:r w:rsidR="00D62EB6" w:rsidRPr="00D62EB6">
        <w:t xml:space="preserve"> Komisije (EU) br. 360/2012 od 25. travnja 2012. o primjeni članaka 107. i 108. Ugovora o funkcioniranju Europske unije na potpore de minimis koje se dodjeljuju poduzetnicima koji pružaju usluge od općeg gospodarskog interesa</w:t>
      </w:r>
      <w:r w:rsidR="00D62EB6">
        <w:t xml:space="preserve"> </w:t>
      </w:r>
      <w:r w:rsidR="00D62EB6" w:rsidRPr="00D62EB6">
        <w:t>(Službeni list Europske unije</w:t>
      </w:r>
      <w:r w:rsidR="00D62EB6">
        <w:t>,</w:t>
      </w:r>
      <w:r w:rsidR="00D62EB6" w:rsidRPr="00D62EB6">
        <w:t xml:space="preserve"> L 114, </w:t>
      </w:r>
      <w:r w:rsidR="00D62EB6">
        <w:t xml:space="preserve">od </w:t>
      </w:r>
      <w:r w:rsidR="00D62EB6" w:rsidRPr="00D62EB6">
        <w:t>26.</w:t>
      </w:r>
      <w:r w:rsidR="00D62EB6">
        <w:t xml:space="preserve"> travnja </w:t>
      </w:r>
      <w:r w:rsidR="00D62EB6" w:rsidRPr="00D62EB6">
        <w:t xml:space="preserve">2012.) </w:t>
      </w:r>
      <w:r w:rsidR="00D62EB6" w:rsidRPr="001C7CCF">
        <w:t>koja je važila do 31. prosinca 202</w:t>
      </w:r>
      <w:r w:rsidR="00D62EB6">
        <w:t>3</w:t>
      </w:r>
      <w:r w:rsidR="00D62EB6" w:rsidRPr="001C7CCF">
        <w:t>.</w:t>
      </w:r>
    </w:p>
    <w:p w14:paraId="59DAB167" w14:textId="153BFE30" w:rsidR="0023464C" w:rsidRDefault="0023464C" w:rsidP="0023464C">
      <w:pPr>
        <w:jc w:val="both"/>
        <w:rPr>
          <w:highlight w:val="green"/>
        </w:rPr>
      </w:pPr>
    </w:p>
    <w:p w14:paraId="399323DF" w14:textId="77777777" w:rsidR="00321137" w:rsidRPr="00792283" w:rsidRDefault="00321137" w:rsidP="0023464C">
      <w:pPr>
        <w:jc w:val="both"/>
        <w:rPr>
          <w:highlight w:val="green"/>
        </w:rPr>
      </w:pPr>
    </w:p>
    <w:p w14:paraId="24A76144" w14:textId="12F44D28" w:rsidR="00372969" w:rsidRDefault="00372969">
      <w:pPr>
        <w:rPr>
          <w:highlight w:val="red"/>
        </w:rPr>
      </w:pPr>
      <w:r>
        <w:rPr>
          <w:highlight w:val="red"/>
        </w:rPr>
        <w:br w:type="page"/>
      </w:r>
    </w:p>
    <w:p w14:paraId="4140B9FE" w14:textId="77777777" w:rsidR="00FF311E" w:rsidRPr="00792283" w:rsidRDefault="00FF311E" w:rsidP="0023464C">
      <w:pPr>
        <w:rPr>
          <w:highlight w:val="red"/>
        </w:rPr>
      </w:pPr>
    </w:p>
    <w:p w14:paraId="122D88E9" w14:textId="3569900C" w:rsidR="00BE0817" w:rsidRPr="005709D2" w:rsidRDefault="00857D5E" w:rsidP="00BC67AA">
      <w:pPr>
        <w:pStyle w:val="Heading2"/>
        <w:ind w:left="811" w:hanging="454"/>
      </w:pPr>
      <w:bookmarkStart w:id="1" w:name="_Toc184635832"/>
      <w:r w:rsidRPr="005709D2">
        <w:t>METODOLOGIJA PRAĆENJA I PRIKAZA DRŽAVNIH POTPORA</w:t>
      </w:r>
      <w:bookmarkEnd w:id="1"/>
    </w:p>
    <w:p w14:paraId="77EA1122" w14:textId="77777777" w:rsidR="00857D5E" w:rsidRPr="005709D2" w:rsidRDefault="00857D5E" w:rsidP="00BE487D">
      <w:pPr>
        <w:jc w:val="both"/>
      </w:pPr>
    </w:p>
    <w:p w14:paraId="69A031EC" w14:textId="77777777" w:rsidR="00857D5E" w:rsidRPr="005709D2" w:rsidRDefault="00857D5E" w:rsidP="00BE487D">
      <w:pPr>
        <w:jc w:val="both"/>
      </w:pPr>
    </w:p>
    <w:p w14:paraId="41A80C37" w14:textId="77777777" w:rsidR="00FA5483" w:rsidRPr="005709D2" w:rsidRDefault="00FA5483" w:rsidP="00BE487D">
      <w:pPr>
        <w:pStyle w:val="Heading4"/>
        <w:spacing w:before="0"/>
        <w:jc w:val="both"/>
        <w:rPr>
          <w:rFonts w:ascii="Times New Roman" w:hAnsi="Times New Roman" w:cs="Times New Roman"/>
          <w:b/>
          <w:i w:val="0"/>
          <w:color w:val="auto"/>
        </w:rPr>
      </w:pPr>
      <w:r w:rsidRPr="005709D2">
        <w:rPr>
          <w:rFonts w:ascii="Times New Roman" w:hAnsi="Times New Roman" w:cs="Times New Roman"/>
          <w:b/>
          <w:i w:val="0"/>
          <w:color w:val="auto"/>
        </w:rPr>
        <w:t>Pravni temelj</w:t>
      </w:r>
    </w:p>
    <w:p w14:paraId="66E97FE2" w14:textId="77777777" w:rsidR="00FA5483" w:rsidRPr="005709D2" w:rsidRDefault="00FA5483" w:rsidP="00BE487D">
      <w:pPr>
        <w:jc w:val="both"/>
      </w:pPr>
    </w:p>
    <w:p w14:paraId="26DBDC24" w14:textId="77777777" w:rsidR="00FA5483" w:rsidRPr="00EE68DF" w:rsidRDefault="00FA5483" w:rsidP="00BE487D">
      <w:pPr>
        <w:jc w:val="both"/>
        <w:rPr>
          <w:bCs/>
          <w:spacing w:val="-2"/>
        </w:rPr>
      </w:pPr>
      <w:r w:rsidRPr="00EE68DF">
        <w:rPr>
          <w:bCs/>
          <w:spacing w:val="-2"/>
        </w:rPr>
        <w:t>Zakon uređuje nadležnost tijela Republike Hrvatske iz područja državnih potpora i potpora male vrijednosti, politiku državnih potpora Republike Hrvatske, postupanja prije dodjele državnih potpora, vođenje evidencija te izvještavanje o državnim potporama i potporama male vrijednosti.</w:t>
      </w:r>
    </w:p>
    <w:p w14:paraId="5B991F27" w14:textId="77777777" w:rsidR="00FA5483" w:rsidRPr="005709D2" w:rsidRDefault="00FA5483" w:rsidP="00BE487D">
      <w:pPr>
        <w:jc w:val="both"/>
      </w:pPr>
    </w:p>
    <w:p w14:paraId="1C4CFF59" w14:textId="77777777" w:rsidR="00FA5483" w:rsidRPr="005709D2" w:rsidRDefault="00FA5483" w:rsidP="00BE487D">
      <w:pPr>
        <w:jc w:val="both"/>
      </w:pPr>
    </w:p>
    <w:p w14:paraId="50ECCD8D" w14:textId="77777777" w:rsidR="00FA5483" w:rsidRPr="005709D2" w:rsidRDefault="0086041F" w:rsidP="00BE487D">
      <w:pPr>
        <w:jc w:val="both"/>
        <w:rPr>
          <w:b/>
        </w:rPr>
      </w:pPr>
      <w:r w:rsidRPr="005709D2">
        <w:rPr>
          <w:b/>
        </w:rPr>
        <w:t>Pojam državne potpore</w:t>
      </w:r>
    </w:p>
    <w:p w14:paraId="27967A5C" w14:textId="77777777" w:rsidR="00FA5483" w:rsidRPr="005709D2" w:rsidRDefault="00FA5483" w:rsidP="00BE487D">
      <w:pPr>
        <w:jc w:val="both"/>
      </w:pPr>
    </w:p>
    <w:p w14:paraId="52E0D09F" w14:textId="77777777" w:rsidR="00FA5483" w:rsidRPr="005709D2" w:rsidRDefault="00FA5483" w:rsidP="00BE487D">
      <w:pPr>
        <w:tabs>
          <w:tab w:val="left" w:pos="8080"/>
        </w:tabs>
        <w:jc w:val="both"/>
        <w:rPr>
          <w:strike/>
        </w:rPr>
      </w:pPr>
      <w:r w:rsidRPr="005709D2">
        <w:t xml:space="preserve">Sukladno Zakonu, </w:t>
      </w:r>
      <w:r w:rsidRPr="002D2FBF">
        <w:rPr>
          <w:u w:val="single"/>
        </w:rPr>
        <w:t>državna potpora</w:t>
      </w:r>
      <w:r w:rsidRPr="005709D2">
        <w:t xml:space="preserve"> je stvarni i potencijalni rashod ili umanjeni prihod države dodijeljen od strane davatelja državne potpore u bilo kojem obliku koji narušava ili prijeti narušavanjem tržišnog natjecanja stavljajući u povoljniji položaj određenog poduzetnika ili proizvodnju određene robe i/ili usluge utoliko što utječe na trgovinu između država članica EU u skladu s člankom 107. Ugovora o funkcioniranju Europske unije (u daljnjem tekstu: UFEU). </w:t>
      </w:r>
      <w:r w:rsidR="00DC5CCB" w:rsidRPr="005709D2">
        <w:t xml:space="preserve">Ova je definicija </w:t>
      </w:r>
      <w:r w:rsidRPr="005709D2">
        <w:t>preuzet</w:t>
      </w:r>
      <w:r w:rsidR="00DC5CCB" w:rsidRPr="005709D2">
        <w:t>a</w:t>
      </w:r>
      <w:r w:rsidRPr="005709D2">
        <w:t xml:space="preserve"> iz članka 107. stavka 1. UFEU-a koji dodatno propisuje da su državne potpore nespojive s unutarnjim tržištem.</w:t>
      </w:r>
    </w:p>
    <w:p w14:paraId="15B03C41" w14:textId="77777777" w:rsidR="00FA5483" w:rsidRPr="005709D2" w:rsidRDefault="00FA5483" w:rsidP="00BE487D">
      <w:pPr>
        <w:jc w:val="both"/>
      </w:pPr>
    </w:p>
    <w:p w14:paraId="250450F2" w14:textId="77777777" w:rsidR="00FA5483" w:rsidRPr="005709D2" w:rsidRDefault="00FA5483" w:rsidP="00BE487D">
      <w:pPr>
        <w:jc w:val="both"/>
      </w:pPr>
      <w:r w:rsidRPr="002D2FBF">
        <w:rPr>
          <w:u w:val="single"/>
        </w:rPr>
        <w:t>Korisnik državne potpore/potpore male vrijednosti</w:t>
      </w:r>
      <w:r w:rsidRPr="005709D2">
        <w:rPr>
          <w:b/>
        </w:rPr>
        <w:t xml:space="preserve"> </w:t>
      </w:r>
      <w:r w:rsidRPr="005709D2">
        <w:t xml:space="preserve">sukladno Zakonu, je svaka pravna i fizička osoba koja, obavljajući gospodarsku djelatnost, sudjeluje u prometu roba i usluga, a prima državnu potporu/potporu male vrijednosti, bez obzira na njen oblik i namjenu. </w:t>
      </w:r>
    </w:p>
    <w:p w14:paraId="31A22AC2" w14:textId="77777777" w:rsidR="00FA5483" w:rsidRPr="005709D2" w:rsidRDefault="00FA5483" w:rsidP="00BE487D">
      <w:pPr>
        <w:pStyle w:val="t-9-8"/>
        <w:spacing w:before="0" w:beforeAutospacing="0" w:after="0" w:afterAutospacing="0"/>
        <w:rPr>
          <w:rStyle w:val="kurziv"/>
          <w:lang w:val="hr-HR"/>
        </w:rPr>
      </w:pPr>
    </w:p>
    <w:p w14:paraId="354F1BF6" w14:textId="77777777" w:rsidR="00FA5483" w:rsidRPr="005709D2" w:rsidRDefault="00FA5483" w:rsidP="00BE487D">
      <w:pPr>
        <w:pStyle w:val="t-9-8"/>
        <w:spacing w:before="0" w:beforeAutospacing="0" w:after="0" w:afterAutospacing="0"/>
        <w:rPr>
          <w:lang w:val="hr-HR"/>
        </w:rPr>
      </w:pPr>
      <w:r w:rsidRPr="002D2FBF">
        <w:rPr>
          <w:rStyle w:val="kurziv"/>
          <w:u w:val="single"/>
          <w:lang w:val="hr-HR"/>
        </w:rPr>
        <w:t>Davatelj državne potpore/potpore male vrijednosti</w:t>
      </w:r>
      <w:r w:rsidRPr="005709D2">
        <w:rPr>
          <w:lang w:val="hr-HR"/>
        </w:rPr>
        <w:t xml:space="preserve"> je tijelo državne uprave, jedinica lokalne i područne (regionalne) samouprave te svaka pravna osoba koja dodjeljuje državne potpore/potpore male vrijednosti.</w:t>
      </w:r>
    </w:p>
    <w:p w14:paraId="36F06AC9" w14:textId="77777777" w:rsidR="00FA5483" w:rsidRPr="005709D2" w:rsidRDefault="00FA5483" w:rsidP="00BE487D">
      <w:pPr>
        <w:jc w:val="both"/>
      </w:pPr>
    </w:p>
    <w:p w14:paraId="403D6042" w14:textId="77777777" w:rsidR="00FA5483" w:rsidRPr="005709D2" w:rsidRDefault="00FA5483" w:rsidP="00BE487D">
      <w:pPr>
        <w:jc w:val="both"/>
      </w:pPr>
      <w:r w:rsidRPr="005709D2">
        <w:t xml:space="preserve">Kod utvrđivanja ima li neka državna intervencija karakter državne potpore, sukladno odredbama Zakona koji uređuju pojam državne potpore, potrebno je, u svakom pojedinom slučaju dodjele državnih sredstava utvrditi jesu li </w:t>
      </w:r>
      <w:r w:rsidRPr="002D2FBF">
        <w:rPr>
          <w:u w:val="single"/>
        </w:rPr>
        <w:t>kumulativno ispunjeni uvjeti</w:t>
      </w:r>
      <w:r w:rsidRPr="005709D2">
        <w:t xml:space="preserve"> koji se odnose na izvore sredstava odnosno mjera, davanje prednosti na tržištu i s time povezanom selektivnosti te utječu li sredstva</w:t>
      </w:r>
      <w:r w:rsidR="00D204A7" w:rsidRPr="005709D2">
        <w:t>/</w:t>
      </w:r>
      <w:r w:rsidRPr="005709D2">
        <w:t xml:space="preserve">mjere na trgovinu između Republike Hrvatske i EU: </w:t>
      </w:r>
    </w:p>
    <w:p w14:paraId="0DA2A982" w14:textId="77777777" w:rsidR="00FA5483" w:rsidRPr="005709D2" w:rsidRDefault="00FA5483" w:rsidP="00BE487D">
      <w:pPr>
        <w:jc w:val="both"/>
      </w:pPr>
    </w:p>
    <w:p w14:paraId="344D986C" w14:textId="6CE514E5" w:rsidR="00FA5483" w:rsidRPr="005709D2" w:rsidRDefault="00FA5483" w:rsidP="00BE487D">
      <w:pPr>
        <w:pStyle w:val="ListParagraph"/>
        <w:numPr>
          <w:ilvl w:val="0"/>
          <w:numId w:val="3"/>
        </w:numPr>
        <w:jc w:val="both"/>
      </w:pPr>
      <w:r w:rsidRPr="002D2FBF">
        <w:rPr>
          <w:u w:val="single"/>
        </w:rPr>
        <w:t>dodjela državnih sredstava</w:t>
      </w:r>
      <w:r w:rsidRPr="005709D2">
        <w:t xml:space="preserve"> – državnom potporom smatra se ona mjera koja uključuje sredstva dodijeljena iz državnog proračuna, proračuna županije, grada i općine, fondova i pravnih osoba u vlasništvu države – odnosno ona sredstva nad čijom dodjelom javna vlast ima kontrolu</w:t>
      </w:r>
      <w:r w:rsidR="00A91BC5" w:rsidRPr="005709D2">
        <w:t xml:space="preserve"> i koja su istoj </w:t>
      </w:r>
      <w:proofErr w:type="spellStart"/>
      <w:r w:rsidR="00A91BC5" w:rsidRPr="005709D2">
        <w:t>pripisiva</w:t>
      </w:r>
      <w:proofErr w:type="spellEnd"/>
      <w:r w:rsidRPr="005709D2">
        <w:t>. Pored izravnih proračunskih izdataka, državnom potporom se smatra i manj</w:t>
      </w:r>
      <w:r w:rsidR="00A91BC5" w:rsidRPr="005709D2">
        <w:t>e ostvareni</w:t>
      </w:r>
      <w:r w:rsidRPr="005709D2">
        <w:t xml:space="preserve"> odnosno neostvareni prihod države zbog neplaćenog poreza, doprinosa ili drugog nepodmirenog dugovanja odnosno neizvršene financijske obveze prema državi, prodaja nekretnina i pokretnina u vlasništvu države ispod tržišne cijene i bez provedenog natječaja i sl. Državnim sredstvima smatraju se i sredstva EU (npr. iz strukturnih Fondova) </w:t>
      </w:r>
      <w:r w:rsidR="00592EA0" w:rsidRPr="005709D2">
        <w:t>ukoliko</w:t>
      </w:r>
      <w:r w:rsidRPr="005709D2">
        <w:t xml:space="preserve"> nacionalna tijela imaju diskrecijsko pravo odluč</w:t>
      </w:r>
      <w:r w:rsidR="005B5D48" w:rsidRPr="005709D2">
        <w:t>ivanja o upotrebi tih sredstava</w:t>
      </w:r>
    </w:p>
    <w:p w14:paraId="1FDD49EB" w14:textId="77777777" w:rsidR="00FA5483" w:rsidRPr="005709D2" w:rsidRDefault="00FA5483" w:rsidP="00BE487D">
      <w:pPr>
        <w:jc w:val="both"/>
      </w:pPr>
    </w:p>
    <w:p w14:paraId="07697851" w14:textId="5240FB62" w:rsidR="00FA5483" w:rsidRPr="005709D2" w:rsidRDefault="00FA5483" w:rsidP="00BE487D">
      <w:pPr>
        <w:pStyle w:val="ListParagraph"/>
        <w:numPr>
          <w:ilvl w:val="0"/>
          <w:numId w:val="3"/>
        </w:numPr>
        <w:ind w:left="357" w:hanging="357"/>
        <w:jc w:val="both"/>
      </w:pPr>
      <w:r w:rsidRPr="002D2FBF">
        <w:rPr>
          <w:u w:val="single"/>
        </w:rPr>
        <w:t>ostvarivanj</w:t>
      </w:r>
      <w:r w:rsidR="0086041F" w:rsidRPr="002D2FBF">
        <w:rPr>
          <w:u w:val="single"/>
        </w:rPr>
        <w:t>e</w:t>
      </w:r>
      <w:r w:rsidRPr="002D2FBF">
        <w:rPr>
          <w:u w:val="single"/>
        </w:rPr>
        <w:t xml:space="preserve"> prednosti na tržištu</w:t>
      </w:r>
      <w:r w:rsidRPr="005709D2">
        <w:rPr>
          <w:b/>
        </w:rPr>
        <w:t xml:space="preserve"> </w:t>
      </w:r>
      <w:r w:rsidRPr="005709D2">
        <w:t xml:space="preserve">– gospodarska prednost na tržištu ostvaruje se činjenicom da je korisnik potpore primio sredstva koja ne bi mogao ostvariti svojim redovitim poslovanjem. Pored državnih potpora kao što su subvencije, oslobađanja od plaćanja poreza, subvencije kamata, državnih jamstva itd., postoje i ostale državne potpore koje </w:t>
      </w:r>
      <w:r w:rsidRPr="005709D2">
        <w:lastRenderedPageBreak/>
        <w:t>omogućuju postojanje gospodarske prednosti, a to su: prodaja/iznajmljivanje zemljišta u državnom vlasništvu poduzetniku po povoljnijoj cijeni od tržišne, omogućavanje pristupa javnoj infrastrukturi bez plaćanja naknade za istu, dokapitalizacija poduzetnika od strane države pod povoljnijim uvjetima nego što b</w:t>
      </w:r>
      <w:r w:rsidR="005B5D48" w:rsidRPr="005709D2">
        <w:t>i to učinio privatni investitor</w:t>
      </w:r>
      <w:r w:rsidR="00F13FE5" w:rsidRPr="005709D2">
        <w:t xml:space="preserve"> i slično</w:t>
      </w:r>
    </w:p>
    <w:p w14:paraId="74397AE3" w14:textId="77777777" w:rsidR="00FA5483" w:rsidRPr="005709D2" w:rsidRDefault="00FA5483" w:rsidP="00BE487D">
      <w:pPr>
        <w:jc w:val="both"/>
        <w:rPr>
          <w:b/>
        </w:rPr>
      </w:pPr>
    </w:p>
    <w:p w14:paraId="5C2C50E5" w14:textId="77777777" w:rsidR="00FA5483" w:rsidRPr="005709D2" w:rsidRDefault="00FA5483" w:rsidP="00BE487D">
      <w:pPr>
        <w:pStyle w:val="ListParagraph"/>
        <w:numPr>
          <w:ilvl w:val="0"/>
          <w:numId w:val="3"/>
        </w:numPr>
        <w:jc w:val="both"/>
      </w:pPr>
      <w:r w:rsidRPr="002D2FBF">
        <w:rPr>
          <w:u w:val="single"/>
        </w:rPr>
        <w:t>selektivnost</w:t>
      </w:r>
      <w:r w:rsidRPr="005709D2">
        <w:rPr>
          <w:b/>
        </w:rPr>
        <w:t xml:space="preserve"> </w:t>
      </w:r>
      <w:r w:rsidRPr="005709D2">
        <w:t>– ovaj uvjet ukazuje na činjenicu da je dodjelom sredstava iz proračuna države poduzetnik/sektor doveden u povoljniji tržišni položaj u odnosu na konkurenciju</w:t>
      </w:r>
      <w:r w:rsidR="0086041F" w:rsidRPr="005709D2">
        <w:t xml:space="preserve">, a o </w:t>
      </w:r>
      <w:r w:rsidRPr="005709D2">
        <w:t>selektivnosti se može raditi i kada postoji određeno diskrecijsko pravo odlučivanja prilikom dodjele potp</w:t>
      </w:r>
      <w:r w:rsidR="005B5D48" w:rsidRPr="005709D2">
        <w:t>ore od strane davatelja potpore</w:t>
      </w:r>
    </w:p>
    <w:p w14:paraId="2B2859E7" w14:textId="77777777" w:rsidR="00FA5483" w:rsidRPr="005709D2" w:rsidRDefault="00FA5483" w:rsidP="00BE487D">
      <w:pPr>
        <w:jc w:val="both"/>
        <w:rPr>
          <w:b/>
        </w:rPr>
      </w:pPr>
    </w:p>
    <w:p w14:paraId="460DBE4C" w14:textId="392A5A6F" w:rsidR="00FA5483" w:rsidRPr="005709D2" w:rsidRDefault="00FA5483" w:rsidP="00BE487D">
      <w:pPr>
        <w:pStyle w:val="ListParagraph"/>
        <w:numPr>
          <w:ilvl w:val="0"/>
          <w:numId w:val="3"/>
        </w:numPr>
        <w:jc w:val="both"/>
      </w:pPr>
      <w:r w:rsidRPr="002D2FBF">
        <w:rPr>
          <w:u w:val="single"/>
        </w:rPr>
        <w:t>utjecaj na trgovinu između Republike Hrvatske i EU</w:t>
      </w:r>
      <w:r w:rsidRPr="005709D2">
        <w:t xml:space="preserve"> (tržišno natjecanje) – u ovom slučaju utvrđuje se utječe li, zbog dobivene potpore, poduzetnik ili proizvodnja određene robe i/ili usluge na tr</w:t>
      </w:r>
      <w:r w:rsidR="00592EA0" w:rsidRPr="005709D2">
        <w:t>govinu između država članica EU i</w:t>
      </w:r>
      <w:r w:rsidRPr="005709D2">
        <w:t xml:space="preserve"> dolazi </w:t>
      </w:r>
      <w:r w:rsidR="00BF6BFB" w:rsidRPr="005709D2">
        <w:t xml:space="preserve">li </w:t>
      </w:r>
      <w:r w:rsidRPr="005709D2">
        <w:t xml:space="preserve">do narušavanja tržišnog natjecanja. </w:t>
      </w:r>
    </w:p>
    <w:p w14:paraId="184A391C" w14:textId="77777777" w:rsidR="00FA5483" w:rsidRPr="005709D2" w:rsidRDefault="00FA5483" w:rsidP="00BE487D">
      <w:pPr>
        <w:jc w:val="both"/>
      </w:pPr>
    </w:p>
    <w:p w14:paraId="727DB64B" w14:textId="77777777" w:rsidR="00FA5483" w:rsidRPr="005709D2" w:rsidRDefault="00FA5483" w:rsidP="00BE487D">
      <w:pPr>
        <w:jc w:val="both"/>
      </w:pPr>
      <w:r w:rsidRPr="005709D2">
        <w:t xml:space="preserve">Državnom potporom može se smatrati svaka mjera dodijeljena u korist poduzetnika u smislu Zakona i pravne stečevine EU </w:t>
      </w:r>
      <w:r w:rsidR="00DC5CCB" w:rsidRPr="005709D2">
        <w:t xml:space="preserve">ako </w:t>
      </w:r>
      <w:r w:rsidRPr="005709D2">
        <w:t xml:space="preserve">su kumulativno ispunjeni naprijed navedeni kriteriji. Međutim, </w:t>
      </w:r>
      <w:r w:rsidR="00DC5CCB" w:rsidRPr="002D2FBF">
        <w:rPr>
          <w:u w:val="single"/>
        </w:rPr>
        <w:t xml:space="preserve">ako </w:t>
      </w:r>
      <w:r w:rsidRPr="002D2FBF">
        <w:rPr>
          <w:u w:val="single"/>
        </w:rPr>
        <w:t>pojedina javna mjera kumulativno ne ispunjava sva četiri naprijed navedena kriterija, tada se ne radi o državnoj potpori</w:t>
      </w:r>
      <w:r w:rsidRPr="005709D2">
        <w:t>. Odluku o postojanju ili nepostojanju državne potpore donosi Europska komisija, a može je donijeti i nacionalni sud kako to proizlazi iz Obavijesti Komisije o provedbi prava državnih potpora od strane nacionalnih sudova.</w:t>
      </w:r>
      <w:r w:rsidRPr="005709D2">
        <w:rPr>
          <w:vertAlign w:val="superscript"/>
        </w:rPr>
        <w:footnoteReference w:id="8"/>
      </w:r>
      <w:r w:rsidRPr="005709D2">
        <w:t xml:space="preserve"> Državne potpore nespojive su s unutarnjim tržištem, osim ako ne ispunjavaju uvjete spojivosti određene posebnim pravilima ovisno o vrsti potpore.</w:t>
      </w:r>
    </w:p>
    <w:p w14:paraId="5BC75441" w14:textId="77777777" w:rsidR="00FA5483" w:rsidRPr="005709D2" w:rsidRDefault="00FA5483" w:rsidP="00BE487D">
      <w:pPr>
        <w:jc w:val="both"/>
      </w:pPr>
    </w:p>
    <w:p w14:paraId="08F828F1" w14:textId="42336B76" w:rsidR="00FA5483" w:rsidRPr="005709D2" w:rsidRDefault="00FA5483" w:rsidP="00BE487D">
      <w:pPr>
        <w:jc w:val="both"/>
      </w:pPr>
      <w:r w:rsidRPr="005709D2">
        <w:t xml:space="preserve">Državne potpore dodjeljuju se putem </w:t>
      </w:r>
      <w:r w:rsidRPr="002D2FBF">
        <w:rPr>
          <w:u w:val="single"/>
        </w:rPr>
        <w:t>programa državnih potpora ili kao pojedinačne potpore</w:t>
      </w:r>
      <w:r w:rsidRPr="005709D2">
        <w:t>:</w:t>
      </w:r>
    </w:p>
    <w:p w14:paraId="33476B89" w14:textId="1BD8811C" w:rsidR="00FA5483" w:rsidRPr="005709D2" w:rsidRDefault="00FA5483" w:rsidP="00BE487D">
      <w:pPr>
        <w:jc w:val="both"/>
      </w:pPr>
    </w:p>
    <w:p w14:paraId="65B6C78B" w14:textId="0340887D" w:rsidR="00DC4EEF" w:rsidRPr="005709D2" w:rsidRDefault="00DC4EEF" w:rsidP="00DC4EEF">
      <w:pPr>
        <w:pStyle w:val="ListParagraph"/>
        <w:numPr>
          <w:ilvl w:val="0"/>
          <w:numId w:val="4"/>
        </w:numPr>
        <w:ind w:left="360"/>
        <w:jc w:val="both"/>
      </w:pPr>
      <w:r w:rsidRPr="002D2FBF">
        <w:rPr>
          <w:u w:val="single"/>
        </w:rPr>
        <w:t>Program državne potpore</w:t>
      </w:r>
      <w:r w:rsidRPr="005709D2">
        <w:t xml:space="preserve"> je pravni akt </w:t>
      </w:r>
      <w:r w:rsidRPr="005709D2">
        <w:rPr>
          <w:color w:val="000000"/>
          <w:shd w:val="clear" w:color="auto" w:fill="FFFFFF"/>
        </w:rPr>
        <w:t>na temelju kojeg se</w:t>
      </w:r>
      <w:r w:rsidRPr="005709D2">
        <w:t>, bez potrebe za dodatnim provedbenim mjerama, unaprijed neodređenim korisnicima državne potpore dodjeljuju državne potpore</w:t>
      </w:r>
    </w:p>
    <w:p w14:paraId="5BDDDF92" w14:textId="1176A71D" w:rsidR="00DC4EEF" w:rsidRPr="005709D2" w:rsidRDefault="00DC4EEF" w:rsidP="00BE487D">
      <w:pPr>
        <w:jc w:val="both"/>
      </w:pPr>
    </w:p>
    <w:p w14:paraId="7785D2D1" w14:textId="77777777" w:rsidR="00FA5483" w:rsidRPr="005709D2" w:rsidRDefault="00FA5483" w:rsidP="00BE487D">
      <w:pPr>
        <w:pStyle w:val="ListParagraph"/>
        <w:numPr>
          <w:ilvl w:val="0"/>
          <w:numId w:val="4"/>
        </w:numPr>
        <w:ind w:left="360"/>
        <w:jc w:val="both"/>
      </w:pPr>
      <w:r w:rsidRPr="002D2FBF">
        <w:rPr>
          <w:u w:val="single"/>
        </w:rPr>
        <w:t>Pojedinačna državna potpora</w:t>
      </w:r>
      <w:r w:rsidRPr="005709D2">
        <w:t xml:space="preserve"> je državna potpora koja je dodijeljena poduzetniku temeljem programa državne potpore ili je dodijeljena poduzetniku neovisno o postojanju programa državne potpore (tzv. ad </w:t>
      </w:r>
      <w:proofErr w:type="spellStart"/>
      <w:r w:rsidRPr="005709D2">
        <w:t>hoc</w:t>
      </w:r>
      <w:proofErr w:type="spellEnd"/>
      <w:r w:rsidRPr="005709D2">
        <w:t xml:space="preserve"> potpora). </w:t>
      </w:r>
    </w:p>
    <w:p w14:paraId="63F59A8E" w14:textId="77777777" w:rsidR="00FA5483" w:rsidRPr="005709D2" w:rsidRDefault="00FA5483" w:rsidP="00BE487D">
      <w:pPr>
        <w:jc w:val="both"/>
      </w:pPr>
    </w:p>
    <w:p w14:paraId="60371286" w14:textId="77777777" w:rsidR="00FA5483" w:rsidRPr="005709D2" w:rsidRDefault="00FA5483" w:rsidP="00BE487D">
      <w:pPr>
        <w:jc w:val="both"/>
      </w:pPr>
      <w:r w:rsidRPr="005709D2">
        <w:t xml:space="preserve">Učinak mjere, a ne njezin uzrok, vrsta ili cilj odlučujući su prilikom dodjele državne potpore, </w:t>
      </w:r>
      <w:r w:rsidR="00236EB0" w:rsidRPr="005709D2">
        <w:t>a</w:t>
      </w:r>
      <w:r w:rsidRPr="005709D2">
        <w:t xml:space="preserve"> pojam državne potpore obuhvaća osim subvencija (rashodna strana državnog proračuna) i ostale instrumente državnih potpora (npr. oslobođenje ili smanjenje poreza na dobit</w:t>
      </w:r>
      <w:r w:rsidR="00BF6BFB" w:rsidRPr="005709D2">
        <w:t>, otpisi potraživanja i sl.</w:t>
      </w:r>
      <w:r w:rsidRPr="005709D2">
        <w:t>) koji na razne načine smanjuju prihodnu stranu državnog proračuna i imaju jednake učinke kao i subvencije.</w:t>
      </w:r>
    </w:p>
    <w:p w14:paraId="3BCE8FD2" w14:textId="77777777" w:rsidR="00FA5483" w:rsidRPr="005709D2" w:rsidRDefault="00FA5483" w:rsidP="00BE487D">
      <w:pPr>
        <w:jc w:val="both"/>
      </w:pPr>
    </w:p>
    <w:p w14:paraId="7E704FC4" w14:textId="77777777" w:rsidR="00FA5483" w:rsidRPr="005709D2" w:rsidRDefault="00FA5483" w:rsidP="00BE487D">
      <w:pPr>
        <w:jc w:val="both"/>
      </w:pPr>
      <w:r w:rsidRPr="005709D2">
        <w:t xml:space="preserve">Instrumenti putem kojih se dodjeljuju državne potpore </w:t>
      </w:r>
      <w:r w:rsidR="00236EB0" w:rsidRPr="005709D2">
        <w:t xml:space="preserve">i potpore male vrijednosti </w:t>
      </w:r>
      <w:r w:rsidRPr="005709D2">
        <w:t xml:space="preserve">prikazani su u Prilogu 3. </w:t>
      </w:r>
      <w:r w:rsidR="00411CF1" w:rsidRPr="005709D2">
        <w:t xml:space="preserve">„Instrumenti državne potpore i potpore male vrijednosti“ </w:t>
      </w:r>
      <w:r w:rsidRPr="005709D2">
        <w:t>ovoga Izvješća.</w:t>
      </w:r>
    </w:p>
    <w:p w14:paraId="35B1024C" w14:textId="77777777" w:rsidR="00FA5483" w:rsidRPr="005709D2" w:rsidRDefault="00FA5483" w:rsidP="00BE487D">
      <w:pPr>
        <w:jc w:val="both"/>
        <w:rPr>
          <w:b/>
        </w:rPr>
      </w:pPr>
    </w:p>
    <w:p w14:paraId="62B1ED42" w14:textId="77777777" w:rsidR="00FA5483" w:rsidRPr="005709D2" w:rsidRDefault="00FA5483" w:rsidP="00BE487D">
      <w:pPr>
        <w:jc w:val="both"/>
        <w:rPr>
          <w:b/>
        </w:rPr>
      </w:pPr>
    </w:p>
    <w:p w14:paraId="6201950D" w14:textId="77777777" w:rsidR="00372969" w:rsidRDefault="00372969">
      <w:pPr>
        <w:rPr>
          <w:b/>
        </w:rPr>
      </w:pPr>
      <w:r>
        <w:rPr>
          <w:b/>
        </w:rPr>
        <w:br w:type="page"/>
      </w:r>
    </w:p>
    <w:p w14:paraId="7FA47C08" w14:textId="3A336DA1" w:rsidR="00FA5483" w:rsidRPr="005709D2" w:rsidRDefault="00FA5483" w:rsidP="00BE487D">
      <w:pPr>
        <w:jc w:val="both"/>
        <w:rPr>
          <w:b/>
        </w:rPr>
      </w:pPr>
      <w:r w:rsidRPr="005709D2">
        <w:rPr>
          <w:b/>
        </w:rPr>
        <w:lastRenderedPageBreak/>
        <w:t>Što se ne smatra državnom potporom</w:t>
      </w:r>
    </w:p>
    <w:p w14:paraId="64374D45" w14:textId="77777777" w:rsidR="00FA5483" w:rsidRPr="005709D2" w:rsidRDefault="00FA5483" w:rsidP="00BE487D">
      <w:pPr>
        <w:jc w:val="both"/>
        <w:rPr>
          <w:b/>
        </w:rPr>
      </w:pPr>
    </w:p>
    <w:p w14:paraId="389C2E67" w14:textId="77777777" w:rsidR="00FA5483" w:rsidRPr="005709D2" w:rsidRDefault="00FA5483" w:rsidP="00BE487D">
      <w:pPr>
        <w:jc w:val="both"/>
      </w:pPr>
      <w:r w:rsidRPr="005709D2">
        <w:t xml:space="preserve">Sukladno praksi Europske komisije i europskih sudova, sljedeći transferi ne bi se smatrali državnim potporama: </w:t>
      </w:r>
    </w:p>
    <w:p w14:paraId="5AACF331" w14:textId="77777777" w:rsidR="00FA5483" w:rsidRPr="005709D2" w:rsidRDefault="00FA5483" w:rsidP="00BE487D">
      <w:pPr>
        <w:jc w:val="both"/>
      </w:pPr>
    </w:p>
    <w:p w14:paraId="37FA8D78" w14:textId="77777777" w:rsidR="00FA5483" w:rsidRPr="005709D2" w:rsidRDefault="00FA5483" w:rsidP="00BE487D">
      <w:pPr>
        <w:pStyle w:val="ListParagraph"/>
        <w:numPr>
          <w:ilvl w:val="0"/>
          <w:numId w:val="5"/>
        </w:numPr>
        <w:jc w:val="both"/>
      </w:pPr>
      <w:r w:rsidRPr="005709D2">
        <w:t>transferi sredstava iz državnog proračuna jedinicama lokalne i područne (regionalne) samouprave i javnim tijelima za obavljanje djelatnosti k</w:t>
      </w:r>
      <w:r w:rsidR="005B5D48" w:rsidRPr="005709D2">
        <w:t>oje nemaju gospodarski karakter</w:t>
      </w:r>
    </w:p>
    <w:p w14:paraId="2212194D" w14:textId="77777777" w:rsidR="00FA5483" w:rsidRPr="005709D2" w:rsidRDefault="00FA5483" w:rsidP="00BE487D">
      <w:pPr>
        <w:pStyle w:val="ListParagraph"/>
        <w:numPr>
          <w:ilvl w:val="0"/>
          <w:numId w:val="5"/>
        </w:numPr>
        <w:jc w:val="both"/>
      </w:pPr>
      <w:r w:rsidRPr="005709D2">
        <w:t>opće mjere gospodarske politike koje se odnose na sve poduzetnike i gospodarske sektore, primjerice smanjivanje opće stope poreza na dobit, dopri</w:t>
      </w:r>
      <w:r w:rsidR="005B5D48" w:rsidRPr="005709D2">
        <w:t>nosa ili drugih sličnih davanja</w:t>
      </w:r>
    </w:p>
    <w:p w14:paraId="2B61573F" w14:textId="77777777" w:rsidR="00FA5483" w:rsidRPr="005709D2" w:rsidRDefault="00FA5483" w:rsidP="00BE487D">
      <w:pPr>
        <w:pStyle w:val="ListParagraph"/>
        <w:numPr>
          <w:ilvl w:val="0"/>
          <w:numId w:val="5"/>
        </w:numPr>
        <w:jc w:val="both"/>
      </w:pPr>
      <w:r w:rsidRPr="005709D2">
        <w:t>državne mjere koje su neutralne u odnosu na državni p</w:t>
      </w:r>
      <w:r w:rsidR="005B5D48" w:rsidRPr="005709D2">
        <w:t>roračun, tzv. regulatorne mjere</w:t>
      </w:r>
    </w:p>
    <w:p w14:paraId="505CCF2C" w14:textId="77777777" w:rsidR="00FA5483" w:rsidRPr="005709D2" w:rsidRDefault="00FA5483" w:rsidP="00BE487D">
      <w:pPr>
        <w:pStyle w:val="ListParagraph"/>
        <w:numPr>
          <w:ilvl w:val="0"/>
          <w:numId w:val="5"/>
        </w:numPr>
        <w:jc w:val="both"/>
      </w:pPr>
      <w:r w:rsidRPr="005709D2">
        <w:t>nabava robe i usluga po tržišnim cijena</w:t>
      </w:r>
      <w:r w:rsidR="005B5D48" w:rsidRPr="005709D2">
        <w:t>ma odnosno tržišnoj vrijednosti</w:t>
      </w:r>
    </w:p>
    <w:p w14:paraId="1384A92C" w14:textId="77777777" w:rsidR="00FA5483" w:rsidRPr="005709D2" w:rsidRDefault="00FA5483" w:rsidP="00BE487D">
      <w:pPr>
        <w:pStyle w:val="ListParagraph"/>
        <w:numPr>
          <w:ilvl w:val="0"/>
          <w:numId w:val="5"/>
        </w:numPr>
        <w:jc w:val="both"/>
        <w:rPr>
          <w:i/>
        </w:rPr>
      </w:pPr>
      <w:r w:rsidRPr="005709D2">
        <w:t xml:space="preserve">mjere i financijske potpore, koje </w:t>
      </w:r>
      <w:r w:rsidR="00753439" w:rsidRPr="005709D2">
        <w:t>ispunjavaju</w:t>
      </w:r>
      <w:r w:rsidRPr="005709D2">
        <w:t xml:space="preserve"> ulaganja po tržišnim uvjetima</w:t>
      </w:r>
      <w:r w:rsidR="00985780" w:rsidRPr="005709D2">
        <w:t xml:space="preserve"> </w:t>
      </w:r>
      <w:r w:rsidRPr="005709D2">
        <w:rPr>
          <w:i/>
        </w:rPr>
        <w:t xml:space="preserve">(engl. </w:t>
      </w:r>
      <w:proofErr w:type="spellStart"/>
      <w:r w:rsidRPr="005709D2">
        <w:rPr>
          <w:i/>
        </w:rPr>
        <w:t>market</w:t>
      </w:r>
      <w:proofErr w:type="spellEnd"/>
      <w:r w:rsidRPr="005709D2">
        <w:rPr>
          <w:i/>
        </w:rPr>
        <w:t xml:space="preserve"> </w:t>
      </w:r>
      <w:proofErr w:type="spellStart"/>
      <w:r w:rsidRPr="005709D2">
        <w:rPr>
          <w:i/>
        </w:rPr>
        <w:t>economy</w:t>
      </w:r>
      <w:proofErr w:type="spellEnd"/>
      <w:r w:rsidRPr="005709D2">
        <w:rPr>
          <w:i/>
        </w:rPr>
        <w:t xml:space="preserve"> </w:t>
      </w:r>
      <w:proofErr w:type="spellStart"/>
      <w:r w:rsidRPr="005709D2">
        <w:rPr>
          <w:i/>
        </w:rPr>
        <w:t>investor</w:t>
      </w:r>
      <w:proofErr w:type="spellEnd"/>
      <w:r w:rsidRPr="005709D2">
        <w:rPr>
          <w:i/>
        </w:rPr>
        <w:t xml:space="preserve"> </w:t>
      </w:r>
      <w:proofErr w:type="spellStart"/>
      <w:r w:rsidRPr="005709D2">
        <w:rPr>
          <w:i/>
        </w:rPr>
        <w:t>principle</w:t>
      </w:r>
      <w:proofErr w:type="spellEnd"/>
      <w:r w:rsidRPr="005709D2">
        <w:rPr>
          <w:i/>
        </w:rPr>
        <w:t>)</w:t>
      </w:r>
    </w:p>
    <w:p w14:paraId="635ABCD2" w14:textId="77777777" w:rsidR="00FA5483" w:rsidRPr="005709D2" w:rsidRDefault="00FA5483" w:rsidP="00BE487D">
      <w:pPr>
        <w:pStyle w:val="ListParagraph"/>
        <w:numPr>
          <w:ilvl w:val="0"/>
          <w:numId w:val="5"/>
        </w:numPr>
        <w:jc w:val="both"/>
      </w:pPr>
      <w:r w:rsidRPr="005709D2">
        <w:t>državna jamstva ako su kumulativno ispunjeni sljedeći uvjeti: ako korisnik zajma nije u financijskim teškoćama, ako je korisnik zajma u mogućnosti na financijskom tržištu dobiti zajam po tržišnim uvjetima bez posredovanja države, ako se za državno jamstvo zaračunava tržišna cijena, ako je državno jamstvo povezano s određenom financijskom transakcijom, ograničeno po visini i vremenu trajanja i ne pokriva više od 80 posto preostalog du</w:t>
      </w:r>
      <w:r w:rsidR="005B5D48" w:rsidRPr="005709D2">
        <w:t>ga ili druge financijske obveze</w:t>
      </w:r>
    </w:p>
    <w:p w14:paraId="2B0ABB34" w14:textId="26087532" w:rsidR="00FA5483" w:rsidRPr="005709D2" w:rsidRDefault="00FA5483" w:rsidP="00BE487D">
      <w:pPr>
        <w:pStyle w:val="ListParagraph"/>
        <w:numPr>
          <w:ilvl w:val="0"/>
          <w:numId w:val="5"/>
        </w:numPr>
        <w:jc w:val="both"/>
      </w:pPr>
      <w:r w:rsidRPr="005709D2">
        <w:t xml:space="preserve">sredstva dodijeljena fizičkim osobama ili zaposlenicima </w:t>
      </w:r>
      <w:r w:rsidR="00BF6BFB" w:rsidRPr="005709D2">
        <w:t xml:space="preserve">od koje </w:t>
      </w:r>
      <w:r w:rsidRPr="005709D2">
        <w:t>poduzetnici ne uživaju izra</w:t>
      </w:r>
      <w:r w:rsidR="005B5D48" w:rsidRPr="005709D2">
        <w:t>vnu korist</w:t>
      </w:r>
    </w:p>
    <w:p w14:paraId="55BC777B" w14:textId="1D67EFB0" w:rsidR="00FA5483" w:rsidRPr="005709D2" w:rsidRDefault="00FA5483" w:rsidP="00BE487D">
      <w:pPr>
        <w:pStyle w:val="ListParagraph"/>
        <w:numPr>
          <w:ilvl w:val="0"/>
          <w:numId w:val="5"/>
        </w:numPr>
        <w:jc w:val="both"/>
      </w:pPr>
      <w:r w:rsidRPr="005709D2">
        <w:t xml:space="preserve">potpore male vrijednosti (de minimis potpore) koje ne iznose više od </w:t>
      </w:r>
      <w:r w:rsidR="005709D2" w:rsidRPr="005709D2">
        <w:t>3</w:t>
      </w:r>
      <w:r w:rsidRPr="005709D2">
        <w:t>00.000,00 eura po korisniku</w:t>
      </w:r>
      <w:r w:rsidR="005709D2" w:rsidRPr="005709D2">
        <w:t xml:space="preserve"> i </w:t>
      </w:r>
      <w:r w:rsidR="005709D2" w:rsidRPr="005709D2">
        <w:rPr>
          <w:color w:val="000000"/>
          <w:shd w:val="clear" w:color="auto" w:fill="FFFFFF"/>
        </w:rPr>
        <w:t>po državi članici, tijekom bilo kojeg trogodišnjeg razdoblja</w:t>
      </w:r>
      <w:r w:rsidR="00606051" w:rsidRPr="005709D2">
        <w:t xml:space="preserve">, odnosno u iznosu </w:t>
      </w:r>
      <w:r w:rsidR="005709D2" w:rsidRPr="005709D2">
        <w:t xml:space="preserve">ne </w:t>
      </w:r>
      <w:r w:rsidR="00606051" w:rsidRPr="005709D2">
        <w:t xml:space="preserve">višem od </w:t>
      </w:r>
      <w:r w:rsidR="005709D2" w:rsidRPr="005709D2">
        <w:t>75</w:t>
      </w:r>
      <w:r w:rsidR="00606051" w:rsidRPr="005709D2">
        <w:t>0.000</w:t>
      </w:r>
      <w:r w:rsidR="007765BA" w:rsidRPr="005709D2">
        <w:t>,00</w:t>
      </w:r>
      <w:r w:rsidR="00606051" w:rsidRPr="005709D2">
        <w:t xml:space="preserve"> eura za obavljanje usluga od općeg gospodarskog interesa</w:t>
      </w:r>
      <w:r w:rsidRPr="005709D2">
        <w:t>.</w:t>
      </w:r>
    </w:p>
    <w:p w14:paraId="3A408F5D" w14:textId="45EE34B6" w:rsidR="00FA5483" w:rsidRPr="005709D2" w:rsidRDefault="00FA5483" w:rsidP="00BE487D">
      <w:pPr>
        <w:pStyle w:val="ListParagraph"/>
        <w:ind w:left="0"/>
        <w:jc w:val="both"/>
      </w:pPr>
    </w:p>
    <w:p w14:paraId="59C8A8EB" w14:textId="77777777" w:rsidR="00FA5483" w:rsidRPr="005709D2" w:rsidRDefault="00FA5483" w:rsidP="00BE487D">
      <w:pPr>
        <w:pStyle w:val="ListParagraph"/>
        <w:ind w:left="0"/>
        <w:jc w:val="both"/>
      </w:pPr>
      <w:r w:rsidRPr="005709D2">
        <w:t xml:space="preserve">Državnom potporom također se </w:t>
      </w:r>
      <w:r w:rsidRPr="002D2FBF">
        <w:rPr>
          <w:u w:val="single"/>
        </w:rPr>
        <w:t>ne smatraju</w:t>
      </w:r>
      <w:r w:rsidRPr="005709D2">
        <w:t xml:space="preserve"> sredstva za pomoć kućanstvima, osobama s invaliditetom, javnim tijelima</w:t>
      </w:r>
      <w:r w:rsidR="00236EB0" w:rsidRPr="005709D2">
        <w:t xml:space="preserve"> i </w:t>
      </w:r>
      <w:r w:rsidRPr="005709D2">
        <w:t xml:space="preserve">obrazovnim ustanovama </w:t>
      </w:r>
      <w:r w:rsidR="00236EB0" w:rsidRPr="005709D2">
        <w:t xml:space="preserve">i </w:t>
      </w:r>
      <w:r w:rsidRPr="005709D2">
        <w:t xml:space="preserve">bolnicama za djelatnosti koje nemaju gospodarski karakter, sredstva namijenjena za obranu, javne radove i slično. </w:t>
      </w:r>
    </w:p>
    <w:p w14:paraId="020519D0" w14:textId="77777777" w:rsidR="00FA5483" w:rsidRPr="005709D2" w:rsidRDefault="00FA5483" w:rsidP="00BE487D">
      <w:pPr>
        <w:pStyle w:val="ListParagraph"/>
        <w:ind w:left="0"/>
        <w:jc w:val="both"/>
      </w:pPr>
    </w:p>
    <w:p w14:paraId="18BBFD42" w14:textId="77777777" w:rsidR="00FA5483" w:rsidRPr="005709D2" w:rsidRDefault="00A17C88" w:rsidP="00BE487D">
      <w:pPr>
        <w:pStyle w:val="ListParagraph"/>
        <w:ind w:left="0"/>
        <w:jc w:val="both"/>
      </w:pPr>
      <w:r w:rsidRPr="005709D2">
        <w:t>P</w:t>
      </w:r>
      <w:r w:rsidR="00FA5483" w:rsidRPr="005709D2">
        <w:t xml:space="preserve">ravila o državnim potporama </w:t>
      </w:r>
      <w:r w:rsidR="00FA5483" w:rsidRPr="002D2FBF">
        <w:rPr>
          <w:u w:val="single"/>
        </w:rPr>
        <w:t>ne primjenjuju</w:t>
      </w:r>
      <w:r w:rsidR="00FA5483" w:rsidRPr="005709D2">
        <w:t xml:space="preserve"> se</w:t>
      </w:r>
      <w:r w:rsidRPr="005709D2">
        <w:t xml:space="preserve"> i</w:t>
      </w:r>
      <w:r w:rsidR="00FA5483" w:rsidRPr="005709D2">
        <w:t xml:space="preserve"> ako država „izvršava javne ovlasti“ ili ako javni subjekti djeluju „kao tijela javne vlasti“. Primjeri takvih djelatnosti su: vojska ili policija, sigurnost i kontrola zračne plovidbe, kontrola i sigurnost pomorskog prometa, nadzor radi sprečavanja onečišćenja, organizacija, financiranje i izvršavanje zatvorskih kazni, razvoj i revitalizacija javnog zemljišta od strane javnih tijela i prikupljanje podataka za upotrebu u javne svrhe na temelju zakonske obveze predmetnih poduzetnika u vezi s objavljivanjem takvih podataka.</w:t>
      </w:r>
      <w:r w:rsidR="00FA5483" w:rsidRPr="005709D2">
        <w:rPr>
          <w:rStyle w:val="FootnoteReference"/>
        </w:rPr>
        <w:footnoteReference w:id="9"/>
      </w:r>
    </w:p>
    <w:p w14:paraId="7EEF8565" w14:textId="77777777" w:rsidR="00857D5E" w:rsidRPr="005709D2" w:rsidRDefault="00857D5E" w:rsidP="00BE487D">
      <w:pPr>
        <w:jc w:val="both"/>
      </w:pPr>
    </w:p>
    <w:p w14:paraId="45DD8248" w14:textId="77777777" w:rsidR="00857D5E" w:rsidRPr="005709D2" w:rsidRDefault="00857D5E" w:rsidP="00BE487D">
      <w:pPr>
        <w:jc w:val="both"/>
      </w:pPr>
    </w:p>
    <w:p w14:paraId="5DDBD11B" w14:textId="77777777" w:rsidR="00857D5E" w:rsidRPr="00EE68DF" w:rsidRDefault="00857D5E" w:rsidP="00BE487D">
      <w:pPr>
        <w:jc w:val="both"/>
      </w:pPr>
    </w:p>
    <w:p w14:paraId="5F4CF7E5" w14:textId="452C3A84" w:rsidR="00857D5E" w:rsidRPr="00EE68DF" w:rsidRDefault="00857D5E" w:rsidP="0025390C">
      <w:pPr>
        <w:pStyle w:val="Heading2"/>
        <w:ind w:left="811" w:hanging="454"/>
      </w:pPr>
      <w:bookmarkStart w:id="2" w:name="_Toc184635833"/>
      <w:r w:rsidRPr="00EE68DF">
        <w:t>PRIKUPLJANJE I OBRADA PODATAKA O DRŽAVNIM POTPORAMA</w:t>
      </w:r>
      <w:bookmarkEnd w:id="2"/>
    </w:p>
    <w:p w14:paraId="26CEE6B5" w14:textId="77777777" w:rsidR="00857D5E" w:rsidRPr="00EE68DF" w:rsidRDefault="00857D5E" w:rsidP="00BE487D">
      <w:pPr>
        <w:jc w:val="both"/>
      </w:pPr>
    </w:p>
    <w:p w14:paraId="6A757169" w14:textId="77777777" w:rsidR="00857D5E" w:rsidRPr="00EE68DF" w:rsidRDefault="00857D5E" w:rsidP="00BE487D">
      <w:pPr>
        <w:jc w:val="both"/>
      </w:pPr>
    </w:p>
    <w:p w14:paraId="368CCA2C" w14:textId="59C899CF" w:rsidR="00FA5483" w:rsidRPr="00EE68DF" w:rsidRDefault="00FA5483" w:rsidP="00BE487D">
      <w:pPr>
        <w:jc w:val="both"/>
      </w:pPr>
      <w:r w:rsidRPr="00EE68DF">
        <w:t xml:space="preserve">Ministarstvo financija </w:t>
      </w:r>
      <w:r w:rsidR="00592EA0" w:rsidRPr="00EE68DF">
        <w:t>izrađuje</w:t>
      </w:r>
      <w:r w:rsidR="00DC5CCB" w:rsidRPr="00EE68DF">
        <w:t xml:space="preserve"> </w:t>
      </w:r>
      <w:r w:rsidR="00316051" w:rsidRPr="00EE68DF">
        <w:t xml:space="preserve">Izvješće </w:t>
      </w:r>
      <w:r w:rsidRPr="00EE68DF">
        <w:t>temeljem podataka o svim dodijeljenim državnim potporama i potporama male vrijednosti koje su</w:t>
      </w:r>
      <w:r w:rsidR="00316051" w:rsidRPr="00EE68DF">
        <w:t xml:space="preserve"> putem Registra</w:t>
      </w:r>
      <w:r w:rsidRPr="00EE68DF">
        <w:t xml:space="preserve"> dostavili davatelji potpora</w:t>
      </w:r>
      <w:r w:rsidR="00316051" w:rsidRPr="00EE68DF">
        <w:t>, te temeljem podataka koje je dostavi</w:t>
      </w:r>
      <w:r w:rsidR="000914F3" w:rsidRPr="00EE68DF">
        <w:t>lo Ministarstvo poljoprivrede.</w:t>
      </w:r>
    </w:p>
    <w:p w14:paraId="5234CB95" w14:textId="77777777" w:rsidR="00FA5483" w:rsidRPr="00EE68DF" w:rsidRDefault="00FA5483" w:rsidP="00BE487D">
      <w:pPr>
        <w:jc w:val="both"/>
      </w:pPr>
    </w:p>
    <w:p w14:paraId="4E72E58D" w14:textId="77777777" w:rsidR="00857D5E" w:rsidRPr="00133401" w:rsidRDefault="00316051" w:rsidP="00BE487D">
      <w:pPr>
        <w:jc w:val="both"/>
      </w:pPr>
      <w:r w:rsidRPr="00133401">
        <w:lastRenderedPageBreak/>
        <w:t>P</w:t>
      </w:r>
      <w:r w:rsidR="00FA5483" w:rsidRPr="00133401">
        <w:t>rilikom</w:t>
      </w:r>
      <w:r w:rsidRPr="00133401">
        <w:t xml:space="preserve"> </w:t>
      </w:r>
      <w:r w:rsidR="00FA5483" w:rsidRPr="00133401">
        <w:t>prikaza i usporedbe državnih potpora s osnovnim makroekonomskim pokazateljima</w:t>
      </w:r>
      <w:r w:rsidRPr="00133401">
        <w:t>, Ministarstvo financija</w:t>
      </w:r>
      <w:r w:rsidR="00FA5483" w:rsidRPr="00133401">
        <w:t xml:space="preserve"> koristi određene podatke koji se temelje na podacima Državnog zavoda za statistiku, Hrvatske narodne banke te ostalim podacima, dok se </w:t>
      </w:r>
      <w:r w:rsidR="00FA5483" w:rsidRPr="00133401">
        <w:rPr>
          <w:bCs/>
        </w:rPr>
        <w:t xml:space="preserve">metodologija </w:t>
      </w:r>
      <w:r w:rsidR="00FA5483" w:rsidRPr="00133401">
        <w:t xml:space="preserve">analitičkog prikaza državnih potpora temelji na metodologiji koju koristi i Europska komisija </w:t>
      </w:r>
      <w:r w:rsidRPr="00133401">
        <w:t xml:space="preserve">kod </w:t>
      </w:r>
      <w:r w:rsidR="00FA5483" w:rsidRPr="00133401">
        <w:t>izrad</w:t>
      </w:r>
      <w:r w:rsidRPr="00133401">
        <w:t>e</w:t>
      </w:r>
      <w:r w:rsidR="00FA5483" w:rsidRPr="00133401">
        <w:t xml:space="preserve"> i iskazivanj</w:t>
      </w:r>
      <w:r w:rsidRPr="00133401">
        <w:t>a</w:t>
      </w:r>
      <w:r w:rsidR="00FA5483" w:rsidRPr="00133401">
        <w:t xml:space="preserve"> podataka o državnim potporama u EU</w:t>
      </w:r>
      <w:r w:rsidR="00FA5483" w:rsidRPr="00133401">
        <w:rPr>
          <w:rStyle w:val="FootnoteReference"/>
        </w:rPr>
        <w:footnoteReference w:id="10"/>
      </w:r>
      <w:r w:rsidR="00FA5483" w:rsidRPr="00133401">
        <w:t xml:space="preserve">. </w:t>
      </w:r>
    </w:p>
    <w:p w14:paraId="28DD2492" w14:textId="77777777" w:rsidR="00BE487D" w:rsidRPr="00133401" w:rsidRDefault="00BE487D" w:rsidP="00BE487D">
      <w:pPr>
        <w:jc w:val="both"/>
      </w:pPr>
    </w:p>
    <w:p w14:paraId="46D0C06B" w14:textId="77777777" w:rsidR="00A06CD1" w:rsidRPr="00133401" w:rsidRDefault="00A06CD1" w:rsidP="00BE487D">
      <w:pPr>
        <w:jc w:val="both"/>
      </w:pPr>
    </w:p>
    <w:p w14:paraId="5172985F" w14:textId="77777777" w:rsidR="00BE487D" w:rsidRPr="00133401" w:rsidRDefault="00BE487D" w:rsidP="00BE487D">
      <w:pPr>
        <w:jc w:val="both"/>
      </w:pPr>
    </w:p>
    <w:p w14:paraId="344C43A3" w14:textId="0ED77CB2" w:rsidR="00BE0817" w:rsidRPr="00133401" w:rsidRDefault="004A6A61" w:rsidP="00CC1887">
      <w:pPr>
        <w:pStyle w:val="Heading2"/>
        <w:ind w:left="811" w:hanging="454"/>
      </w:pPr>
      <w:r w:rsidRPr="00133401">
        <w:t xml:space="preserve"> </w:t>
      </w:r>
      <w:bookmarkStart w:id="3" w:name="_Toc184635834"/>
      <w:r w:rsidR="00857D5E" w:rsidRPr="00133401">
        <w:t>METODOLOGIJA PRIKAZA PODATAKA O DRŽAVNIM POTPORAMA</w:t>
      </w:r>
      <w:bookmarkEnd w:id="3"/>
    </w:p>
    <w:p w14:paraId="6CCB96DC" w14:textId="77777777" w:rsidR="00857D5E" w:rsidRPr="00133401" w:rsidRDefault="00857D5E" w:rsidP="00BE487D">
      <w:pPr>
        <w:jc w:val="both"/>
      </w:pPr>
    </w:p>
    <w:p w14:paraId="59675D2C" w14:textId="77777777" w:rsidR="00857D5E" w:rsidRPr="00133401" w:rsidRDefault="00857D5E" w:rsidP="00BE487D">
      <w:pPr>
        <w:jc w:val="both"/>
      </w:pPr>
    </w:p>
    <w:p w14:paraId="6D6E4682" w14:textId="77777777" w:rsidR="00FA5483" w:rsidRPr="00133401" w:rsidRDefault="007C38D2" w:rsidP="00BE487D">
      <w:pPr>
        <w:jc w:val="both"/>
      </w:pPr>
      <w:r w:rsidRPr="00133401">
        <w:t>Državne p</w:t>
      </w:r>
      <w:r w:rsidR="00FA5483" w:rsidRPr="00133401">
        <w:t xml:space="preserve">otpore </w:t>
      </w:r>
      <w:r w:rsidRPr="00133401">
        <w:t xml:space="preserve">(u daljnjem tekstu: potpore) </w:t>
      </w:r>
      <w:r w:rsidR="00FA5483" w:rsidRPr="00133401">
        <w:t>se prema metodologiji analitičkog prikaza dijele na dvije osnovne kategorije:</w:t>
      </w:r>
    </w:p>
    <w:p w14:paraId="3A93EE26" w14:textId="77777777" w:rsidR="00FA5483" w:rsidRPr="00133401" w:rsidRDefault="00FA5483" w:rsidP="00BE487D">
      <w:pPr>
        <w:pStyle w:val="ListParagraph"/>
        <w:numPr>
          <w:ilvl w:val="0"/>
          <w:numId w:val="6"/>
        </w:numPr>
        <w:jc w:val="both"/>
        <w:rPr>
          <w:bCs/>
        </w:rPr>
      </w:pPr>
      <w:r w:rsidRPr="00133401">
        <w:rPr>
          <w:bCs/>
        </w:rPr>
        <w:t xml:space="preserve">potpore poljoprivredi i ribarstvu i </w:t>
      </w:r>
    </w:p>
    <w:p w14:paraId="58240AA2" w14:textId="77777777" w:rsidR="00FA5483" w:rsidRPr="00133401" w:rsidRDefault="00FA5483" w:rsidP="00BE487D">
      <w:pPr>
        <w:pStyle w:val="ListParagraph"/>
        <w:numPr>
          <w:ilvl w:val="0"/>
          <w:numId w:val="6"/>
        </w:numPr>
        <w:jc w:val="both"/>
        <w:rPr>
          <w:bCs/>
        </w:rPr>
      </w:pPr>
      <w:r w:rsidRPr="00133401">
        <w:rPr>
          <w:bCs/>
        </w:rPr>
        <w:t>potpore industriji i uslugama.</w:t>
      </w:r>
    </w:p>
    <w:p w14:paraId="79B8D917" w14:textId="77777777" w:rsidR="00FA5483" w:rsidRPr="00133401" w:rsidRDefault="00FA5483" w:rsidP="00BE487D">
      <w:pPr>
        <w:jc w:val="both"/>
        <w:rPr>
          <w:bCs/>
        </w:rPr>
      </w:pPr>
    </w:p>
    <w:p w14:paraId="436D4B4E" w14:textId="77777777" w:rsidR="00FA5483" w:rsidRPr="00133401" w:rsidRDefault="00FA5483" w:rsidP="00BE487D">
      <w:pPr>
        <w:jc w:val="both"/>
      </w:pPr>
      <w:r w:rsidRPr="00CC1887">
        <w:rPr>
          <w:u w:val="single"/>
        </w:rPr>
        <w:t xml:space="preserve">Potpore </w:t>
      </w:r>
      <w:r w:rsidR="00735B62" w:rsidRPr="00CC1887">
        <w:rPr>
          <w:u w:val="single"/>
        </w:rPr>
        <w:t xml:space="preserve">se s obzirom na </w:t>
      </w:r>
      <w:r w:rsidRPr="00CC1887">
        <w:rPr>
          <w:u w:val="single"/>
        </w:rPr>
        <w:t>cilj</w:t>
      </w:r>
      <w:r w:rsidR="00753439" w:rsidRPr="00CC1887">
        <w:rPr>
          <w:u w:val="single"/>
        </w:rPr>
        <w:t xml:space="preserve"> dodjele</w:t>
      </w:r>
      <w:r w:rsidR="00735B62" w:rsidRPr="00133401">
        <w:t>,</w:t>
      </w:r>
      <w:r w:rsidRPr="00133401">
        <w:t xml:space="preserve"> dijele na potpore u sektoru poljoprivrede i ribarstva te na potpor</w:t>
      </w:r>
      <w:r w:rsidR="00735B62" w:rsidRPr="00133401">
        <w:t>e u sektoru industrije i usluga.</w:t>
      </w:r>
    </w:p>
    <w:p w14:paraId="52EEC43B" w14:textId="77777777" w:rsidR="00FA5483" w:rsidRPr="00133401" w:rsidRDefault="00FA5483" w:rsidP="00BE487D">
      <w:pPr>
        <w:jc w:val="both"/>
        <w:rPr>
          <w:bCs/>
        </w:rPr>
      </w:pPr>
    </w:p>
    <w:p w14:paraId="2CEADD8E" w14:textId="1EABBDEF" w:rsidR="00FA5483" w:rsidRPr="00133401" w:rsidRDefault="00FA5483" w:rsidP="00BE487D">
      <w:pPr>
        <w:jc w:val="both"/>
        <w:rPr>
          <w:bCs/>
        </w:rPr>
      </w:pPr>
      <w:r w:rsidRPr="00133401">
        <w:rPr>
          <w:bCs/>
          <w:u w:val="single"/>
        </w:rPr>
        <w:t xml:space="preserve">Potpore u </w:t>
      </w:r>
      <w:r w:rsidR="00735B62" w:rsidRPr="00133401">
        <w:rPr>
          <w:u w:val="single"/>
        </w:rPr>
        <w:t xml:space="preserve">sektoru </w:t>
      </w:r>
      <w:r w:rsidRPr="00133401">
        <w:rPr>
          <w:bCs/>
          <w:u w:val="single"/>
        </w:rPr>
        <w:t>industrij</w:t>
      </w:r>
      <w:r w:rsidR="001372D2" w:rsidRPr="00133401">
        <w:rPr>
          <w:bCs/>
          <w:u w:val="single"/>
        </w:rPr>
        <w:t>e</w:t>
      </w:r>
      <w:r w:rsidRPr="00133401">
        <w:rPr>
          <w:bCs/>
          <w:u w:val="single"/>
        </w:rPr>
        <w:t xml:space="preserve"> i usluga</w:t>
      </w:r>
      <w:r w:rsidRPr="00133401">
        <w:rPr>
          <w:bCs/>
        </w:rPr>
        <w:t xml:space="preserve"> se s obzirom </w:t>
      </w:r>
      <w:r w:rsidR="00873718" w:rsidRPr="00133401">
        <w:rPr>
          <w:bCs/>
        </w:rPr>
        <w:t>na</w:t>
      </w:r>
      <w:r w:rsidRPr="00133401">
        <w:rPr>
          <w:bCs/>
        </w:rPr>
        <w:t xml:space="preserve"> cilj dijele na horizontalne potpore</w:t>
      </w:r>
      <w:r w:rsidR="00735B62" w:rsidRPr="00133401">
        <w:rPr>
          <w:bCs/>
        </w:rPr>
        <w:t xml:space="preserve"> (u užem smislu)</w:t>
      </w:r>
      <w:r w:rsidRPr="00133401">
        <w:rPr>
          <w:bCs/>
        </w:rPr>
        <w:t xml:space="preserve">, sektorske potpore, regionalne potpore, potpore na razini jedinica lokalne i područne (regionalne) samouprave te potpore u svrhu podrške gospodarstvu u aktualnoj </w:t>
      </w:r>
      <w:proofErr w:type="spellStart"/>
      <w:r w:rsidRPr="00133401">
        <w:rPr>
          <w:bCs/>
        </w:rPr>
        <w:t>pandemiji</w:t>
      </w:r>
      <w:proofErr w:type="spellEnd"/>
      <w:r w:rsidRPr="00133401">
        <w:rPr>
          <w:bCs/>
        </w:rPr>
        <w:t xml:space="preserve"> COVID-19</w:t>
      </w:r>
      <w:r w:rsidR="00336EEC" w:rsidRPr="00133401">
        <w:rPr>
          <w:bCs/>
        </w:rPr>
        <w:t xml:space="preserve"> i suzbijanja učinaka ruske agresije na Ukrajinu</w:t>
      </w:r>
      <w:r w:rsidRPr="00133401">
        <w:rPr>
          <w:bCs/>
        </w:rPr>
        <w:t>.</w:t>
      </w:r>
    </w:p>
    <w:p w14:paraId="49426D6C" w14:textId="77777777" w:rsidR="00FA5483" w:rsidRPr="00133401" w:rsidRDefault="00FA5483" w:rsidP="00BE487D">
      <w:pPr>
        <w:jc w:val="both"/>
        <w:rPr>
          <w:bCs/>
        </w:rPr>
      </w:pPr>
    </w:p>
    <w:p w14:paraId="146CA419" w14:textId="77777777" w:rsidR="00FA5483" w:rsidRPr="00133401" w:rsidRDefault="00FA5483" w:rsidP="00BE487D">
      <w:pPr>
        <w:jc w:val="both"/>
        <w:rPr>
          <w:bCs/>
        </w:rPr>
      </w:pPr>
      <w:r w:rsidRPr="00133401">
        <w:rPr>
          <w:bCs/>
          <w:u w:val="single"/>
        </w:rPr>
        <w:t xml:space="preserve">Horizontalne potpore </w:t>
      </w:r>
      <w:r w:rsidR="007765BA" w:rsidRPr="00133401">
        <w:rPr>
          <w:bCs/>
          <w:u w:val="single"/>
        </w:rPr>
        <w:t>u užem smislu</w:t>
      </w:r>
      <w:r w:rsidR="007765BA" w:rsidRPr="00133401">
        <w:rPr>
          <w:bCs/>
        </w:rPr>
        <w:t xml:space="preserve"> </w:t>
      </w:r>
      <w:r w:rsidRPr="00133401">
        <w:rPr>
          <w:bCs/>
        </w:rPr>
        <w:t>su potpore za istraživanje i razvoj i inovacije, male i srednje poduzetnike, sanaciju i restrukturiranje, zapošljavanje, usavršavanje, kulturu i zaštitu baštine, rizični kapital te ostale horizontalne ciljeve.</w:t>
      </w:r>
    </w:p>
    <w:p w14:paraId="26E02116" w14:textId="77777777" w:rsidR="00FA5483" w:rsidRPr="00133401" w:rsidRDefault="00FA5483" w:rsidP="00BE487D">
      <w:pPr>
        <w:jc w:val="both"/>
        <w:rPr>
          <w:bCs/>
        </w:rPr>
      </w:pPr>
    </w:p>
    <w:p w14:paraId="7F61FFD6" w14:textId="00C89864" w:rsidR="00FA5483" w:rsidRPr="00133401" w:rsidRDefault="00FA5483" w:rsidP="00BE487D">
      <w:pPr>
        <w:jc w:val="both"/>
        <w:rPr>
          <w:bCs/>
        </w:rPr>
      </w:pPr>
      <w:r w:rsidRPr="00133401">
        <w:rPr>
          <w:bCs/>
          <w:u w:val="single"/>
        </w:rPr>
        <w:t>Sektorske potpore</w:t>
      </w:r>
      <w:r w:rsidRPr="00133401">
        <w:rPr>
          <w:bCs/>
        </w:rPr>
        <w:t xml:space="preserve"> </w:t>
      </w:r>
      <w:r w:rsidR="00133401" w:rsidRPr="00133401">
        <w:rPr>
          <w:bCs/>
        </w:rPr>
        <w:t>su potpore</w:t>
      </w:r>
      <w:r w:rsidR="00133401">
        <w:rPr>
          <w:bCs/>
        </w:rPr>
        <w:t xml:space="preserve"> </w:t>
      </w:r>
      <w:r w:rsidR="00274C38" w:rsidRPr="00133401">
        <w:rPr>
          <w:bCs/>
        </w:rPr>
        <w:t>na koje se prilikom dodjele primjenjuju</w:t>
      </w:r>
      <w:r w:rsidRPr="00133401">
        <w:rPr>
          <w:bCs/>
        </w:rPr>
        <w:t xml:space="preserve"> posebna sektorska pravila o potporama, </w:t>
      </w:r>
      <w:r w:rsidR="00133401">
        <w:rPr>
          <w:bCs/>
        </w:rPr>
        <w:t>te</w:t>
      </w:r>
      <w:r w:rsidRPr="00133401">
        <w:rPr>
          <w:bCs/>
        </w:rPr>
        <w:t xml:space="preserve"> se odnose na sektore i djelatnosti</w:t>
      </w:r>
      <w:r w:rsidR="00133401">
        <w:rPr>
          <w:bCs/>
        </w:rPr>
        <w:t xml:space="preserve"> kao što su</w:t>
      </w:r>
      <w:r w:rsidRPr="00133401">
        <w:rPr>
          <w:bCs/>
        </w:rPr>
        <w:t>: kopneni promet (cestovni, željeznički i unutarnji plovni promet), pomorski promet, zračni promet, brodogradnja, turizam, financijske i poštanske usluge, sanacij</w:t>
      </w:r>
      <w:r w:rsidR="00133401">
        <w:rPr>
          <w:bCs/>
        </w:rPr>
        <w:t>a</w:t>
      </w:r>
      <w:r w:rsidRPr="00133401">
        <w:rPr>
          <w:bCs/>
        </w:rPr>
        <w:t xml:space="preserve"> i restrukturiranje poduzetnika u teškoćama (pojedinačne potpore), kinematografija i ostala audiovizualna djelatnost, javne radiodifuzijske usluge, poštanske usluge, zaštit</w:t>
      </w:r>
      <w:r w:rsidR="00133401">
        <w:rPr>
          <w:bCs/>
        </w:rPr>
        <w:t>a</w:t>
      </w:r>
      <w:r w:rsidRPr="00133401">
        <w:rPr>
          <w:bCs/>
        </w:rPr>
        <w:t xml:space="preserve"> okoliša i ušted</w:t>
      </w:r>
      <w:r w:rsidR="00133401">
        <w:rPr>
          <w:bCs/>
        </w:rPr>
        <w:t>a</w:t>
      </w:r>
      <w:r w:rsidRPr="00133401">
        <w:rPr>
          <w:bCs/>
        </w:rPr>
        <w:t xml:space="preserve"> energije, razvoj širokopojasnih mreža i sl.</w:t>
      </w:r>
    </w:p>
    <w:p w14:paraId="6DA0B372" w14:textId="77777777" w:rsidR="00FA5483" w:rsidRPr="00133401" w:rsidRDefault="00FA5483" w:rsidP="00BE487D">
      <w:pPr>
        <w:jc w:val="both"/>
        <w:rPr>
          <w:bCs/>
        </w:rPr>
      </w:pPr>
    </w:p>
    <w:p w14:paraId="4910FC3F" w14:textId="13599D9A" w:rsidR="00FA5483" w:rsidRPr="00133401" w:rsidRDefault="00FA5483" w:rsidP="00BE487D">
      <w:pPr>
        <w:jc w:val="both"/>
        <w:rPr>
          <w:bCs/>
        </w:rPr>
      </w:pPr>
      <w:r w:rsidRPr="00133401">
        <w:rPr>
          <w:bCs/>
          <w:u w:val="single"/>
        </w:rPr>
        <w:t>Regionalne potpore</w:t>
      </w:r>
      <w:r w:rsidR="00133401">
        <w:rPr>
          <w:bCs/>
        </w:rPr>
        <w:t xml:space="preserve"> su</w:t>
      </w:r>
      <w:r w:rsidRPr="00133401">
        <w:rPr>
          <w:bCs/>
        </w:rPr>
        <w:t xml:space="preserve"> </w:t>
      </w:r>
      <w:r w:rsidR="00343D65" w:rsidRPr="00133401">
        <w:t xml:space="preserve">namijenjene za poticanje gospodarskog razvoja slabije razvijenih regija koje su utvrđene kartom regionalnih potpora, </w:t>
      </w:r>
      <w:r w:rsidR="00133401">
        <w:t xml:space="preserve">a </w:t>
      </w:r>
      <w:r w:rsidR="00343D65" w:rsidRPr="00133401">
        <w:rPr>
          <w:bCs/>
        </w:rPr>
        <w:t xml:space="preserve">prikazane su kao posebna kategorija na način predviđen metodologijom EU. Navedene </w:t>
      </w:r>
      <w:r w:rsidRPr="00133401">
        <w:t>potpore</w:t>
      </w:r>
      <w:r w:rsidRPr="00133401">
        <w:rPr>
          <w:bCs/>
        </w:rPr>
        <w:t xml:space="preserve"> </w:t>
      </w:r>
      <w:r w:rsidR="00343D65" w:rsidRPr="00133401">
        <w:rPr>
          <w:bCs/>
        </w:rPr>
        <w:t xml:space="preserve">pripadaju </w:t>
      </w:r>
      <w:r w:rsidRPr="00133401">
        <w:rPr>
          <w:bCs/>
        </w:rPr>
        <w:t>po ciljevima odnosno kategoriji namjen</w:t>
      </w:r>
      <w:r w:rsidR="00343D65" w:rsidRPr="00133401">
        <w:rPr>
          <w:bCs/>
        </w:rPr>
        <w:t>e</w:t>
      </w:r>
      <w:r w:rsidRPr="00133401">
        <w:rPr>
          <w:bCs/>
        </w:rPr>
        <w:t xml:space="preserve"> </w:t>
      </w:r>
      <w:r w:rsidR="00343D65" w:rsidRPr="00133401">
        <w:rPr>
          <w:bCs/>
        </w:rPr>
        <w:t>u</w:t>
      </w:r>
      <w:r w:rsidRPr="00133401">
        <w:rPr>
          <w:bCs/>
        </w:rPr>
        <w:t xml:space="preserve"> horizontalne potpore </w:t>
      </w:r>
      <w:r w:rsidR="00343D65" w:rsidRPr="00133401">
        <w:t>te</w:t>
      </w:r>
      <w:r w:rsidRPr="00133401">
        <w:rPr>
          <w:bCs/>
        </w:rPr>
        <w:t xml:space="preserve"> su u jednom dijelu Izvješća i prikazane unutar </w:t>
      </w:r>
      <w:r w:rsidR="00133401">
        <w:rPr>
          <w:bCs/>
        </w:rPr>
        <w:t>istih</w:t>
      </w:r>
      <w:r w:rsidRPr="00133401">
        <w:rPr>
          <w:bCs/>
        </w:rPr>
        <w:t xml:space="preserve">. </w:t>
      </w:r>
    </w:p>
    <w:p w14:paraId="2BA9E304" w14:textId="77777777" w:rsidR="00FA5483" w:rsidRPr="00133401" w:rsidRDefault="00FA5483" w:rsidP="00BE487D">
      <w:pPr>
        <w:jc w:val="both"/>
        <w:rPr>
          <w:bCs/>
        </w:rPr>
      </w:pPr>
    </w:p>
    <w:p w14:paraId="2F76DA09" w14:textId="77777777" w:rsidR="00FA5483" w:rsidRPr="00133401" w:rsidRDefault="00FA5483" w:rsidP="00BE487D">
      <w:pPr>
        <w:jc w:val="both"/>
      </w:pPr>
      <w:r w:rsidRPr="00133401">
        <w:rPr>
          <w:bCs/>
          <w:u w:val="single"/>
        </w:rPr>
        <w:t>Potpore na razini jedinica lokalne i područne (regionalne) samouprave</w:t>
      </w:r>
      <w:r w:rsidRPr="00133401">
        <w:rPr>
          <w:bCs/>
        </w:rPr>
        <w:t xml:space="preserve"> su prikazane kao posebna kategorija radi dobivanja uvida u korištenje i </w:t>
      </w:r>
      <w:r w:rsidRPr="00133401">
        <w:t>namjen</w:t>
      </w:r>
      <w:r w:rsidR="00647964" w:rsidRPr="00133401">
        <w:t>u</w:t>
      </w:r>
      <w:r w:rsidRPr="00133401">
        <w:t xml:space="preserve"> potpora dodijeljenih na lokalnoj razini, a koje </w:t>
      </w:r>
      <w:r w:rsidRPr="00133401">
        <w:rPr>
          <w:bCs/>
        </w:rPr>
        <w:t xml:space="preserve">po ciljevima odnosno kategorijama </w:t>
      </w:r>
      <w:r w:rsidR="00343D65" w:rsidRPr="00133401">
        <w:rPr>
          <w:bCs/>
        </w:rPr>
        <w:t>n</w:t>
      </w:r>
      <w:r w:rsidRPr="00133401">
        <w:rPr>
          <w:bCs/>
        </w:rPr>
        <w:t>amjen</w:t>
      </w:r>
      <w:r w:rsidR="00343D65" w:rsidRPr="00133401">
        <w:rPr>
          <w:bCs/>
        </w:rPr>
        <w:t>e</w:t>
      </w:r>
      <w:r w:rsidRPr="00133401">
        <w:rPr>
          <w:bCs/>
        </w:rPr>
        <w:t xml:space="preserve"> mogu pripadati u horizontalne potpore</w:t>
      </w:r>
      <w:r w:rsidR="00343D65" w:rsidRPr="00133401">
        <w:rPr>
          <w:bCs/>
        </w:rPr>
        <w:t xml:space="preserve"> te</w:t>
      </w:r>
      <w:r w:rsidRPr="00133401">
        <w:rPr>
          <w:bCs/>
        </w:rPr>
        <w:t xml:space="preserve"> su u jednom dijelu Izvješća </w:t>
      </w:r>
      <w:r w:rsidR="00343D65" w:rsidRPr="00133401">
        <w:rPr>
          <w:bCs/>
        </w:rPr>
        <w:t xml:space="preserve">i prikazane </w:t>
      </w:r>
      <w:r w:rsidRPr="00133401">
        <w:rPr>
          <w:bCs/>
        </w:rPr>
        <w:t>unutar horizontalnih potpora</w:t>
      </w:r>
      <w:r w:rsidRPr="00133401">
        <w:t>.</w:t>
      </w:r>
    </w:p>
    <w:p w14:paraId="7D974CFA" w14:textId="0CB83C43" w:rsidR="00FA5483" w:rsidRPr="00133401" w:rsidRDefault="00FA5483" w:rsidP="00BE487D">
      <w:pPr>
        <w:jc w:val="both"/>
      </w:pPr>
    </w:p>
    <w:p w14:paraId="30711E7D" w14:textId="7CED2BB0" w:rsidR="00FA5483" w:rsidRPr="00133401" w:rsidRDefault="00FA5483" w:rsidP="00BE487D">
      <w:pPr>
        <w:jc w:val="both"/>
      </w:pPr>
      <w:r w:rsidRPr="00133401">
        <w:rPr>
          <w:bCs/>
          <w:u w:val="single"/>
        </w:rPr>
        <w:t xml:space="preserve">Potpore u svrhu podrške gospodarstvu u aktualnoj </w:t>
      </w:r>
      <w:proofErr w:type="spellStart"/>
      <w:r w:rsidRPr="00133401">
        <w:rPr>
          <w:bCs/>
          <w:u w:val="single"/>
        </w:rPr>
        <w:t>pandemiji</w:t>
      </w:r>
      <w:proofErr w:type="spellEnd"/>
      <w:r w:rsidRPr="00133401">
        <w:rPr>
          <w:bCs/>
          <w:u w:val="single"/>
        </w:rPr>
        <w:t xml:space="preserve"> COVID-19</w:t>
      </w:r>
      <w:r w:rsidR="00336EEC" w:rsidRPr="00133401">
        <w:rPr>
          <w:bCs/>
          <w:u w:val="single"/>
        </w:rPr>
        <w:t xml:space="preserve"> i za suzbijanje učinaka ruske agresije na Ukrajinu</w:t>
      </w:r>
      <w:r w:rsidRPr="00133401">
        <w:rPr>
          <w:bCs/>
        </w:rPr>
        <w:t xml:space="preserve"> prikazane </w:t>
      </w:r>
      <w:r w:rsidR="00336EEC" w:rsidRPr="00133401">
        <w:rPr>
          <w:bCs/>
        </w:rPr>
        <w:t xml:space="preserve">su </w:t>
      </w:r>
      <w:r w:rsidRPr="00133401">
        <w:rPr>
          <w:bCs/>
        </w:rPr>
        <w:t xml:space="preserve">kao posebna kategorija </w:t>
      </w:r>
      <w:r w:rsidR="00133401">
        <w:rPr>
          <w:bCs/>
        </w:rPr>
        <w:t>zbog</w:t>
      </w:r>
      <w:r w:rsidRPr="00133401">
        <w:rPr>
          <w:bCs/>
        </w:rPr>
        <w:t xml:space="preserve"> situacije u kojoj se nalazi</w:t>
      </w:r>
      <w:r w:rsidR="00873718" w:rsidRPr="00133401">
        <w:rPr>
          <w:bCs/>
        </w:rPr>
        <w:t>lo</w:t>
      </w:r>
      <w:r w:rsidRPr="00133401">
        <w:rPr>
          <w:bCs/>
        </w:rPr>
        <w:t xml:space="preserve"> </w:t>
      </w:r>
      <w:r w:rsidRPr="00133401">
        <w:rPr>
          <w:bCs/>
        </w:rPr>
        <w:lastRenderedPageBreak/>
        <w:t>gospodarstvo</w:t>
      </w:r>
      <w:r w:rsidR="00873718" w:rsidRPr="00133401">
        <w:rPr>
          <w:bCs/>
        </w:rPr>
        <w:t xml:space="preserve"> </w:t>
      </w:r>
      <w:r w:rsidR="00133401">
        <w:rPr>
          <w:bCs/>
        </w:rPr>
        <w:t>nakon</w:t>
      </w:r>
      <w:r w:rsidR="00873718" w:rsidRPr="00133401">
        <w:rPr>
          <w:bCs/>
        </w:rPr>
        <w:t xml:space="preserve"> učinaka </w:t>
      </w:r>
      <w:proofErr w:type="spellStart"/>
      <w:r w:rsidR="00873718" w:rsidRPr="00133401">
        <w:rPr>
          <w:bCs/>
        </w:rPr>
        <w:t>pandemije</w:t>
      </w:r>
      <w:proofErr w:type="spellEnd"/>
      <w:r w:rsidR="00336EEC" w:rsidRPr="00133401">
        <w:rPr>
          <w:bCs/>
        </w:rPr>
        <w:t>, a kasnije i ruske agresije na Ukrajinu</w:t>
      </w:r>
      <w:r w:rsidR="007765BA" w:rsidRPr="00133401">
        <w:rPr>
          <w:bCs/>
        </w:rPr>
        <w:t xml:space="preserve">, </w:t>
      </w:r>
      <w:r w:rsidR="00343D65" w:rsidRPr="00133401">
        <w:rPr>
          <w:bCs/>
        </w:rPr>
        <w:t xml:space="preserve">a </w:t>
      </w:r>
      <w:r w:rsidR="00FC78EE" w:rsidRPr="00133401">
        <w:rPr>
          <w:bCs/>
        </w:rPr>
        <w:t xml:space="preserve">za njihovu dodjelu </w:t>
      </w:r>
      <w:r w:rsidR="00336EEC" w:rsidRPr="00133401">
        <w:rPr>
          <w:bCs/>
        </w:rPr>
        <w:t>primjenjuju se posebna pravila sadržana u privremenim okvirima</w:t>
      </w:r>
      <w:r w:rsidR="009F74DA" w:rsidRPr="00133401">
        <w:rPr>
          <w:bCs/>
        </w:rPr>
        <w:t>.</w:t>
      </w:r>
    </w:p>
    <w:p w14:paraId="7EAB6B10" w14:textId="77777777" w:rsidR="00FA5483" w:rsidRPr="00133401" w:rsidRDefault="00FA5483" w:rsidP="00BE487D">
      <w:pPr>
        <w:jc w:val="both"/>
      </w:pPr>
    </w:p>
    <w:p w14:paraId="113733DC" w14:textId="2EF43F0F" w:rsidR="00FA5483" w:rsidRPr="00133401" w:rsidRDefault="00FA5483" w:rsidP="00BE487D">
      <w:pPr>
        <w:jc w:val="both"/>
      </w:pPr>
      <w:r w:rsidRPr="00133401">
        <w:rPr>
          <w:u w:val="single"/>
        </w:rPr>
        <w:t>Potpore male vrijednosti</w:t>
      </w:r>
      <w:r w:rsidRPr="00133401">
        <w:rPr>
          <w:b/>
        </w:rPr>
        <w:t xml:space="preserve"> </w:t>
      </w:r>
      <w:r w:rsidRPr="00133401">
        <w:t xml:space="preserve">odnosno </w:t>
      </w:r>
      <w:r w:rsidRPr="00133401">
        <w:rPr>
          <w:i/>
        </w:rPr>
        <w:t>de minimis</w:t>
      </w:r>
      <w:r w:rsidRPr="00133401">
        <w:t xml:space="preserve"> potpore</w:t>
      </w:r>
      <w:r w:rsidR="00133401">
        <w:t>,</w:t>
      </w:r>
      <w:r w:rsidRPr="00133401">
        <w:rPr>
          <w:b/>
        </w:rPr>
        <w:t xml:space="preserve"> </w:t>
      </w:r>
      <w:r w:rsidRPr="00133401">
        <w:t>s obzirom da se ne smatraju državnim potporama u smislu Zakona, odnosno u smislu članka 107. stavka 1. UFEU-a</w:t>
      </w:r>
      <w:r w:rsidR="00133401">
        <w:t>,</w:t>
      </w:r>
      <w:r w:rsidR="00133401" w:rsidRPr="00133401">
        <w:t xml:space="preserve"> prikazane su zasebno</w:t>
      </w:r>
      <w:r w:rsidR="00FC78EE" w:rsidRPr="00133401">
        <w:t>. Potpore male vrijednosti</w:t>
      </w:r>
      <w:r w:rsidRPr="00133401">
        <w:t xml:space="preserve"> </w:t>
      </w:r>
      <w:r w:rsidR="00343D65" w:rsidRPr="00133401">
        <w:t xml:space="preserve">su </w:t>
      </w:r>
      <w:r w:rsidRPr="00133401">
        <w:t xml:space="preserve">prikazane u Izvješću </w:t>
      </w:r>
      <w:r w:rsidR="00343D65" w:rsidRPr="00133401">
        <w:t xml:space="preserve">zbog </w:t>
      </w:r>
      <w:r w:rsidRPr="00133401">
        <w:t>velik</w:t>
      </w:r>
      <w:r w:rsidR="00343D65" w:rsidRPr="00133401">
        <w:t>og</w:t>
      </w:r>
      <w:r w:rsidRPr="00133401">
        <w:t xml:space="preserve"> broj</w:t>
      </w:r>
      <w:r w:rsidR="00343D65" w:rsidRPr="00133401">
        <w:t>a</w:t>
      </w:r>
      <w:r w:rsidRPr="00133401">
        <w:t xml:space="preserve"> davatelja potpora male vrijednosti </w:t>
      </w:r>
      <w:r w:rsidR="00FC78EE" w:rsidRPr="00133401">
        <w:t xml:space="preserve">kako </w:t>
      </w:r>
      <w:r w:rsidRPr="00133401">
        <w:t xml:space="preserve">na </w:t>
      </w:r>
      <w:r w:rsidR="00343D65" w:rsidRPr="00133401">
        <w:t>centralnoj</w:t>
      </w:r>
      <w:r w:rsidR="000445F2" w:rsidRPr="00133401">
        <w:t xml:space="preserve"> </w:t>
      </w:r>
      <w:r w:rsidR="00FC78EE" w:rsidRPr="00133401">
        <w:t xml:space="preserve">tako i </w:t>
      </w:r>
      <w:r w:rsidRPr="00133401">
        <w:t>na lokalnoj</w:t>
      </w:r>
      <w:r w:rsidR="00343D65" w:rsidRPr="00133401">
        <w:t xml:space="preserve"> </w:t>
      </w:r>
      <w:r w:rsidRPr="00133401">
        <w:t>razini</w:t>
      </w:r>
      <w:r w:rsidR="00CC1887">
        <w:t>, te također velikog broja korisnika istih</w:t>
      </w:r>
      <w:r w:rsidR="00873718" w:rsidRPr="00133401">
        <w:t>.</w:t>
      </w:r>
      <w:r w:rsidRPr="00133401">
        <w:t xml:space="preserve"> </w:t>
      </w:r>
      <w:r w:rsidR="00343D65" w:rsidRPr="00133401">
        <w:t xml:space="preserve">Za navedene potpore vrijede posebna pravila </w:t>
      </w:r>
      <w:r w:rsidR="00CC1887">
        <w:t xml:space="preserve">te se podaci o istima nalaze u </w:t>
      </w:r>
      <w:r w:rsidR="00343D65" w:rsidRPr="00133401">
        <w:t>dijelu Izvješća</w:t>
      </w:r>
      <w:r w:rsidR="005B21E3" w:rsidRPr="00133401">
        <w:t xml:space="preserve"> </w:t>
      </w:r>
      <w:r w:rsidR="00873718" w:rsidRPr="00133401">
        <w:t>pod nazivom</w:t>
      </w:r>
      <w:r w:rsidR="009F405B" w:rsidRPr="00133401">
        <w:t xml:space="preserve"> </w:t>
      </w:r>
      <w:r w:rsidR="005B21E3" w:rsidRPr="00133401">
        <w:t>Potpore male vrijednosti.</w:t>
      </w:r>
    </w:p>
    <w:p w14:paraId="0DCD39E5" w14:textId="77777777" w:rsidR="00343D65" w:rsidRPr="00133401" w:rsidRDefault="00343D65" w:rsidP="00BE487D">
      <w:pPr>
        <w:jc w:val="both"/>
      </w:pPr>
    </w:p>
    <w:p w14:paraId="1532B7CC" w14:textId="77777777" w:rsidR="00FA5483" w:rsidRPr="00CC1887" w:rsidRDefault="00FA5483" w:rsidP="00BE487D">
      <w:pPr>
        <w:jc w:val="both"/>
        <w:rPr>
          <w:bCs/>
        </w:rPr>
      </w:pPr>
      <w:r w:rsidRPr="00CC1887">
        <w:rPr>
          <w:bCs/>
        </w:rPr>
        <w:t xml:space="preserve">Državne potpore </w:t>
      </w:r>
      <w:r w:rsidR="002F450B" w:rsidRPr="00CC1887">
        <w:rPr>
          <w:bCs/>
        </w:rPr>
        <w:t xml:space="preserve">i </w:t>
      </w:r>
      <w:r w:rsidRPr="00CC1887">
        <w:rPr>
          <w:bCs/>
        </w:rPr>
        <w:t xml:space="preserve">potpore male vrijednosti mogu se dodjeljivati putem </w:t>
      </w:r>
      <w:r w:rsidRPr="00CC1887">
        <w:rPr>
          <w:bCs/>
          <w:u w:val="single"/>
        </w:rPr>
        <w:t>različitih oblika ili instrumenata dodjele</w:t>
      </w:r>
      <w:r w:rsidRPr="00CC1887">
        <w:rPr>
          <w:bCs/>
        </w:rPr>
        <w:t xml:space="preserve"> kao što su: subvencije, neposredne subvencije kamata, porezna izuzeća </w:t>
      </w:r>
      <w:r w:rsidR="005B21E3" w:rsidRPr="00CC1887">
        <w:rPr>
          <w:bCs/>
        </w:rPr>
        <w:t xml:space="preserve">i olakšice </w:t>
      </w:r>
      <w:r w:rsidRPr="00CC1887">
        <w:rPr>
          <w:bCs/>
        </w:rPr>
        <w:t>(A), udjeli u vlasničkom kapitalu</w:t>
      </w:r>
      <w:r w:rsidR="000914F3" w:rsidRPr="00CC1887">
        <w:rPr>
          <w:bCs/>
        </w:rPr>
        <w:t xml:space="preserve">, </w:t>
      </w:r>
      <w:r w:rsidR="000914F3" w:rsidRPr="00CC1887">
        <w:t>kapitalna ulaganja</w:t>
      </w:r>
      <w:r w:rsidRPr="00CC1887">
        <w:rPr>
          <w:bCs/>
        </w:rPr>
        <w:t xml:space="preserve"> (B), financijski transferi</w:t>
      </w:r>
      <w:r w:rsidR="005B21E3" w:rsidRPr="00CC1887">
        <w:rPr>
          <w:bCs/>
        </w:rPr>
        <w:t>, povoljni zajmovi</w:t>
      </w:r>
      <w:r w:rsidR="000914F3" w:rsidRPr="00CC1887">
        <w:rPr>
          <w:bCs/>
        </w:rPr>
        <w:t xml:space="preserve">, </w:t>
      </w:r>
      <w:r w:rsidR="000914F3" w:rsidRPr="00CC1887">
        <w:t>zajmovi poduzetnicima u teškoćama</w:t>
      </w:r>
      <w:r w:rsidRPr="00CC1887">
        <w:rPr>
          <w:bCs/>
        </w:rPr>
        <w:t xml:space="preserve"> (C), izdana i aktivirana odnosno protestirana </w:t>
      </w:r>
      <w:r w:rsidR="000914F3" w:rsidRPr="00CC1887">
        <w:t xml:space="preserve">ili opozvana </w:t>
      </w:r>
      <w:r w:rsidRPr="00CC1887">
        <w:rPr>
          <w:bCs/>
        </w:rPr>
        <w:t>jamstva (D) te ostalo (E).</w:t>
      </w:r>
    </w:p>
    <w:p w14:paraId="55C1CA06" w14:textId="77777777" w:rsidR="00FA5483" w:rsidRPr="00CC1887" w:rsidRDefault="00FA5483" w:rsidP="00BE487D">
      <w:pPr>
        <w:jc w:val="both"/>
        <w:rPr>
          <w:bCs/>
        </w:rPr>
      </w:pPr>
    </w:p>
    <w:p w14:paraId="06703BDF" w14:textId="77777777" w:rsidR="00FA5483" w:rsidRPr="00CC1887" w:rsidRDefault="00FA5483" w:rsidP="00BE487D">
      <w:pPr>
        <w:jc w:val="both"/>
        <w:rPr>
          <w:bCs/>
        </w:rPr>
      </w:pPr>
      <w:r w:rsidRPr="00CC1887">
        <w:rPr>
          <w:bCs/>
        </w:rPr>
        <w:t>U Prilogu 2. ovoga Izvješća, prikazan je detaljan pregled kategorija potpora, a u Prilogu 3. pregled svih instrumenata putem kojih se potpore dodjeljuju.</w:t>
      </w:r>
    </w:p>
    <w:p w14:paraId="1AB59EE0" w14:textId="77777777" w:rsidR="00857D5E" w:rsidRPr="00CC1887" w:rsidRDefault="00857D5E" w:rsidP="00BE487D">
      <w:pPr>
        <w:jc w:val="both"/>
      </w:pPr>
    </w:p>
    <w:p w14:paraId="449CA814" w14:textId="77777777" w:rsidR="00857D5E" w:rsidRPr="00CC1887" w:rsidRDefault="00857D5E" w:rsidP="00BE487D">
      <w:pPr>
        <w:jc w:val="both"/>
      </w:pPr>
    </w:p>
    <w:p w14:paraId="48E8E3A7" w14:textId="77777777" w:rsidR="00857D5E" w:rsidRPr="00CC1887" w:rsidRDefault="00857D5E" w:rsidP="00BE487D">
      <w:pPr>
        <w:jc w:val="both"/>
      </w:pPr>
    </w:p>
    <w:p w14:paraId="29725616" w14:textId="6CE08195" w:rsidR="00BE0817" w:rsidRPr="00CC1887" w:rsidRDefault="00857D5E" w:rsidP="00CC1887">
      <w:pPr>
        <w:pStyle w:val="Heading2"/>
        <w:ind w:left="811" w:hanging="454"/>
      </w:pPr>
      <w:bookmarkStart w:id="4" w:name="_Toc184635835"/>
      <w:r w:rsidRPr="00CC1887">
        <w:t xml:space="preserve">SAŽETAK GODIŠNJEG IZVJEŠĆA O </w:t>
      </w:r>
      <w:r w:rsidR="00CC1887">
        <w:t xml:space="preserve">DODIJELJENIM </w:t>
      </w:r>
      <w:r w:rsidRPr="00CC1887">
        <w:t>DRŽAVNIM POTPORAMA ZA 20</w:t>
      </w:r>
      <w:r w:rsidR="00B20C9B" w:rsidRPr="00CC1887">
        <w:t>2</w:t>
      </w:r>
      <w:r w:rsidR="00CC1887" w:rsidRPr="00CC1887">
        <w:t>3</w:t>
      </w:r>
      <w:r w:rsidRPr="00CC1887">
        <w:t>. GODINU</w:t>
      </w:r>
      <w:bookmarkEnd w:id="4"/>
    </w:p>
    <w:p w14:paraId="225D4A5C" w14:textId="77777777" w:rsidR="00857D5E" w:rsidRPr="00CC1887" w:rsidRDefault="00857D5E" w:rsidP="00BE487D">
      <w:pPr>
        <w:jc w:val="both"/>
      </w:pPr>
    </w:p>
    <w:p w14:paraId="6FFA6005" w14:textId="77777777" w:rsidR="00857D5E" w:rsidRPr="00CC1887" w:rsidRDefault="00857D5E" w:rsidP="00BE487D">
      <w:pPr>
        <w:jc w:val="both"/>
      </w:pPr>
    </w:p>
    <w:p w14:paraId="73428D49" w14:textId="4EDD426A" w:rsidR="00DD505E" w:rsidRPr="002D2FBF" w:rsidRDefault="00FA2983" w:rsidP="00BE487D">
      <w:pPr>
        <w:jc w:val="both"/>
      </w:pPr>
      <w:r w:rsidRPr="002D2FBF">
        <w:rPr>
          <w:u w:val="single"/>
        </w:rPr>
        <w:t>Ukupne potpore</w:t>
      </w:r>
      <w:r w:rsidRPr="002D2FBF">
        <w:t xml:space="preserve"> </w:t>
      </w:r>
      <w:r>
        <w:t>u</w:t>
      </w:r>
      <w:r w:rsidR="002D2FBF" w:rsidRPr="002D2FBF">
        <w:t xml:space="preserve"> 2023. godini</w:t>
      </w:r>
      <w:r w:rsidR="002D2FBF" w:rsidRPr="002D2FBF">
        <w:rPr>
          <w:b/>
        </w:rPr>
        <w:t xml:space="preserve"> </w:t>
      </w:r>
      <w:r w:rsidR="00DD505E" w:rsidRPr="002D2FBF">
        <w:t>u Republici Hrvatskoj dodijeljene su u iznos</w:t>
      </w:r>
      <w:r w:rsidR="00FA5483" w:rsidRPr="002D2FBF">
        <w:t xml:space="preserve">u od </w:t>
      </w:r>
      <w:r w:rsidR="002D2FBF" w:rsidRPr="002D2FBF">
        <w:t>3.035,6 milijuna eura</w:t>
      </w:r>
      <w:r w:rsidR="00445B06" w:rsidRPr="002D2FBF">
        <w:t>,</w:t>
      </w:r>
      <w:r w:rsidR="00DD505E" w:rsidRPr="002D2FBF">
        <w:t xml:space="preserve"> </w:t>
      </w:r>
      <w:r w:rsidR="002D2FBF" w:rsidRPr="002D2FBF">
        <w:t>s udjelom</w:t>
      </w:r>
      <w:r w:rsidR="00445B06" w:rsidRPr="002D2FBF">
        <w:t xml:space="preserve"> u bruto društvenom proiz</w:t>
      </w:r>
      <w:r w:rsidR="00DD505E" w:rsidRPr="002D2FBF">
        <w:t>vodu (u daljnjem tekstu: BDP) od 3,</w:t>
      </w:r>
      <w:r w:rsidR="002D2FBF" w:rsidRPr="002D2FBF">
        <w:t>97</w:t>
      </w:r>
      <w:r w:rsidR="00445B06" w:rsidRPr="002D2FBF">
        <w:t xml:space="preserve"> posto</w:t>
      </w:r>
      <w:r w:rsidR="002D2FBF" w:rsidRPr="002D2FBF">
        <w:t xml:space="preserve"> i s udjelom </w:t>
      </w:r>
      <w:r w:rsidR="00FA5483" w:rsidRPr="002D2FBF">
        <w:t xml:space="preserve">u rashodima države </w:t>
      </w:r>
      <w:r w:rsidR="002D2FBF" w:rsidRPr="002D2FBF">
        <w:t>od</w:t>
      </w:r>
      <w:r w:rsidR="00DD505E" w:rsidRPr="002D2FBF">
        <w:t xml:space="preserve"> 10,</w:t>
      </w:r>
      <w:r w:rsidR="002D2FBF" w:rsidRPr="002D2FBF">
        <w:t>80</w:t>
      </w:r>
      <w:r w:rsidR="00DD505E" w:rsidRPr="002D2FBF">
        <w:rPr>
          <w:rFonts w:eastAsia="Times New Roman"/>
        </w:rPr>
        <w:t xml:space="preserve"> </w:t>
      </w:r>
      <w:r w:rsidR="00DD505E" w:rsidRPr="002D2FBF">
        <w:t xml:space="preserve">posto, </w:t>
      </w:r>
      <w:r w:rsidR="002D2FBF" w:rsidRPr="002D2FBF">
        <w:t xml:space="preserve">dok su navedene </w:t>
      </w:r>
      <w:r w:rsidR="00DD505E" w:rsidRPr="002D2FBF">
        <w:t xml:space="preserve">potpore </w:t>
      </w:r>
      <w:r w:rsidR="00FA5483" w:rsidRPr="002D2FBF">
        <w:t xml:space="preserve">po zaposlenom </w:t>
      </w:r>
      <w:r w:rsidR="002D2FBF" w:rsidRPr="002D2FBF">
        <w:t xml:space="preserve">u 2023. godini </w:t>
      </w:r>
      <w:r w:rsidR="00DD505E" w:rsidRPr="002D2FBF">
        <w:t xml:space="preserve">iznosile su </w:t>
      </w:r>
      <w:r w:rsidR="002D2FBF" w:rsidRPr="002D2FBF">
        <w:t xml:space="preserve">1.824,83 eura, a </w:t>
      </w:r>
      <w:r w:rsidR="00DD505E" w:rsidRPr="002D2FBF">
        <w:t>potpore po stanovniku iznosile</w:t>
      </w:r>
      <w:r w:rsidR="002D2FBF" w:rsidRPr="002D2FBF">
        <w:t xml:space="preserve"> su 778,37 eura</w:t>
      </w:r>
      <w:r w:rsidR="00DD505E" w:rsidRPr="002D2FBF">
        <w:t>.</w:t>
      </w:r>
    </w:p>
    <w:p w14:paraId="5B3311E5" w14:textId="77777777" w:rsidR="00DD505E" w:rsidRPr="002D2FBF" w:rsidRDefault="00DD505E" w:rsidP="00BE487D">
      <w:pPr>
        <w:jc w:val="both"/>
      </w:pPr>
    </w:p>
    <w:p w14:paraId="51425914" w14:textId="50000AC7" w:rsidR="00DD505E" w:rsidRPr="00795E34" w:rsidRDefault="00DD505E" w:rsidP="00BE487D">
      <w:pPr>
        <w:jc w:val="both"/>
      </w:pPr>
      <w:r w:rsidRPr="00795E34">
        <w:t>Od u</w:t>
      </w:r>
      <w:r w:rsidR="00445B06" w:rsidRPr="00795E34">
        <w:t>kupno dodijeljen</w:t>
      </w:r>
      <w:r w:rsidRPr="00795E34">
        <w:t>ih</w:t>
      </w:r>
      <w:r w:rsidR="00445B06" w:rsidRPr="00795E34">
        <w:t xml:space="preserve"> </w:t>
      </w:r>
      <w:r w:rsidR="00FA5483" w:rsidRPr="00795E34">
        <w:t>potpora u 202</w:t>
      </w:r>
      <w:r w:rsidR="002D2FBF" w:rsidRPr="00795E34">
        <w:t>3</w:t>
      </w:r>
      <w:r w:rsidR="00FA5483" w:rsidRPr="00795E34">
        <w:t xml:space="preserve">. godini u iznosu od </w:t>
      </w:r>
      <w:r w:rsidR="002D2FBF" w:rsidRPr="00795E34">
        <w:t>3.035,6 milijuna eura</w:t>
      </w:r>
      <w:r w:rsidR="00FA5483" w:rsidRPr="00795E34">
        <w:t xml:space="preserve">, </w:t>
      </w:r>
      <w:r w:rsidRPr="00795E34">
        <w:t xml:space="preserve">na potpore u sektoru poljoprivrede i ribarstva odnosi </w:t>
      </w:r>
      <w:r w:rsidR="000939F4" w:rsidRPr="00795E34">
        <w:t xml:space="preserve">se </w:t>
      </w:r>
      <w:r w:rsidRPr="00795E34">
        <w:t xml:space="preserve">iznos od </w:t>
      </w:r>
      <w:r w:rsidR="00795E34" w:rsidRPr="00795E34">
        <w:t xml:space="preserve">1.068 milijuna eura ili 35,2 posto </w:t>
      </w:r>
      <w:r w:rsidRPr="00795E34">
        <w:t xml:space="preserve">udjela u ukupno dodijeljenim potporama, dok se na sektor industrije i usluga odnosi iznos od </w:t>
      </w:r>
      <w:r w:rsidR="00795E34" w:rsidRPr="00795E34">
        <w:t xml:space="preserve">1.967,7 milijuna eura ili </w:t>
      </w:r>
      <w:r w:rsidR="00795E34" w:rsidRPr="00795E34">
        <w:rPr>
          <w:rFonts w:eastAsia="Times New Roman"/>
        </w:rPr>
        <w:t xml:space="preserve">64,8 </w:t>
      </w:r>
      <w:r w:rsidR="00795E34" w:rsidRPr="00795E34">
        <w:t>posto udjela</w:t>
      </w:r>
      <w:r w:rsidR="000939F4" w:rsidRPr="00795E34">
        <w:t>.</w:t>
      </w:r>
    </w:p>
    <w:p w14:paraId="79603AC4" w14:textId="77777777" w:rsidR="00DD505E" w:rsidRPr="00C53039" w:rsidRDefault="00DD505E" w:rsidP="00BE487D">
      <w:pPr>
        <w:jc w:val="both"/>
      </w:pPr>
    </w:p>
    <w:p w14:paraId="19D25C90" w14:textId="755111DC" w:rsidR="00795E34" w:rsidRPr="00FA2983" w:rsidRDefault="00FA5483" w:rsidP="00F77B9F">
      <w:pPr>
        <w:jc w:val="both"/>
      </w:pPr>
      <w:r w:rsidRPr="00C53039">
        <w:rPr>
          <w:u w:val="single"/>
        </w:rPr>
        <w:t xml:space="preserve">Potpore </w:t>
      </w:r>
      <w:r w:rsidR="00702F08" w:rsidRPr="00C53039">
        <w:rPr>
          <w:u w:val="single"/>
        </w:rPr>
        <w:t xml:space="preserve">u </w:t>
      </w:r>
      <w:r w:rsidRPr="00C53039">
        <w:rPr>
          <w:u w:val="single"/>
        </w:rPr>
        <w:t>sektoru poljoprivrede i ribarstva</w:t>
      </w:r>
      <w:r w:rsidRPr="00C53039">
        <w:t xml:space="preserve"> </w:t>
      </w:r>
      <w:r w:rsidR="00C53039" w:rsidRPr="00C53039">
        <w:t>u 2023. godini su do</w:t>
      </w:r>
      <w:r w:rsidR="00702F08" w:rsidRPr="00C53039">
        <w:t xml:space="preserve">dijeljene </w:t>
      </w:r>
      <w:r w:rsidRPr="00C53039">
        <w:t xml:space="preserve">u iznosu od </w:t>
      </w:r>
      <w:r w:rsidR="00C53039" w:rsidRPr="00C53039">
        <w:t>1.068 milijuna eura</w:t>
      </w:r>
      <w:r w:rsidR="00702F08" w:rsidRPr="00C53039">
        <w:t xml:space="preserve"> te je </w:t>
      </w:r>
      <w:r w:rsidRPr="00C53039">
        <w:t xml:space="preserve">udio </w:t>
      </w:r>
      <w:r w:rsidR="000939F4" w:rsidRPr="00C53039">
        <w:t>tih</w:t>
      </w:r>
      <w:r w:rsidR="00702F08" w:rsidRPr="00C53039">
        <w:t xml:space="preserve"> </w:t>
      </w:r>
      <w:r w:rsidRPr="00C53039">
        <w:t xml:space="preserve">potpora u BDP-u iznosio </w:t>
      </w:r>
      <w:r w:rsidR="000939F4" w:rsidRPr="00C53039">
        <w:t>1,4</w:t>
      </w:r>
      <w:r w:rsidR="00C53039" w:rsidRPr="00C53039">
        <w:t>0</w:t>
      </w:r>
      <w:r w:rsidR="000939F4" w:rsidRPr="00C53039">
        <w:rPr>
          <w:rFonts w:eastAsia="Times New Roman"/>
        </w:rPr>
        <w:t xml:space="preserve"> </w:t>
      </w:r>
      <w:r w:rsidRPr="00C53039">
        <w:t xml:space="preserve">posto dok je udio u </w:t>
      </w:r>
      <w:r w:rsidR="00C53039" w:rsidRPr="00C53039">
        <w:t xml:space="preserve">ukupno dodijeljenim potporama </w:t>
      </w:r>
      <w:r w:rsidRPr="00C53039">
        <w:t xml:space="preserve">iznosio </w:t>
      </w:r>
      <w:r w:rsidR="00C53039" w:rsidRPr="00C53039">
        <w:t>35,2</w:t>
      </w:r>
      <w:r w:rsidR="0092285D" w:rsidRPr="00C53039">
        <w:t xml:space="preserve"> </w:t>
      </w:r>
      <w:r w:rsidRPr="00C53039">
        <w:t xml:space="preserve">posto. </w:t>
      </w:r>
      <w:r w:rsidR="000939F4" w:rsidRPr="00C53039">
        <w:t xml:space="preserve">Navedene potpore su u </w:t>
      </w:r>
      <w:r w:rsidRPr="00C53039">
        <w:t>202</w:t>
      </w:r>
      <w:r w:rsidR="00C53039" w:rsidRPr="00C53039">
        <w:t>3</w:t>
      </w:r>
      <w:r w:rsidRPr="00C53039">
        <w:t xml:space="preserve">. godini najvećem dijelom </w:t>
      </w:r>
      <w:r w:rsidR="0092285D" w:rsidRPr="00C53039">
        <w:t xml:space="preserve">dodijeljene </w:t>
      </w:r>
      <w:r w:rsidRPr="00C53039">
        <w:t xml:space="preserve">putem subvencija u iznosu od </w:t>
      </w:r>
      <w:r w:rsidR="00C53039" w:rsidRPr="00C53039">
        <w:t xml:space="preserve">780,7 milijuna eura </w:t>
      </w:r>
      <w:r w:rsidR="0092285D" w:rsidRPr="00C53039">
        <w:t xml:space="preserve">ili s udjelom od </w:t>
      </w:r>
      <w:r w:rsidR="000939F4" w:rsidRPr="00C53039">
        <w:t>7</w:t>
      </w:r>
      <w:r w:rsidR="00C53039" w:rsidRPr="00C53039">
        <w:t>3,1</w:t>
      </w:r>
      <w:r w:rsidR="000939F4" w:rsidRPr="00C53039">
        <w:t xml:space="preserve"> </w:t>
      </w:r>
      <w:r w:rsidR="0092285D" w:rsidRPr="00C53039">
        <w:t xml:space="preserve">posto u potporama poljoprivredi i ribarstvu, </w:t>
      </w:r>
      <w:r w:rsidR="000939F4" w:rsidRPr="00C53039">
        <w:t xml:space="preserve">slijede kapitalna ulaganja u iznosu od </w:t>
      </w:r>
      <w:r w:rsidR="00C53039" w:rsidRPr="00C53039">
        <w:t>203,2 milijuna eura</w:t>
      </w:r>
      <w:r w:rsidR="000939F4" w:rsidRPr="00C53039">
        <w:t xml:space="preserve"> ili </w:t>
      </w:r>
      <w:r w:rsidR="00C53039" w:rsidRPr="00C53039">
        <w:t xml:space="preserve">19 </w:t>
      </w:r>
      <w:r w:rsidR="000939F4" w:rsidRPr="00C53039">
        <w:t xml:space="preserve">posto, porezne olakšice u iznosu od </w:t>
      </w:r>
      <w:r w:rsidR="00C53039" w:rsidRPr="00C53039">
        <w:t xml:space="preserve">61 milijun eura ili 5,7 posto </w:t>
      </w:r>
      <w:r w:rsidR="000939F4" w:rsidRPr="00C53039">
        <w:t xml:space="preserve">te povoljni zajmovi u iznosu od </w:t>
      </w:r>
      <w:r w:rsidR="00C53039" w:rsidRPr="00C53039">
        <w:t>23,1 milijun eura ili 2,2 posto</w:t>
      </w:r>
      <w:r w:rsidR="00C53039" w:rsidRPr="00FA2983">
        <w:t xml:space="preserve">. </w:t>
      </w:r>
      <w:r w:rsidR="000939F4" w:rsidRPr="00FA2983">
        <w:t xml:space="preserve">Unutar </w:t>
      </w:r>
      <w:r w:rsidR="00C53039" w:rsidRPr="00FA2983">
        <w:t>dodijeljenih potpora</w:t>
      </w:r>
      <w:r w:rsidR="00C53039" w:rsidRPr="00FA2983">
        <w:rPr>
          <w:b/>
        </w:rPr>
        <w:t xml:space="preserve"> </w:t>
      </w:r>
      <w:r w:rsidR="00C53039" w:rsidRPr="00FA2983">
        <w:t xml:space="preserve">u </w:t>
      </w:r>
      <w:r w:rsidR="000939F4" w:rsidRPr="00FA2983">
        <w:t>sektor</w:t>
      </w:r>
      <w:r w:rsidR="00C53039" w:rsidRPr="00FA2983">
        <w:t>u</w:t>
      </w:r>
      <w:r w:rsidR="000939F4" w:rsidRPr="00FA2983">
        <w:t xml:space="preserve"> poljoprivrede i ribarstva</w:t>
      </w:r>
      <w:r w:rsidR="00C53039" w:rsidRPr="00FA2983">
        <w:t xml:space="preserve"> u 2023. godini</w:t>
      </w:r>
      <w:r w:rsidR="000939F4" w:rsidRPr="00FA2983">
        <w:t xml:space="preserve">, na potpore u sektoru poljoprivrede odnosi se iznos od </w:t>
      </w:r>
      <w:r w:rsidR="00C53039" w:rsidRPr="00FA2983">
        <w:t xml:space="preserve">995,6 milijuna eura </w:t>
      </w:r>
      <w:r w:rsidR="000939F4" w:rsidRPr="00FA2983">
        <w:t xml:space="preserve">ili s udjelom od </w:t>
      </w:r>
      <w:r w:rsidR="00C53039" w:rsidRPr="00FA2983">
        <w:t xml:space="preserve">93,2 posto </w:t>
      </w:r>
      <w:r w:rsidR="000939F4" w:rsidRPr="00FA2983">
        <w:t xml:space="preserve">u potporama sektoru poljoprivrede i ribarstva, dok se na potpore u sektoru ribarstva odnosi iznos od </w:t>
      </w:r>
      <w:r w:rsidR="00C53039" w:rsidRPr="00FA2983">
        <w:t>72,3 milijuna eura ili s 6,8 posto</w:t>
      </w:r>
      <w:r w:rsidR="000939F4" w:rsidRPr="00FA2983">
        <w:t xml:space="preserve">. Unutar potpora u sektoru poljoprivrede u iznosu od </w:t>
      </w:r>
      <w:r w:rsidR="00FA2983" w:rsidRPr="00FA2983">
        <w:t>995,6 milijuna eura</w:t>
      </w:r>
      <w:r w:rsidR="000939F4" w:rsidRPr="00FA2983">
        <w:t xml:space="preserve">, potpore za poljoprivredu, lov i šumarstvo dodijeljene su u iznosu od </w:t>
      </w:r>
      <w:r w:rsidR="00FA2983" w:rsidRPr="00FA2983">
        <w:t xml:space="preserve">549,1 milijun eura ili 55,1 posto </w:t>
      </w:r>
      <w:r w:rsidR="000939F4" w:rsidRPr="00FA2983">
        <w:t xml:space="preserve">dok je ruralnom odnosno regionalnom razvoju dodijeljeno </w:t>
      </w:r>
      <w:r w:rsidR="00FA2983" w:rsidRPr="00FA2983">
        <w:t>446,6 milijuna eura ili 44,9 posto potpora</w:t>
      </w:r>
      <w:r w:rsidR="000939F4" w:rsidRPr="00FA2983">
        <w:t xml:space="preserve">. </w:t>
      </w:r>
    </w:p>
    <w:p w14:paraId="5E0396AB" w14:textId="77777777" w:rsidR="000939F4" w:rsidRPr="00FA2983" w:rsidRDefault="000939F4" w:rsidP="0092285D">
      <w:pPr>
        <w:jc w:val="both"/>
      </w:pPr>
    </w:p>
    <w:p w14:paraId="4AB80C57" w14:textId="0ED00252" w:rsidR="003B3627" w:rsidRPr="0024696D" w:rsidRDefault="00FA5483" w:rsidP="003B3627">
      <w:pPr>
        <w:jc w:val="both"/>
        <w:rPr>
          <w:spacing w:val="-2"/>
        </w:rPr>
      </w:pPr>
      <w:r w:rsidRPr="0024696D">
        <w:rPr>
          <w:spacing w:val="-2"/>
          <w:u w:val="single"/>
        </w:rPr>
        <w:lastRenderedPageBreak/>
        <w:t>P</w:t>
      </w:r>
      <w:r w:rsidRPr="0024696D">
        <w:rPr>
          <w:bCs/>
          <w:spacing w:val="-2"/>
          <w:u w:val="single"/>
        </w:rPr>
        <w:t xml:space="preserve">otpore </w:t>
      </w:r>
      <w:r w:rsidR="0092285D" w:rsidRPr="0024696D">
        <w:rPr>
          <w:bCs/>
          <w:spacing w:val="-2"/>
          <w:u w:val="single"/>
        </w:rPr>
        <w:t xml:space="preserve">u </w:t>
      </w:r>
      <w:r w:rsidRPr="0024696D">
        <w:rPr>
          <w:bCs/>
          <w:spacing w:val="-2"/>
          <w:u w:val="single"/>
        </w:rPr>
        <w:t xml:space="preserve">sektoru </w:t>
      </w:r>
      <w:r w:rsidRPr="0024696D">
        <w:rPr>
          <w:spacing w:val="-2"/>
          <w:u w:val="single"/>
        </w:rPr>
        <w:t>industrije i usluga</w:t>
      </w:r>
      <w:r w:rsidRPr="0024696D">
        <w:rPr>
          <w:spacing w:val="-2"/>
        </w:rPr>
        <w:t xml:space="preserve"> </w:t>
      </w:r>
      <w:r w:rsidR="00FA2983" w:rsidRPr="0024696D">
        <w:rPr>
          <w:spacing w:val="-2"/>
        </w:rPr>
        <w:t xml:space="preserve">2023. godini </w:t>
      </w:r>
      <w:r w:rsidR="0092285D" w:rsidRPr="0024696D">
        <w:rPr>
          <w:bCs/>
          <w:spacing w:val="-2"/>
        </w:rPr>
        <w:t xml:space="preserve">dodijeljene su </w:t>
      </w:r>
      <w:r w:rsidRPr="0024696D">
        <w:rPr>
          <w:bCs/>
          <w:spacing w:val="-2"/>
        </w:rPr>
        <w:t xml:space="preserve">u iznosu od </w:t>
      </w:r>
      <w:r w:rsidR="00FA2983" w:rsidRPr="0024696D">
        <w:rPr>
          <w:spacing w:val="-2"/>
        </w:rPr>
        <w:t xml:space="preserve">1.967,7 milijuna eura </w:t>
      </w:r>
      <w:r w:rsidR="00A74681" w:rsidRPr="0024696D">
        <w:rPr>
          <w:spacing w:val="-2"/>
        </w:rPr>
        <w:t xml:space="preserve">s udjelom </w:t>
      </w:r>
      <w:r w:rsidRPr="0024696D">
        <w:rPr>
          <w:spacing w:val="-2"/>
        </w:rPr>
        <w:t xml:space="preserve">u BDP-u </w:t>
      </w:r>
      <w:r w:rsidR="00A74681" w:rsidRPr="0024696D">
        <w:rPr>
          <w:spacing w:val="-2"/>
        </w:rPr>
        <w:t xml:space="preserve">od </w:t>
      </w:r>
      <w:r w:rsidR="00FA2983" w:rsidRPr="0024696D">
        <w:rPr>
          <w:spacing w:val="-2"/>
        </w:rPr>
        <w:t>2,57 posto</w:t>
      </w:r>
      <w:r w:rsidRPr="0024696D">
        <w:rPr>
          <w:spacing w:val="-2"/>
        </w:rPr>
        <w:t>, dok je udio u ukupn</w:t>
      </w:r>
      <w:r w:rsidR="00A74681" w:rsidRPr="0024696D">
        <w:rPr>
          <w:spacing w:val="-2"/>
        </w:rPr>
        <w:t>im</w:t>
      </w:r>
      <w:r w:rsidRPr="0024696D">
        <w:rPr>
          <w:spacing w:val="-2"/>
        </w:rPr>
        <w:t xml:space="preserve"> potporama </w:t>
      </w:r>
      <w:r w:rsidR="00D4001D" w:rsidRPr="0024696D">
        <w:rPr>
          <w:spacing w:val="-2"/>
        </w:rPr>
        <w:t xml:space="preserve">iznosio </w:t>
      </w:r>
      <w:r w:rsidR="00FA2983" w:rsidRPr="0024696D">
        <w:rPr>
          <w:spacing w:val="-2"/>
        </w:rPr>
        <w:t>64,8 posto</w:t>
      </w:r>
      <w:r w:rsidRPr="0024696D">
        <w:rPr>
          <w:spacing w:val="-2"/>
        </w:rPr>
        <w:t xml:space="preserve">. </w:t>
      </w:r>
      <w:r w:rsidR="00FA2983" w:rsidRPr="0024696D">
        <w:rPr>
          <w:spacing w:val="-2"/>
        </w:rPr>
        <w:t xml:space="preserve">U 2023. godini unutar </w:t>
      </w:r>
      <w:r w:rsidRPr="0024696D">
        <w:rPr>
          <w:spacing w:val="-2"/>
        </w:rPr>
        <w:t xml:space="preserve">potpora </w:t>
      </w:r>
      <w:r w:rsidR="00A74681" w:rsidRPr="0024696D">
        <w:rPr>
          <w:spacing w:val="-2"/>
        </w:rPr>
        <w:t xml:space="preserve">u </w:t>
      </w:r>
      <w:r w:rsidRPr="0024696D">
        <w:rPr>
          <w:spacing w:val="-2"/>
        </w:rPr>
        <w:t xml:space="preserve">sektoru industrije i usluga, </w:t>
      </w:r>
      <w:r w:rsidR="00D4001D" w:rsidRPr="0024696D">
        <w:rPr>
          <w:spacing w:val="-2"/>
        </w:rPr>
        <w:t>posebnim sektorima odnosno sektorskim potporama dodijeljen</w:t>
      </w:r>
      <w:r w:rsidR="00A74681" w:rsidRPr="0024696D">
        <w:rPr>
          <w:spacing w:val="-2"/>
        </w:rPr>
        <w:t xml:space="preserve">o je </w:t>
      </w:r>
      <w:r w:rsidR="00FA2983" w:rsidRPr="0024696D">
        <w:rPr>
          <w:spacing w:val="-2"/>
        </w:rPr>
        <w:t xml:space="preserve">848,9 milijuna eura </w:t>
      </w:r>
      <w:r w:rsidR="00D4001D" w:rsidRPr="0024696D">
        <w:rPr>
          <w:spacing w:val="-2"/>
        </w:rPr>
        <w:t>odnosno ud</w:t>
      </w:r>
      <w:r w:rsidR="00A74681" w:rsidRPr="0024696D">
        <w:rPr>
          <w:spacing w:val="-2"/>
        </w:rPr>
        <w:t>io</w:t>
      </w:r>
      <w:r w:rsidR="00D4001D" w:rsidRPr="0024696D">
        <w:rPr>
          <w:spacing w:val="-2"/>
        </w:rPr>
        <w:t xml:space="preserve"> od </w:t>
      </w:r>
      <w:r w:rsidR="00FA2983" w:rsidRPr="0024696D">
        <w:rPr>
          <w:spacing w:val="-2"/>
        </w:rPr>
        <w:t xml:space="preserve">43,1 posto </w:t>
      </w:r>
      <w:r w:rsidR="00D4001D" w:rsidRPr="0024696D">
        <w:rPr>
          <w:spacing w:val="-2"/>
        </w:rPr>
        <w:t xml:space="preserve">u sektoru industrije i usluga, horizontalnim ciljevima, uključujući horizontalne potpore, regionalne potpore i potpore na lokalnoj razini, dodijeljeno je </w:t>
      </w:r>
      <w:r w:rsidR="00FA2983" w:rsidRPr="0024696D">
        <w:rPr>
          <w:spacing w:val="-2"/>
        </w:rPr>
        <w:t>562,2 milijuna eura ili 28,6 posto</w:t>
      </w:r>
      <w:r w:rsidR="00D4001D" w:rsidRPr="0024696D">
        <w:rPr>
          <w:spacing w:val="-2"/>
        </w:rPr>
        <w:t xml:space="preserve">, dok je potporama podrške gospodarstvu u COVID–19 </w:t>
      </w:r>
      <w:proofErr w:type="spellStart"/>
      <w:r w:rsidR="00D4001D" w:rsidRPr="0024696D">
        <w:rPr>
          <w:spacing w:val="-2"/>
        </w:rPr>
        <w:t>pandemiji</w:t>
      </w:r>
      <w:proofErr w:type="spellEnd"/>
      <w:r w:rsidR="00D4001D" w:rsidRPr="0024696D">
        <w:rPr>
          <w:spacing w:val="-2"/>
        </w:rPr>
        <w:t xml:space="preserve"> </w:t>
      </w:r>
      <w:r w:rsidR="00DC4EEF" w:rsidRPr="0024696D">
        <w:rPr>
          <w:spacing w:val="-2"/>
        </w:rPr>
        <w:t xml:space="preserve">te za suzbijanje učinaka ruske agresije na Ukrajinu </w:t>
      </w:r>
      <w:r w:rsidR="00D4001D" w:rsidRPr="0024696D">
        <w:rPr>
          <w:spacing w:val="-2"/>
        </w:rPr>
        <w:t xml:space="preserve">dodijeljeno </w:t>
      </w:r>
      <w:r w:rsidR="00FA2983" w:rsidRPr="0024696D">
        <w:rPr>
          <w:spacing w:val="-2"/>
        </w:rPr>
        <w:t>556,6 milijuna eura ili 28,3 posto</w:t>
      </w:r>
      <w:r w:rsidR="00D4001D" w:rsidRPr="0024696D">
        <w:rPr>
          <w:spacing w:val="-2"/>
        </w:rPr>
        <w:t xml:space="preserve">. Potpore u sektoru industrije i usluga najvećim dijelom su dodjeljivane putem </w:t>
      </w:r>
      <w:r w:rsidR="003B3627" w:rsidRPr="0024696D">
        <w:rPr>
          <w:spacing w:val="-2"/>
        </w:rPr>
        <w:t xml:space="preserve">subvencija i neposrednih subvencija kamata u iznosu od </w:t>
      </w:r>
      <w:r w:rsidR="00FA2983" w:rsidRPr="0024696D">
        <w:rPr>
          <w:spacing w:val="-2"/>
        </w:rPr>
        <w:t>1.200 milijuna eura</w:t>
      </w:r>
      <w:r w:rsidR="003B3627" w:rsidRPr="0024696D">
        <w:rPr>
          <w:spacing w:val="-2"/>
        </w:rPr>
        <w:t xml:space="preserve"> odnosno s udjelom od </w:t>
      </w:r>
      <w:r w:rsidR="00FA2983" w:rsidRPr="0024696D">
        <w:rPr>
          <w:spacing w:val="-2"/>
        </w:rPr>
        <w:t xml:space="preserve">61 </w:t>
      </w:r>
      <w:r w:rsidR="003B3627" w:rsidRPr="0024696D">
        <w:rPr>
          <w:spacing w:val="-2"/>
        </w:rPr>
        <w:t xml:space="preserve">posto u sektoru industrije i usluga, slijede izdana jamstva u iznosu od </w:t>
      </w:r>
      <w:r w:rsidR="00FA2983" w:rsidRPr="0024696D">
        <w:rPr>
          <w:spacing w:val="-2"/>
        </w:rPr>
        <w:t>433,1 milijun eura ili 22 posto</w:t>
      </w:r>
      <w:r w:rsidR="003B3627" w:rsidRPr="0024696D">
        <w:rPr>
          <w:spacing w:val="-2"/>
        </w:rPr>
        <w:t xml:space="preserve">, porezne olakšice u iznosu od </w:t>
      </w:r>
      <w:r w:rsidR="0024696D" w:rsidRPr="0024696D">
        <w:rPr>
          <w:spacing w:val="-2"/>
        </w:rPr>
        <w:t>169,7 milijuna eura ili 8,6 posto</w:t>
      </w:r>
      <w:r w:rsidR="003B3627" w:rsidRPr="0024696D">
        <w:rPr>
          <w:spacing w:val="-2"/>
        </w:rPr>
        <w:t xml:space="preserve">, </w:t>
      </w:r>
      <w:r w:rsidR="0024696D" w:rsidRPr="0024696D">
        <w:rPr>
          <w:spacing w:val="-2"/>
        </w:rPr>
        <w:t xml:space="preserve">te </w:t>
      </w:r>
      <w:r w:rsidR="003B3627" w:rsidRPr="0024696D">
        <w:rPr>
          <w:spacing w:val="-2"/>
        </w:rPr>
        <w:t xml:space="preserve">povoljni zajmovi u iznosu od </w:t>
      </w:r>
      <w:r w:rsidR="0024696D" w:rsidRPr="0024696D">
        <w:rPr>
          <w:spacing w:val="-2"/>
        </w:rPr>
        <w:t>164,8 milijuna eura ili 8,4 posto</w:t>
      </w:r>
      <w:r w:rsidR="003B3627" w:rsidRPr="0024696D">
        <w:rPr>
          <w:spacing w:val="-2"/>
        </w:rPr>
        <w:t>.</w:t>
      </w:r>
    </w:p>
    <w:p w14:paraId="11BE46DE" w14:textId="77777777" w:rsidR="003B3627" w:rsidRPr="0024696D" w:rsidRDefault="003B3627" w:rsidP="00BE487D">
      <w:pPr>
        <w:jc w:val="both"/>
      </w:pPr>
    </w:p>
    <w:p w14:paraId="4BB15D48" w14:textId="024CC732" w:rsidR="003B3627" w:rsidRPr="0024696D" w:rsidRDefault="00FA5483" w:rsidP="003B3627">
      <w:pPr>
        <w:jc w:val="both"/>
      </w:pPr>
      <w:r w:rsidRPr="0024696D">
        <w:rPr>
          <w:u w:val="single"/>
        </w:rPr>
        <w:t>Horizontalne potpore</w:t>
      </w:r>
      <w:r w:rsidRPr="0024696D">
        <w:t xml:space="preserve">, uključujući </w:t>
      </w:r>
      <w:r w:rsidR="00D4001D" w:rsidRPr="0024696D">
        <w:t xml:space="preserve">horizontalne ciljeve, </w:t>
      </w:r>
      <w:r w:rsidRPr="0024696D">
        <w:t>regionalne potpore i potpore na lokalnoj razini, dodijeljene su u 202</w:t>
      </w:r>
      <w:r w:rsidR="0024696D" w:rsidRPr="0024696D">
        <w:t>3</w:t>
      </w:r>
      <w:r w:rsidRPr="0024696D">
        <w:t xml:space="preserve">. godini u iznosu od </w:t>
      </w:r>
      <w:r w:rsidR="0024696D" w:rsidRPr="0024696D">
        <w:t>562,2 milijuna eura</w:t>
      </w:r>
      <w:r w:rsidRPr="0024696D">
        <w:t xml:space="preserve">. </w:t>
      </w:r>
      <w:r w:rsidR="00945FD1" w:rsidRPr="0024696D">
        <w:t xml:space="preserve">Udio navedenih potpora u BDP-u iznosio je </w:t>
      </w:r>
      <w:r w:rsidR="0024696D" w:rsidRPr="0024696D">
        <w:t xml:space="preserve">0,74 </w:t>
      </w:r>
      <w:r w:rsidR="00945FD1" w:rsidRPr="0024696D">
        <w:t xml:space="preserve">posto, udio u ukupno dodijeljenim potporama iznosio je </w:t>
      </w:r>
      <w:r w:rsidR="0024696D" w:rsidRPr="0024696D">
        <w:t xml:space="preserve">0,74 </w:t>
      </w:r>
      <w:r w:rsidR="00945FD1" w:rsidRPr="0024696D">
        <w:t xml:space="preserve">posto, dok je udio u potporama dodijeljenih u sektoru industrije i usluga iznosio </w:t>
      </w:r>
      <w:r w:rsidR="0024696D" w:rsidRPr="0024696D">
        <w:t>28,6 posto, udio u ukupno dodijeljenim potporama iznosio je 18,5 posto</w:t>
      </w:r>
      <w:r w:rsidR="00945FD1" w:rsidRPr="0024696D">
        <w:t xml:space="preserve">. </w:t>
      </w:r>
      <w:r w:rsidR="003B3627" w:rsidRPr="0024696D">
        <w:t xml:space="preserve">Unutar horizontalnih potpora </w:t>
      </w:r>
      <w:r w:rsidR="0024696D" w:rsidRPr="0024696D">
        <w:t xml:space="preserve">dodijeljenih u 2023. godini </w:t>
      </w:r>
      <w:r w:rsidR="003B3627" w:rsidRPr="0024696D">
        <w:t xml:space="preserve">u iznosu od </w:t>
      </w:r>
      <w:r w:rsidR="0024696D" w:rsidRPr="0024696D">
        <w:t>562,2 milijuna eura</w:t>
      </w:r>
      <w:r w:rsidR="003B3627" w:rsidRPr="0024696D">
        <w:t>, na horizontalne ciljeve odnosno horizontalne potpore u užem smislu</w:t>
      </w:r>
      <w:r w:rsidR="003B3627" w:rsidRPr="0024696D">
        <w:rPr>
          <w:vertAlign w:val="superscript"/>
        </w:rPr>
        <w:footnoteReference w:id="11"/>
      </w:r>
      <w:r w:rsidR="003B3627" w:rsidRPr="0024696D">
        <w:t xml:space="preserve">, odnosi se iznos od </w:t>
      </w:r>
      <w:r w:rsidR="0024696D" w:rsidRPr="0024696D">
        <w:t>267,7 milijuna eura</w:t>
      </w:r>
      <w:r w:rsidR="003B3627" w:rsidRPr="0024696D">
        <w:t xml:space="preserve"> ili udio od </w:t>
      </w:r>
      <w:r w:rsidR="0024696D" w:rsidRPr="0024696D">
        <w:t xml:space="preserve">47,6 posto </w:t>
      </w:r>
      <w:r w:rsidR="003B3627" w:rsidRPr="0024696D">
        <w:t xml:space="preserve">u horizontalnim potporama, na regionalne potpore iznos od </w:t>
      </w:r>
      <w:r w:rsidR="0024696D" w:rsidRPr="0024696D">
        <w:t xml:space="preserve">148,2 milijuna eura </w:t>
      </w:r>
      <w:r w:rsidR="003B3627" w:rsidRPr="0024696D">
        <w:t xml:space="preserve">ili </w:t>
      </w:r>
      <w:r w:rsidR="0024696D" w:rsidRPr="0024696D">
        <w:t xml:space="preserve">26,4 posto </w:t>
      </w:r>
      <w:r w:rsidR="003B3627" w:rsidRPr="0024696D">
        <w:t xml:space="preserve">dok se na potpore na lokalnoj razini odnosi iznos od </w:t>
      </w:r>
      <w:r w:rsidR="0024696D" w:rsidRPr="0024696D">
        <w:t>146,4 milijuna eura</w:t>
      </w:r>
      <w:r w:rsidR="003B3627" w:rsidRPr="0024696D">
        <w:t xml:space="preserve"> ili </w:t>
      </w:r>
      <w:r w:rsidR="0024696D" w:rsidRPr="0024696D">
        <w:t>26 posto</w:t>
      </w:r>
      <w:r w:rsidR="003B3627" w:rsidRPr="0024696D">
        <w:t>.</w:t>
      </w:r>
      <w:r w:rsidR="00A74681" w:rsidRPr="0024696D">
        <w:t xml:space="preserve"> </w:t>
      </w:r>
      <w:r w:rsidR="003B3627" w:rsidRPr="0024696D">
        <w:t xml:space="preserve">Horizontalne potpore najvećim dijelom dodjeljivane su putem subvencija i neposrednih subvencija kamata u iznosu od </w:t>
      </w:r>
      <w:r w:rsidR="0024696D" w:rsidRPr="0024696D">
        <w:t xml:space="preserve">420,7 milijuna eura </w:t>
      </w:r>
      <w:r w:rsidR="003B3627" w:rsidRPr="0024696D">
        <w:t xml:space="preserve">odnosno s udjelom od </w:t>
      </w:r>
      <w:r w:rsidR="0024696D" w:rsidRPr="0024696D">
        <w:t xml:space="preserve">74,8 posto </w:t>
      </w:r>
      <w:r w:rsidR="003B3627" w:rsidRPr="0024696D">
        <w:t xml:space="preserve">u horizontalnim potporama, slijede porezne olakšice u iznosu od </w:t>
      </w:r>
      <w:r w:rsidR="0024696D" w:rsidRPr="0024696D">
        <w:t>117,4 milijuna eura ili 20,9 posto</w:t>
      </w:r>
      <w:r w:rsidR="003B3627" w:rsidRPr="0024696D">
        <w:t xml:space="preserve">, povoljni zajmovi u iznosu od </w:t>
      </w:r>
      <w:r w:rsidR="0024696D" w:rsidRPr="0024696D">
        <w:t xml:space="preserve">21,9 milijuna eura ili 3,9 posto </w:t>
      </w:r>
      <w:r w:rsidR="003B3627" w:rsidRPr="0024696D">
        <w:t xml:space="preserve">te izdana jamstva u iznosu od </w:t>
      </w:r>
      <w:r w:rsidR="0024696D" w:rsidRPr="0024696D">
        <w:t>2,1 milijun eura ili 0,4 posto</w:t>
      </w:r>
      <w:r w:rsidR="003B3627" w:rsidRPr="0024696D">
        <w:t>.</w:t>
      </w:r>
    </w:p>
    <w:p w14:paraId="05ECF85B" w14:textId="77777777" w:rsidR="0024696D" w:rsidRPr="0024696D" w:rsidRDefault="0024696D" w:rsidP="00F77B9F">
      <w:pPr>
        <w:jc w:val="both"/>
      </w:pPr>
    </w:p>
    <w:p w14:paraId="475E55C7" w14:textId="1B3F1219" w:rsidR="00F77B9F" w:rsidRPr="00D91753" w:rsidRDefault="00FA5483" w:rsidP="00F77B9F">
      <w:pPr>
        <w:jc w:val="both"/>
        <w:rPr>
          <w:spacing w:val="-2"/>
          <w:highlight w:val="green"/>
        </w:rPr>
      </w:pPr>
      <w:r w:rsidRPr="00D91753">
        <w:rPr>
          <w:spacing w:val="-2"/>
          <w:u w:val="single"/>
        </w:rPr>
        <w:t>Potpore za horizontalne ciljeve ili „horizontalne potpore u užem smislu</w:t>
      </w:r>
      <w:r w:rsidRPr="00D91753">
        <w:rPr>
          <w:spacing w:val="-2"/>
          <w:u w:val="single"/>
          <w:vertAlign w:val="superscript"/>
        </w:rPr>
        <w:footnoteReference w:id="12"/>
      </w:r>
      <w:r w:rsidR="00C45715" w:rsidRPr="00D91753">
        <w:rPr>
          <w:spacing w:val="-2"/>
          <w:u w:val="single"/>
        </w:rPr>
        <w:t>“</w:t>
      </w:r>
      <w:r w:rsidRPr="00D91753">
        <w:rPr>
          <w:spacing w:val="-2"/>
        </w:rPr>
        <w:t xml:space="preserve"> u 202</w:t>
      </w:r>
      <w:r w:rsidR="00D91753" w:rsidRPr="00D91753">
        <w:rPr>
          <w:spacing w:val="-2"/>
        </w:rPr>
        <w:t>3</w:t>
      </w:r>
      <w:r w:rsidRPr="00D91753">
        <w:rPr>
          <w:spacing w:val="-2"/>
        </w:rPr>
        <w:t xml:space="preserve">. godini </w:t>
      </w:r>
      <w:r w:rsidR="00D91753" w:rsidRPr="00D91753">
        <w:rPr>
          <w:spacing w:val="-2"/>
        </w:rPr>
        <w:t xml:space="preserve">dodijeljene su </w:t>
      </w:r>
      <w:r w:rsidRPr="00D91753">
        <w:rPr>
          <w:spacing w:val="-2"/>
        </w:rPr>
        <w:t xml:space="preserve">u iznosu od </w:t>
      </w:r>
      <w:r w:rsidR="00D91753" w:rsidRPr="00D91753">
        <w:rPr>
          <w:spacing w:val="-2"/>
        </w:rPr>
        <w:t>267,7 milijuna eura</w:t>
      </w:r>
      <w:r w:rsidR="00F84B75" w:rsidRPr="00D91753">
        <w:rPr>
          <w:spacing w:val="-2"/>
        </w:rPr>
        <w:t>. Udio navedenih</w:t>
      </w:r>
      <w:r w:rsidR="008C4DB4" w:rsidRPr="00D91753">
        <w:rPr>
          <w:spacing w:val="-2"/>
        </w:rPr>
        <w:t xml:space="preserve"> potpora</w:t>
      </w:r>
      <w:r w:rsidR="008C4DB4" w:rsidRPr="00D91753">
        <w:rPr>
          <w:rFonts w:eastAsiaTheme="minorEastAsia"/>
          <w:spacing w:val="-2"/>
        </w:rPr>
        <w:t xml:space="preserve"> u </w:t>
      </w:r>
      <w:r w:rsidR="008C4DB4" w:rsidRPr="00D91753">
        <w:rPr>
          <w:spacing w:val="-2"/>
        </w:rPr>
        <w:t xml:space="preserve">BDP-u iznosio </w:t>
      </w:r>
      <w:r w:rsidR="00F84B75" w:rsidRPr="00D91753">
        <w:rPr>
          <w:spacing w:val="-2"/>
        </w:rPr>
        <w:t xml:space="preserve">je </w:t>
      </w:r>
      <w:r w:rsidR="00D91753" w:rsidRPr="00D91753">
        <w:rPr>
          <w:spacing w:val="-2"/>
        </w:rPr>
        <w:t>0,35 posto</w:t>
      </w:r>
      <w:r w:rsidR="008C4DB4" w:rsidRPr="00D91753">
        <w:rPr>
          <w:spacing w:val="-2"/>
        </w:rPr>
        <w:t xml:space="preserve">, udio u ukupno dodijeljenim potporama iznosio je </w:t>
      </w:r>
      <w:r w:rsidR="00D91753" w:rsidRPr="00D91753">
        <w:rPr>
          <w:spacing w:val="-2"/>
        </w:rPr>
        <w:t xml:space="preserve">8,8 </w:t>
      </w:r>
      <w:r w:rsidR="008C4DB4" w:rsidRPr="00D91753">
        <w:rPr>
          <w:spacing w:val="-2"/>
        </w:rPr>
        <w:t xml:space="preserve">posto, dok je udio u sektoru industrije i usluga iznosio </w:t>
      </w:r>
      <w:r w:rsidR="00D91753" w:rsidRPr="00D91753">
        <w:rPr>
          <w:spacing w:val="-2"/>
        </w:rPr>
        <w:t xml:space="preserve">13,6 </w:t>
      </w:r>
      <w:r w:rsidR="008C4DB4" w:rsidRPr="00D91753">
        <w:rPr>
          <w:spacing w:val="-2"/>
        </w:rPr>
        <w:t>posto. Unutar horizontalnih ciljeva</w:t>
      </w:r>
      <w:r w:rsidR="00D91753" w:rsidRPr="00D91753">
        <w:rPr>
          <w:spacing w:val="-2"/>
        </w:rPr>
        <w:t>,</w:t>
      </w:r>
      <w:r w:rsidR="008C4DB4" w:rsidRPr="00D91753">
        <w:rPr>
          <w:spacing w:val="-2"/>
        </w:rPr>
        <w:t xml:space="preserve"> najviše potpora dodijeljeno je </w:t>
      </w:r>
      <w:r w:rsidR="00F84B75" w:rsidRPr="00D91753">
        <w:rPr>
          <w:spacing w:val="-2"/>
        </w:rPr>
        <w:t xml:space="preserve">za </w:t>
      </w:r>
      <w:r w:rsidR="00D91753" w:rsidRPr="00D91753">
        <w:rPr>
          <w:spacing w:val="-2"/>
        </w:rPr>
        <w:t xml:space="preserve">istraživanje i razvoj i inovacije u iznosu od 193,4 milijuna eura ili s udjelom od 72,2 posto u horizontalnim ciljevima, slijede potpore za zapošljavanje u iznosu od 42,4 milijuna eura ili 15,8 posto, potpore za kulturu u iznosu od 24,1 milijun eura ili 9 posto, potpore malim i srednjim poduzetnicima u iznosu od 7,8 milijuna eura ili 2,9 posto, dok su potpore za usavršavanje dodijeljene u iznosu od 29.259,60 eura ili 0,01 posto. </w:t>
      </w:r>
      <w:r w:rsidR="008C4DB4" w:rsidRPr="00D91753">
        <w:rPr>
          <w:spacing w:val="-2"/>
        </w:rPr>
        <w:t xml:space="preserve">Navedene potpore dodijeljene su najvećim dijelom putem </w:t>
      </w:r>
      <w:r w:rsidR="00F77B9F" w:rsidRPr="00D91753">
        <w:rPr>
          <w:spacing w:val="-2"/>
        </w:rPr>
        <w:t>subvencija i neposrednih subvencija kamata u iznosu od 264,5 milijuna eura ili s udjelom od 98,8 posto u horizontalnim ciljevima, slijede izdana jamstva u iznosu od 2 milijuna eura ili 0,8 posto, te povoljni zajmovi u iznosu od 1,1 milijun eura ili 0,4 posto.</w:t>
      </w:r>
    </w:p>
    <w:p w14:paraId="2325822C" w14:textId="77777777" w:rsidR="00F77B9F" w:rsidRPr="002D2FBF" w:rsidRDefault="00F77B9F" w:rsidP="00F84B75">
      <w:pPr>
        <w:jc w:val="both"/>
        <w:rPr>
          <w:highlight w:val="red"/>
        </w:rPr>
      </w:pPr>
    </w:p>
    <w:p w14:paraId="36B61BD4" w14:textId="685B0A8D" w:rsidR="00F77B9F" w:rsidRPr="00D91753" w:rsidRDefault="00FA5483" w:rsidP="00F77B9F">
      <w:pPr>
        <w:jc w:val="both"/>
      </w:pPr>
      <w:r w:rsidRPr="00D91753">
        <w:rPr>
          <w:u w:val="single"/>
        </w:rPr>
        <w:t>Regionalne potpore</w:t>
      </w:r>
      <w:r w:rsidRPr="00D91753">
        <w:t xml:space="preserve"> </w:t>
      </w:r>
      <w:r w:rsidR="00D91753" w:rsidRPr="00D91753">
        <w:t xml:space="preserve">su dodijeljene u 2023. godini </w:t>
      </w:r>
      <w:r w:rsidRPr="00D91753">
        <w:t xml:space="preserve">u iznosu od </w:t>
      </w:r>
      <w:r w:rsidR="00D91753" w:rsidRPr="00D91753">
        <w:t>148,2 milijuna eura</w:t>
      </w:r>
      <w:r w:rsidR="00F84B75" w:rsidRPr="00D91753">
        <w:t xml:space="preserve">. Udio navedenih potpora u </w:t>
      </w:r>
      <w:r w:rsidR="008C4DB4" w:rsidRPr="00D91753">
        <w:t xml:space="preserve">BDP-u </w:t>
      </w:r>
      <w:r w:rsidR="00F84B75" w:rsidRPr="00D91753">
        <w:t xml:space="preserve">iznosi </w:t>
      </w:r>
      <w:r w:rsidR="00D91753" w:rsidRPr="00D91753">
        <w:t xml:space="preserve">0,19 </w:t>
      </w:r>
      <w:r w:rsidR="008C4DB4" w:rsidRPr="00D91753">
        <w:t xml:space="preserve">posto, udio u ukupno dodijeljenim potporama iznosi </w:t>
      </w:r>
      <w:r w:rsidR="00D91753" w:rsidRPr="00D91753">
        <w:t>4,9 posto</w:t>
      </w:r>
      <w:r w:rsidR="00F84B75" w:rsidRPr="00D91753">
        <w:t xml:space="preserve">, u potporama u sektoru industrije i usluga iznosi </w:t>
      </w:r>
      <w:r w:rsidR="00D91753" w:rsidRPr="00D91753">
        <w:t>7,5 posto</w:t>
      </w:r>
      <w:r w:rsidR="00F84B75" w:rsidRPr="00D91753">
        <w:t xml:space="preserve">, dok </w:t>
      </w:r>
      <w:r w:rsidR="008C4DB4" w:rsidRPr="00D91753">
        <w:t xml:space="preserve">udio u horizontalnim potporama iznosi </w:t>
      </w:r>
      <w:r w:rsidR="00D91753" w:rsidRPr="00D91753">
        <w:t xml:space="preserve">26,4 </w:t>
      </w:r>
      <w:r w:rsidR="008C4DB4" w:rsidRPr="00D91753">
        <w:t>posto.</w:t>
      </w:r>
      <w:r w:rsidR="00F84B75" w:rsidRPr="00D91753">
        <w:t xml:space="preserve"> </w:t>
      </w:r>
      <w:r w:rsidR="003B3627" w:rsidRPr="00D91753">
        <w:t>Regionalne potpore</w:t>
      </w:r>
      <w:r w:rsidR="00F84B75" w:rsidRPr="00D91753">
        <w:t xml:space="preserve"> su </w:t>
      </w:r>
      <w:r w:rsidR="003B3627" w:rsidRPr="00D91753">
        <w:t xml:space="preserve">najvećim dijelom dodjeljivane kroz porezne olakšice u iznosu od </w:t>
      </w:r>
      <w:r w:rsidR="00D91753" w:rsidRPr="00D91753">
        <w:t xml:space="preserve">117,4 milijuna eura </w:t>
      </w:r>
      <w:r w:rsidR="003B3627" w:rsidRPr="00D91753">
        <w:t xml:space="preserve">odnosno s udjelom od </w:t>
      </w:r>
      <w:r w:rsidR="00D91753" w:rsidRPr="00D91753">
        <w:t xml:space="preserve">79,3 posto </w:t>
      </w:r>
      <w:r w:rsidR="003B3627" w:rsidRPr="00D91753">
        <w:t xml:space="preserve">u ukupno dodijeljenim regionalnim potporama, slijede povoljni zajmovi u iznosu od </w:t>
      </w:r>
      <w:r w:rsidR="00D91753" w:rsidRPr="00D91753">
        <w:t xml:space="preserve">20,8 milijuna eura </w:t>
      </w:r>
      <w:r w:rsidR="00D91753" w:rsidRPr="00D91753">
        <w:lastRenderedPageBreak/>
        <w:t xml:space="preserve">ili 14 posto, </w:t>
      </w:r>
      <w:r w:rsidR="00F77B9F" w:rsidRPr="00D91753">
        <w:t xml:space="preserve">subvencije u iznosu od 9,8 milijuna eura ili 6,6 posto te izdana jamstva </w:t>
      </w:r>
      <w:r w:rsidR="00D91753" w:rsidRPr="00D91753">
        <w:t xml:space="preserve">u iznosu od </w:t>
      </w:r>
      <w:r w:rsidR="00F77B9F" w:rsidRPr="00D91753">
        <w:t>111.568,40 eura ili 0,1 posto.</w:t>
      </w:r>
    </w:p>
    <w:p w14:paraId="5D24A40E" w14:textId="77777777" w:rsidR="00F77B9F" w:rsidRPr="00D91753" w:rsidRDefault="00F77B9F" w:rsidP="00BE487D">
      <w:pPr>
        <w:jc w:val="both"/>
      </w:pPr>
    </w:p>
    <w:p w14:paraId="097BBF5A" w14:textId="57E0241C" w:rsidR="008C4DB4" w:rsidRPr="00D91753" w:rsidRDefault="00F84B75" w:rsidP="008C4DB4">
      <w:pPr>
        <w:jc w:val="both"/>
      </w:pPr>
      <w:r w:rsidRPr="00D91753">
        <w:rPr>
          <w:u w:val="single"/>
        </w:rPr>
        <w:t>Potpore na razini jedinica područne i lokalne (regionalne) samouprave</w:t>
      </w:r>
      <w:r w:rsidRPr="00D91753">
        <w:t xml:space="preserve"> dodijeljene su u 202</w:t>
      </w:r>
      <w:r w:rsidR="00D91753" w:rsidRPr="00D91753">
        <w:t>3</w:t>
      </w:r>
      <w:r w:rsidRPr="00D91753">
        <w:t xml:space="preserve">. godini isključivo putem subvencija u ukupnom iznosu od </w:t>
      </w:r>
      <w:r w:rsidR="00D91753" w:rsidRPr="00D91753">
        <w:t>146,4 milijuna eura</w:t>
      </w:r>
      <w:r w:rsidR="003040E1" w:rsidRPr="00D91753">
        <w:t xml:space="preserve">. </w:t>
      </w:r>
      <w:r w:rsidR="00EC0000" w:rsidRPr="00D91753">
        <w:t xml:space="preserve">Udio navedenih potpora u BDP-u u iznosio je </w:t>
      </w:r>
      <w:r w:rsidR="00D91753" w:rsidRPr="00D91753">
        <w:t>0,19 posto</w:t>
      </w:r>
      <w:r w:rsidR="00EC0000" w:rsidRPr="00D91753">
        <w:t xml:space="preserve">, udio u ukupno dodijeljenim potporama iznosio je </w:t>
      </w:r>
      <w:r w:rsidR="00D91753" w:rsidRPr="00D91753">
        <w:t xml:space="preserve">4,8 posto </w:t>
      </w:r>
      <w:r w:rsidR="00EC0000" w:rsidRPr="00D91753">
        <w:t xml:space="preserve">dok je udio u potporama u sektoru industrije i usluga iznosio </w:t>
      </w:r>
      <w:r w:rsidR="00D91753" w:rsidRPr="00D91753">
        <w:t>7,4 posto</w:t>
      </w:r>
      <w:r w:rsidR="00EC0000" w:rsidRPr="00D91753">
        <w:t xml:space="preserve">. </w:t>
      </w:r>
    </w:p>
    <w:p w14:paraId="48120C6B" w14:textId="77777777" w:rsidR="00F77B9F" w:rsidRPr="00082E7C" w:rsidRDefault="00F77B9F" w:rsidP="00BE487D">
      <w:pPr>
        <w:jc w:val="both"/>
      </w:pPr>
    </w:p>
    <w:p w14:paraId="704ED713" w14:textId="5238E4C9" w:rsidR="00F77B9F" w:rsidRPr="00082E7C" w:rsidRDefault="00082E7C" w:rsidP="00F77B9F">
      <w:pPr>
        <w:jc w:val="both"/>
      </w:pPr>
      <w:r w:rsidRPr="00082E7C">
        <w:rPr>
          <w:u w:val="single"/>
        </w:rPr>
        <w:t>Sektorske potpore</w:t>
      </w:r>
      <w:r w:rsidRPr="00082E7C">
        <w:t xml:space="preserve"> odnosno potpore posebnim sektorima u 2023. godini dodijeljene su u iznosu od 848,9 milijuna eura</w:t>
      </w:r>
      <w:r w:rsidR="008E3172" w:rsidRPr="00082E7C">
        <w:t>.</w:t>
      </w:r>
      <w:r w:rsidR="00FA5483" w:rsidRPr="00082E7C">
        <w:t xml:space="preserve"> </w:t>
      </w:r>
      <w:r w:rsidR="008E3172" w:rsidRPr="00082E7C">
        <w:t xml:space="preserve">Udio navedenih potpora u BDP-u iznosio je </w:t>
      </w:r>
      <w:r w:rsidRPr="00082E7C">
        <w:t>1,11 posto</w:t>
      </w:r>
      <w:r w:rsidR="008E3172" w:rsidRPr="00082E7C">
        <w:t xml:space="preserve">, u ukupno dodijeljenim potporama iznosio je </w:t>
      </w:r>
      <w:r w:rsidRPr="00082E7C">
        <w:t>28 posto</w:t>
      </w:r>
      <w:r w:rsidR="008E3172" w:rsidRPr="00082E7C">
        <w:t xml:space="preserve">, dok je u ukupno dodijeljenim potporama u sektoru industrije i usluga iznosio </w:t>
      </w:r>
      <w:r w:rsidRPr="00082E7C">
        <w:t>43,1 posto</w:t>
      </w:r>
      <w:r w:rsidR="008E3172" w:rsidRPr="00082E7C">
        <w:t xml:space="preserve">. Unutar sektorskih potpora </w:t>
      </w:r>
      <w:r w:rsidRPr="00082E7C">
        <w:t xml:space="preserve">dodijeljenih u 2023. godini, </w:t>
      </w:r>
      <w:r w:rsidR="008E3172" w:rsidRPr="00082E7C">
        <w:t xml:space="preserve">najviši iznos odnosi se na potpore sektoru prometa od </w:t>
      </w:r>
      <w:r w:rsidRPr="00082E7C">
        <w:t xml:space="preserve">320,6 milijuna eura ili s 37,8 posto </w:t>
      </w:r>
      <w:r w:rsidR="008E3172" w:rsidRPr="00082E7C">
        <w:t xml:space="preserve">udjela u sektorskim potporama, slijede </w:t>
      </w:r>
      <w:r w:rsidRPr="00082E7C">
        <w:t xml:space="preserve">potpore za zaštitu okoliša i očuvanje energije u iznosu od 184,9 milijun eura ili 21,8 posto, potom usluge za javno radiotelevizijsko emitiranje i audiovizualnu industriju sa 153,9 milijuna eura ili 18,1 posto, potpore sektoru turizma sa 130,5 milijuna eura ili 15,4 posto, potpore sektoru brodogradnje dodijeljeno je 29,5 milijuna eura ili 3,5 posto, za poštanske usluge dodijeljeno je 14,8 milijuna eura ili 1,7 posto, za sanaciju i restrukturiranje poduzetnika 9 milijuna eura ili 1,1 posto te je za razvoj širokopojasnih mreža dodijeljeno 5,8 milijuna eura ili 0,7 posto. </w:t>
      </w:r>
      <w:r w:rsidR="003B3627" w:rsidRPr="00082E7C">
        <w:t xml:space="preserve">Sektorske potpore dodijeljene </w:t>
      </w:r>
      <w:r w:rsidR="008E3172" w:rsidRPr="00082E7C">
        <w:t>su</w:t>
      </w:r>
      <w:r w:rsidR="003B3627" w:rsidRPr="00082E7C">
        <w:t xml:space="preserve"> najvećim dijelom putem subvencija i neposrednih subvencija kamata u iznosu od </w:t>
      </w:r>
      <w:r w:rsidRPr="00082E7C">
        <w:t xml:space="preserve">756,9 milijuna eura </w:t>
      </w:r>
      <w:r w:rsidR="003B3627" w:rsidRPr="00082E7C">
        <w:t xml:space="preserve">ili s udjelom od </w:t>
      </w:r>
      <w:r w:rsidRPr="00082E7C">
        <w:t xml:space="preserve">89,2 </w:t>
      </w:r>
      <w:r w:rsidR="003B3627" w:rsidRPr="00082E7C">
        <w:t xml:space="preserve">posto u sektorskim potporama, slijede izdana jamstva u iznosu od </w:t>
      </w:r>
      <w:r w:rsidRPr="00082E7C">
        <w:t xml:space="preserve">38,5 milijuna eura ili 4,5 posto, </w:t>
      </w:r>
      <w:r w:rsidR="00F77B9F" w:rsidRPr="00082E7C">
        <w:t>porezne olakšice u iznosu od 38 milijuna eura ili 4,5 posto te povoljni zajmovi u iznosu od 15,6 milijun eura ili 1,8 posto.</w:t>
      </w:r>
    </w:p>
    <w:p w14:paraId="2A2A3D2C" w14:textId="77777777" w:rsidR="00F77B9F" w:rsidRPr="00082E7C" w:rsidRDefault="00F77B9F" w:rsidP="00BE487D">
      <w:pPr>
        <w:jc w:val="both"/>
      </w:pPr>
    </w:p>
    <w:p w14:paraId="498955A3" w14:textId="05813390" w:rsidR="00F77B9F" w:rsidRPr="003E1B34" w:rsidRDefault="00FA5483" w:rsidP="00F77B9F">
      <w:pPr>
        <w:jc w:val="both"/>
      </w:pPr>
      <w:r w:rsidRPr="00A8612C">
        <w:rPr>
          <w:u w:val="single"/>
        </w:rPr>
        <w:t>Potpore za obavljanje usluga od općeg gospodarskog interesa</w:t>
      </w:r>
      <w:r w:rsidRPr="00A8612C">
        <w:t xml:space="preserve"> </w:t>
      </w:r>
      <w:r w:rsidR="00196B3D" w:rsidRPr="00A8612C">
        <w:t>dodijeljene su u 202</w:t>
      </w:r>
      <w:r w:rsidR="00082E7C" w:rsidRPr="00A8612C">
        <w:t>3</w:t>
      </w:r>
      <w:r w:rsidR="00196B3D" w:rsidRPr="00A8612C">
        <w:t xml:space="preserve">. godini </w:t>
      </w:r>
      <w:r w:rsidR="008E3172" w:rsidRPr="00A8612C">
        <w:t xml:space="preserve">isključivo putem subvencija </w:t>
      </w:r>
      <w:r w:rsidR="00196B3D" w:rsidRPr="00A8612C">
        <w:t xml:space="preserve">u iznosu od </w:t>
      </w:r>
      <w:r w:rsidR="00A8612C" w:rsidRPr="00A8612C">
        <w:t>592,5</w:t>
      </w:r>
      <w:r w:rsidR="00082E7C" w:rsidRPr="00A8612C">
        <w:t xml:space="preserve"> milijuna eura</w:t>
      </w:r>
      <w:r w:rsidR="008E3172" w:rsidRPr="00A8612C">
        <w:t xml:space="preserve">. Udio navedenih potpora u BDP-u iznosio je </w:t>
      </w:r>
      <w:r w:rsidR="00082E7C" w:rsidRPr="00A8612C">
        <w:t>0,7</w:t>
      </w:r>
      <w:r w:rsidR="00A8612C" w:rsidRPr="00A8612C">
        <w:t>7</w:t>
      </w:r>
      <w:r w:rsidR="00082E7C" w:rsidRPr="00A8612C">
        <w:t xml:space="preserve"> posto</w:t>
      </w:r>
      <w:r w:rsidR="008E3172" w:rsidRPr="00A8612C">
        <w:t xml:space="preserve">, udio u ukupno dodijeljenim potporama iznosio je </w:t>
      </w:r>
      <w:r w:rsidR="00082E7C" w:rsidRPr="00A8612C">
        <w:t>19,</w:t>
      </w:r>
      <w:r w:rsidR="00A8612C" w:rsidRPr="00A8612C">
        <w:t>5</w:t>
      </w:r>
      <w:r w:rsidR="00082E7C" w:rsidRPr="00A8612C">
        <w:t xml:space="preserve"> posto</w:t>
      </w:r>
      <w:r w:rsidR="008E3172" w:rsidRPr="00A8612C">
        <w:t xml:space="preserve">, udio u dodijeljenim potporama u sektoru industrije i usluga iznosio je </w:t>
      </w:r>
      <w:r w:rsidR="00082E7C" w:rsidRPr="00A8612C">
        <w:t>30,</w:t>
      </w:r>
      <w:r w:rsidR="00A8612C" w:rsidRPr="00A8612C">
        <w:t>1</w:t>
      </w:r>
      <w:r w:rsidR="00082E7C" w:rsidRPr="00A8612C">
        <w:t xml:space="preserve"> posto</w:t>
      </w:r>
      <w:r w:rsidR="008E3172" w:rsidRPr="00A8612C">
        <w:t xml:space="preserve">, dok je udio u sektorskim potporama iznosio </w:t>
      </w:r>
      <w:r w:rsidR="00A8612C" w:rsidRPr="00A8612C">
        <w:t>69,8</w:t>
      </w:r>
      <w:r w:rsidR="00082E7C" w:rsidRPr="00A8612C">
        <w:t xml:space="preserve"> posto</w:t>
      </w:r>
      <w:r w:rsidR="008E3172" w:rsidRPr="00A8612C">
        <w:t xml:space="preserve">. Potpore za obavljanje usluga od općeg gospodarskog interesa prevladavaju </w:t>
      </w:r>
      <w:r w:rsidR="00082E7C" w:rsidRPr="00A8612C">
        <w:t xml:space="preserve">i </w:t>
      </w:r>
      <w:r w:rsidR="008E3172" w:rsidRPr="00A8612C">
        <w:t>u 202</w:t>
      </w:r>
      <w:r w:rsidR="00082E7C" w:rsidRPr="00A8612C">
        <w:t>3</w:t>
      </w:r>
      <w:r w:rsidR="008E3172" w:rsidRPr="00A8612C">
        <w:t xml:space="preserve">. godini u okviru sektorskih potpora kao naknada ili kompenzacija za obavljanje javne usluge. </w:t>
      </w:r>
      <w:r w:rsidR="003B3627" w:rsidRPr="00A8612C">
        <w:t xml:space="preserve">Unutar </w:t>
      </w:r>
      <w:r w:rsidR="008E3172" w:rsidRPr="00A8612C">
        <w:t xml:space="preserve">navedenih </w:t>
      </w:r>
      <w:r w:rsidR="003B3627" w:rsidRPr="00A8612C">
        <w:t xml:space="preserve">potpora, najviši iznos odnosi se na </w:t>
      </w:r>
      <w:r w:rsidR="00F77B9F" w:rsidRPr="00A8612C">
        <w:t>potpore kopnenom cestovnom prometu od 233,2 milijuna eura ili s 3</w:t>
      </w:r>
      <w:r w:rsidR="00A8612C" w:rsidRPr="00A8612C">
        <w:t>9,4</w:t>
      </w:r>
      <w:r w:rsidR="00F77B9F" w:rsidRPr="00A8612C">
        <w:t xml:space="preserve"> posto udjela u potporama za obavljanje usluga od općeg gospodarskog interesa, slijede potpore za javne radiodifuzijske usluge za emitiranje javnog radio i televizijskog programa u iznosu od 152,2 milijuna eura ili 25,</w:t>
      </w:r>
      <w:r w:rsidR="00A8612C" w:rsidRPr="00A8612C">
        <w:t>7</w:t>
      </w:r>
      <w:r w:rsidR="00F77B9F" w:rsidRPr="00A8612C">
        <w:t xml:space="preserve"> posto, potom potpore za kopneni željeznički promet u iznosu od 107,6 milijuna eura ili 1</w:t>
      </w:r>
      <w:r w:rsidR="00A8612C" w:rsidRPr="00A8612C">
        <w:t>8,2</w:t>
      </w:r>
      <w:r w:rsidR="00F77B9F" w:rsidRPr="00A8612C">
        <w:t xml:space="preserve"> posto, potpore pomorskom prometu u iznosu od 63,4 milijuna eura ili 10,</w:t>
      </w:r>
      <w:r w:rsidR="00A8612C" w:rsidRPr="00A8612C">
        <w:t>7</w:t>
      </w:r>
      <w:r w:rsidR="00F77B9F" w:rsidRPr="00A8612C">
        <w:t xml:space="preserve"> posto, potpore zračnom prometu u iznosu od </w:t>
      </w:r>
      <w:r w:rsidR="00A8612C" w:rsidRPr="00A8612C">
        <w:t>21,3</w:t>
      </w:r>
      <w:r w:rsidR="00F77B9F" w:rsidRPr="00A8612C">
        <w:t xml:space="preserve"> milijuna eura ili </w:t>
      </w:r>
      <w:r w:rsidR="00A8612C" w:rsidRPr="00A8612C">
        <w:t>3,6</w:t>
      </w:r>
      <w:r w:rsidR="00F77B9F" w:rsidRPr="00A8612C">
        <w:t xml:space="preserve"> posto te potpore za poštanske usluge u iznosu od 14,8 milijuna eura ili 2,5 posto.</w:t>
      </w:r>
    </w:p>
    <w:p w14:paraId="6D59B41D" w14:textId="2FD48C68" w:rsidR="003B3627" w:rsidRPr="003E1B34" w:rsidRDefault="003B3627" w:rsidP="00BE487D">
      <w:pPr>
        <w:jc w:val="both"/>
      </w:pPr>
    </w:p>
    <w:p w14:paraId="0921C7F5" w14:textId="4D2AF8D0" w:rsidR="00F77B9F" w:rsidRPr="003E1B34" w:rsidRDefault="00FA5483" w:rsidP="00F77B9F">
      <w:pPr>
        <w:jc w:val="both"/>
      </w:pPr>
      <w:r w:rsidRPr="003E1B34">
        <w:rPr>
          <w:u w:val="single"/>
        </w:rPr>
        <w:t xml:space="preserve">Potpore za podršku gospodarstvu u COVID-19 </w:t>
      </w:r>
      <w:proofErr w:type="spellStart"/>
      <w:r w:rsidRPr="003E1B34">
        <w:rPr>
          <w:u w:val="single"/>
        </w:rPr>
        <w:t>pandemiji</w:t>
      </w:r>
      <w:proofErr w:type="spellEnd"/>
      <w:r w:rsidR="00E157F7" w:rsidRPr="003E1B34">
        <w:rPr>
          <w:u w:val="single"/>
        </w:rPr>
        <w:t xml:space="preserve"> te za suzbijanje učinaka ruske agresije na Ukrajinu</w:t>
      </w:r>
      <w:r w:rsidR="00E40715" w:rsidRPr="003E1B34">
        <w:t xml:space="preserve"> </w:t>
      </w:r>
      <w:r w:rsidR="003E1B34" w:rsidRPr="003E1B34">
        <w:t>su u 2023. godini dodijeljene u iznosu od 556,6 milijuna eura</w:t>
      </w:r>
      <w:r w:rsidR="00E40715" w:rsidRPr="003E1B34">
        <w:t xml:space="preserve">. </w:t>
      </w:r>
      <w:r w:rsidR="008E3172" w:rsidRPr="003E1B34">
        <w:t xml:space="preserve">Udio navedenih potpora u BDP-u iznosio je </w:t>
      </w:r>
      <w:r w:rsidR="003E1B34" w:rsidRPr="003E1B34">
        <w:rPr>
          <w:rFonts w:eastAsia="Times New Roman"/>
          <w:lang w:eastAsia="hr-HR"/>
        </w:rPr>
        <w:t xml:space="preserve">0,73 </w:t>
      </w:r>
      <w:r w:rsidR="003E1B34" w:rsidRPr="003E1B34">
        <w:t>posto</w:t>
      </w:r>
      <w:r w:rsidR="008E3172" w:rsidRPr="003E1B34">
        <w:t xml:space="preserve">, udio u ukupno dodijeljenim potporama iznosio je </w:t>
      </w:r>
      <w:r w:rsidR="003E1B34" w:rsidRPr="003E1B34">
        <w:t>18,34 posto</w:t>
      </w:r>
      <w:r w:rsidR="008E3172" w:rsidRPr="003E1B34">
        <w:t xml:space="preserve">, dok je udio u dodijeljenim potporama u sektoru industrije i usluga iznosio </w:t>
      </w:r>
      <w:r w:rsidR="003E1B34" w:rsidRPr="003E1B34">
        <w:t>28,29 posto</w:t>
      </w:r>
      <w:r w:rsidR="008E3172" w:rsidRPr="003E1B34">
        <w:t xml:space="preserve">. </w:t>
      </w:r>
      <w:r w:rsidR="00E40715" w:rsidRPr="003E1B34">
        <w:t xml:space="preserve">Navedene potpore najvećim dijelom su dodjeljivane putem </w:t>
      </w:r>
      <w:r w:rsidR="008E3172" w:rsidRPr="003E1B34">
        <w:t xml:space="preserve">izdanih jamstava u iznosu od </w:t>
      </w:r>
      <w:r w:rsidR="003E1B34" w:rsidRPr="003E1B34">
        <w:t xml:space="preserve">392,5 milijuna eura </w:t>
      </w:r>
      <w:r w:rsidR="008E3172" w:rsidRPr="003E1B34">
        <w:t xml:space="preserve">odnosno s udjelom od </w:t>
      </w:r>
      <w:r w:rsidR="003E1B34" w:rsidRPr="003E1B34">
        <w:t xml:space="preserve">70,5 </w:t>
      </w:r>
      <w:r w:rsidR="008E3172" w:rsidRPr="003E1B34">
        <w:t xml:space="preserve">posto u navedenom sektoru, slijede povoljni zajmovi u iznosu od </w:t>
      </w:r>
      <w:r w:rsidR="003E1B34" w:rsidRPr="003E1B34">
        <w:t>127,4 milijuna eura ili 22,9 posto</w:t>
      </w:r>
      <w:r w:rsidR="008E3172" w:rsidRPr="003E1B34">
        <w:t>,</w:t>
      </w:r>
      <w:r w:rsidR="003E1B34" w:rsidRPr="003E1B34">
        <w:t xml:space="preserve"> </w:t>
      </w:r>
      <w:r w:rsidR="00F77B9F" w:rsidRPr="003E1B34">
        <w:t>neposredne subvencije kamata u iznosu od 16,1 milijun eura ili 2,9 posto, otpis duga u iznosu od 14,3 milijuna eura ili 2,6</w:t>
      </w:r>
      <w:r w:rsidR="00CF5902">
        <w:t xml:space="preserve"> </w:t>
      </w:r>
      <w:r w:rsidR="00F77B9F" w:rsidRPr="003E1B34">
        <w:t xml:space="preserve">posto te subvencije u iznosu od 6,3 milijuna eura ili 1,1 posto. </w:t>
      </w:r>
    </w:p>
    <w:p w14:paraId="5756EE5F" w14:textId="77777777" w:rsidR="00F77B9F" w:rsidRPr="003E1B34" w:rsidRDefault="00F77B9F" w:rsidP="00E40715">
      <w:pPr>
        <w:jc w:val="both"/>
      </w:pPr>
    </w:p>
    <w:p w14:paraId="3F8501C4" w14:textId="4B15C283" w:rsidR="00F77B9F" w:rsidRPr="003E1B34" w:rsidRDefault="00FA5483" w:rsidP="00F77B9F">
      <w:pPr>
        <w:jc w:val="both"/>
      </w:pPr>
      <w:r w:rsidRPr="003E1B34">
        <w:rPr>
          <w:u w:val="single"/>
        </w:rPr>
        <w:lastRenderedPageBreak/>
        <w:t>Instrumenti</w:t>
      </w:r>
      <w:r w:rsidRPr="003E1B34">
        <w:rPr>
          <w:b/>
        </w:rPr>
        <w:t xml:space="preserve"> </w:t>
      </w:r>
      <w:r w:rsidR="003E1B34" w:rsidRPr="003E1B34">
        <w:t xml:space="preserve">putem kojih su dodijeljene potpore </w:t>
      </w:r>
      <w:r w:rsidR="00F6171F" w:rsidRPr="003E1B34">
        <w:t>u 202</w:t>
      </w:r>
      <w:r w:rsidR="003E1B34" w:rsidRPr="003E1B34">
        <w:t>3</w:t>
      </w:r>
      <w:r w:rsidR="00F6171F" w:rsidRPr="003E1B34">
        <w:t xml:space="preserve">. godini </w:t>
      </w:r>
      <w:r w:rsidRPr="003E1B34">
        <w:t xml:space="preserve">u iznosu od </w:t>
      </w:r>
      <w:r w:rsidR="003E1B34" w:rsidRPr="003E1B34">
        <w:t xml:space="preserve">3.035,6 milijuna eura </w:t>
      </w:r>
      <w:r w:rsidRPr="003E1B34">
        <w:t xml:space="preserve">su: </w:t>
      </w:r>
      <w:r w:rsidR="003B3627" w:rsidRPr="003E1B34">
        <w:t>subvencij</w:t>
      </w:r>
      <w:r w:rsidR="00F6171F" w:rsidRPr="003E1B34">
        <w:t>e</w:t>
      </w:r>
      <w:r w:rsidR="003B3627" w:rsidRPr="003E1B34">
        <w:t xml:space="preserve"> i neposredn</w:t>
      </w:r>
      <w:r w:rsidR="00F6171F" w:rsidRPr="003E1B34">
        <w:t>e</w:t>
      </w:r>
      <w:r w:rsidR="003B3627" w:rsidRPr="003E1B34">
        <w:t xml:space="preserve"> subvencij</w:t>
      </w:r>
      <w:r w:rsidR="00F6171F" w:rsidRPr="003E1B34">
        <w:t>e</w:t>
      </w:r>
      <w:r w:rsidR="003B3627" w:rsidRPr="003E1B34">
        <w:t xml:space="preserve"> kamata</w:t>
      </w:r>
      <w:r w:rsidR="00F6171F" w:rsidRPr="003E1B34">
        <w:t xml:space="preserve"> </w:t>
      </w:r>
      <w:r w:rsidR="003B3627" w:rsidRPr="003E1B34">
        <w:t xml:space="preserve">u iznosu od </w:t>
      </w:r>
      <w:r w:rsidR="003E1B34" w:rsidRPr="003E1B34">
        <w:t xml:space="preserve">1.980,7 milijuna eura </w:t>
      </w:r>
      <w:r w:rsidR="003B3627" w:rsidRPr="003E1B34">
        <w:t xml:space="preserve">ili s udjelom u ukupno dodijeljenim potporama od </w:t>
      </w:r>
      <w:r w:rsidR="003E1B34" w:rsidRPr="003E1B34">
        <w:t>65,2 posto</w:t>
      </w:r>
      <w:r w:rsidR="003B3627" w:rsidRPr="003E1B34">
        <w:t xml:space="preserve">, slijede izdana jamstva u iznosu od </w:t>
      </w:r>
      <w:r w:rsidR="003E1B34" w:rsidRPr="003E1B34">
        <w:t>433,1 milijun eura ili 14,3 posto</w:t>
      </w:r>
      <w:r w:rsidR="003B3627" w:rsidRPr="003E1B34">
        <w:t xml:space="preserve">, </w:t>
      </w:r>
      <w:r w:rsidR="003E1B34" w:rsidRPr="003E1B34">
        <w:t xml:space="preserve">porezna oslobođenja, izuzeća, oprost poreza i doprinosa i olakšice s iznosom od 230,7 milijuna eura ili 7,6 posto, </w:t>
      </w:r>
      <w:r w:rsidR="00F77B9F" w:rsidRPr="003E1B34">
        <w:t>kapitalna ulaganja s iznosom od 203,2 milijuna eura ili 6,7 posto te povoljni zajmovi s iznosom od 188 milijuna eura ili 6,2 posto.</w:t>
      </w:r>
    </w:p>
    <w:p w14:paraId="3D58F302" w14:textId="77777777" w:rsidR="003E1B34" w:rsidRPr="003E1B34" w:rsidRDefault="003E1B34" w:rsidP="00F77B9F">
      <w:pPr>
        <w:jc w:val="both"/>
      </w:pPr>
    </w:p>
    <w:p w14:paraId="79B142DB" w14:textId="457EFE59" w:rsidR="00F77B9F" w:rsidRPr="00792283" w:rsidRDefault="00FA5483" w:rsidP="00F77B9F">
      <w:pPr>
        <w:jc w:val="both"/>
      </w:pPr>
      <w:r w:rsidRPr="003E1B34">
        <w:rPr>
          <w:bCs/>
          <w:u w:val="single"/>
        </w:rPr>
        <w:t>Potpore male vrijednosti</w:t>
      </w:r>
      <w:r w:rsidRPr="003E1B34">
        <w:rPr>
          <w:bCs/>
        </w:rPr>
        <w:t xml:space="preserve"> odnosno de minimis potpore dodijeljene </w:t>
      </w:r>
      <w:r w:rsidR="006D7BBD" w:rsidRPr="003E1B34">
        <w:rPr>
          <w:bCs/>
        </w:rPr>
        <w:t xml:space="preserve">su </w:t>
      </w:r>
      <w:r w:rsidRPr="003E1B34">
        <w:rPr>
          <w:bCs/>
        </w:rPr>
        <w:t>u 202</w:t>
      </w:r>
      <w:r w:rsidR="003E1B34" w:rsidRPr="003E1B34">
        <w:rPr>
          <w:bCs/>
        </w:rPr>
        <w:t>3</w:t>
      </w:r>
      <w:r w:rsidRPr="003E1B34">
        <w:rPr>
          <w:bCs/>
        </w:rPr>
        <w:t xml:space="preserve">. godini u iznosu od </w:t>
      </w:r>
      <w:r w:rsidR="003E1B34" w:rsidRPr="003E1B34">
        <w:t xml:space="preserve">252,9 </w:t>
      </w:r>
      <w:r w:rsidR="003E1B34" w:rsidRPr="003E1B34">
        <w:rPr>
          <w:bCs/>
        </w:rPr>
        <w:t xml:space="preserve">milijuna eura </w:t>
      </w:r>
      <w:r w:rsidR="00F6171F" w:rsidRPr="003E1B34">
        <w:rPr>
          <w:bCs/>
        </w:rPr>
        <w:t xml:space="preserve">s </w:t>
      </w:r>
      <w:r w:rsidR="00F6171F" w:rsidRPr="00792283">
        <w:rPr>
          <w:bCs/>
        </w:rPr>
        <w:t xml:space="preserve">udjelom </w:t>
      </w:r>
      <w:r w:rsidRPr="00792283">
        <w:rPr>
          <w:lang w:eastAsia="hr-HR"/>
        </w:rPr>
        <w:t xml:space="preserve">u BDP-u </w:t>
      </w:r>
      <w:r w:rsidR="003E1B34" w:rsidRPr="00792283">
        <w:t>0,33 posto</w:t>
      </w:r>
      <w:r w:rsidRPr="00792283">
        <w:rPr>
          <w:bCs/>
        </w:rPr>
        <w:t xml:space="preserve">. </w:t>
      </w:r>
      <w:r w:rsidR="006D7BBD" w:rsidRPr="00792283">
        <w:t xml:space="preserve">Potpore male vrijednosti dodijeljene su najvećim dijelom </w:t>
      </w:r>
      <w:r w:rsidR="00F6171F" w:rsidRPr="00792283">
        <w:t xml:space="preserve">putem subvencija u iznosu od </w:t>
      </w:r>
      <w:r w:rsidR="003E1B34" w:rsidRPr="00792283">
        <w:t xml:space="preserve">224,4 milijuna eura </w:t>
      </w:r>
      <w:r w:rsidR="00F6171F" w:rsidRPr="00792283">
        <w:t xml:space="preserve">odnosno s udjelom od </w:t>
      </w:r>
      <w:r w:rsidR="003E1B34" w:rsidRPr="00792283">
        <w:t xml:space="preserve">88,7 posto </w:t>
      </w:r>
      <w:r w:rsidR="00F6171F" w:rsidRPr="00792283">
        <w:t xml:space="preserve">u ukupno dodijeljenim potporama male vrijednosti, </w:t>
      </w:r>
      <w:r w:rsidR="00792283" w:rsidRPr="00792283">
        <w:t xml:space="preserve">slijede povoljni zajmovi u iznosu od 13,3 milijuna eura ili 5,3 posto, potom sniženje, oslobođenje, olakšice, izuzeće i oprost plaćanja doprinosa u iznosu od 7,3 milijuna eura ili 2,9 posto, izdana jamstva u iznosu od 4,2 milijuna eura ili 1,7 posto, kapitalna ulaganja u iznosu od 2,6 milijuna eura ili 1 posto, neposredne subvencije kamata u iznosu od 717.515,68 eura ili 0,3 posto, odgode pri podmirenju duga u iznosu od 140.205,34 eura ili 0,1 posto, otpis duga u iznosu od 130.424,52 eura ili 0,1 posto, oprost poreza, porezna oslobođenja, izuzeća i olakšice u iznosu od 119.883,67 eura ili 0,1 posto, odgode pri plaćanju poreza u iznosu od 2.519,67 eura ili 0,001 posto te plaćanja za opozvana jamstva u iznosu od 1.884,00 eura ili 0,001 posto. </w:t>
      </w:r>
      <w:r w:rsidR="00F77B9F" w:rsidRPr="00792283">
        <w:t xml:space="preserve">U 2023. godini od ukupno dodijeljenih potpora male vrijednosti u iznosu od 252,9 milijuna eura, davatelji potpora na razini središnje države dodijelili su iznos od 228,2 milijuna eura ili 90,2 posto udjela u navedenim potporama, dok su davatelji na lokalnoj razini dodijelili iznos od 24,7 milijuna kuna ili 9,8 posto. </w:t>
      </w:r>
    </w:p>
    <w:p w14:paraId="205EC8D7" w14:textId="77777777" w:rsidR="00F77B9F" w:rsidRPr="00792283" w:rsidRDefault="00F77B9F" w:rsidP="00F77B9F">
      <w:pPr>
        <w:rPr>
          <w:b/>
        </w:rPr>
      </w:pPr>
    </w:p>
    <w:p w14:paraId="5478C63D" w14:textId="77777777" w:rsidR="00857D5E" w:rsidRPr="008149B5" w:rsidRDefault="00857D5E" w:rsidP="00BE487D">
      <w:pPr>
        <w:jc w:val="both"/>
        <w:rPr>
          <w:highlight w:val="red"/>
        </w:rPr>
      </w:pPr>
    </w:p>
    <w:p w14:paraId="3859F524" w14:textId="77777777" w:rsidR="00CC2841" w:rsidRPr="008149B5" w:rsidRDefault="00CC2841" w:rsidP="00BE487D">
      <w:pPr>
        <w:jc w:val="both"/>
        <w:rPr>
          <w:b/>
          <w:highlight w:val="red"/>
        </w:rPr>
      </w:pPr>
      <w:r w:rsidRPr="008149B5">
        <w:rPr>
          <w:b/>
          <w:highlight w:val="red"/>
        </w:rPr>
        <w:br w:type="page"/>
      </w:r>
    </w:p>
    <w:p w14:paraId="6E1E3DE4" w14:textId="7B3408E1" w:rsidR="00BE0817" w:rsidRPr="008149B5" w:rsidRDefault="00CC2841" w:rsidP="00BE487D">
      <w:pPr>
        <w:pStyle w:val="Heading1"/>
        <w:numPr>
          <w:ilvl w:val="0"/>
          <w:numId w:val="1"/>
        </w:numPr>
        <w:spacing w:before="0"/>
        <w:jc w:val="both"/>
        <w:rPr>
          <w:rFonts w:ascii="Times New Roman" w:hAnsi="Times New Roman" w:cs="Times New Roman"/>
          <w:b/>
          <w:color w:val="auto"/>
          <w:sz w:val="24"/>
          <w:szCs w:val="24"/>
        </w:rPr>
      </w:pPr>
      <w:bookmarkStart w:id="5" w:name="_Toc184635836"/>
      <w:r w:rsidRPr="008149B5">
        <w:rPr>
          <w:rFonts w:ascii="Times New Roman" w:hAnsi="Times New Roman" w:cs="Times New Roman"/>
          <w:b/>
          <w:color w:val="auto"/>
          <w:sz w:val="24"/>
          <w:szCs w:val="24"/>
        </w:rPr>
        <w:lastRenderedPageBreak/>
        <w:t>DRŽAVNE POTPORE U 20</w:t>
      </w:r>
      <w:r w:rsidR="00B20C9B" w:rsidRPr="008149B5">
        <w:rPr>
          <w:rFonts w:ascii="Times New Roman" w:hAnsi="Times New Roman" w:cs="Times New Roman"/>
          <w:b/>
          <w:color w:val="auto"/>
          <w:sz w:val="24"/>
          <w:szCs w:val="24"/>
        </w:rPr>
        <w:t>2</w:t>
      </w:r>
      <w:r w:rsidR="00B26CC6" w:rsidRPr="008149B5">
        <w:rPr>
          <w:rFonts w:ascii="Times New Roman" w:hAnsi="Times New Roman" w:cs="Times New Roman"/>
          <w:b/>
          <w:color w:val="auto"/>
          <w:sz w:val="24"/>
          <w:szCs w:val="24"/>
        </w:rPr>
        <w:t>3</w:t>
      </w:r>
      <w:r w:rsidRPr="008149B5">
        <w:rPr>
          <w:rFonts w:ascii="Times New Roman" w:hAnsi="Times New Roman" w:cs="Times New Roman"/>
          <w:b/>
          <w:color w:val="auto"/>
          <w:sz w:val="24"/>
          <w:szCs w:val="24"/>
        </w:rPr>
        <w:t>. GODINI</w:t>
      </w:r>
      <w:bookmarkEnd w:id="5"/>
    </w:p>
    <w:p w14:paraId="19394F8A" w14:textId="77777777" w:rsidR="00BE0817" w:rsidRPr="008149B5" w:rsidRDefault="00BE0817" w:rsidP="00BE487D">
      <w:pPr>
        <w:jc w:val="both"/>
        <w:rPr>
          <w:b/>
        </w:rPr>
      </w:pPr>
    </w:p>
    <w:p w14:paraId="46AD106A" w14:textId="4BA72BF8" w:rsidR="00BE0817" w:rsidRPr="008149B5" w:rsidRDefault="000457E9" w:rsidP="00601FE8">
      <w:pPr>
        <w:pStyle w:val="Heading2"/>
        <w:ind w:left="811" w:hanging="454"/>
      </w:pPr>
      <w:r w:rsidRPr="008149B5">
        <w:t xml:space="preserve"> </w:t>
      </w:r>
      <w:bookmarkStart w:id="6" w:name="_Toc184635837"/>
      <w:r w:rsidR="00B20C9B" w:rsidRPr="008149B5">
        <w:t>MAKROEKONOMSKI POKAZATELJI</w:t>
      </w:r>
      <w:bookmarkEnd w:id="6"/>
    </w:p>
    <w:p w14:paraId="785B7D95" w14:textId="77777777" w:rsidR="00CC2841" w:rsidRPr="008149B5" w:rsidRDefault="00CC2841" w:rsidP="00BE487D">
      <w:pPr>
        <w:jc w:val="both"/>
      </w:pPr>
    </w:p>
    <w:p w14:paraId="68EDBD7B" w14:textId="77777777" w:rsidR="00CC2841" w:rsidRPr="008149B5" w:rsidRDefault="00CC2841" w:rsidP="00BE487D">
      <w:pPr>
        <w:jc w:val="both"/>
      </w:pPr>
    </w:p>
    <w:p w14:paraId="038AF75F" w14:textId="15FB7BE7" w:rsidR="00744922" w:rsidRPr="008149B5" w:rsidRDefault="00CE25C1" w:rsidP="00BE487D">
      <w:pPr>
        <w:jc w:val="both"/>
      </w:pPr>
      <w:r w:rsidRPr="008149B5">
        <w:t xml:space="preserve">U 2023. godini, potpore su u </w:t>
      </w:r>
      <w:r w:rsidR="00744922" w:rsidRPr="008149B5">
        <w:t xml:space="preserve">Republici Hrvatskoj </w:t>
      </w:r>
      <w:r w:rsidR="005126F8" w:rsidRPr="008149B5">
        <w:t xml:space="preserve">dodijeljene </w:t>
      </w:r>
      <w:r w:rsidR="007C38D2" w:rsidRPr="008149B5">
        <w:t xml:space="preserve">u </w:t>
      </w:r>
      <w:r w:rsidR="00FE2D9A" w:rsidRPr="008149B5">
        <w:t>ukupno</w:t>
      </w:r>
      <w:r w:rsidR="007C38D2" w:rsidRPr="008149B5">
        <w:t xml:space="preserve">m iznosu od </w:t>
      </w:r>
      <w:r w:rsidRPr="008149B5">
        <w:t>3.035,6</w:t>
      </w:r>
      <w:r w:rsidR="005126F8" w:rsidRPr="008149B5">
        <w:t xml:space="preserve"> </w:t>
      </w:r>
      <w:r w:rsidR="00FE2D9A" w:rsidRPr="008149B5">
        <w:t>milijun</w:t>
      </w:r>
      <w:r w:rsidR="005126F8" w:rsidRPr="008149B5">
        <w:t>a</w:t>
      </w:r>
      <w:r w:rsidR="00FE2D9A" w:rsidRPr="008149B5">
        <w:t xml:space="preserve"> </w:t>
      </w:r>
      <w:r w:rsidRPr="008149B5">
        <w:t>eura</w:t>
      </w:r>
      <w:r w:rsidR="00FE2D9A" w:rsidRPr="008149B5">
        <w:t>, što</w:t>
      </w:r>
      <w:r w:rsidR="005126F8" w:rsidRPr="008149B5">
        <w:t xml:space="preserve"> je </w:t>
      </w:r>
      <w:r w:rsidRPr="008149B5">
        <w:t>povećanje</w:t>
      </w:r>
      <w:r w:rsidR="00FE2D9A" w:rsidRPr="008149B5">
        <w:t xml:space="preserve"> za </w:t>
      </w:r>
      <w:r w:rsidRPr="008149B5">
        <w:t xml:space="preserve">20,6 </w:t>
      </w:r>
      <w:r w:rsidR="00FE2D9A" w:rsidRPr="008149B5">
        <w:t xml:space="preserve">milijuna </w:t>
      </w:r>
      <w:r w:rsidRPr="008149B5">
        <w:t xml:space="preserve">eura </w:t>
      </w:r>
      <w:r w:rsidR="00FE2D9A" w:rsidRPr="008149B5">
        <w:t xml:space="preserve">odnosno </w:t>
      </w:r>
      <w:r w:rsidR="001E1E97" w:rsidRPr="008149B5">
        <w:t xml:space="preserve">za </w:t>
      </w:r>
      <w:r w:rsidRPr="008149B5">
        <w:t>0,7</w:t>
      </w:r>
      <w:r w:rsidR="00FE2D9A" w:rsidRPr="008149B5">
        <w:rPr>
          <w:rFonts w:eastAsia="Times New Roman"/>
        </w:rPr>
        <w:t xml:space="preserve"> </w:t>
      </w:r>
      <w:r w:rsidR="00FE2D9A" w:rsidRPr="008149B5">
        <w:t>posto u odnosu na 20</w:t>
      </w:r>
      <w:r w:rsidR="007C38D2" w:rsidRPr="008149B5">
        <w:t>2</w:t>
      </w:r>
      <w:r w:rsidRPr="008149B5">
        <w:t>2</w:t>
      </w:r>
      <w:r w:rsidR="00FE2D9A" w:rsidRPr="008149B5">
        <w:t xml:space="preserve">. godinu, kada su dodijeljene </w:t>
      </w:r>
      <w:r w:rsidRPr="008149B5">
        <w:t xml:space="preserve">potpore </w:t>
      </w:r>
      <w:r w:rsidR="00FE2D9A" w:rsidRPr="008149B5">
        <w:t>iznos</w:t>
      </w:r>
      <w:r w:rsidRPr="008149B5">
        <w:t>ile</w:t>
      </w:r>
      <w:r w:rsidR="00FE2D9A" w:rsidRPr="008149B5">
        <w:t xml:space="preserve"> </w:t>
      </w:r>
      <w:r w:rsidRPr="008149B5">
        <w:t xml:space="preserve">3.015 </w:t>
      </w:r>
      <w:r w:rsidR="00FE2D9A" w:rsidRPr="008149B5">
        <w:t xml:space="preserve">milijuna </w:t>
      </w:r>
      <w:r w:rsidRPr="008149B5">
        <w:t>eura</w:t>
      </w:r>
      <w:r w:rsidR="00FE2D9A" w:rsidRPr="008149B5">
        <w:t xml:space="preserve">, te </w:t>
      </w:r>
      <w:r w:rsidR="00E95F84" w:rsidRPr="008149B5">
        <w:t xml:space="preserve">je povećanje </w:t>
      </w:r>
      <w:r w:rsidR="00FE2D9A" w:rsidRPr="008149B5">
        <w:t xml:space="preserve">za </w:t>
      </w:r>
      <w:r w:rsidR="00E95F84" w:rsidRPr="008149B5">
        <w:t>96</w:t>
      </w:r>
      <w:r w:rsidR="005126F8" w:rsidRPr="008149B5">
        <w:t xml:space="preserve"> </w:t>
      </w:r>
      <w:r w:rsidR="00FE2D9A" w:rsidRPr="008149B5">
        <w:t>milijun</w:t>
      </w:r>
      <w:r w:rsidR="00E95F84" w:rsidRPr="008149B5">
        <w:t>a</w:t>
      </w:r>
      <w:r w:rsidR="00FE2D9A" w:rsidRPr="008149B5">
        <w:t xml:space="preserve"> </w:t>
      </w:r>
      <w:r w:rsidRPr="008149B5">
        <w:t xml:space="preserve">eura </w:t>
      </w:r>
      <w:r w:rsidR="00FE2D9A" w:rsidRPr="008149B5">
        <w:t xml:space="preserve">odnosno </w:t>
      </w:r>
      <w:r w:rsidR="00E95F84" w:rsidRPr="008149B5">
        <w:t>3,3</w:t>
      </w:r>
      <w:r w:rsidR="00FE2D9A" w:rsidRPr="008149B5">
        <w:rPr>
          <w:rFonts w:eastAsia="Times New Roman"/>
        </w:rPr>
        <w:t xml:space="preserve"> </w:t>
      </w:r>
      <w:r w:rsidR="00FE2D9A" w:rsidRPr="008149B5">
        <w:t>posto u odnosu na 20</w:t>
      </w:r>
      <w:r w:rsidR="005126F8" w:rsidRPr="008149B5">
        <w:t>2</w:t>
      </w:r>
      <w:r w:rsidR="00E95F84" w:rsidRPr="008149B5">
        <w:t>1</w:t>
      </w:r>
      <w:r w:rsidR="00FE2D9A" w:rsidRPr="008149B5">
        <w:t xml:space="preserve">. godinu kada su </w:t>
      </w:r>
      <w:r w:rsidR="00E95F84" w:rsidRPr="008149B5">
        <w:t>dodijeljene potpore iznosile 2.939,7</w:t>
      </w:r>
      <w:r w:rsidR="005126F8" w:rsidRPr="008149B5">
        <w:t xml:space="preserve"> </w:t>
      </w:r>
      <w:r w:rsidR="00FE2D9A" w:rsidRPr="008149B5">
        <w:t>milijun</w:t>
      </w:r>
      <w:r w:rsidR="007C38D2" w:rsidRPr="008149B5">
        <w:t>a</w:t>
      </w:r>
      <w:r w:rsidR="00FE2D9A" w:rsidRPr="008149B5">
        <w:t xml:space="preserve"> </w:t>
      </w:r>
      <w:r w:rsidRPr="008149B5">
        <w:t>eura</w:t>
      </w:r>
      <w:r w:rsidR="00FE2D9A" w:rsidRPr="008149B5">
        <w:t>.</w:t>
      </w:r>
      <w:r w:rsidR="005126F8" w:rsidRPr="008149B5">
        <w:t xml:space="preserve"> </w:t>
      </w:r>
    </w:p>
    <w:p w14:paraId="06AC05D9" w14:textId="77777777" w:rsidR="00795FD3" w:rsidRPr="008149B5" w:rsidRDefault="00795FD3" w:rsidP="00BE487D">
      <w:pPr>
        <w:jc w:val="both"/>
      </w:pPr>
    </w:p>
    <w:p w14:paraId="700295F7" w14:textId="36BC4490" w:rsidR="00E95F84" w:rsidRPr="008149B5" w:rsidRDefault="00744922" w:rsidP="00E95F84">
      <w:pPr>
        <w:jc w:val="both"/>
      </w:pPr>
      <w:r w:rsidRPr="008149B5">
        <w:t>Udio ukupno dodijeljenih potpora u BDP-u u 202</w:t>
      </w:r>
      <w:r w:rsidR="00E95F84" w:rsidRPr="008149B5">
        <w:t>3</w:t>
      </w:r>
      <w:r w:rsidRPr="008149B5">
        <w:t xml:space="preserve">. godini iznosio je </w:t>
      </w:r>
      <w:r w:rsidR="00E95F84" w:rsidRPr="008149B5">
        <w:t>3,97</w:t>
      </w:r>
      <w:r w:rsidRPr="008149B5">
        <w:t xml:space="preserve"> posto, u 202</w:t>
      </w:r>
      <w:r w:rsidR="00E95F84" w:rsidRPr="008149B5">
        <w:t>2</w:t>
      </w:r>
      <w:r w:rsidRPr="008149B5">
        <w:t xml:space="preserve">. godini </w:t>
      </w:r>
      <w:r w:rsidR="00E95F84" w:rsidRPr="008149B5">
        <w:t>iznosio je 4,41</w:t>
      </w:r>
      <w:r w:rsidRPr="008149B5">
        <w:t xml:space="preserve"> posto </w:t>
      </w:r>
      <w:r w:rsidR="00E95F84" w:rsidRPr="008149B5">
        <w:t xml:space="preserve">dok je u </w:t>
      </w:r>
      <w:r w:rsidRPr="008149B5">
        <w:t>20</w:t>
      </w:r>
      <w:r w:rsidR="005126F8" w:rsidRPr="008149B5">
        <w:t>2</w:t>
      </w:r>
      <w:r w:rsidR="00E95F84" w:rsidRPr="008149B5">
        <w:t>1</w:t>
      </w:r>
      <w:r w:rsidRPr="008149B5">
        <w:t xml:space="preserve">. godini </w:t>
      </w:r>
      <w:r w:rsidR="00E95F84" w:rsidRPr="008149B5">
        <w:t>iznosio 5,00</w:t>
      </w:r>
      <w:r w:rsidRPr="008149B5">
        <w:t xml:space="preserve"> posto. </w:t>
      </w:r>
      <w:r w:rsidR="00E95F84" w:rsidRPr="008149B5">
        <w:t>Udio dodijeljenih potpora u rashodima države u 2023. godini iznosio je 10,80</w:t>
      </w:r>
      <w:r w:rsidR="00E95F84" w:rsidRPr="008149B5">
        <w:rPr>
          <w:rFonts w:eastAsia="Times New Roman"/>
        </w:rPr>
        <w:t xml:space="preserve"> </w:t>
      </w:r>
      <w:r w:rsidR="00E95F84" w:rsidRPr="008149B5">
        <w:t>posto, u 2022. godini 12,98</w:t>
      </w:r>
      <w:r w:rsidR="00E95F84" w:rsidRPr="008149B5">
        <w:rPr>
          <w:rFonts w:eastAsia="Times New Roman"/>
        </w:rPr>
        <w:t xml:space="preserve"> </w:t>
      </w:r>
      <w:r w:rsidR="00E95F84" w:rsidRPr="008149B5">
        <w:t>posto dok je u 2021. godini iznosio 13,10</w:t>
      </w:r>
      <w:r w:rsidR="00E95F84" w:rsidRPr="008149B5">
        <w:rPr>
          <w:rFonts w:eastAsia="Times New Roman"/>
        </w:rPr>
        <w:t xml:space="preserve"> </w:t>
      </w:r>
      <w:r w:rsidR="00E95F84" w:rsidRPr="008149B5">
        <w:t>posto.</w:t>
      </w:r>
      <w:r w:rsidR="000873FF">
        <w:t xml:space="preserve"> </w:t>
      </w:r>
    </w:p>
    <w:p w14:paraId="7518DFA1" w14:textId="77777777" w:rsidR="00E95F84" w:rsidRPr="008149B5" w:rsidRDefault="00E95F84" w:rsidP="00E95F84">
      <w:pPr>
        <w:jc w:val="both"/>
      </w:pPr>
    </w:p>
    <w:p w14:paraId="74B205E0" w14:textId="039B2D65" w:rsidR="00FE2D9A" w:rsidRPr="00B9741D" w:rsidRDefault="00FE2D9A" w:rsidP="00BE487D">
      <w:pPr>
        <w:jc w:val="both"/>
      </w:pPr>
      <w:r w:rsidRPr="00B9741D">
        <w:t>Tablica 1. Ukupne potpore dodijeljene u razdoblju od 20</w:t>
      </w:r>
      <w:r w:rsidR="00751F98" w:rsidRPr="00B9741D">
        <w:t>2</w:t>
      </w:r>
      <w:r w:rsidR="0053450E" w:rsidRPr="00B9741D">
        <w:t>1</w:t>
      </w:r>
      <w:r w:rsidRPr="00B9741D">
        <w:t>. do 202</w:t>
      </w:r>
      <w:r w:rsidR="0053450E" w:rsidRPr="00B9741D">
        <w:t>3</w:t>
      </w:r>
      <w:r w:rsidRPr="00B9741D">
        <w:t>. godine</w:t>
      </w:r>
    </w:p>
    <w:p w14:paraId="6C9858C2" w14:textId="77777777" w:rsidR="00FE2D9A" w:rsidRPr="00C92009" w:rsidRDefault="00FE2D9A" w:rsidP="00BE487D">
      <w:pPr>
        <w:contextualSpacing/>
        <w:jc w:val="both"/>
        <w:rPr>
          <w:i/>
          <w:sz w:val="20"/>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134"/>
        <w:gridCol w:w="1134"/>
        <w:gridCol w:w="1134"/>
      </w:tblGrid>
      <w:tr w:rsidR="0053450E" w:rsidRPr="008149B5" w14:paraId="48B382D6" w14:textId="77777777" w:rsidTr="00AB080D">
        <w:trPr>
          <w:trHeight w:val="40"/>
        </w:trPr>
        <w:tc>
          <w:tcPr>
            <w:tcW w:w="3686" w:type="dxa"/>
            <w:shd w:val="clear" w:color="auto" w:fill="FFFF99"/>
            <w:vAlign w:val="center"/>
          </w:tcPr>
          <w:p w14:paraId="2B920A61" w14:textId="77777777" w:rsidR="0053450E" w:rsidRPr="008149B5" w:rsidRDefault="0053450E" w:rsidP="0053450E">
            <w:pPr>
              <w:jc w:val="both"/>
              <w:rPr>
                <w:sz w:val="20"/>
                <w:szCs w:val="20"/>
                <w:lang w:eastAsia="hr-HR"/>
              </w:rPr>
            </w:pPr>
          </w:p>
        </w:tc>
        <w:tc>
          <w:tcPr>
            <w:tcW w:w="1417" w:type="dxa"/>
            <w:shd w:val="clear" w:color="auto" w:fill="FFFF99"/>
            <w:noWrap/>
            <w:vAlign w:val="center"/>
          </w:tcPr>
          <w:p w14:paraId="1CA5077A" w14:textId="77777777" w:rsidR="0053450E" w:rsidRPr="008149B5" w:rsidRDefault="0053450E" w:rsidP="0053450E">
            <w:pPr>
              <w:jc w:val="center"/>
              <w:rPr>
                <w:b/>
                <w:bCs/>
                <w:sz w:val="20"/>
                <w:szCs w:val="20"/>
                <w:lang w:eastAsia="hr-HR"/>
              </w:rPr>
            </w:pPr>
            <w:r w:rsidRPr="008149B5">
              <w:rPr>
                <w:b/>
                <w:bCs/>
                <w:sz w:val="20"/>
                <w:szCs w:val="20"/>
                <w:lang w:eastAsia="hr-HR"/>
              </w:rPr>
              <w:t>Mjera</w:t>
            </w:r>
          </w:p>
        </w:tc>
        <w:tc>
          <w:tcPr>
            <w:tcW w:w="1134" w:type="dxa"/>
            <w:shd w:val="clear" w:color="auto" w:fill="FFFF99"/>
            <w:noWrap/>
            <w:vAlign w:val="center"/>
          </w:tcPr>
          <w:p w14:paraId="021C9DCE" w14:textId="3F22B929" w:rsidR="0053450E" w:rsidRPr="008149B5" w:rsidRDefault="0053450E" w:rsidP="0053450E">
            <w:pPr>
              <w:jc w:val="center"/>
              <w:rPr>
                <w:rFonts w:eastAsia="Times New Roman"/>
                <w:b/>
                <w:bCs/>
                <w:sz w:val="20"/>
                <w:szCs w:val="20"/>
              </w:rPr>
            </w:pPr>
            <w:r w:rsidRPr="008149B5">
              <w:rPr>
                <w:rFonts w:eastAsia="Times New Roman"/>
                <w:b/>
                <w:bCs/>
                <w:sz w:val="20"/>
                <w:szCs w:val="20"/>
                <w:lang w:eastAsia="hr-HR"/>
              </w:rPr>
              <w:t>2021.</w:t>
            </w:r>
          </w:p>
        </w:tc>
        <w:tc>
          <w:tcPr>
            <w:tcW w:w="1134" w:type="dxa"/>
            <w:shd w:val="clear" w:color="auto" w:fill="FFFF99"/>
            <w:noWrap/>
            <w:vAlign w:val="center"/>
          </w:tcPr>
          <w:p w14:paraId="1EDE8A15" w14:textId="7FF75551" w:rsidR="0053450E" w:rsidRPr="008149B5" w:rsidRDefault="0053450E" w:rsidP="0053450E">
            <w:pPr>
              <w:jc w:val="center"/>
              <w:rPr>
                <w:rFonts w:eastAsia="Times New Roman"/>
                <w:b/>
                <w:bCs/>
                <w:sz w:val="20"/>
                <w:szCs w:val="20"/>
              </w:rPr>
            </w:pPr>
            <w:r w:rsidRPr="008149B5">
              <w:rPr>
                <w:rFonts w:eastAsia="Times New Roman"/>
                <w:b/>
                <w:bCs/>
                <w:sz w:val="20"/>
                <w:szCs w:val="20"/>
                <w:lang w:eastAsia="hr-HR"/>
              </w:rPr>
              <w:t>2022.</w:t>
            </w:r>
          </w:p>
        </w:tc>
        <w:tc>
          <w:tcPr>
            <w:tcW w:w="1134" w:type="dxa"/>
            <w:shd w:val="clear" w:color="auto" w:fill="FFFF99"/>
            <w:noWrap/>
            <w:vAlign w:val="center"/>
          </w:tcPr>
          <w:p w14:paraId="5A63FB7B" w14:textId="2C5D06F5" w:rsidR="0053450E" w:rsidRPr="008149B5" w:rsidRDefault="0053450E" w:rsidP="0053450E">
            <w:pPr>
              <w:jc w:val="center"/>
              <w:rPr>
                <w:rFonts w:eastAsia="Times New Roman"/>
                <w:b/>
                <w:bCs/>
                <w:sz w:val="20"/>
                <w:szCs w:val="20"/>
              </w:rPr>
            </w:pPr>
            <w:r w:rsidRPr="008149B5">
              <w:rPr>
                <w:rFonts w:eastAsia="Times New Roman"/>
                <w:b/>
                <w:bCs/>
                <w:sz w:val="20"/>
                <w:szCs w:val="20"/>
                <w:lang w:eastAsia="hr-HR"/>
              </w:rPr>
              <w:t>2023.</w:t>
            </w:r>
          </w:p>
        </w:tc>
      </w:tr>
      <w:tr w:rsidR="0053450E" w:rsidRPr="008149B5" w14:paraId="1051EBA8" w14:textId="77777777" w:rsidTr="00144A20">
        <w:trPr>
          <w:trHeight w:val="50"/>
        </w:trPr>
        <w:tc>
          <w:tcPr>
            <w:tcW w:w="3686" w:type="dxa"/>
            <w:shd w:val="clear" w:color="auto" w:fill="auto"/>
            <w:vAlign w:val="center"/>
            <w:hideMark/>
          </w:tcPr>
          <w:p w14:paraId="29AF2DD3" w14:textId="7379182E" w:rsidR="0053450E" w:rsidRPr="008149B5" w:rsidRDefault="0053450E" w:rsidP="006466D6">
            <w:pPr>
              <w:jc w:val="both"/>
              <w:rPr>
                <w:b/>
                <w:sz w:val="20"/>
                <w:szCs w:val="20"/>
                <w:lang w:eastAsia="hr-HR"/>
              </w:rPr>
            </w:pPr>
            <w:r w:rsidRPr="008149B5">
              <w:rPr>
                <w:b/>
                <w:sz w:val="20"/>
                <w:szCs w:val="20"/>
                <w:lang w:eastAsia="hr-HR"/>
              </w:rPr>
              <w:t>Državne potpore</w:t>
            </w:r>
          </w:p>
        </w:tc>
        <w:tc>
          <w:tcPr>
            <w:tcW w:w="1417" w:type="dxa"/>
            <w:shd w:val="clear" w:color="auto" w:fill="auto"/>
            <w:noWrap/>
            <w:vAlign w:val="center"/>
            <w:hideMark/>
          </w:tcPr>
          <w:p w14:paraId="407DC893" w14:textId="44689AD6" w:rsidR="006466D6" w:rsidRPr="008149B5" w:rsidRDefault="006466D6" w:rsidP="006466D6">
            <w:pPr>
              <w:jc w:val="center"/>
              <w:rPr>
                <w:sz w:val="20"/>
                <w:szCs w:val="20"/>
                <w:lang w:eastAsia="hr-HR"/>
              </w:rPr>
            </w:pPr>
            <w:r w:rsidRPr="008149B5">
              <w:rPr>
                <w:sz w:val="20"/>
                <w:szCs w:val="20"/>
                <w:lang w:eastAsia="hr-HR"/>
              </w:rPr>
              <w:t xml:space="preserve">u </w:t>
            </w:r>
            <w:proofErr w:type="spellStart"/>
            <w:r w:rsidRPr="008149B5">
              <w:rPr>
                <w:sz w:val="20"/>
                <w:szCs w:val="20"/>
                <w:lang w:eastAsia="hr-HR"/>
              </w:rPr>
              <w:t>mln</w:t>
            </w:r>
            <w:proofErr w:type="spellEnd"/>
            <w:r w:rsidRPr="008149B5">
              <w:rPr>
                <w:sz w:val="20"/>
                <w:szCs w:val="20"/>
                <w:lang w:eastAsia="hr-HR"/>
              </w:rPr>
              <w:t xml:space="preserve"> EUR</w:t>
            </w:r>
            <w:r w:rsidRPr="008149B5">
              <w:rPr>
                <w:rStyle w:val="FootnoteReference"/>
                <w:sz w:val="20"/>
                <w:szCs w:val="20"/>
                <w:lang w:eastAsia="hr-HR"/>
              </w:rPr>
              <w:footnoteReference w:id="13"/>
            </w:r>
          </w:p>
        </w:tc>
        <w:tc>
          <w:tcPr>
            <w:tcW w:w="1134" w:type="dxa"/>
            <w:shd w:val="clear" w:color="auto" w:fill="auto"/>
            <w:noWrap/>
            <w:vAlign w:val="center"/>
            <w:hideMark/>
          </w:tcPr>
          <w:p w14:paraId="34848FD6" w14:textId="3AD20909" w:rsidR="0053450E" w:rsidRPr="008149B5" w:rsidRDefault="0053450E" w:rsidP="0053450E">
            <w:pPr>
              <w:jc w:val="right"/>
              <w:rPr>
                <w:rFonts w:eastAsia="Times New Roman"/>
                <w:b/>
                <w:bCs/>
                <w:sz w:val="20"/>
                <w:szCs w:val="20"/>
                <w:lang w:eastAsia="hr-HR"/>
              </w:rPr>
            </w:pPr>
            <w:r w:rsidRPr="008149B5">
              <w:rPr>
                <w:rFonts w:eastAsia="Times New Roman"/>
                <w:b/>
                <w:bCs/>
                <w:sz w:val="20"/>
                <w:szCs w:val="20"/>
                <w:lang w:eastAsia="hr-HR"/>
              </w:rPr>
              <w:t>2.939,7</w:t>
            </w:r>
          </w:p>
        </w:tc>
        <w:tc>
          <w:tcPr>
            <w:tcW w:w="1134" w:type="dxa"/>
            <w:shd w:val="clear" w:color="auto" w:fill="auto"/>
            <w:noWrap/>
            <w:vAlign w:val="center"/>
            <w:hideMark/>
          </w:tcPr>
          <w:p w14:paraId="5C8ED5D0" w14:textId="003A28C8" w:rsidR="0053450E" w:rsidRPr="008149B5" w:rsidRDefault="0053450E" w:rsidP="0053450E">
            <w:pPr>
              <w:jc w:val="right"/>
              <w:rPr>
                <w:rFonts w:eastAsia="Times New Roman"/>
                <w:b/>
                <w:bCs/>
                <w:sz w:val="20"/>
                <w:szCs w:val="20"/>
                <w:lang w:eastAsia="hr-HR"/>
              </w:rPr>
            </w:pPr>
            <w:r w:rsidRPr="008149B5">
              <w:rPr>
                <w:rFonts w:eastAsia="Times New Roman"/>
                <w:b/>
                <w:bCs/>
                <w:sz w:val="20"/>
                <w:szCs w:val="20"/>
                <w:lang w:eastAsia="hr-HR"/>
              </w:rPr>
              <w:t>3.015,0</w:t>
            </w:r>
          </w:p>
        </w:tc>
        <w:tc>
          <w:tcPr>
            <w:tcW w:w="1134" w:type="dxa"/>
            <w:shd w:val="clear" w:color="auto" w:fill="auto"/>
            <w:noWrap/>
            <w:vAlign w:val="center"/>
          </w:tcPr>
          <w:p w14:paraId="6EAD7AEE" w14:textId="42BF1FDF" w:rsidR="0053450E" w:rsidRPr="008149B5" w:rsidRDefault="0053450E" w:rsidP="0053450E">
            <w:pPr>
              <w:jc w:val="right"/>
              <w:rPr>
                <w:rFonts w:eastAsia="Times New Roman"/>
                <w:b/>
                <w:bCs/>
                <w:sz w:val="20"/>
                <w:szCs w:val="20"/>
                <w:lang w:eastAsia="hr-HR"/>
              </w:rPr>
            </w:pPr>
            <w:r w:rsidRPr="008149B5">
              <w:rPr>
                <w:rFonts w:eastAsia="Times New Roman"/>
                <w:b/>
                <w:bCs/>
                <w:sz w:val="20"/>
                <w:szCs w:val="20"/>
                <w:lang w:eastAsia="hr-HR"/>
              </w:rPr>
              <w:t>3.035,6</w:t>
            </w:r>
          </w:p>
        </w:tc>
      </w:tr>
      <w:tr w:rsidR="0053450E" w:rsidRPr="008149B5" w14:paraId="2001E19F" w14:textId="77777777" w:rsidTr="00144A20">
        <w:trPr>
          <w:trHeight w:val="50"/>
        </w:trPr>
        <w:tc>
          <w:tcPr>
            <w:tcW w:w="3686" w:type="dxa"/>
            <w:shd w:val="clear" w:color="auto" w:fill="auto"/>
            <w:vAlign w:val="center"/>
            <w:hideMark/>
          </w:tcPr>
          <w:p w14:paraId="07287509" w14:textId="57F2134A" w:rsidR="0053450E" w:rsidRPr="008149B5" w:rsidRDefault="006466D6" w:rsidP="0053450E">
            <w:pPr>
              <w:jc w:val="both"/>
              <w:rPr>
                <w:sz w:val="20"/>
                <w:szCs w:val="20"/>
                <w:lang w:eastAsia="hr-HR"/>
              </w:rPr>
            </w:pPr>
            <w:r w:rsidRPr="008149B5">
              <w:rPr>
                <w:sz w:val="20"/>
                <w:szCs w:val="20"/>
                <w:lang w:eastAsia="hr-HR"/>
              </w:rPr>
              <w:t>BDP</w:t>
            </w:r>
            <w:r w:rsidRPr="008149B5">
              <w:rPr>
                <w:rStyle w:val="FootnoteReference"/>
                <w:sz w:val="20"/>
                <w:szCs w:val="20"/>
                <w:lang w:eastAsia="hr-HR"/>
              </w:rPr>
              <w:footnoteReference w:id="14"/>
            </w:r>
          </w:p>
        </w:tc>
        <w:tc>
          <w:tcPr>
            <w:tcW w:w="1417" w:type="dxa"/>
            <w:shd w:val="clear" w:color="auto" w:fill="auto"/>
            <w:noWrap/>
            <w:vAlign w:val="center"/>
            <w:hideMark/>
          </w:tcPr>
          <w:p w14:paraId="361EA0A1" w14:textId="77777777" w:rsidR="0053450E" w:rsidRPr="008149B5" w:rsidRDefault="0053450E" w:rsidP="0053450E">
            <w:pPr>
              <w:jc w:val="center"/>
              <w:rPr>
                <w:sz w:val="20"/>
                <w:szCs w:val="20"/>
                <w:lang w:eastAsia="hr-HR"/>
              </w:rPr>
            </w:pPr>
            <w:r w:rsidRPr="008149B5">
              <w:rPr>
                <w:sz w:val="20"/>
                <w:szCs w:val="20"/>
                <w:lang w:eastAsia="hr-HR"/>
              </w:rPr>
              <w:t xml:space="preserve">u </w:t>
            </w:r>
            <w:proofErr w:type="spellStart"/>
            <w:r w:rsidRPr="008149B5">
              <w:rPr>
                <w:sz w:val="20"/>
                <w:szCs w:val="20"/>
                <w:lang w:eastAsia="hr-HR"/>
              </w:rPr>
              <w:t>mln</w:t>
            </w:r>
            <w:proofErr w:type="spellEnd"/>
            <w:r w:rsidRPr="008149B5">
              <w:rPr>
                <w:sz w:val="20"/>
                <w:szCs w:val="20"/>
                <w:lang w:eastAsia="hr-HR"/>
              </w:rPr>
              <w:t xml:space="preserve"> EUR</w:t>
            </w:r>
          </w:p>
        </w:tc>
        <w:tc>
          <w:tcPr>
            <w:tcW w:w="1134" w:type="dxa"/>
            <w:shd w:val="clear" w:color="auto" w:fill="auto"/>
            <w:noWrap/>
            <w:vAlign w:val="center"/>
            <w:hideMark/>
          </w:tcPr>
          <w:p w14:paraId="50050978" w14:textId="0FEA96A2"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58.850,0</w:t>
            </w:r>
          </w:p>
        </w:tc>
        <w:tc>
          <w:tcPr>
            <w:tcW w:w="1134" w:type="dxa"/>
            <w:shd w:val="clear" w:color="auto" w:fill="auto"/>
            <w:noWrap/>
            <w:vAlign w:val="center"/>
            <w:hideMark/>
          </w:tcPr>
          <w:p w14:paraId="6C491749" w14:textId="0E0AE645"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68.373,0</w:t>
            </w:r>
          </w:p>
        </w:tc>
        <w:tc>
          <w:tcPr>
            <w:tcW w:w="1134" w:type="dxa"/>
            <w:shd w:val="clear" w:color="auto" w:fill="auto"/>
            <w:noWrap/>
            <w:vAlign w:val="center"/>
          </w:tcPr>
          <w:p w14:paraId="4B0F2B6D" w14:textId="0A8F7BB7"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76.472,0</w:t>
            </w:r>
          </w:p>
        </w:tc>
      </w:tr>
      <w:tr w:rsidR="0053450E" w:rsidRPr="008149B5" w14:paraId="6D9A6CBD" w14:textId="77777777" w:rsidTr="00144A20">
        <w:trPr>
          <w:trHeight w:val="50"/>
        </w:trPr>
        <w:tc>
          <w:tcPr>
            <w:tcW w:w="3686" w:type="dxa"/>
            <w:shd w:val="clear" w:color="auto" w:fill="auto"/>
            <w:vAlign w:val="center"/>
            <w:hideMark/>
          </w:tcPr>
          <w:p w14:paraId="34FBC728" w14:textId="77777777" w:rsidR="0053450E" w:rsidRPr="008149B5" w:rsidRDefault="0053450E" w:rsidP="0053450E">
            <w:pPr>
              <w:jc w:val="both"/>
              <w:rPr>
                <w:sz w:val="20"/>
                <w:szCs w:val="20"/>
                <w:lang w:eastAsia="hr-HR"/>
              </w:rPr>
            </w:pPr>
            <w:r w:rsidRPr="008149B5">
              <w:rPr>
                <w:sz w:val="20"/>
                <w:szCs w:val="20"/>
                <w:lang w:eastAsia="hr-HR"/>
              </w:rPr>
              <w:t>Rashodi države</w:t>
            </w:r>
          </w:p>
        </w:tc>
        <w:tc>
          <w:tcPr>
            <w:tcW w:w="1417" w:type="dxa"/>
            <w:shd w:val="clear" w:color="auto" w:fill="auto"/>
            <w:noWrap/>
            <w:vAlign w:val="center"/>
            <w:hideMark/>
          </w:tcPr>
          <w:p w14:paraId="3A142B63" w14:textId="77777777" w:rsidR="0053450E" w:rsidRPr="008149B5" w:rsidRDefault="0053450E" w:rsidP="0053450E">
            <w:pPr>
              <w:jc w:val="center"/>
              <w:rPr>
                <w:sz w:val="20"/>
                <w:szCs w:val="20"/>
                <w:lang w:eastAsia="hr-HR"/>
              </w:rPr>
            </w:pPr>
            <w:r w:rsidRPr="008149B5">
              <w:rPr>
                <w:sz w:val="20"/>
                <w:szCs w:val="20"/>
                <w:lang w:eastAsia="hr-HR"/>
              </w:rPr>
              <w:t xml:space="preserve">u </w:t>
            </w:r>
            <w:proofErr w:type="spellStart"/>
            <w:r w:rsidRPr="008149B5">
              <w:rPr>
                <w:sz w:val="20"/>
                <w:szCs w:val="20"/>
                <w:lang w:eastAsia="hr-HR"/>
              </w:rPr>
              <w:t>mln</w:t>
            </w:r>
            <w:proofErr w:type="spellEnd"/>
            <w:r w:rsidRPr="008149B5">
              <w:rPr>
                <w:sz w:val="20"/>
                <w:szCs w:val="20"/>
                <w:lang w:eastAsia="hr-HR"/>
              </w:rPr>
              <w:t xml:space="preserve"> EUR</w:t>
            </w:r>
          </w:p>
        </w:tc>
        <w:tc>
          <w:tcPr>
            <w:tcW w:w="1134" w:type="dxa"/>
            <w:shd w:val="clear" w:color="auto" w:fill="auto"/>
            <w:noWrap/>
            <w:vAlign w:val="center"/>
            <w:hideMark/>
          </w:tcPr>
          <w:p w14:paraId="32D15759" w14:textId="648A3528"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22.434,2</w:t>
            </w:r>
          </w:p>
        </w:tc>
        <w:tc>
          <w:tcPr>
            <w:tcW w:w="1134" w:type="dxa"/>
            <w:shd w:val="clear" w:color="auto" w:fill="auto"/>
            <w:noWrap/>
            <w:vAlign w:val="center"/>
            <w:hideMark/>
          </w:tcPr>
          <w:p w14:paraId="2410B7C4" w14:textId="46344ECE"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23.233,7</w:t>
            </w:r>
          </w:p>
        </w:tc>
        <w:tc>
          <w:tcPr>
            <w:tcW w:w="1134" w:type="dxa"/>
            <w:shd w:val="clear" w:color="auto" w:fill="auto"/>
            <w:noWrap/>
            <w:vAlign w:val="center"/>
          </w:tcPr>
          <w:p w14:paraId="3066AA27" w14:textId="68C5D493"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28.095,4</w:t>
            </w:r>
          </w:p>
        </w:tc>
      </w:tr>
      <w:tr w:rsidR="0053450E" w:rsidRPr="008149B5" w14:paraId="1EF804D4" w14:textId="77777777" w:rsidTr="00144A20">
        <w:trPr>
          <w:trHeight w:val="50"/>
        </w:trPr>
        <w:tc>
          <w:tcPr>
            <w:tcW w:w="3686" w:type="dxa"/>
            <w:shd w:val="clear" w:color="auto" w:fill="auto"/>
            <w:vAlign w:val="center"/>
            <w:hideMark/>
          </w:tcPr>
          <w:p w14:paraId="584A6EF1" w14:textId="07DE5005" w:rsidR="006466D6" w:rsidRPr="008149B5" w:rsidRDefault="0053450E" w:rsidP="0053450E">
            <w:pPr>
              <w:jc w:val="both"/>
              <w:rPr>
                <w:sz w:val="20"/>
                <w:szCs w:val="20"/>
                <w:lang w:eastAsia="hr-HR"/>
              </w:rPr>
            </w:pPr>
            <w:r w:rsidRPr="008149B5">
              <w:rPr>
                <w:sz w:val="20"/>
                <w:szCs w:val="20"/>
                <w:lang w:eastAsia="hr-HR"/>
              </w:rPr>
              <w:t>Zaposleni</w:t>
            </w:r>
            <w:r w:rsidRPr="008149B5">
              <w:rPr>
                <w:rStyle w:val="FootnoteReference"/>
                <w:sz w:val="20"/>
                <w:szCs w:val="20"/>
                <w:lang w:eastAsia="hr-HR"/>
              </w:rPr>
              <w:footnoteReference w:id="15"/>
            </w:r>
          </w:p>
        </w:tc>
        <w:tc>
          <w:tcPr>
            <w:tcW w:w="1417" w:type="dxa"/>
            <w:shd w:val="clear" w:color="auto" w:fill="auto"/>
            <w:noWrap/>
            <w:vAlign w:val="center"/>
            <w:hideMark/>
          </w:tcPr>
          <w:p w14:paraId="3A8EFD20" w14:textId="77777777" w:rsidR="0053450E" w:rsidRPr="008149B5" w:rsidRDefault="0053450E" w:rsidP="0053450E">
            <w:pPr>
              <w:jc w:val="center"/>
              <w:rPr>
                <w:sz w:val="20"/>
                <w:szCs w:val="20"/>
                <w:lang w:eastAsia="hr-HR"/>
              </w:rPr>
            </w:pPr>
            <w:r w:rsidRPr="008149B5">
              <w:rPr>
                <w:sz w:val="20"/>
                <w:szCs w:val="20"/>
                <w:lang w:eastAsia="hr-HR"/>
              </w:rPr>
              <w:t>broj</w:t>
            </w:r>
          </w:p>
        </w:tc>
        <w:tc>
          <w:tcPr>
            <w:tcW w:w="1134" w:type="dxa"/>
            <w:shd w:val="clear" w:color="auto" w:fill="auto"/>
            <w:noWrap/>
            <w:vAlign w:val="center"/>
            <w:hideMark/>
          </w:tcPr>
          <w:p w14:paraId="1A918BD8" w14:textId="70A48D85"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1.575.837</w:t>
            </w:r>
          </w:p>
        </w:tc>
        <w:tc>
          <w:tcPr>
            <w:tcW w:w="1134" w:type="dxa"/>
            <w:shd w:val="clear" w:color="auto" w:fill="auto"/>
            <w:noWrap/>
            <w:vAlign w:val="center"/>
            <w:hideMark/>
          </w:tcPr>
          <w:p w14:paraId="5CAEA16D" w14:textId="76B48DB8"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1.619.969</w:t>
            </w:r>
          </w:p>
        </w:tc>
        <w:tc>
          <w:tcPr>
            <w:tcW w:w="1134" w:type="dxa"/>
            <w:shd w:val="clear" w:color="auto" w:fill="auto"/>
            <w:noWrap/>
            <w:vAlign w:val="center"/>
          </w:tcPr>
          <w:p w14:paraId="3273C923" w14:textId="31403CB2"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1.663.522</w:t>
            </w:r>
          </w:p>
        </w:tc>
      </w:tr>
      <w:tr w:rsidR="0053450E" w:rsidRPr="008149B5" w14:paraId="25D0D454" w14:textId="77777777" w:rsidTr="00144A20">
        <w:trPr>
          <w:trHeight w:val="50"/>
        </w:trPr>
        <w:tc>
          <w:tcPr>
            <w:tcW w:w="3686" w:type="dxa"/>
            <w:shd w:val="clear" w:color="auto" w:fill="auto"/>
            <w:vAlign w:val="center"/>
            <w:hideMark/>
          </w:tcPr>
          <w:p w14:paraId="2BDE0CF0" w14:textId="77777777" w:rsidR="0053450E" w:rsidRPr="008149B5" w:rsidRDefault="0053450E" w:rsidP="0053450E">
            <w:pPr>
              <w:jc w:val="both"/>
              <w:rPr>
                <w:b/>
                <w:sz w:val="20"/>
                <w:szCs w:val="20"/>
                <w:lang w:eastAsia="hr-HR"/>
              </w:rPr>
            </w:pPr>
            <w:r w:rsidRPr="008149B5">
              <w:rPr>
                <w:b/>
                <w:sz w:val="20"/>
                <w:szCs w:val="20"/>
                <w:lang w:eastAsia="hr-HR"/>
              </w:rPr>
              <w:t>Udio državnih potpora u BDP-u</w:t>
            </w:r>
          </w:p>
        </w:tc>
        <w:tc>
          <w:tcPr>
            <w:tcW w:w="1417" w:type="dxa"/>
            <w:shd w:val="clear" w:color="auto" w:fill="auto"/>
            <w:noWrap/>
            <w:vAlign w:val="center"/>
            <w:hideMark/>
          </w:tcPr>
          <w:p w14:paraId="00A31774" w14:textId="77777777" w:rsidR="0053450E" w:rsidRPr="008149B5" w:rsidRDefault="0053450E" w:rsidP="0053450E">
            <w:pPr>
              <w:jc w:val="center"/>
              <w:rPr>
                <w:sz w:val="20"/>
                <w:szCs w:val="20"/>
                <w:lang w:eastAsia="hr-HR"/>
              </w:rPr>
            </w:pPr>
            <w:r w:rsidRPr="008149B5">
              <w:rPr>
                <w:sz w:val="20"/>
                <w:szCs w:val="20"/>
                <w:lang w:eastAsia="hr-HR"/>
              </w:rPr>
              <w:t>%</w:t>
            </w:r>
          </w:p>
        </w:tc>
        <w:tc>
          <w:tcPr>
            <w:tcW w:w="1134" w:type="dxa"/>
            <w:shd w:val="clear" w:color="auto" w:fill="auto"/>
            <w:noWrap/>
            <w:vAlign w:val="center"/>
            <w:hideMark/>
          </w:tcPr>
          <w:p w14:paraId="0BC75C77" w14:textId="7D561F38" w:rsidR="0053450E" w:rsidRPr="008149B5" w:rsidRDefault="0053450E" w:rsidP="0053450E">
            <w:pPr>
              <w:jc w:val="center"/>
              <w:rPr>
                <w:rFonts w:eastAsia="Times New Roman"/>
                <w:b/>
                <w:bCs/>
                <w:sz w:val="20"/>
                <w:szCs w:val="20"/>
                <w:lang w:eastAsia="hr-HR"/>
              </w:rPr>
            </w:pPr>
            <w:r w:rsidRPr="008149B5">
              <w:rPr>
                <w:rFonts w:eastAsia="Times New Roman"/>
                <w:b/>
                <w:bCs/>
                <w:sz w:val="20"/>
                <w:szCs w:val="20"/>
                <w:lang w:eastAsia="hr-HR"/>
              </w:rPr>
              <w:t>5,00</w:t>
            </w:r>
          </w:p>
        </w:tc>
        <w:tc>
          <w:tcPr>
            <w:tcW w:w="1134" w:type="dxa"/>
            <w:shd w:val="clear" w:color="auto" w:fill="auto"/>
            <w:noWrap/>
            <w:vAlign w:val="center"/>
            <w:hideMark/>
          </w:tcPr>
          <w:p w14:paraId="7A32F1DB" w14:textId="7938797F" w:rsidR="0053450E" w:rsidRPr="008149B5" w:rsidRDefault="0053450E" w:rsidP="0053450E">
            <w:pPr>
              <w:jc w:val="center"/>
              <w:rPr>
                <w:rFonts w:eastAsia="Times New Roman"/>
                <w:b/>
                <w:bCs/>
                <w:sz w:val="20"/>
                <w:szCs w:val="20"/>
                <w:lang w:eastAsia="hr-HR"/>
              </w:rPr>
            </w:pPr>
            <w:r w:rsidRPr="008149B5">
              <w:rPr>
                <w:rFonts w:eastAsia="Times New Roman"/>
                <w:b/>
                <w:bCs/>
                <w:sz w:val="20"/>
                <w:szCs w:val="20"/>
                <w:lang w:eastAsia="hr-HR"/>
              </w:rPr>
              <w:t>4,41</w:t>
            </w:r>
          </w:p>
        </w:tc>
        <w:tc>
          <w:tcPr>
            <w:tcW w:w="1134" w:type="dxa"/>
            <w:shd w:val="clear" w:color="auto" w:fill="auto"/>
            <w:noWrap/>
            <w:vAlign w:val="center"/>
          </w:tcPr>
          <w:p w14:paraId="0F7565D8" w14:textId="12B27B44" w:rsidR="0053450E" w:rsidRPr="008149B5" w:rsidRDefault="0053450E" w:rsidP="0053450E">
            <w:pPr>
              <w:jc w:val="center"/>
              <w:rPr>
                <w:rFonts w:eastAsia="Times New Roman"/>
                <w:b/>
                <w:bCs/>
                <w:sz w:val="20"/>
                <w:szCs w:val="20"/>
                <w:lang w:eastAsia="hr-HR"/>
              </w:rPr>
            </w:pPr>
            <w:r w:rsidRPr="008149B5">
              <w:rPr>
                <w:rFonts w:eastAsia="Times New Roman"/>
                <w:b/>
                <w:bCs/>
                <w:sz w:val="20"/>
                <w:szCs w:val="20"/>
                <w:lang w:eastAsia="hr-HR"/>
              </w:rPr>
              <w:t>3,97</w:t>
            </w:r>
          </w:p>
        </w:tc>
      </w:tr>
      <w:tr w:rsidR="0053450E" w:rsidRPr="008149B5" w14:paraId="2E812D10" w14:textId="77777777" w:rsidTr="00144A20">
        <w:trPr>
          <w:trHeight w:val="50"/>
        </w:trPr>
        <w:tc>
          <w:tcPr>
            <w:tcW w:w="3686" w:type="dxa"/>
            <w:shd w:val="clear" w:color="auto" w:fill="auto"/>
            <w:vAlign w:val="center"/>
            <w:hideMark/>
          </w:tcPr>
          <w:p w14:paraId="216D8F6B" w14:textId="77777777" w:rsidR="0053450E" w:rsidRPr="008149B5" w:rsidRDefault="0053450E" w:rsidP="0053450E">
            <w:pPr>
              <w:jc w:val="both"/>
              <w:rPr>
                <w:sz w:val="20"/>
                <w:szCs w:val="20"/>
                <w:lang w:eastAsia="hr-HR"/>
              </w:rPr>
            </w:pPr>
            <w:r w:rsidRPr="008149B5">
              <w:rPr>
                <w:sz w:val="20"/>
                <w:szCs w:val="20"/>
                <w:lang w:eastAsia="hr-HR"/>
              </w:rPr>
              <w:t>Državne potpore po zaposlenome</w:t>
            </w:r>
          </w:p>
        </w:tc>
        <w:tc>
          <w:tcPr>
            <w:tcW w:w="1417" w:type="dxa"/>
            <w:shd w:val="clear" w:color="auto" w:fill="auto"/>
            <w:noWrap/>
            <w:vAlign w:val="center"/>
            <w:hideMark/>
          </w:tcPr>
          <w:p w14:paraId="0323CFB8" w14:textId="77777777" w:rsidR="0053450E" w:rsidRPr="008149B5" w:rsidRDefault="0053450E" w:rsidP="0053450E">
            <w:pPr>
              <w:jc w:val="center"/>
              <w:rPr>
                <w:sz w:val="20"/>
                <w:szCs w:val="20"/>
                <w:lang w:eastAsia="hr-HR"/>
              </w:rPr>
            </w:pPr>
            <w:r w:rsidRPr="008149B5">
              <w:rPr>
                <w:sz w:val="20"/>
                <w:szCs w:val="20"/>
                <w:lang w:eastAsia="hr-HR"/>
              </w:rPr>
              <w:t>EUR</w:t>
            </w:r>
          </w:p>
        </w:tc>
        <w:tc>
          <w:tcPr>
            <w:tcW w:w="1134" w:type="dxa"/>
            <w:shd w:val="clear" w:color="auto" w:fill="auto"/>
            <w:noWrap/>
            <w:vAlign w:val="center"/>
            <w:hideMark/>
          </w:tcPr>
          <w:p w14:paraId="0FE48323" w14:textId="5B9A4A5B"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1.865,48</w:t>
            </w:r>
          </w:p>
        </w:tc>
        <w:tc>
          <w:tcPr>
            <w:tcW w:w="1134" w:type="dxa"/>
            <w:shd w:val="clear" w:color="auto" w:fill="auto"/>
            <w:noWrap/>
            <w:vAlign w:val="center"/>
            <w:hideMark/>
          </w:tcPr>
          <w:p w14:paraId="4C879F85" w14:textId="6EE5193D"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1.861,14</w:t>
            </w:r>
          </w:p>
        </w:tc>
        <w:tc>
          <w:tcPr>
            <w:tcW w:w="1134" w:type="dxa"/>
            <w:shd w:val="clear" w:color="auto" w:fill="auto"/>
            <w:noWrap/>
            <w:vAlign w:val="center"/>
          </w:tcPr>
          <w:p w14:paraId="09FF9EF1" w14:textId="164108A4"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1.824,83</w:t>
            </w:r>
          </w:p>
        </w:tc>
      </w:tr>
      <w:tr w:rsidR="0053450E" w:rsidRPr="008149B5" w14:paraId="6C024362" w14:textId="77777777" w:rsidTr="00144A20">
        <w:trPr>
          <w:trHeight w:val="50"/>
        </w:trPr>
        <w:tc>
          <w:tcPr>
            <w:tcW w:w="3686" w:type="dxa"/>
            <w:shd w:val="clear" w:color="auto" w:fill="auto"/>
            <w:vAlign w:val="center"/>
            <w:hideMark/>
          </w:tcPr>
          <w:p w14:paraId="2CAA8A6B" w14:textId="77777777" w:rsidR="0053450E" w:rsidRPr="008149B5" w:rsidRDefault="0053450E" w:rsidP="0053450E">
            <w:pPr>
              <w:jc w:val="both"/>
              <w:rPr>
                <w:sz w:val="20"/>
                <w:szCs w:val="20"/>
                <w:lang w:eastAsia="hr-HR"/>
              </w:rPr>
            </w:pPr>
            <w:r w:rsidRPr="008149B5">
              <w:rPr>
                <w:sz w:val="20"/>
                <w:szCs w:val="20"/>
                <w:lang w:eastAsia="hr-HR"/>
              </w:rPr>
              <w:t>Udio državnih potpora u rashodima države</w:t>
            </w:r>
          </w:p>
        </w:tc>
        <w:tc>
          <w:tcPr>
            <w:tcW w:w="1417" w:type="dxa"/>
            <w:shd w:val="clear" w:color="auto" w:fill="auto"/>
            <w:noWrap/>
            <w:vAlign w:val="center"/>
            <w:hideMark/>
          </w:tcPr>
          <w:p w14:paraId="258CE8EA" w14:textId="77777777" w:rsidR="0053450E" w:rsidRPr="008149B5" w:rsidRDefault="0053450E" w:rsidP="0053450E">
            <w:pPr>
              <w:jc w:val="center"/>
              <w:rPr>
                <w:sz w:val="20"/>
                <w:szCs w:val="20"/>
                <w:lang w:eastAsia="hr-HR"/>
              </w:rPr>
            </w:pPr>
            <w:r w:rsidRPr="008149B5">
              <w:rPr>
                <w:sz w:val="20"/>
                <w:szCs w:val="20"/>
                <w:lang w:eastAsia="hr-HR"/>
              </w:rPr>
              <w:t>%</w:t>
            </w:r>
          </w:p>
        </w:tc>
        <w:tc>
          <w:tcPr>
            <w:tcW w:w="1134" w:type="dxa"/>
            <w:shd w:val="clear" w:color="auto" w:fill="auto"/>
            <w:noWrap/>
            <w:vAlign w:val="center"/>
            <w:hideMark/>
          </w:tcPr>
          <w:p w14:paraId="29D01BC5" w14:textId="01ED4C62" w:rsidR="0053450E" w:rsidRPr="008149B5" w:rsidRDefault="0053450E" w:rsidP="0053450E">
            <w:pPr>
              <w:jc w:val="center"/>
              <w:rPr>
                <w:rFonts w:eastAsia="Times New Roman"/>
                <w:sz w:val="20"/>
                <w:szCs w:val="20"/>
                <w:lang w:eastAsia="hr-HR"/>
              </w:rPr>
            </w:pPr>
            <w:r w:rsidRPr="008149B5">
              <w:rPr>
                <w:rFonts w:eastAsia="Times New Roman"/>
                <w:sz w:val="20"/>
                <w:szCs w:val="20"/>
                <w:lang w:eastAsia="hr-HR"/>
              </w:rPr>
              <w:t>13,10</w:t>
            </w:r>
          </w:p>
        </w:tc>
        <w:tc>
          <w:tcPr>
            <w:tcW w:w="1134" w:type="dxa"/>
            <w:shd w:val="clear" w:color="auto" w:fill="auto"/>
            <w:noWrap/>
            <w:vAlign w:val="center"/>
            <w:hideMark/>
          </w:tcPr>
          <w:p w14:paraId="2FC62856" w14:textId="4AD3E3D0" w:rsidR="0053450E" w:rsidRPr="008149B5" w:rsidRDefault="0053450E" w:rsidP="0053450E">
            <w:pPr>
              <w:jc w:val="center"/>
              <w:rPr>
                <w:rFonts w:eastAsia="Times New Roman"/>
                <w:sz w:val="20"/>
                <w:szCs w:val="20"/>
                <w:lang w:eastAsia="hr-HR"/>
              </w:rPr>
            </w:pPr>
            <w:r w:rsidRPr="008149B5">
              <w:rPr>
                <w:rFonts w:eastAsia="Times New Roman"/>
                <w:sz w:val="20"/>
                <w:szCs w:val="20"/>
                <w:lang w:eastAsia="hr-HR"/>
              </w:rPr>
              <w:t>12,9</w:t>
            </w:r>
            <w:r w:rsidR="00E95F84" w:rsidRPr="008149B5">
              <w:rPr>
                <w:rFonts w:eastAsia="Times New Roman"/>
                <w:sz w:val="20"/>
                <w:szCs w:val="20"/>
                <w:lang w:eastAsia="hr-HR"/>
              </w:rPr>
              <w:t>8</w:t>
            </w:r>
          </w:p>
        </w:tc>
        <w:tc>
          <w:tcPr>
            <w:tcW w:w="1134" w:type="dxa"/>
            <w:shd w:val="clear" w:color="auto" w:fill="auto"/>
            <w:noWrap/>
            <w:vAlign w:val="center"/>
          </w:tcPr>
          <w:p w14:paraId="600647ED" w14:textId="776D6575" w:rsidR="0053450E" w:rsidRPr="008149B5" w:rsidRDefault="00A9760D" w:rsidP="0053450E">
            <w:pPr>
              <w:jc w:val="center"/>
              <w:rPr>
                <w:rFonts w:eastAsia="Times New Roman"/>
                <w:sz w:val="20"/>
                <w:szCs w:val="20"/>
                <w:lang w:eastAsia="hr-HR"/>
              </w:rPr>
            </w:pPr>
            <w:r w:rsidRPr="008149B5">
              <w:rPr>
                <w:rFonts w:eastAsia="Times New Roman"/>
                <w:sz w:val="20"/>
                <w:szCs w:val="20"/>
                <w:lang w:eastAsia="hr-HR"/>
              </w:rPr>
              <w:t>10,80</w:t>
            </w:r>
          </w:p>
        </w:tc>
      </w:tr>
      <w:tr w:rsidR="0053450E" w:rsidRPr="008149B5" w14:paraId="4DD452E7" w14:textId="77777777" w:rsidTr="00144A20">
        <w:trPr>
          <w:trHeight w:val="50"/>
        </w:trPr>
        <w:tc>
          <w:tcPr>
            <w:tcW w:w="3686" w:type="dxa"/>
            <w:shd w:val="clear" w:color="auto" w:fill="auto"/>
            <w:vAlign w:val="center"/>
            <w:hideMark/>
          </w:tcPr>
          <w:p w14:paraId="11C34DDC" w14:textId="494C37E0" w:rsidR="006466D6" w:rsidRPr="008149B5" w:rsidRDefault="006466D6" w:rsidP="0053450E">
            <w:pPr>
              <w:jc w:val="both"/>
              <w:rPr>
                <w:sz w:val="20"/>
                <w:szCs w:val="20"/>
                <w:lang w:eastAsia="hr-HR"/>
              </w:rPr>
            </w:pPr>
            <w:r w:rsidRPr="008149B5">
              <w:rPr>
                <w:sz w:val="20"/>
                <w:szCs w:val="20"/>
                <w:lang w:eastAsia="hr-HR"/>
              </w:rPr>
              <w:t>Državne potpore po stanovniku Hrvatske</w:t>
            </w:r>
            <w:r w:rsidRPr="008149B5">
              <w:rPr>
                <w:rStyle w:val="FootnoteReference"/>
                <w:sz w:val="20"/>
                <w:szCs w:val="20"/>
                <w:lang w:eastAsia="hr-HR"/>
              </w:rPr>
              <w:footnoteReference w:id="16"/>
            </w:r>
          </w:p>
        </w:tc>
        <w:tc>
          <w:tcPr>
            <w:tcW w:w="1417" w:type="dxa"/>
            <w:shd w:val="clear" w:color="auto" w:fill="auto"/>
            <w:noWrap/>
            <w:vAlign w:val="center"/>
            <w:hideMark/>
          </w:tcPr>
          <w:p w14:paraId="0C8EA227" w14:textId="77777777" w:rsidR="0053450E" w:rsidRPr="008149B5" w:rsidRDefault="0053450E" w:rsidP="0053450E">
            <w:pPr>
              <w:jc w:val="center"/>
              <w:rPr>
                <w:sz w:val="20"/>
                <w:szCs w:val="20"/>
                <w:lang w:eastAsia="hr-HR"/>
              </w:rPr>
            </w:pPr>
            <w:r w:rsidRPr="008149B5">
              <w:rPr>
                <w:sz w:val="20"/>
                <w:szCs w:val="20"/>
                <w:lang w:eastAsia="hr-HR"/>
              </w:rPr>
              <w:t>EUR</w:t>
            </w:r>
          </w:p>
        </w:tc>
        <w:tc>
          <w:tcPr>
            <w:tcW w:w="1134" w:type="dxa"/>
            <w:shd w:val="clear" w:color="auto" w:fill="auto"/>
            <w:noWrap/>
            <w:vAlign w:val="center"/>
            <w:hideMark/>
          </w:tcPr>
          <w:p w14:paraId="56EF729B" w14:textId="32C47DC8"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753,77</w:t>
            </w:r>
          </w:p>
        </w:tc>
        <w:tc>
          <w:tcPr>
            <w:tcW w:w="1134" w:type="dxa"/>
            <w:shd w:val="clear" w:color="auto" w:fill="auto"/>
            <w:noWrap/>
            <w:vAlign w:val="center"/>
            <w:hideMark/>
          </w:tcPr>
          <w:p w14:paraId="3B0C863E" w14:textId="05497EBA"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773,07</w:t>
            </w:r>
          </w:p>
        </w:tc>
        <w:tc>
          <w:tcPr>
            <w:tcW w:w="1134" w:type="dxa"/>
            <w:shd w:val="clear" w:color="auto" w:fill="auto"/>
            <w:noWrap/>
            <w:vAlign w:val="center"/>
          </w:tcPr>
          <w:p w14:paraId="6A86BB82" w14:textId="67190CE5" w:rsidR="0053450E" w:rsidRPr="008149B5" w:rsidRDefault="0053450E" w:rsidP="0053450E">
            <w:pPr>
              <w:jc w:val="right"/>
              <w:rPr>
                <w:rFonts w:eastAsia="Times New Roman"/>
                <w:sz w:val="20"/>
                <w:szCs w:val="20"/>
                <w:lang w:eastAsia="hr-HR"/>
              </w:rPr>
            </w:pPr>
            <w:r w:rsidRPr="008149B5">
              <w:rPr>
                <w:rFonts w:eastAsia="Times New Roman"/>
                <w:sz w:val="20"/>
                <w:szCs w:val="20"/>
                <w:lang w:eastAsia="hr-HR"/>
              </w:rPr>
              <w:t>778,37</w:t>
            </w:r>
          </w:p>
        </w:tc>
      </w:tr>
    </w:tbl>
    <w:p w14:paraId="657D383D" w14:textId="1B9F2198" w:rsidR="00FE2D9A" w:rsidRPr="008149B5" w:rsidRDefault="00FE2D9A" w:rsidP="00BE487D">
      <w:pPr>
        <w:contextualSpacing/>
        <w:jc w:val="both"/>
        <w:rPr>
          <w:i/>
          <w:sz w:val="20"/>
          <w:szCs w:val="20"/>
        </w:rPr>
      </w:pPr>
      <w:r w:rsidRPr="008149B5">
        <w:rPr>
          <w:i/>
          <w:sz w:val="20"/>
          <w:szCs w:val="20"/>
        </w:rPr>
        <w:t>Izvori: Državni zavod za statistiku,</w:t>
      </w:r>
      <w:r w:rsidR="00751F98" w:rsidRPr="008149B5">
        <w:rPr>
          <w:i/>
          <w:sz w:val="20"/>
          <w:szCs w:val="20"/>
        </w:rPr>
        <w:t xml:space="preserve"> Hrvatska narodna banka,</w:t>
      </w:r>
      <w:r w:rsidRPr="008149B5">
        <w:rPr>
          <w:i/>
          <w:sz w:val="20"/>
          <w:szCs w:val="20"/>
        </w:rPr>
        <w:t xml:space="preserve"> Ministarstvo financija; podaci obrađeni u Ministarstvu financija</w:t>
      </w:r>
    </w:p>
    <w:p w14:paraId="42D892F8" w14:textId="77777777" w:rsidR="00B26CC6" w:rsidRPr="008149B5" w:rsidRDefault="00B26CC6" w:rsidP="00B26CC6"/>
    <w:p w14:paraId="2388E015" w14:textId="0C1E414D" w:rsidR="00744922" w:rsidRPr="008149B5" w:rsidRDefault="007410C6" w:rsidP="00BE487D">
      <w:pPr>
        <w:jc w:val="both"/>
      </w:pPr>
      <w:r w:rsidRPr="008149B5">
        <w:t>P</w:t>
      </w:r>
      <w:r w:rsidR="00FE2D9A" w:rsidRPr="008149B5">
        <w:t>otpore po zaposlenom u 202</w:t>
      </w:r>
      <w:r w:rsidR="00E95F84" w:rsidRPr="008149B5">
        <w:t>3</w:t>
      </w:r>
      <w:r w:rsidR="00FE2D9A" w:rsidRPr="008149B5">
        <w:t xml:space="preserve">. godini iznosile </w:t>
      </w:r>
      <w:r w:rsidRPr="008149B5">
        <w:t xml:space="preserve">su </w:t>
      </w:r>
      <w:r w:rsidR="00E95F84" w:rsidRPr="008149B5">
        <w:t>1.824,83 eura</w:t>
      </w:r>
      <w:r w:rsidR="00FE2D9A" w:rsidRPr="008149B5">
        <w:t xml:space="preserve">, što </w:t>
      </w:r>
      <w:r w:rsidR="005126F8" w:rsidRPr="008149B5">
        <w:t>je</w:t>
      </w:r>
      <w:r w:rsidR="00744922" w:rsidRPr="008149B5">
        <w:t xml:space="preserve"> smanjenje </w:t>
      </w:r>
      <w:r w:rsidR="00FE2D9A" w:rsidRPr="008149B5">
        <w:t xml:space="preserve">za </w:t>
      </w:r>
      <w:r w:rsidR="00453F68" w:rsidRPr="008149B5">
        <w:t>36,32</w:t>
      </w:r>
      <w:r w:rsidR="005126F8" w:rsidRPr="008149B5">
        <w:t xml:space="preserve"> </w:t>
      </w:r>
      <w:r w:rsidR="00453F68" w:rsidRPr="008149B5">
        <w:t xml:space="preserve">eura </w:t>
      </w:r>
      <w:r w:rsidR="00FE2D9A" w:rsidRPr="008149B5">
        <w:t xml:space="preserve">odnosno </w:t>
      </w:r>
      <w:r w:rsidR="00453F68" w:rsidRPr="008149B5">
        <w:t xml:space="preserve">za </w:t>
      </w:r>
      <w:r w:rsidR="005126F8" w:rsidRPr="008149B5">
        <w:t>2</w:t>
      </w:r>
      <w:r w:rsidR="00FE2D9A" w:rsidRPr="008149B5">
        <w:rPr>
          <w:rFonts w:eastAsia="Times New Roman"/>
        </w:rPr>
        <w:t xml:space="preserve"> </w:t>
      </w:r>
      <w:r w:rsidR="00FE2D9A" w:rsidRPr="008149B5">
        <w:t xml:space="preserve">posto u odnosu na </w:t>
      </w:r>
      <w:r w:rsidR="00FE2D9A" w:rsidRPr="008149B5">
        <w:rPr>
          <w:rFonts w:eastAsia="Times New Roman"/>
        </w:rPr>
        <w:t>20</w:t>
      </w:r>
      <w:r w:rsidR="00744922" w:rsidRPr="008149B5">
        <w:rPr>
          <w:rFonts w:eastAsia="Times New Roman"/>
        </w:rPr>
        <w:t>2</w:t>
      </w:r>
      <w:r w:rsidR="00453F68" w:rsidRPr="008149B5">
        <w:rPr>
          <w:rFonts w:eastAsia="Times New Roman"/>
        </w:rPr>
        <w:t>2</w:t>
      </w:r>
      <w:r w:rsidR="00744922" w:rsidRPr="008149B5">
        <w:rPr>
          <w:rFonts w:eastAsia="Times New Roman"/>
        </w:rPr>
        <w:t>.</w:t>
      </w:r>
      <w:r w:rsidR="00FE2D9A" w:rsidRPr="008149B5">
        <w:t xml:space="preserve"> godinu kada su </w:t>
      </w:r>
      <w:r w:rsidR="008C045F" w:rsidRPr="008149B5">
        <w:t>navedene potpore</w:t>
      </w:r>
      <w:r w:rsidR="005126F8" w:rsidRPr="008149B5">
        <w:t xml:space="preserve"> </w:t>
      </w:r>
      <w:r w:rsidR="00FE2D9A" w:rsidRPr="008149B5">
        <w:t xml:space="preserve">iznosile </w:t>
      </w:r>
      <w:r w:rsidR="008C045F" w:rsidRPr="008149B5">
        <w:t xml:space="preserve">1.861,14 </w:t>
      </w:r>
      <w:r w:rsidR="00453F68" w:rsidRPr="008149B5">
        <w:t>eura</w:t>
      </w:r>
      <w:r w:rsidR="00FE2D9A" w:rsidRPr="008149B5">
        <w:t xml:space="preserve">, te </w:t>
      </w:r>
      <w:r w:rsidR="005126F8" w:rsidRPr="008149B5">
        <w:t>je</w:t>
      </w:r>
      <w:r w:rsidR="00744665" w:rsidRPr="008149B5">
        <w:t xml:space="preserve"> </w:t>
      </w:r>
      <w:r w:rsidR="005126F8" w:rsidRPr="008149B5">
        <w:t>smanjenje</w:t>
      </w:r>
      <w:r w:rsidR="00FE2D9A" w:rsidRPr="008149B5">
        <w:t xml:space="preserve"> za </w:t>
      </w:r>
      <w:r w:rsidR="008C045F" w:rsidRPr="008149B5">
        <w:t xml:space="preserve">40,65 </w:t>
      </w:r>
      <w:r w:rsidR="00453F68" w:rsidRPr="008149B5">
        <w:t xml:space="preserve">eura </w:t>
      </w:r>
      <w:r w:rsidR="00FE2D9A" w:rsidRPr="008149B5">
        <w:t>odnosno</w:t>
      </w:r>
      <w:r w:rsidR="00F0680E" w:rsidRPr="008149B5">
        <w:t xml:space="preserve"> za</w:t>
      </w:r>
      <w:r w:rsidR="00FE2D9A" w:rsidRPr="008149B5">
        <w:t xml:space="preserve"> </w:t>
      </w:r>
      <w:r w:rsidR="008C045F" w:rsidRPr="008149B5">
        <w:rPr>
          <w:rFonts w:eastAsia="Times New Roman"/>
        </w:rPr>
        <w:t>2,2</w:t>
      </w:r>
      <w:r w:rsidR="00FE2D9A" w:rsidRPr="008149B5">
        <w:rPr>
          <w:rFonts w:eastAsia="Times New Roman"/>
        </w:rPr>
        <w:t xml:space="preserve"> </w:t>
      </w:r>
      <w:r w:rsidR="00FE2D9A" w:rsidRPr="008149B5">
        <w:t>posto u odnosu na 20</w:t>
      </w:r>
      <w:r w:rsidR="005126F8" w:rsidRPr="008149B5">
        <w:t>2</w:t>
      </w:r>
      <w:r w:rsidR="008C045F" w:rsidRPr="008149B5">
        <w:t>1</w:t>
      </w:r>
      <w:r w:rsidR="00FE2D9A" w:rsidRPr="008149B5">
        <w:t xml:space="preserve">. godinu kada su </w:t>
      </w:r>
      <w:r w:rsidR="008C045F" w:rsidRPr="008149B5">
        <w:t>iste</w:t>
      </w:r>
      <w:r w:rsidR="005126F8" w:rsidRPr="008149B5">
        <w:t xml:space="preserve"> </w:t>
      </w:r>
      <w:r w:rsidR="00FE2D9A" w:rsidRPr="008149B5">
        <w:t xml:space="preserve">iznosile </w:t>
      </w:r>
      <w:r w:rsidR="008C045F" w:rsidRPr="008149B5">
        <w:t xml:space="preserve">1.865,48 </w:t>
      </w:r>
      <w:r w:rsidR="00453F68" w:rsidRPr="008149B5">
        <w:t>eura</w:t>
      </w:r>
      <w:r w:rsidR="00FE2D9A" w:rsidRPr="008149B5">
        <w:t xml:space="preserve">. </w:t>
      </w:r>
      <w:r w:rsidR="008C1BD3" w:rsidRPr="008149B5">
        <w:t>P</w:t>
      </w:r>
      <w:r w:rsidR="00FE2D9A" w:rsidRPr="008149B5">
        <w:t>otpore</w:t>
      </w:r>
      <w:r w:rsidR="008C1BD3" w:rsidRPr="008149B5">
        <w:t xml:space="preserve"> </w:t>
      </w:r>
      <w:r w:rsidR="00FE2D9A" w:rsidRPr="008149B5">
        <w:t xml:space="preserve">po stanovniku </w:t>
      </w:r>
      <w:r w:rsidR="005126F8" w:rsidRPr="008149B5">
        <w:t>u 202</w:t>
      </w:r>
      <w:r w:rsidR="008C045F" w:rsidRPr="008149B5">
        <w:t>3</w:t>
      </w:r>
      <w:r w:rsidR="005126F8" w:rsidRPr="008149B5">
        <w:t xml:space="preserve">. godini </w:t>
      </w:r>
      <w:r w:rsidR="008C1BD3" w:rsidRPr="008149B5">
        <w:t xml:space="preserve">iznosile </w:t>
      </w:r>
      <w:r w:rsidR="005126F8" w:rsidRPr="008149B5">
        <w:t xml:space="preserve">su </w:t>
      </w:r>
      <w:r w:rsidR="008C045F" w:rsidRPr="008149B5">
        <w:t xml:space="preserve">778,37 </w:t>
      </w:r>
      <w:r w:rsidR="00453F68" w:rsidRPr="008149B5">
        <w:t>eura</w:t>
      </w:r>
      <w:r w:rsidR="008C1BD3" w:rsidRPr="008149B5">
        <w:t xml:space="preserve">, što </w:t>
      </w:r>
      <w:r w:rsidR="005126F8" w:rsidRPr="008149B5">
        <w:t>je</w:t>
      </w:r>
      <w:r w:rsidR="008C1BD3" w:rsidRPr="008149B5">
        <w:t xml:space="preserve"> </w:t>
      </w:r>
      <w:r w:rsidR="008C045F" w:rsidRPr="008149B5">
        <w:t>povećanje</w:t>
      </w:r>
      <w:r w:rsidR="008C1BD3" w:rsidRPr="008149B5">
        <w:t xml:space="preserve"> za </w:t>
      </w:r>
      <w:r w:rsidR="008C045F" w:rsidRPr="008149B5">
        <w:t>5,29</w:t>
      </w:r>
      <w:r w:rsidR="005126F8" w:rsidRPr="008149B5">
        <w:t xml:space="preserve"> </w:t>
      </w:r>
      <w:r w:rsidR="00453F68" w:rsidRPr="008149B5">
        <w:t xml:space="preserve">eura </w:t>
      </w:r>
      <w:r w:rsidR="008C1BD3" w:rsidRPr="008149B5">
        <w:t xml:space="preserve">odnosno </w:t>
      </w:r>
      <w:r w:rsidR="008C045F" w:rsidRPr="008149B5">
        <w:t>0,7</w:t>
      </w:r>
      <w:r w:rsidR="008C1BD3" w:rsidRPr="008149B5">
        <w:t xml:space="preserve"> posto </w:t>
      </w:r>
      <w:r w:rsidR="00FE2D9A" w:rsidRPr="008149B5">
        <w:t xml:space="preserve">u odnosu na </w:t>
      </w:r>
      <w:r w:rsidR="00FE2D9A" w:rsidRPr="008149B5">
        <w:rPr>
          <w:rFonts w:eastAsia="Times New Roman"/>
        </w:rPr>
        <w:t>20</w:t>
      </w:r>
      <w:r w:rsidR="008C1BD3" w:rsidRPr="008149B5">
        <w:rPr>
          <w:rFonts w:eastAsia="Times New Roman"/>
        </w:rPr>
        <w:t>2</w:t>
      </w:r>
      <w:r w:rsidR="008C045F" w:rsidRPr="008149B5">
        <w:rPr>
          <w:rFonts w:eastAsia="Times New Roman"/>
        </w:rPr>
        <w:t>2</w:t>
      </w:r>
      <w:r w:rsidR="00FE2D9A" w:rsidRPr="008149B5">
        <w:t xml:space="preserve">. godinu kada su </w:t>
      </w:r>
      <w:r w:rsidR="008C045F" w:rsidRPr="008149B5">
        <w:t xml:space="preserve">potpore po stanovniku </w:t>
      </w:r>
      <w:r w:rsidR="00FE2D9A" w:rsidRPr="008149B5">
        <w:t xml:space="preserve">iznosile </w:t>
      </w:r>
      <w:r w:rsidR="008C045F" w:rsidRPr="008149B5">
        <w:t>773,07</w:t>
      </w:r>
      <w:r w:rsidR="005126F8" w:rsidRPr="008149B5">
        <w:t xml:space="preserve"> </w:t>
      </w:r>
      <w:r w:rsidR="00453F68" w:rsidRPr="008149B5">
        <w:t>eura</w:t>
      </w:r>
      <w:r w:rsidR="008C045F" w:rsidRPr="008149B5">
        <w:t>,</w:t>
      </w:r>
      <w:r w:rsidR="00453F68" w:rsidRPr="008149B5">
        <w:t xml:space="preserve"> </w:t>
      </w:r>
      <w:r w:rsidR="00FE2D9A" w:rsidRPr="008149B5">
        <w:t xml:space="preserve">te </w:t>
      </w:r>
      <w:r w:rsidR="005126F8" w:rsidRPr="008149B5">
        <w:t>je</w:t>
      </w:r>
      <w:r w:rsidR="008C1BD3" w:rsidRPr="008149B5">
        <w:t xml:space="preserve"> </w:t>
      </w:r>
      <w:r w:rsidR="008C045F" w:rsidRPr="008149B5">
        <w:t>povećanje</w:t>
      </w:r>
      <w:r w:rsidR="005126F8" w:rsidRPr="008149B5">
        <w:t xml:space="preserve"> </w:t>
      </w:r>
      <w:r w:rsidR="008C1BD3" w:rsidRPr="008149B5">
        <w:t xml:space="preserve">za </w:t>
      </w:r>
      <w:r w:rsidR="008C045F" w:rsidRPr="008149B5">
        <w:t>24,60</w:t>
      </w:r>
      <w:r w:rsidR="005126F8" w:rsidRPr="008149B5">
        <w:t xml:space="preserve"> </w:t>
      </w:r>
      <w:r w:rsidR="00453F68" w:rsidRPr="008149B5">
        <w:t xml:space="preserve">eura </w:t>
      </w:r>
      <w:r w:rsidR="008C1BD3" w:rsidRPr="008149B5">
        <w:t xml:space="preserve">odnosno </w:t>
      </w:r>
      <w:r w:rsidR="008C045F" w:rsidRPr="008149B5">
        <w:t>3,3</w:t>
      </w:r>
      <w:r w:rsidR="00FE2D9A" w:rsidRPr="008149B5">
        <w:rPr>
          <w:rFonts w:eastAsia="Times New Roman"/>
        </w:rPr>
        <w:t xml:space="preserve"> </w:t>
      </w:r>
      <w:r w:rsidR="00FE2D9A" w:rsidRPr="008149B5">
        <w:t>posto u odnosu na 20</w:t>
      </w:r>
      <w:r w:rsidR="005126F8" w:rsidRPr="008149B5">
        <w:t>2</w:t>
      </w:r>
      <w:r w:rsidR="008C045F" w:rsidRPr="008149B5">
        <w:t>1</w:t>
      </w:r>
      <w:r w:rsidR="00FE2D9A" w:rsidRPr="008149B5">
        <w:t xml:space="preserve">. godinu kada su </w:t>
      </w:r>
      <w:r w:rsidR="005126F8" w:rsidRPr="008149B5">
        <w:t xml:space="preserve">navedene potpore </w:t>
      </w:r>
      <w:r w:rsidR="00FE2D9A" w:rsidRPr="008149B5">
        <w:t xml:space="preserve">iznosile </w:t>
      </w:r>
      <w:r w:rsidR="008C045F" w:rsidRPr="008149B5">
        <w:t xml:space="preserve">753,77 </w:t>
      </w:r>
      <w:r w:rsidR="00453F68" w:rsidRPr="008149B5">
        <w:t>eura</w:t>
      </w:r>
      <w:r w:rsidR="00FE2D9A" w:rsidRPr="008149B5">
        <w:t xml:space="preserve">. </w:t>
      </w:r>
    </w:p>
    <w:p w14:paraId="5A29E641" w14:textId="77777777" w:rsidR="008C045F" w:rsidRPr="008149B5" w:rsidRDefault="008C045F" w:rsidP="00BE487D">
      <w:pPr>
        <w:jc w:val="both"/>
      </w:pPr>
    </w:p>
    <w:p w14:paraId="462C3C28" w14:textId="77777777" w:rsidR="008C045F" w:rsidRPr="008149B5" w:rsidRDefault="008C045F">
      <w:pPr>
        <w:rPr>
          <w:b/>
        </w:rPr>
      </w:pPr>
      <w:r w:rsidRPr="008149B5">
        <w:rPr>
          <w:b/>
        </w:rPr>
        <w:br w:type="page"/>
      </w:r>
    </w:p>
    <w:p w14:paraId="099C7019" w14:textId="262A4302" w:rsidR="00FE2D9A" w:rsidRPr="00B9741D" w:rsidRDefault="00FE2D9A" w:rsidP="00BE487D">
      <w:pPr>
        <w:jc w:val="both"/>
      </w:pPr>
      <w:r w:rsidRPr="00B9741D">
        <w:lastRenderedPageBreak/>
        <w:t xml:space="preserve">Slika </w:t>
      </w:r>
      <w:r w:rsidR="008036B5" w:rsidRPr="00B9741D">
        <w:t>1</w:t>
      </w:r>
      <w:r w:rsidRPr="00B9741D">
        <w:t>. Udio ukupnih potpora u BDP-u u razdoblju od 20</w:t>
      </w:r>
      <w:r w:rsidR="003B6724" w:rsidRPr="00B9741D">
        <w:t>1</w:t>
      </w:r>
      <w:r w:rsidR="008C045F" w:rsidRPr="00B9741D">
        <w:t>3</w:t>
      </w:r>
      <w:r w:rsidRPr="00B9741D">
        <w:t>. do 202</w:t>
      </w:r>
      <w:r w:rsidR="008C045F" w:rsidRPr="00B9741D">
        <w:t>3</w:t>
      </w:r>
      <w:r w:rsidRPr="00B9741D">
        <w:t>. godine</w:t>
      </w:r>
    </w:p>
    <w:p w14:paraId="5C2C7CC8" w14:textId="4EB14328" w:rsidR="009C7A38" w:rsidRPr="008149B5" w:rsidRDefault="009C7A38" w:rsidP="00BE487D">
      <w:pPr>
        <w:pStyle w:val="BodyText3"/>
        <w:spacing w:after="0"/>
        <w:contextualSpacing/>
        <w:rPr>
          <w:sz w:val="24"/>
          <w:szCs w:val="24"/>
        </w:rPr>
      </w:pPr>
    </w:p>
    <w:p w14:paraId="016A366B" w14:textId="530F621C" w:rsidR="001A223C" w:rsidRPr="008149B5" w:rsidRDefault="001A223C" w:rsidP="00C775FB">
      <w:pPr>
        <w:pStyle w:val="BodyText3"/>
        <w:spacing w:after="0"/>
        <w:contextualSpacing/>
        <w:jc w:val="center"/>
        <w:rPr>
          <w:sz w:val="24"/>
          <w:szCs w:val="24"/>
        </w:rPr>
      </w:pPr>
      <w:r w:rsidRPr="008149B5">
        <w:rPr>
          <w:noProof/>
          <w:sz w:val="24"/>
          <w:szCs w:val="24"/>
          <w:lang w:eastAsia="hr-HR"/>
        </w:rPr>
        <w:drawing>
          <wp:inline distT="0" distB="0" distL="0" distR="0" wp14:anchorId="1033A005" wp14:editId="1EEC1B33">
            <wp:extent cx="5664200" cy="1737360"/>
            <wp:effectExtent l="0" t="0" r="31750" b="3429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128D0" w14:textId="77777777" w:rsidR="008C045F" w:rsidRPr="008149B5" w:rsidRDefault="008C045F" w:rsidP="008C045F">
      <w:pPr>
        <w:contextualSpacing/>
        <w:jc w:val="center"/>
        <w:rPr>
          <w:i/>
          <w:sz w:val="20"/>
        </w:rPr>
      </w:pPr>
      <w:r w:rsidRPr="008149B5">
        <w:rPr>
          <w:i/>
          <w:sz w:val="20"/>
        </w:rPr>
        <w:t>Izvor: Ministarstvo financija i davatelji potpora; podaci obrađeni u Ministarstvu financija</w:t>
      </w:r>
    </w:p>
    <w:p w14:paraId="635BF55F" w14:textId="77777777" w:rsidR="001A223C" w:rsidRPr="008149B5" w:rsidRDefault="001A223C" w:rsidP="00BE487D">
      <w:pPr>
        <w:pStyle w:val="BodyText3"/>
        <w:spacing w:after="0"/>
        <w:contextualSpacing/>
        <w:rPr>
          <w:sz w:val="24"/>
          <w:szCs w:val="24"/>
        </w:rPr>
      </w:pPr>
    </w:p>
    <w:p w14:paraId="0D4ED057" w14:textId="7DEE0765" w:rsidR="00A44240" w:rsidRPr="008149B5" w:rsidRDefault="008036B5" w:rsidP="00AB4C5B">
      <w:pPr>
        <w:jc w:val="both"/>
      </w:pPr>
      <w:r w:rsidRPr="008149B5">
        <w:t>Sli</w:t>
      </w:r>
      <w:r w:rsidR="00AB4C5B" w:rsidRPr="008149B5">
        <w:t>ka</w:t>
      </w:r>
      <w:r w:rsidRPr="008149B5">
        <w:t xml:space="preserve"> </w:t>
      </w:r>
      <w:r w:rsidR="00C86A01" w:rsidRPr="008149B5">
        <w:t>1</w:t>
      </w:r>
      <w:r w:rsidRPr="008149B5">
        <w:t>. prikaz</w:t>
      </w:r>
      <w:r w:rsidR="00AB4C5B" w:rsidRPr="008149B5">
        <w:t>uje</w:t>
      </w:r>
      <w:r w:rsidRPr="008149B5">
        <w:t xml:space="preserve"> trend kretanja udjela ukupnih potpora u BDP-u tijekom razdoblja od 20</w:t>
      </w:r>
      <w:r w:rsidR="00AB4C5B" w:rsidRPr="008149B5">
        <w:t>1</w:t>
      </w:r>
      <w:r w:rsidR="00A44240" w:rsidRPr="008149B5">
        <w:t>3</w:t>
      </w:r>
      <w:r w:rsidRPr="008149B5">
        <w:t>. do 202</w:t>
      </w:r>
      <w:r w:rsidR="00A44240" w:rsidRPr="008149B5">
        <w:t>4</w:t>
      </w:r>
      <w:r w:rsidR="00C86A01" w:rsidRPr="008149B5">
        <w:t>. godine</w:t>
      </w:r>
      <w:r w:rsidR="00A44240" w:rsidRPr="008149B5">
        <w:t>.</w:t>
      </w:r>
    </w:p>
    <w:p w14:paraId="71B88958" w14:textId="79B9C5F0" w:rsidR="00E95F84" w:rsidRPr="008149B5" w:rsidRDefault="00E95F84"/>
    <w:p w14:paraId="42D12674" w14:textId="77777777" w:rsidR="00E95F84" w:rsidRPr="008149B5" w:rsidRDefault="00E95F84" w:rsidP="00E95F84">
      <w:pPr>
        <w:jc w:val="both"/>
      </w:pPr>
      <w:r w:rsidRPr="008149B5">
        <w:t>Sukladno prikazu određenih podataka s izvješćima EU, i u ovom dijelu Izvješća, potpore sektoru poljoprivrede i ribarstva u Republici Hrvatskoj, u jednom dijelu su prikazane metodološki odvojeno od ostalih potpora gospodarskim sektorima zbog posebnih pravila koja se primjenjuju prilikom dodjele navedenih potpora i njihove specifične djelatnosti.</w:t>
      </w:r>
    </w:p>
    <w:p w14:paraId="66EB8624" w14:textId="77777777" w:rsidR="00E95F84" w:rsidRPr="008149B5" w:rsidRDefault="00E95F84">
      <w:pPr>
        <w:rPr>
          <w:highlight w:val="red"/>
        </w:rPr>
      </w:pPr>
    </w:p>
    <w:p w14:paraId="3440BAF2" w14:textId="66FCA9C7" w:rsidR="00FF2559" w:rsidRPr="008149B5" w:rsidRDefault="00FF2559">
      <w:pPr>
        <w:rPr>
          <w:highlight w:val="red"/>
        </w:rPr>
      </w:pPr>
    </w:p>
    <w:p w14:paraId="27EB2941" w14:textId="447DB4E0" w:rsidR="00FF2559" w:rsidRPr="008149B5" w:rsidRDefault="00A44240">
      <w:pPr>
        <w:rPr>
          <w:highlight w:val="red"/>
        </w:rPr>
      </w:pPr>
      <w:r w:rsidRPr="008149B5">
        <w:rPr>
          <w:highlight w:val="red"/>
        </w:rPr>
        <w:br w:type="page"/>
      </w:r>
    </w:p>
    <w:p w14:paraId="06A26355" w14:textId="7D1E2760" w:rsidR="00BE0817" w:rsidRPr="008149B5" w:rsidRDefault="005B7944" w:rsidP="00C92009">
      <w:pPr>
        <w:pStyle w:val="Heading2"/>
        <w:ind w:left="811" w:hanging="454"/>
      </w:pPr>
      <w:r w:rsidRPr="008149B5">
        <w:lastRenderedPageBreak/>
        <w:t xml:space="preserve"> </w:t>
      </w:r>
      <w:bookmarkStart w:id="7" w:name="_Toc184635838"/>
      <w:r w:rsidR="00B20C9B" w:rsidRPr="008149B5">
        <w:t>KATEGORIJE DRŽAVNIH POTPORA</w:t>
      </w:r>
      <w:bookmarkEnd w:id="7"/>
    </w:p>
    <w:p w14:paraId="1EC9658F" w14:textId="77777777" w:rsidR="00CC2841" w:rsidRPr="008149B5" w:rsidRDefault="00CC2841" w:rsidP="00BE487D">
      <w:pPr>
        <w:jc w:val="both"/>
      </w:pPr>
    </w:p>
    <w:p w14:paraId="2F49E2D6" w14:textId="77777777" w:rsidR="00CC2841" w:rsidRPr="008149B5" w:rsidRDefault="00CC2841" w:rsidP="00BE487D">
      <w:pPr>
        <w:jc w:val="both"/>
      </w:pPr>
    </w:p>
    <w:p w14:paraId="408FF4F3" w14:textId="6AD441FC" w:rsidR="00FE2D9A" w:rsidRPr="008149B5" w:rsidRDefault="00A44240" w:rsidP="00BE487D">
      <w:pPr>
        <w:jc w:val="both"/>
      </w:pPr>
      <w:r w:rsidRPr="008149B5">
        <w:t>Pr</w:t>
      </w:r>
      <w:r w:rsidR="0049485E" w:rsidRPr="008149B5">
        <w:t>e</w:t>
      </w:r>
      <w:r w:rsidR="00C86A01" w:rsidRPr="008149B5">
        <w:t>ma</w:t>
      </w:r>
      <w:r w:rsidRPr="008149B5">
        <w:t xml:space="preserve"> </w:t>
      </w:r>
      <w:r w:rsidR="00FE2D9A" w:rsidRPr="008149B5">
        <w:t xml:space="preserve">kategorijama </w:t>
      </w:r>
      <w:r w:rsidR="00C86A01" w:rsidRPr="008149B5">
        <w:t xml:space="preserve">odnosno </w:t>
      </w:r>
      <w:r w:rsidR="00FE2D9A" w:rsidRPr="008149B5">
        <w:t>ciljevima</w:t>
      </w:r>
      <w:r w:rsidRPr="008149B5">
        <w:t xml:space="preserve">, potpore se </w:t>
      </w:r>
      <w:r w:rsidR="00FE2D9A" w:rsidRPr="008149B5">
        <w:t>dijele na osnovne vrste</w:t>
      </w:r>
      <w:r w:rsidR="00C86A01" w:rsidRPr="008149B5">
        <w:t xml:space="preserve"> potpora</w:t>
      </w:r>
      <w:r w:rsidR="00FE2D9A" w:rsidRPr="008149B5">
        <w:t>:</w:t>
      </w:r>
    </w:p>
    <w:p w14:paraId="6DB4D382" w14:textId="77777777" w:rsidR="00FE2D9A" w:rsidRPr="008149B5" w:rsidRDefault="00FE2D9A" w:rsidP="00BE487D">
      <w:pPr>
        <w:pStyle w:val="ListParagraph"/>
        <w:numPr>
          <w:ilvl w:val="0"/>
          <w:numId w:val="7"/>
        </w:numPr>
        <w:jc w:val="both"/>
      </w:pPr>
      <w:r w:rsidRPr="008149B5">
        <w:t>po</w:t>
      </w:r>
      <w:r w:rsidR="000457E9" w:rsidRPr="008149B5">
        <w:t>tpore poljoprivredi i ribarstvu</w:t>
      </w:r>
      <w:r w:rsidRPr="008149B5">
        <w:t xml:space="preserve"> i </w:t>
      </w:r>
    </w:p>
    <w:p w14:paraId="4D231C22" w14:textId="77777777" w:rsidR="00FE2D9A" w:rsidRPr="008149B5" w:rsidRDefault="00FE2D9A" w:rsidP="00BE487D">
      <w:pPr>
        <w:pStyle w:val="ListParagraph"/>
        <w:numPr>
          <w:ilvl w:val="0"/>
          <w:numId w:val="7"/>
        </w:numPr>
        <w:jc w:val="both"/>
      </w:pPr>
      <w:r w:rsidRPr="008149B5">
        <w:t>potpore industriji i uslugama.</w:t>
      </w:r>
    </w:p>
    <w:p w14:paraId="56FB3292" w14:textId="77777777" w:rsidR="00FE2D9A" w:rsidRPr="008149B5" w:rsidRDefault="00FE2D9A" w:rsidP="00BE487D">
      <w:pPr>
        <w:jc w:val="both"/>
      </w:pPr>
    </w:p>
    <w:p w14:paraId="7DCFEC4B" w14:textId="39E54B95" w:rsidR="00FE2D9A" w:rsidRPr="008149B5" w:rsidRDefault="0074784C" w:rsidP="00BE487D">
      <w:pPr>
        <w:jc w:val="both"/>
      </w:pPr>
      <w:r w:rsidRPr="008149B5">
        <w:t xml:space="preserve">U </w:t>
      </w:r>
      <w:r w:rsidR="0049485E" w:rsidRPr="008149B5">
        <w:t>Republici Hrvatskoj</w:t>
      </w:r>
      <w:r w:rsidRPr="008149B5">
        <w:t xml:space="preserve"> su u 2023. godini</w:t>
      </w:r>
      <w:r w:rsidR="0049485E" w:rsidRPr="008149B5">
        <w:t xml:space="preserve"> ukupno dodijeljen</w:t>
      </w:r>
      <w:r w:rsidRPr="008149B5">
        <w:t>e</w:t>
      </w:r>
      <w:r w:rsidR="0049485E" w:rsidRPr="008149B5">
        <w:t xml:space="preserve"> </w:t>
      </w:r>
      <w:r w:rsidRPr="008149B5">
        <w:t xml:space="preserve">potpore u iznosu od 3.035,6 </w:t>
      </w:r>
      <w:r w:rsidR="0049485E" w:rsidRPr="008149B5">
        <w:t xml:space="preserve">milijuna </w:t>
      </w:r>
      <w:r w:rsidRPr="008149B5">
        <w:t>eura</w:t>
      </w:r>
      <w:r w:rsidR="0049485E" w:rsidRPr="008149B5">
        <w:t xml:space="preserve">, te se na </w:t>
      </w:r>
      <w:r w:rsidR="00FE2D9A" w:rsidRPr="008149B5">
        <w:t xml:space="preserve">potpore </w:t>
      </w:r>
      <w:r w:rsidR="001972F6" w:rsidRPr="008149B5">
        <w:t xml:space="preserve">sektoru </w:t>
      </w:r>
      <w:r w:rsidR="00FE2D9A" w:rsidRPr="008149B5">
        <w:t>poljoprivred</w:t>
      </w:r>
      <w:r w:rsidR="001972F6" w:rsidRPr="008149B5">
        <w:t>e</w:t>
      </w:r>
      <w:r w:rsidR="00FE2D9A" w:rsidRPr="008149B5">
        <w:t xml:space="preserve"> i ribarstv</w:t>
      </w:r>
      <w:r w:rsidR="001972F6" w:rsidRPr="008149B5">
        <w:t>a</w:t>
      </w:r>
      <w:r w:rsidR="00FE2D9A" w:rsidRPr="008149B5">
        <w:t xml:space="preserve"> odnosi iznos od </w:t>
      </w:r>
      <w:r w:rsidRPr="008149B5">
        <w:t xml:space="preserve">1.068 </w:t>
      </w:r>
      <w:r w:rsidR="00FE2D9A" w:rsidRPr="008149B5">
        <w:t xml:space="preserve">milijuna </w:t>
      </w:r>
      <w:r w:rsidRPr="008149B5">
        <w:t xml:space="preserve">eura </w:t>
      </w:r>
      <w:r w:rsidR="00FE2D9A" w:rsidRPr="008149B5">
        <w:t xml:space="preserve">ili </w:t>
      </w:r>
      <w:r w:rsidRPr="008149B5">
        <w:t>35,2</w:t>
      </w:r>
      <w:r w:rsidR="001972F6" w:rsidRPr="008149B5">
        <w:t xml:space="preserve"> </w:t>
      </w:r>
      <w:r w:rsidR="00FE2D9A" w:rsidRPr="008149B5">
        <w:t xml:space="preserve">posto udjela u ukupno dodijeljenim potporama, </w:t>
      </w:r>
      <w:r w:rsidR="0049485E" w:rsidRPr="008149B5">
        <w:t>dok se</w:t>
      </w:r>
      <w:r w:rsidR="001972F6" w:rsidRPr="008149B5">
        <w:t xml:space="preserve"> </w:t>
      </w:r>
      <w:r w:rsidR="00FE2D9A" w:rsidRPr="008149B5">
        <w:t xml:space="preserve">na sektor industrije i usluga odnosi iznos od </w:t>
      </w:r>
      <w:r w:rsidRPr="008149B5">
        <w:t xml:space="preserve">1.967,7 </w:t>
      </w:r>
      <w:r w:rsidR="00FE2D9A" w:rsidRPr="008149B5">
        <w:t xml:space="preserve">milijuna </w:t>
      </w:r>
      <w:r w:rsidRPr="008149B5">
        <w:t xml:space="preserve">eura </w:t>
      </w:r>
      <w:r w:rsidR="00FE2D9A" w:rsidRPr="008149B5">
        <w:t xml:space="preserve">ili </w:t>
      </w:r>
      <w:r w:rsidRPr="008149B5">
        <w:rPr>
          <w:rFonts w:eastAsia="Times New Roman"/>
        </w:rPr>
        <w:t>64,8</w:t>
      </w:r>
      <w:r w:rsidR="00FE2D9A" w:rsidRPr="008149B5">
        <w:rPr>
          <w:rFonts w:eastAsia="Times New Roman"/>
        </w:rPr>
        <w:t xml:space="preserve"> </w:t>
      </w:r>
      <w:r w:rsidR="00FE2D9A" w:rsidRPr="008149B5">
        <w:t xml:space="preserve">posto udjela. </w:t>
      </w:r>
    </w:p>
    <w:p w14:paraId="5AAEE844" w14:textId="77777777" w:rsidR="0074784C" w:rsidRPr="008149B5" w:rsidRDefault="0074784C" w:rsidP="00BE487D">
      <w:pPr>
        <w:jc w:val="both"/>
      </w:pPr>
    </w:p>
    <w:p w14:paraId="682351C8" w14:textId="74F1E293" w:rsidR="00FE2D9A" w:rsidRPr="00B9741D" w:rsidRDefault="00FE2D9A" w:rsidP="00BE487D">
      <w:pPr>
        <w:contextualSpacing/>
        <w:jc w:val="both"/>
      </w:pPr>
      <w:r w:rsidRPr="00B9741D">
        <w:t xml:space="preserve">Tablica </w:t>
      </w:r>
      <w:r w:rsidR="00032790" w:rsidRPr="00B9741D">
        <w:t>2</w:t>
      </w:r>
      <w:r w:rsidRPr="00B9741D">
        <w:t xml:space="preserve">. Potpore </w:t>
      </w:r>
      <w:r w:rsidR="000D06B7" w:rsidRPr="00B9741D">
        <w:t xml:space="preserve">dodijeljene </w:t>
      </w:r>
      <w:r w:rsidRPr="00B9741D">
        <w:t>prema kategorijama</w:t>
      </w:r>
      <w:r w:rsidR="0074784C" w:rsidRPr="00B9741D">
        <w:t xml:space="preserve"> </w:t>
      </w:r>
      <w:r w:rsidR="00A20831" w:rsidRPr="00B9741D">
        <w:t>u</w:t>
      </w:r>
      <w:r w:rsidRPr="00B9741D">
        <w:t xml:space="preserve"> razdoblj</w:t>
      </w:r>
      <w:r w:rsidR="00A20831" w:rsidRPr="00B9741D">
        <w:t>u</w:t>
      </w:r>
      <w:r w:rsidRPr="00B9741D">
        <w:t xml:space="preserve"> od </w:t>
      </w:r>
      <w:r w:rsidR="000D06B7" w:rsidRPr="00B9741D">
        <w:t>20</w:t>
      </w:r>
      <w:r w:rsidR="003B6724" w:rsidRPr="00B9741D">
        <w:t>2</w:t>
      </w:r>
      <w:r w:rsidR="0074784C" w:rsidRPr="00B9741D">
        <w:t>1</w:t>
      </w:r>
      <w:r w:rsidR="000D06B7" w:rsidRPr="00B9741D">
        <w:t>. do 202</w:t>
      </w:r>
      <w:r w:rsidR="0074784C" w:rsidRPr="00B9741D">
        <w:t>3</w:t>
      </w:r>
      <w:r w:rsidR="000D06B7" w:rsidRPr="00B9741D">
        <w:t>. godine</w:t>
      </w:r>
      <w:r w:rsidR="00A20831" w:rsidRPr="00B9741D">
        <w:t xml:space="preserve"> (u milijunima eura)</w:t>
      </w:r>
    </w:p>
    <w:p w14:paraId="2E055FF1" w14:textId="77777777" w:rsidR="00FE2D9A" w:rsidRPr="008149B5" w:rsidRDefault="00FE2D9A" w:rsidP="00BE487D">
      <w:pPr>
        <w:contextualSpacing/>
        <w:jc w:val="both"/>
        <w:rPr>
          <w:sz w:val="20"/>
        </w:rPr>
      </w:pPr>
    </w:p>
    <w:tbl>
      <w:tblPr>
        <w:tblW w:w="9065" w:type="dxa"/>
        <w:tblLook w:val="04A0" w:firstRow="1" w:lastRow="0" w:firstColumn="1" w:lastColumn="0" w:noHBand="0" w:noVBand="1"/>
      </w:tblPr>
      <w:tblGrid>
        <w:gridCol w:w="384"/>
        <w:gridCol w:w="3297"/>
        <w:gridCol w:w="992"/>
        <w:gridCol w:w="851"/>
        <w:gridCol w:w="992"/>
        <w:gridCol w:w="850"/>
        <w:gridCol w:w="943"/>
        <w:gridCol w:w="756"/>
      </w:tblGrid>
      <w:tr w:rsidR="0074784C" w:rsidRPr="008149B5" w14:paraId="2F222C12" w14:textId="77777777" w:rsidTr="00A84276">
        <w:trPr>
          <w:trHeight w:val="104"/>
        </w:trPr>
        <w:tc>
          <w:tcPr>
            <w:tcW w:w="3681" w:type="dxa"/>
            <w:gridSpan w:val="2"/>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F3E64D0" w14:textId="77777777" w:rsidR="0074784C" w:rsidRPr="008149B5" w:rsidRDefault="0074784C" w:rsidP="0074784C">
            <w:pPr>
              <w:jc w:val="center"/>
              <w:rPr>
                <w:b/>
                <w:bCs/>
                <w:sz w:val="18"/>
                <w:szCs w:val="18"/>
                <w:lang w:eastAsia="hr-HR"/>
              </w:rPr>
            </w:pPr>
            <w:r w:rsidRPr="008149B5">
              <w:rPr>
                <w:b/>
                <w:bCs/>
                <w:sz w:val="18"/>
                <w:szCs w:val="18"/>
                <w:lang w:eastAsia="hr-HR"/>
              </w:rPr>
              <w:t>Kategorija</w:t>
            </w:r>
          </w:p>
        </w:tc>
        <w:tc>
          <w:tcPr>
            <w:tcW w:w="1843" w:type="dxa"/>
            <w:gridSpan w:val="2"/>
            <w:tcBorders>
              <w:top w:val="single" w:sz="4" w:space="0" w:color="auto"/>
              <w:left w:val="nil"/>
              <w:bottom w:val="single" w:sz="4" w:space="0" w:color="auto"/>
              <w:right w:val="single" w:sz="4" w:space="0" w:color="auto"/>
            </w:tcBorders>
            <w:shd w:val="clear" w:color="000000" w:fill="FFFF99"/>
            <w:vAlign w:val="center"/>
          </w:tcPr>
          <w:p w14:paraId="39F28573" w14:textId="219016C6" w:rsidR="0074784C" w:rsidRPr="008149B5" w:rsidRDefault="0074784C" w:rsidP="0074784C">
            <w:pPr>
              <w:jc w:val="center"/>
              <w:rPr>
                <w:rFonts w:eastAsia="Times New Roman"/>
                <w:b/>
                <w:bCs/>
                <w:sz w:val="18"/>
                <w:szCs w:val="18"/>
              </w:rPr>
            </w:pPr>
            <w:r w:rsidRPr="008149B5">
              <w:rPr>
                <w:rFonts w:eastAsia="Times New Roman"/>
                <w:b/>
                <w:bCs/>
                <w:sz w:val="18"/>
                <w:szCs w:val="18"/>
                <w:lang w:eastAsia="hr-HR"/>
              </w:rPr>
              <w:t>2021.</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721AAF2A" w14:textId="2FC680B3" w:rsidR="0074784C" w:rsidRPr="008149B5" w:rsidRDefault="0074784C" w:rsidP="0074784C">
            <w:pPr>
              <w:jc w:val="center"/>
              <w:rPr>
                <w:rFonts w:eastAsia="Times New Roman"/>
                <w:b/>
                <w:bCs/>
                <w:sz w:val="18"/>
                <w:szCs w:val="18"/>
              </w:rPr>
            </w:pPr>
            <w:r w:rsidRPr="008149B5">
              <w:rPr>
                <w:rFonts w:eastAsia="Times New Roman"/>
                <w:b/>
                <w:bCs/>
                <w:sz w:val="18"/>
                <w:szCs w:val="18"/>
                <w:lang w:eastAsia="hr-HR"/>
              </w:rPr>
              <w:t>2022.</w:t>
            </w:r>
          </w:p>
        </w:tc>
        <w:tc>
          <w:tcPr>
            <w:tcW w:w="1699"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E316E7F" w14:textId="6D44138A" w:rsidR="0074784C" w:rsidRPr="008149B5" w:rsidRDefault="0074784C" w:rsidP="0074784C">
            <w:pPr>
              <w:jc w:val="center"/>
              <w:rPr>
                <w:rFonts w:eastAsia="Times New Roman"/>
                <w:b/>
                <w:bCs/>
                <w:sz w:val="18"/>
                <w:szCs w:val="18"/>
              </w:rPr>
            </w:pPr>
            <w:r w:rsidRPr="008149B5">
              <w:rPr>
                <w:rFonts w:eastAsia="Times New Roman"/>
                <w:b/>
                <w:bCs/>
                <w:sz w:val="18"/>
                <w:szCs w:val="18"/>
                <w:lang w:eastAsia="hr-HR"/>
              </w:rPr>
              <w:t>2023.</w:t>
            </w:r>
          </w:p>
        </w:tc>
      </w:tr>
      <w:tr w:rsidR="0074784C" w:rsidRPr="008149B5" w14:paraId="1016FC0E" w14:textId="77777777" w:rsidTr="00A84276">
        <w:trPr>
          <w:trHeight w:val="192"/>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14:paraId="4D016E87" w14:textId="77777777" w:rsidR="0074784C" w:rsidRPr="008149B5" w:rsidRDefault="0074784C" w:rsidP="0074784C">
            <w:pPr>
              <w:jc w:val="center"/>
              <w:rPr>
                <w:b/>
                <w:bCs/>
                <w:sz w:val="18"/>
                <w:szCs w:val="18"/>
                <w:lang w:eastAsia="hr-HR"/>
              </w:rPr>
            </w:pPr>
          </w:p>
        </w:tc>
        <w:tc>
          <w:tcPr>
            <w:tcW w:w="992" w:type="dxa"/>
            <w:tcBorders>
              <w:top w:val="single" w:sz="4" w:space="0" w:color="auto"/>
              <w:left w:val="nil"/>
              <w:bottom w:val="single" w:sz="4" w:space="0" w:color="auto"/>
              <w:right w:val="single" w:sz="4" w:space="0" w:color="auto"/>
            </w:tcBorders>
            <w:shd w:val="clear" w:color="000000" w:fill="FFFF99"/>
            <w:vAlign w:val="center"/>
          </w:tcPr>
          <w:p w14:paraId="360A41E7" w14:textId="0E6A1029" w:rsidR="0074784C" w:rsidRPr="008149B5" w:rsidRDefault="0074784C" w:rsidP="0074784C">
            <w:pPr>
              <w:jc w:val="center"/>
              <w:rPr>
                <w:bCs/>
                <w:sz w:val="18"/>
                <w:szCs w:val="18"/>
                <w:lang w:eastAsia="hr-HR"/>
              </w:rPr>
            </w:pPr>
            <w:r w:rsidRPr="008149B5">
              <w:rPr>
                <w:rFonts w:eastAsia="Times New Roman"/>
                <w:b/>
                <w:bCs/>
                <w:sz w:val="18"/>
                <w:szCs w:val="18"/>
                <w:lang w:eastAsia="hr-HR"/>
              </w:rPr>
              <w:t xml:space="preserve">u </w:t>
            </w:r>
            <w:proofErr w:type="spellStart"/>
            <w:r w:rsidRPr="008149B5">
              <w:rPr>
                <w:rFonts w:eastAsia="Times New Roman"/>
                <w:b/>
                <w:bCs/>
                <w:sz w:val="18"/>
                <w:szCs w:val="18"/>
                <w:lang w:eastAsia="hr-HR"/>
              </w:rPr>
              <w:t>mln</w:t>
            </w:r>
            <w:proofErr w:type="spellEnd"/>
            <w:r w:rsidRPr="008149B5">
              <w:rPr>
                <w:rFonts w:eastAsia="Times New Roman"/>
                <w:b/>
                <w:bCs/>
                <w:sz w:val="18"/>
                <w:szCs w:val="18"/>
                <w:lang w:eastAsia="hr-HR"/>
              </w:rPr>
              <w:t xml:space="preserve"> EUR</w:t>
            </w:r>
          </w:p>
        </w:tc>
        <w:tc>
          <w:tcPr>
            <w:tcW w:w="851" w:type="dxa"/>
            <w:tcBorders>
              <w:top w:val="single" w:sz="4" w:space="0" w:color="auto"/>
              <w:left w:val="single" w:sz="4" w:space="0" w:color="auto"/>
              <w:bottom w:val="single" w:sz="4" w:space="0" w:color="auto"/>
              <w:right w:val="single" w:sz="4" w:space="0" w:color="auto"/>
            </w:tcBorders>
            <w:shd w:val="clear" w:color="000000" w:fill="FFFF99"/>
            <w:vAlign w:val="center"/>
          </w:tcPr>
          <w:p w14:paraId="31335F70" w14:textId="15FAA69D" w:rsidR="0074784C" w:rsidRPr="008149B5" w:rsidRDefault="0074784C" w:rsidP="0074784C">
            <w:pPr>
              <w:jc w:val="center"/>
              <w:rPr>
                <w:bCs/>
                <w:sz w:val="18"/>
                <w:szCs w:val="18"/>
                <w:lang w:eastAsia="hr-HR"/>
              </w:rPr>
            </w:pPr>
            <w:r w:rsidRPr="008149B5">
              <w:rPr>
                <w:rFonts w:eastAsia="Times New Roman"/>
                <w:b/>
                <w:bCs/>
                <w:sz w:val="18"/>
                <w:szCs w:val="18"/>
                <w:lang w:eastAsia="hr-HR"/>
              </w:rPr>
              <w:t>udio (%)</w:t>
            </w:r>
          </w:p>
        </w:tc>
        <w:tc>
          <w:tcPr>
            <w:tcW w:w="992" w:type="dxa"/>
            <w:tcBorders>
              <w:top w:val="single" w:sz="4" w:space="0" w:color="auto"/>
              <w:left w:val="single" w:sz="4" w:space="0" w:color="auto"/>
              <w:bottom w:val="single" w:sz="4" w:space="0" w:color="auto"/>
              <w:right w:val="single" w:sz="4" w:space="0" w:color="auto"/>
            </w:tcBorders>
            <w:shd w:val="clear" w:color="000000" w:fill="FFFF99"/>
            <w:vAlign w:val="center"/>
          </w:tcPr>
          <w:p w14:paraId="1A0AF334" w14:textId="4BD68939" w:rsidR="0074784C" w:rsidRPr="008149B5" w:rsidRDefault="0074784C" w:rsidP="0074784C">
            <w:pPr>
              <w:jc w:val="center"/>
              <w:rPr>
                <w:bCs/>
                <w:sz w:val="18"/>
                <w:szCs w:val="18"/>
                <w:lang w:eastAsia="hr-HR"/>
              </w:rPr>
            </w:pPr>
            <w:r w:rsidRPr="008149B5">
              <w:rPr>
                <w:rFonts w:eastAsia="Times New Roman"/>
                <w:b/>
                <w:bCs/>
                <w:sz w:val="18"/>
                <w:szCs w:val="18"/>
                <w:lang w:eastAsia="hr-HR"/>
              </w:rPr>
              <w:t xml:space="preserve">u </w:t>
            </w:r>
            <w:proofErr w:type="spellStart"/>
            <w:r w:rsidRPr="008149B5">
              <w:rPr>
                <w:rFonts w:eastAsia="Times New Roman"/>
                <w:b/>
                <w:bCs/>
                <w:sz w:val="18"/>
                <w:szCs w:val="18"/>
                <w:lang w:eastAsia="hr-HR"/>
              </w:rPr>
              <w:t>mln</w:t>
            </w:r>
            <w:proofErr w:type="spellEnd"/>
            <w:r w:rsidRPr="008149B5">
              <w:rPr>
                <w:rFonts w:eastAsia="Times New Roman"/>
                <w:b/>
                <w:bCs/>
                <w:sz w:val="18"/>
                <w:szCs w:val="18"/>
                <w:lang w:eastAsia="hr-HR"/>
              </w:rPr>
              <w:t xml:space="preserve"> EUR</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tcPr>
          <w:p w14:paraId="27D6B8B9" w14:textId="005B2A0A" w:rsidR="0074784C" w:rsidRPr="008149B5" w:rsidRDefault="0074784C" w:rsidP="0074784C">
            <w:pPr>
              <w:jc w:val="center"/>
              <w:rPr>
                <w:bCs/>
                <w:sz w:val="18"/>
                <w:szCs w:val="18"/>
                <w:lang w:eastAsia="hr-HR"/>
              </w:rPr>
            </w:pPr>
            <w:r w:rsidRPr="008149B5">
              <w:rPr>
                <w:rFonts w:eastAsia="Times New Roman"/>
                <w:b/>
                <w:bCs/>
                <w:sz w:val="18"/>
                <w:szCs w:val="18"/>
                <w:lang w:eastAsia="hr-HR"/>
              </w:rPr>
              <w:t>udio (%)</w:t>
            </w:r>
          </w:p>
        </w:tc>
        <w:tc>
          <w:tcPr>
            <w:tcW w:w="943" w:type="dxa"/>
            <w:tcBorders>
              <w:top w:val="single" w:sz="4" w:space="0" w:color="auto"/>
              <w:left w:val="single" w:sz="4" w:space="0" w:color="auto"/>
              <w:bottom w:val="single" w:sz="4" w:space="0" w:color="auto"/>
              <w:right w:val="single" w:sz="4" w:space="0" w:color="auto"/>
            </w:tcBorders>
            <w:shd w:val="clear" w:color="000000" w:fill="FFFF99"/>
            <w:vAlign w:val="center"/>
          </w:tcPr>
          <w:p w14:paraId="3C9AEE8B" w14:textId="446860A7" w:rsidR="0074784C" w:rsidRPr="008149B5" w:rsidRDefault="0074784C" w:rsidP="0074784C">
            <w:pPr>
              <w:jc w:val="center"/>
              <w:rPr>
                <w:bCs/>
                <w:sz w:val="18"/>
                <w:szCs w:val="18"/>
                <w:lang w:eastAsia="hr-HR"/>
              </w:rPr>
            </w:pPr>
            <w:r w:rsidRPr="008149B5">
              <w:rPr>
                <w:rFonts w:eastAsia="Times New Roman"/>
                <w:b/>
                <w:bCs/>
                <w:sz w:val="18"/>
                <w:szCs w:val="18"/>
                <w:lang w:eastAsia="hr-HR"/>
              </w:rPr>
              <w:t xml:space="preserve">u </w:t>
            </w:r>
            <w:proofErr w:type="spellStart"/>
            <w:r w:rsidRPr="008149B5">
              <w:rPr>
                <w:rFonts w:eastAsia="Times New Roman"/>
                <w:b/>
                <w:bCs/>
                <w:sz w:val="18"/>
                <w:szCs w:val="18"/>
                <w:lang w:eastAsia="hr-HR"/>
              </w:rPr>
              <w:t>mln</w:t>
            </w:r>
            <w:proofErr w:type="spellEnd"/>
            <w:r w:rsidRPr="008149B5">
              <w:rPr>
                <w:rFonts w:eastAsia="Times New Roman"/>
                <w:b/>
                <w:bCs/>
                <w:sz w:val="18"/>
                <w:szCs w:val="18"/>
                <w:lang w:eastAsia="hr-HR"/>
              </w:rPr>
              <w:t xml:space="preserve"> EUR</w:t>
            </w:r>
          </w:p>
        </w:tc>
        <w:tc>
          <w:tcPr>
            <w:tcW w:w="756" w:type="dxa"/>
            <w:tcBorders>
              <w:top w:val="single" w:sz="4" w:space="0" w:color="auto"/>
              <w:left w:val="single" w:sz="4" w:space="0" w:color="auto"/>
              <w:bottom w:val="single" w:sz="4" w:space="0" w:color="auto"/>
              <w:right w:val="single" w:sz="4" w:space="0" w:color="auto"/>
            </w:tcBorders>
            <w:shd w:val="clear" w:color="000000" w:fill="FFFF99"/>
            <w:vAlign w:val="center"/>
          </w:tcPr>
          <w:p w14:paraId="4B0C2BB3" w14:textId="7350C826" w:rsidR="0074784C" w:rsidRPr="008149B5" w:rsidRDefault="0074784C" w:rsidP="0074784C">
            <w:pPr>
              <w:jc w:val="center"/>
              <w:rPr>
                <w:bCs/>
                <w:sz w:val="18"/>
                <w:szCs w:val="18"/>
                <w:lang w:eastAsia="hr-HR"/>
              </w:rPr>
            </w:pPr>
            <w:r w:rsidRPr="008149B5">
              <w:rPr>
                <w:rFonts w:eastAsia="Times New Roman"/>
                <w:b/>
                <w:bCs/>
                <w:sz w:val="18"/>
                <w:szCs w:val="18"/>
                <w:lang w:eastAsia="hr-HR"/>
              </w:rPr>
              <w:t>udio (%)</w:t>
            </w:r>
          </w:p>
        </w:tc>
      </w:tr>
      <w:tr w:rsidR="0074784C" w:rsidRPr="008149B5" w14:paraId="14167A5C"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CD06D2A" w14:textId="77777777" w:rsidR="0074784C" w:rsidRPr="008149B5" w:rsidRDefault="0074784C" w:rsidP="0074784C">
            <w:pPr>
              <w:jc w:val="both"/>
              <w:rPr>
                <w:b/>
                <w:bCs/>
                <w:sz w:val="18"/>
                <w:szCs w:val="18"/>
                <w:lang w:eastAsia="hr-HR"/>
              </w:rPr>
            </w:pPr>
            <w:r w:rsidRPr="008149B5">
              <w:rPr>
                <w:b/>
                <w:bCs/>
                <w:sz w:val="18"/>
                <w:szCs w:val="18"/>
                <w:lang w:eastAsia="hr-HR"/>
              </w:rPr>
              <w:t>1.</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42F8DA6B" w14:textId="77777777" w:rsidR="0074784C" w:rsidRPr="008149B5" w:rsidRDefault="0074784C" w:rsidP="00A84276">
            <w:pPr>
              <w:rPr>
                <w:b/>
                <w:bCs/>
                <w:i/>
                <w:iCs/>
                <w:sz w:val="18"/>
                <w:szCs w:val="18"/>
                <w:lang w:eastAsia="hr-HR"/>
              </w:rPr>
            </w:pPr>
            <w:r w:rsidRPr="008149B5">
              <w:rPr>
                <w:b/>
                <w:bCs/>
                <w:i/>
                <w:iCs/>
                <w:sz w:val="18"/>
                <w:szCs w:val="18"/>
                <w:lang w:eastAsia="hr-HR"/>
              </w:rPr>
              <w:t>Poljoprivreda i ribarstvo</w:t>
            </w:r>
          </w:p>
        </w:tc>
        <w:tc>
          <w:tcPr>
            <w:tcW w:w="992" w:type="dxa"/>
            <w:tcBorders>
              <w:top w:val="single" w:sz="4" w:space="0" w:color="auto"/>
              <w:left w:val="nil"/>
              <w:bottom w:val="single" w:sz="4" w:space="0" w:color="auto"/>
              <w:right w:val="single" w:sz="4" w:space="0" w:color="auto"/>
            </w:tcBorders>
            <w:vAlign w:val="center"/>
          </w:tcPr>
          <w:p w14:paraId="0704FDAD" w14:textId="64D66ED0"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1.005,4</w:t>
            </w:r>
          </w:p>
        </w:tc>
        <w:tc>
          <w:tcPr>
            <w:tcW w:w="851" w:type="dxa"/>
            <w:tcBorders>
              <w:top w:val="single" w:sz="4" w:space="0" w:color="auto"/>
              <w:left w:val="single" w:sz="4" w:space="0" w:color="auto"/>
              <w:bottom w:val="single" w:sz="4" w:space="0" w:color="auto"/>
              <w:right w:val="single" w:sz="4" w:space="0" w:color="auto"/>
            </w:tcBorders>
            <w:vAlign w:val="center"/>
          </w:tcPr>
          <w:p w14:paraId="460E2FE5" w14:textId="116607D8"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34,20</w:t>
            </w:r>
          </w:p>
        </w:tc>
        <w:tc>
          <w:tcPr>
            <w:tcW w:w="992" w:type="dxa"/>
            <w:tcBorders>
              <w:top w:val="single" w:sz="4" w:space="0" w:color="auto"/>
              <w:left w:val="single" w:sz="4" w:space="0" w:color="auto"/>
              <w:bottom w:val="single" w:sz="4" w:space="0" w:color="auto"/>
              <w:right w:val="single" w:sz="4" w:space="0" w:color="auto"/>
            </w:tcBorders>
            <w:vAlign w:val="center"/>
          </w:tcPr>
          <w:p w14:paraId="52518C89" w14:textId="12479AA0"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973,3</w:t>
            </w:r>
          </w:p>
        </w:tc>
        <w:tc>
          <w:tcPr>
            <w:tcW w:w="850" w:type="dxa"/>
            <w:tcBorders>
              <w:top w:val="single" w:sz="4" w:space="0" w:color="auto"/>
              <w:left w:val="single" w:sz="4" w:space="0" w:color="auto"/>
              <w:bottom w:val="single" w:sz="4" w:space="0" w:color="auto"/>
              <w:right w:val="single" w:sz="4" w:space="0" w:color="auto"/>
            </w:tcBorders>
            <w:vAlign w:val="center"/>
          </w:tcPr>
          <w:p w14:paraId="0F805169" w14:textId="6003A598"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32,28</w:t>
            </w:r>
          </w:p>
        </w:tc>
        <w:tc>
          <w:tcPr>
            <w:tcW w:w="943" w:type="dxa"/>
            <w:tcBorders>
              <w:top w:val="single" w:sz="4" w:space="0" w:color="auto"/>
              <w:left w:val="single" w:sz="4" w:space="0" w:color="auto"/>
              <w:bottom w:val="single" w:sz="4" w:space="0" w:color="auto"/>
              <w:right w:val="single" w:sz="4" w:space="0" w:color="auto"/>
            </w:tcBorders>
            <w:vAlign w:val="center"/>
          </w:tcPr>
          <w:p w14:paraId="7CF28687" w14:textId="06F49E46"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1.068,0</w:t>
            </w:r>
          </w:p>
        </w:tc>
        <w:tc>
          <w:tcPr>
            <w:tcW w:w="756" w:type="dxa"/>
            <w:tcBorders>
              <w:top w:val="single" w:sz="4" w:space="0" w:color="auto"/>
              <w:left w:val="single" w:sz="4" w:space="0" w:color="auto"/>
              <w:bottom w:val="single" w:sz="4" w:space="0" w:color="auto"/>
              <w:right w:val="single" w:sz="4" w:space="0" w:color="auto"/>
            </w:tcBorders>
            <w:vAlign w:val="center"/>
          </w:tcPr>
          <w:p w14:paraId="581364D7" w14:textId="7168A60A"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35,18</w:t>
            </w:r>
          </w:p>
        </w:tc>
      </w:tr>
      <w:tr w:rsidR="0074784C" w:rsidRPr="008149B5" w14:paraId="466ACFFA"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D60D50B" w14:textId="77777777" w:rsidR="0074784C" w:rsidRPr="008149B5" w:rsidRDefault="0074784C" w:rsidP="0074784C">
            <w:pPr>
              <w:jc w:val="both"/>
              <w:rPr>
                <w:b/>
                <w:bCs/>
                <w:sz w:val="18"/>
                <w:szCs w:val="18"/>
                <w:lang w:eastAsia="hr-HR"/>
              </w:rPr>
            </w:pPr>
            <w:r w:rsidRPr="008149B5">
              <w:rPr>
                <w:b/>
                <w:bCs/>
                <w:sz w:val="18"/>
                <w:szCs w:val="18"/>
                <w:lang w:eastAsia="hr-HR"/>
              </w:rPr>
              <w:t>2.</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46D9D49F" w14:textId="77777777" w:rsidR="0074784C" w:rsidRPr="008149B5" w:rsidRDefault="0074784C" w:rsidP="00A84276">
            <w:pPr>
              <w:rPr>
                <w:b/>
                <w:bCs/>
                <w:i/>
                <w:iCs/>
                <w:sz w:val="18"/>
                <w:szCs w:val="18"/>
                <w:lang w:eastAsia="hr-HR"/>
              </w:rPr>
            </w:pPr>
            <w:r w:rsidRPr="008149B5">
              <w:rPr>
                <w:b/>
                <w:bCs/>
                <w:i/>
                <w:iCs/>
                <w:sz w:val="18"/>
                <w:szCs w:val="18"/>
                <w:lang w:eastAsia="hr-HR"/>
              </w:rPr>
              <w:t>Industrija i usluge</w:t>
            </w:r>
          </w:p>
        </w:tc>
        <w:tc>
          <w:tcPr>
            <w:tcW w:w="992" w:type="dxa"/>
            <w:tcBorders>
              <w:top w:val="single" w:sz="4" w:space="0" w:color="auto"/>
              <w:left w:val="nil"/>
              <w:bottom w:val="single" w:sz="4" w:space="0" w:color="auto"/>
              <w:right w:val="single" w:sz="4" w:space="0" w:color="auto"/>
            </w:tcBorders>
            <w:vAlign w:val="center"/>
          </w:tcPr>
          <w:p w14:paraId="2A3B93D1" w14:textId="56B6B9D4"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1.934,3</w:t>
            </w:r>
          </w:p>
        </w:tc>
        <w:tc>
          <w:tcPr>
            <w:tcW w:w="851" w:type="dxa"/>
            <w:tcBorders>
              <w:top w:val="single" w:sz="4" w:space="0" w:color="auto"/>
              <w:left w:val="single" w:sz="4" w:space="0" w:color="auto"/>
              <w:bottom w:val="single" w:sz="4" w:space="0" w:color="auto"/>
              <w:right w:val="single" w:sz="4" w:space="0" w:color="auto"/>
            </w:tcBorders>
            <w:vAlign w:val="center"/>
          </w:tcPr>
          <w:p w14:paraId="047FE091" w14:textId="3B03DEF2"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65,80</w:t>
            </w:r>
          </w:p>
        </w:tc>
        <w:tc>
          <w:tcPr>
            <w:tcW w:w="992" w:type="dxa"/>
            <w:tcBorders>
              <w:top w:val="single" w:sz="4" w:space="0" w:color="auto"/>
              <w:left w:val="single" w:sz="4" w:space="0" w:color="auto"/>
              <w:bottom w:val="single" w:sz="4" w:space="0" w:color="auto"/>
              <w:right w:val="single" w:sz="4" w:space="0" w:color="auto"/>
            </w:tcBorders>
            <w:vAlign w:val="center"/>
          </w:tcPr>
          <w:p w14:paraId="33CE49B3" w14:textId="1E8CB718"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2.041,7</w:t>
            </w:r>
          </w:p>
        </w:tc>
        <w:tc>
          <w:tcPr>
            <w:tcW w:w="850" w:type="dxa"/>
            <w:tcBorders>
              <w:top w:val="single" w:sz="4" w:space="0" w:color="auto"/>
              <w:left w:val="single" w:sz="4" w:space="0" w:color="auto"/>
              <w:bottom w:val="single" w:sz="4" w:space="0" w:color="auto"/>
              <w:right w:val="single" w:sz="4" w:space="0" w:color="auto"/>
            </w:tcBorders>
            <w:vAlign w:val="center"/>
          </w:tcPr>
          <w:p w14:paraId="0659B097" w14:textId="1758CAA5"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67,72</w:t>
            </w:r>
          </w:p>
        </w:tc>
        <w:tc>
          <w:tcPr>
            <w:tcW w:w="943" w:type="dxa"/>
            <w:tcBorders>
              <w:top w:val="single" w:sz="4" w:space="0" w:color="auto"/>
              <w:left w:val="single" w:sz="4" w:space="0" w:color="auto"/>
              <w:bottom w:val="single" w:sz="4" w:space="0" w:color="auto"/>
              <w:right w:val="single" w:sz="4" w:space="0" w:color="auto"/>
            </w:tcBorders>
            <w:vAlign w:val="center"/>
          </w:tcPr>
          <w:p w14:paraId="03E562DA" w14:textId="4462D4E3"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1.967,7</w:t>
            </w:r>
          </w:p>
        </w:tc>
        <w:tc>
          <w:tcPr>
            <w:tcW w:w="756" w:type="dxa"/>
            <w:tcBorders>
              <w:top w:val="single" w:sz="4" w:space="0" w:color="auto"/>
              <w:left w:val="single" w:sz="4" w:space="0" w:color="auto"/>
              <w:bottom w:val="single" w:sz="4" w:space="0" w:color="auto"/>
              <w:right w:val="single" w:sz="4" w:space="0" w:color="auto"/>
            </w:tcBorders>
            <w:vAlign w:val="center"/>
          </w:tcPr>
          <w:p w14:paraId="3E718E9B" w14:textId="1E8DE41B"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64,82</w:t>
            </w:r>
          </w:p>
        </w:tc>
      </w:tr>
      <w:tr w:rsidR="0074784C" w:rsidRPr="008149B5" w14:paraId="2257E708" w14:textId="77777777" w:rsidTr="00A84276">
        <w:trPr>
          <w:trHeight w:val="15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B9907A" w14:textId="77777777" w:rsidR="0074784C" w:rsidRPr="008149B5" w:rsidRDefault="0074784C" w:rsidP="0074784C">
            <w:pPr>
              <w:jc w:val="both"/>
              <w:rPr>
                <w:b/>
                <w:bCs/>
                <w:sz w:val="18"/>
                <w:szCs w:val="18"/>
                <w:lang w:eastAsia="hr-HR"/>
              </w:rPr>
            </w:pPr>
            <w:r w:rsidRPr="008149B5">
              <w:rPr>
                <w:b/>
                <w:bCs/>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0BE845F5" w14:textId="77777777" w:rsidR="0074784C" w:rsidRPr="008149B5" w:rsidRDefault="0074784C" w:rsidP="00A84276">
            <w:pPr>
              <w:rPr>
                <w:b/>
                <w:bCs/>
                <w:i/>
                <w:iCs/>
                <w:sz w:val="18"/>
                <w:szCs w:val="18"/>
                <w:lang w:eastAsia="hr-HR"/>
              </w:rPr>
            </w:pPr>
            <w:r w:rsidRPr="008149B5">
              <w:rPr>
                <w:b/>
                <w:bCs/>
                <w:i/>
                <w:iCs/>
                <w:sz w:val="18"/>
                <w:szCs w:val="18"/>
                <w:lang w:eastAsia="hr-HR"/>
              </w:rPr>
              <w:t>Horizontalni ciljevi</w:t>
            </w:r>
          </w:p>
        </w:tc>
        <w:tc>
          <w:tcPr>
            <w:tcW w:w="992" w:type="dxa"/>
            <w:tcBorders>
              <w:top w:val="single" w:sz="4" w:space="0" w:color="auto"/>
              <w:left w:val="nil"/>
              <w:bottom w:val="single" w:sz="4" w:space="0" w:color="auto"/>
              <w:right w:val="single" w:sz="4" w:space="0" w:color="auto"/>
            </w:tcBorders>
            <w:vAlign w:val="center"/>
          </w:tcPr>
          <w:p w14:paraId="5547D007" w14:textId="447498E7"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285,9</w:t>
            </w:r>
          </w:p>
        </w:tc>
        <w:tc>
          <w:tcPr>
            <w:tcW w:w="851" w:type="dxa"/>
            <w:tcBorders>
              <w:top w:val="single" w:sz="4" w:space="0" w:color="auto"/>
              <w:left w:val="single" w:sz="4" w:space="0" w:color="auto"/>
              <w:bottom w:val="single" w:sz="4" w:space="0" w:color="auto"/>
              <w:right w:val="single" w:sz="4" w:space="0" w:color="auto"/>
            </w:tcBorders>
            <w:vAlign w:val="center"/>
          </w:tcPr>
          <w:p w14:paraId="251F6F4A" w14:textId="481ABF7E"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9,73</w:t>
            </w:r>
          </w:p>
        </w:tc>
        <w:tc>
          <w:tcPr>
            <w:tcW w:w="992" w:type="dxa"/>
            <w:tcBorders>
              <w:top w:val="single" w:sz="4" w:space="0" w:color="auto"/>
              <w:left w:val="single" w:sz="4" w:space="0" w:color="auto"/>
              <w:bottom w:val="single" w:sz="4" w:space="0" w:color="auto"/>
              <w:right w:val="single" w:sz="4" w:space="0" w:color="auto"/>
            </w:tcBorders>
            <w:vAlign w:val="center"/>
          </w:tcPr>
          <w:p w14:paraId="4B7A8924" w14:textId="45311BFD"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99,5</w:t>
            </w:r>
          </w:p>
        </w:tc>
        <w:tc>
          <w:tcPr>
            <w:tcW w:w="850" w:type="dxa"/>
            <w:tcBorders>
              <w:top w:val="single" w:sz="4" w:space="0" w:color="auto"/>
              <w:left w:val="single" w:sz="4" w:space="0" w:color="auto"/>
              <w:bottom w:val="single" w:sz="4" w:space="0" w:color="auto"/>
              <w:right w:val="single" w:sz="4" w:space="0" w:color="auto"/>
            </w:tcBorders>
            <w:vAlign w:val="center"/>
          </w:tcPr>
          <w:p w14:paraId="370D5636" w14:textId="080BA33D"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3,30</w:t>
            </w:r>
          </w:p>
        </w:tc>
        <w:tc>
          <w:tcPr>
            <w:tcW w:w="943" w:type="dxa"/>
            <w:tcBorders>
              <w:top w:val="single" w:sz="4" w:space="0" w:color="auto"/>
              <w:left w:val="single" w:sz="4" w:space="0" w:color="auto"/>
              <w:bottom w:val="single" w:sz="4" w:space="0" w:color="auto"/>
              <w:right w:val="single" w:sz="4" w:space="0" w:color="auto"/>
            </w:tcBorders>
            <w:vAlign w:val="center"/>
          </w:tcPr>
          <w:p w14:paraId="3B0FC6EB" w14:textId="418204F8"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267,7</w:t>
            </w:r>
          </w:p>
        </w:tc>
        <w:tc>
          <w:tcPr>
            <w:tcW w:w="756" w:type="dxa"/>
            <w:tcBorders>
              <w:top w:val="single" w:sz="4" w:space="0" w:color="auto"/>
              <w:left w:val="single" w:sz="4" w:space="0" w:color="auto"/>
              <w:bottom w:val="single" w:sz="4" w:space="0" w:color="auto"/>
              <w:right w:val="single" w:sz="4" w:space="0" w:color="auto"/>
            </w:tcBorders>
            <w:vAlign w:val="center"/>
          </w:tcPr>
          <w:p w14:paraId="1F1EDCC2" w14:textId="34058592"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8,82</w:t>
            </w:r>
          </w:p>
        </w:tc>
      </w:tr>
      <w:tr w:rsidR="0074784C" w:rsidRPr="008149B5" w14:paraId="097C5ABE"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146E517" w14:textId="77777777" w:rsidR="0074784C" w:rsidRPr="008149B5" w:rsidRDefault="0074784C" w:rsidP="0074784C">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37CF6C43" w14:textId="77777777" w:rsidR="0074784C" w:rsidRPr="008149B5" w:rsidRDefault="0074784C" w:rsidP="00A84276">
            <w:pPr>
              <w:rPr>
                <w:sz w:val="18"/>
                <w:szCs w:val="18"/>
                <w:lang w:eastAsia="hr-HR"/>
              </w:rPr>
            </w:pPr>
            <w:r w:rsidRPr="008149B5">
              <w:rPr>
                <w:sz w:val="18"/>
                <w:szCs w:val="18"/>
                <w:lang w:eastAsia="hr-HR"/>
              </w:rPr>
              <w:t>- Istraživanje i razvoj i inovacije</w:t>
            </w:r>
          </w:p>
        </w:tc>
        <w:tc>
          <w:tcPr>
            <w:tcW w:w="992" w:type="dxa"/>
            <w:tcBorders>
              <w:top w:val="single" w:sz="4" w:space="0" w:color="auto"/>
              <w:left w:val="nil"/>
              <w:bottom w:val="single" w:sz="4" w:space="0" w:color="auto"/>
              <w:right w:val="single" w:sz="4" w:space="0" w:color="auto"/>
            </w:tcBorders>
            <w:vAlign w:val="center"/>
          </w:tcPr>
          <w:p w14:paraId="2A0A7618" w14:textId="52E205F5"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73,8</w:t>
            </w:r>
          </w:p>
        </w:tc>
        <w:tc>
          <w:tcPr>
            <w:tcW w:w="851" w:type="dxa"/>
            <w:tcBorders>
              <w:top w:val="single" w:sz="4" w:space="0" w:color="auto"/>
              <w:left w:val="single" w:sz="4" w:space="0" w:color="auto"/>
              <w:bottom w:val="single" w:sz="4" w:space="0" w:color="auto"/>
              <w:right w:val="single" w:sz="4" w:space="0" w:color="auto"/>
            </w:tcBorders>
            <w:vAlign w:val="center"/>
          </w:tcPr>
          <w:p w14:paraId="27BAD451" w14:textId="440B72A0"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2,51</w:t>
            </w:r>
          </w:p>
        </w:tc>
        <w:tc>
          <w:tcPr>
            <w:tcW w:w="992" w:type="dxa"/>
            <w:tcBorders>
              <w:top w:val="single" w:sz="4" w:space="0" w:color="auto"/>
              <w:left w:val="single" w:sz="4" w:space="0" w:color="auto"/>
              <w:bottom w:val="single" w:sz="4" w:space="0" w:color="auto"/>
              <w:right w:val="single" w:sz="4" w:space="0" w:color="auto"/>
            </w:tcBorders>
            <w:vAlign w:val="center"/>
          </w:tcPr>
          <w:p w14:paraId="16598BD1" w14:textId="0639502D"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35,9</w:t>
            </w:r>
          </w:p>
        </w:tc>
        <w:tc>
          <w:tcPr>
            <w:tcW w:w="850" w:type="dxa"/>
            <w:tcBorders>
              <w:top w:val="single" w:sz="4" w:space="0" w:color="auto"/>
              <w:left w:val="single" w:sz="4" w:space="0" w:color="auto"/>
              <w:bottom w:val="single" w:sz="4" w:space="0" w:color="auto"/>
              <w:right w:val="single" w:sz="4" w:space="0" w:color="auto"/>
            </w:tcBorders>
            <w:vAlign w:val="center"/>
          </w:tcPr>
          <w:p w14:paraId="45885A71" w14:textId="5FC57EF9"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1,19</w:t>
            </w:r>
          </w:p>
        </w:tc>
        <w:tc>
          <w:tcPr>
            <w:tcW w:w="943" w:type="dxa"/>
            <w:tcBorders>
              <w:top w:val="single" w:sz="4" w:space="0" w:color="auto"/>
              <w:left w:val="single" w:sz="4" w:space="0" w:color="auto"/>
              <w:bottom w:val="single" w:sz="4" w:space="0" w:color="auto"/>
              <w:right w:val="single" w:sz="4" w:space="0" w:color="auto"/>
            </w:tcBorders>
            <w:vAlign w:val="center"/>
          </w:tcPr>
          <w:p w14:paraId="5C065345" w14:textId="36A5123D"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193,4</w:t>
            </w:r>
          </w:p>
        </w:tc>
        <w:tc>
          <w:tcPr>
            <w:tcW w:w="756" w:type="dxa"/>
            <w:tcBorders>
              <w:top w:val="single" w:sz="4" w:space="0" w:color="auto"/>
              <w:left w:val="single" w:sz="4" w:space="0" w:color="auto"/>
              <w:bottom w:val="single" w:sz="4" w:space="0" w:color="auto"/>
              <w:right w:val="single" w:sz="4" w:space="0" w:color="auto"/>
            </w:tcBorders>
            <w:vAlign w:val="center"/>
          </w:tcPr>
          <w:p w14:paraId="0A1FD9D9" w14:textId="75B98AB2"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6,37</w:t>
            </w:r>
          </w:p>
        </w:tc>
      </w:tr>
      <w:tr w:rsidR="0074784C" w:rsidRPr="008149B5" w14:paraId="61B9D866"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2B1D849" w14:textId="77777777" w:rsidR="0074784C" w:rsidRPr="008149B5" w:rsidRDefault="0074784C" w:rsidP="0074784C">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7BC310E7" w14:textId="77777777" w:rsidR="0074784C" w:rsidRPr="008149B5" w:rsidRDefault="0074784C" w:rsidP="00A84276">
            <w:pPr>
              <w:rPr>
                <w:sz w:val="18"/>
                <w:szCs w:val="18"/>
                <w:lang w:eastAsia="hr-HR"/>
              </w:rPr>
            </w:pPr>
            <w:r w:rsidRPr="008149B5">
              <w:rPr>
                <w:sz w:val="18"/>
                <w:szCs w:val="18"/>
                <w:lang w:eastAsia="hr-HR"/>
              </w:rPr>
              <w:t>- Zapošljavanje</w:t>
            </w:r>
          </w:p>
        </w:tc>
        <w:tc>
          <w:tcPr>
            <w:tcW w:w="992" w:type="dxa"/>
            <w:tcBorders>
              <w:top w:val="single" w:sz="4" w:space="0" w:color="auto"/>
              <w:left w:val="nil"/>
              <w:bottom w:val="single" w:sz="4" w:space="0" w:color="auto"/>
              <w:right w:val="single" w:sz="4" w:space="0" w:color="auto"/>
            </w:tcBorders>
            <w:vAlign w:val="center"/>
          </w:tcPr>
          <w:p w14:paraId="22B059EA" w14:textId="6A0AB504"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47,7</w:t>
            </w:r>
          </w:p>
        </w:tc>
        <w:tc>
          <w:tcPr>
            <w:tcW w:w="851" w:type="dxa"/>
            <w:tcBorders>
              <w:top w:val="single" w:sz="4" w:space="0" w:color="auto"/>
              <w:left w:val="single" w:sz="4" w:space="0" w:color="auto"/>
              <w:bottom w:val="single" w:sz="4" w:space="0" w:color="auto"/>
              <w:right w:val="single" w:sz="4" w:space="0" w:color="auto"/>
            </w:tcBorders>
            <w:vAlign w:val="center"/>
          </w:tcPr>
          <w:p w14:paraId="7440E722" w14:textId="37CF3917"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1,62</w:t>
            </w:r>
          </w:p>
        </w:tc>
        <w:tc>
          <w:tcPr>
            <w:tcW w:w="992" w:type="dxa"/>
            <w:tcBorders>
              <w:top w:val="single" w:sz="4" w:space="0" w:color="auto"/>
              <w:left w:val="single" w:sz="4" w:space="0" w:color="auto"/>
              <w:bottom w:val="single" w:sz="4" w:space="0" w:color="auto"/>
              <w:right w:val="single" w:sz="4" w:space="0" w:color="auto"/>
            </w:tcBorders>
            <w:vAlign w:val="center"/>
          </w:tcPr>
          <w:p w14:paraId="5E6964BD" w14:textId="23CDEAA5"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38,0</w:t>
            </w:r>
          </w:p>
        </w:tc>
        <w:tc>
          <w:tcPr>
            <w:tcW w:w="850" w:type="dxa"/>
            <w:tcBorders>
              <w:top w:val="single" w:sz="4" w:space="0" w:color="auto"/>
              <w:left w:val="single" w:sz="4" w:space="0" w:color="auto"/>
              <w:bottom w:val="single" w:sz="4" w:space="0" w:color="auto"/>
              <w:right w:val="single" w:sz="4" w:space="0" w:color="auto"/>
            </w:tcBorders>
            <w:vAlign w:val="center"/>
          </w:tcPr>
          <w:p w14:paraId="46CFE9EB" w14:textId="2DAF73C4"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1,26</w:t>
            </w:r>
          </w:p>
        </w:tc>
        <w:tc>
          <w:tcPr>
            <w:tcW w:w="943" w:type="dxa"/>
            <w:tcBorders>
              <w:top w:val="single" w:sz="4" w:space="0" w:color="auto"/>
              <w:left w:val="single" w:sz="4" w:space="0" w:color="auto"/>
              <w:bottom w:val="single" w:sz="4" w:space="0" w:color="auto"/>
              <w:right w:val="single" w:sz="4" w:space="0" w:color="auto"/>
            </w:tcBorders>
            <w:vAlign w:val="center"/>
          </w:tcPr>
          <w:p w14:paraId="41837CB5" w14:textId="3EF8E60B"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42,4</w:t>
            </w:r>
          </w:p>
        </w:tc>
        <w:tc>
          <w:tcPr>
            <w:tcW w:w="756" w:type="dxa"/>
            <w:tcBorders>
              <w:top w:val="single" w:sz="4" w:space="0" w:color="auto"/>
              <w:left w:val="single" w:sz="4" w:space="0" w:color="auto"/>
              <w:bottom w:val="single" w:sz="4" w:space="0" w:color="auto"/>
              <w:right w:val="single" w:sz="4" w:space="0" w:color="auto"/>
            </w:tcBorders>
            <w:vAlign w:val="center"/>
          </w:tcPr>
          <w:p w14:paraId="0EF25707" w14:textId="6D9E048B"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1,40</w:t>
            </w:r>
          </w:p>
        </w:tc>
      </w:tr>
      <w:tr w:rsidR="0074784C" w:rsidRPr="008149B5" w14:paraId="3A899B8E"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AF9B6C" w14:textId="77777777" w:rsidR="0074784C" w:rsidRPr="008149B5" w:rsidRDefault="0074784C" w:rsidP="0074784C">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38EA4AF6" w14:textId="77777777" w:rsidR="0074784C" w:rsidRPr="008149B5" w:rsidRDefault="0074784C" w:rsidP="00A84276">
            <w:pPr>
              <w:rPr>
                <w:sz w:val="18"/>
                <w:szCs w:val="18"/>
                <w:lang w:eastAsia="hr-HR"/>
              </w:rPr>
            </w:pPr>
            <w:r w:rsidRPr="008149B5">
              <w:rPr>
                <w:sz w:val="18"/>
                <w:szCs w:val="18"/>
                <w:lang w:eastAsia="hr-HR"/>
              </w:rPr>
              <w:t>- Usavršavanje</w:t>
            </w:r>
          </w:p>
        </w:tc>
        <w:tc>
          <w:tcPr>
            <w:tcW w:w="992" w:type="dxa"/>
            <w:tcBorders>
              <w:top w:val="single" w:sz="4" w:space="0" w:color="auto"/>
              <w:left w:val="nil"/>
              <w:bottom w:val="single" w:sz="4" w:space="0" w:color="auto"/>
              <w:right w:val="single" w:sz="4" w:space="0" w:color="auto"/>
            </w:tcBorders>
            <w:vAlign w:val="center"/>
          </w:tcPr>
          <w:p w14:paraId="6868F3F5" w14:textId="62212C73"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3,2</w:t>
            </w:r>
          </w:p>
        </w:tc>
        <w:tc>
          <w:tcPr>
            <w:tcW w:w="851" w:type="dxa"/>
            <w:tcBorders>
              <w:top w:val="single" w:sz="4" w:space="0" w:color="auto"/>
              <w:left w:val="single" w:sz="4" w:space="0" w:color="auto"/>
              <w:bottom w:val="single" w:sz="4" w:space="0" w:color="auto"/>
              <w:right w:val="single" w:sz="4" w:space="0" w:color="auto"/>
            </w:tcBorders>
            <w:vAlign w:val="center"/>
          </w:tcPr>
          <w:p w14:paraId="278395D7" w14:textId="2DB31D9B"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0,11</w:t>
            </w:r>
          </w:p>
        </w:tc>
        <w:tc>
          <w:tcPr>
            <w:tcW w:w="992" w:type="dxa"/>
            <w:tcBorders>
              <w:top w:val="single" w:sz="4" w:space="0" w:color="auto"/>
              <w:left w:val="single" w:sz="4" w:space="0" w:color="auto"/>
              <w:bottom w:val="single" w:sz="4" w:space="0" w:color="auto"/>
              <w:right w:val="single" w:sz="4" w:space="0" w:color="auto"/>
            </w:tcBorders>
            <w:vAlign w:val="center"/>
          </w:tcPr>
          <w:p w14:paraId="211C6114" w14:textId="4B839761"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3,7</w:t>
            </w:r>
          </w:p>
        </w:tc>
        <w:tc>
          <w:tcPr>
            <w:tcW w:w="850" w:type="dxa"/>
            <w:tcBorders>
              <w:top w:val="single" w:sz="4" w:space="0" w:color="auto"/>
              <w:left w:val="single" w:sz="4" w:space="0" w:color="auto"/>
              <w:bottom w:val="single" w:sz="4" w:space="0" w:color="auto"/>
              <w:right w:val="single" w:sz="4" w:space="0" w:color="auto"/>
            </w:tcBorders>
            <w:vAlign w:val="center"/>
          </w:tcPr>
          <w:p w14:paraId="0BF55712" w14:textId="12533670"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0,12</w:t>
            </w:r>
          </w:p>
        </w:tc>
        <w:tc>
          <w:tcPr>
            <w:tcW w:w="943" w:type="dxa"/>
            <w:tcBorders>
              <w:top w:val="single" w:sz="4" w:space="0" w:color="auto"/>
              <w:left w:val="single" w:sz="4" w:space="0" w:color="auto"/>
              <w:bottom w:val="single" w:sz="4" w:space="0" w:color="auto"/>
              <w:right w:val="single" w:sz="4" w:space="0" w:color="auto"/>
            </w:tcBorders>
            <w:vAlign w:val="center"/>
          </w:tcPr>
          <w:p w14:paraId="6C1184CA" w14:textId="0DCBC344"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0,0</w:t>
            </w:r>
            <w:r w:rsidR="00C13BE0">
              <w:rPr>
                <w:rFonts w:eastAsia="Times New Roman"/>
                <w:sz w:val="18"/>
                <w:szCs w:val="18"/>
                <w:lang w:eastAsia="hr-HR"/>
              </w:rPr>
              <w:t>3</w:t>
            </w:r>
          </w:p>
        </w:tc>
        <w:tc>
          <w:tcPr>
            <w:tcW w:w="756" w:type="dxa"/>
            <w:tcBorders>
              <w:top w:val="single" w:sz="4" w:space="0" w:color="auto"/>
              <w:left w:val="single" w:sz="4" w:space="0" w:color="auto"/>
              <w:bottom w:val="single" w:sz="4" w:space="0" w:color="auto"/>
              <w:right w:val="single" w:sz="4" w:space="0" w:color="auto"/>
            </w:tcBorders>
            <w:vAlign w:val="center"/>
          </w:tcPr>
          <w:p w14:paraId="0B525D5F" w14:textId="10510C01"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0,00</w:t>
            </w:r>
            <w:r w:rsidR="00C13BE0">
              <w:rPr>
                <w:rFonts w:eastAsia="Times New Roman"/>
                <w:sz w:val="18"/>
                <w:szCs w:val="18"/>
                <w:lang w:eastAsia="hr-HR"/>
              </w:rPr>
              <w:t>1</w:t>
            </w:r>
          </w:p>
        </w:tc>
      </w:tr>
      <w:tr w:rsidR="0074784C" w:rsidRPr="008149B5" w14:paraId="57606AE4"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217093" w14:textId="77777777" w:rsidR="0074784C" w:rsidRPr="008149B5" w:rsidRDefault="0074784C" w:rsidP="0074784C">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39E89703" w14:textId="77777777" w:rsidR="0074784C" w:rsidRPr="008149B5" w:rsidRDefault="0074784C" w:rsidP="00A84276">
            <w:pPr>
              <w:rPr>
                <w:sz w:val="18"/>
                <w:szCs w:val="18"/>
                <w:lang w:eastAsia="hr-HR"/>
              </w:rPr>
            </w:pPr>
            <w:r w:rsidRPr="008149B5">
              <w:rPr>
                <w:sz w:val="18"/>
                <w:szCs w:val="18"/>
                <w:lang w:eastAsia="hr-HR"/>
              </w:rPr>
              <w:t>- Mali i srednji poduzetnici</w:t>
            </w:r>
          </w:p>
        </w:tc>
        <w:tc>
          <w:tcPr>
            <w:tcW w:w="992" w:type="dxa"/>
            <w:tcBorders>
              <w:top w:val="single" w:sz="4" w:space="0" w:color="auto"/>
              <w:left w:val="nil"/>
              <w:bottom w:val="single" w:sz="4" w:space="0" w:color="auto"/>
              <w:right w:val="single" w:sz="4" w:space="0" w:color="auto"/>
            </w:tcBorders>
            <w:vAlign w:val="center"/>
          </w:tcPr>
          <w:p w14:paraId="1D7B6731" w14:textId="04611D50"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139,2</w:t>
            </w:r>
          </w:p>
        </w:tc>
        <w:tc>
          <w:tcPr>
            <w:tcW w:w="851" w:type="dxa"/>
            <w:tcBorders>
              <w:top w:val="single" w:sz="4" w:space="0" w:color="auto"/>
              <w:left w:val="single" w:sz="4" w:space="0" w:color="auto"/>
              <w:bottom w:val="single" w:sz="4" w:space="0" w:color="auto"/>
              <w:right w:val="single" w:sz="4" w:space="0" w:color="auto"/>
            </w:tcBorders>
            <w:vAlign w:val="center"/>
          </w:tcPr>
          <w:p w14:paraId="7D84AC54" w14:textId="1CAE398A"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4,74</w:t>
            </w:r>
          </w:p>
        </w:tc>
        <w:tc>
          <w:tcPr>
            <w:tcW w:w="992" w:type="dxa"/>
            <w:tcBorders>
              <w:top w:val="single" w:sz="4" w:space="0" w:color="auto"/>
              <w:left w:val="single" w:sz="4" w:space="0" w:color="auto"/>
              <w:bottom w:val="single" w:sz="4" w:space="0" w:color="auto"/>
              <w:right w:val="single" w:sz="4" w:space="0" w:color="auto"/>
            </w:tcBorders>
            <w:vAlign w:val="center"/>
          </w:tcPr>
          <w:p w14:paraId="1A6F8CAF" w14:textId="62E234CE"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2,8</w:t>
            </w:r>
          </w:p>
        </w:tc>
        <w:tc>
          <w:tcPr>
            <w:tcW w:w="850" w:type="dxa"/>
            <w:tcBorders>
              <w:top w:val="single" w:sz="4" w:space="0" w:color="auto"/>
              <w:left w:val="single" w:sz="4" w:space="0" w:color="auto"/>
              <w:bottom w:val="single" w:sz="4" w:space="0" w:color="auto"/>
              <w:right w:val="single" w:sz="4" w:space="0" w:color="auto"/>
            </w:tcBorders>
            <w:vAlign w:val="center"/>
          </w:tcPr>
          <w:p w14:paraId="272FC1EB" w14:textId="1B109C3A"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0,09</w:t>
            </w:r>
          </w:p>
        </w:tc>
        <w:tc>
          <w:tcPr>
            <w:tcW w:w="943" w:type="dxa"/>
            <w:tcBorders>
              <w:top w:val="single" w:sz="4" w:space="0" w:color="auto"/>
              <w:left w:val="single" w:sz="4" w:space="0" w:color="auto"/>
              <w:bottom w:val="single" w:sz="4" w:space="0" w:color="auto"/>
              <w:right w:val="single" w:sz="4" w:space="0" w:color="auto"/>
            </w:tcBorders>
            <w:vAlign w:val="center"/>
          </w:tcPr>
          <w:p w14:paraId="267CAD36" w14:textId="67462B4B"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7,8</w:t>
            </w:r>
          </w:p>
        </w:tc>
        <w:tc>
          <w:tcPr>
            <w:tcW w:w="756" w:type="dxa"/>
            <w:tcBorders>
              <w:top w:val="single" w:sz="4" w:space="0" w:color="auto"/>
              <w:left w:val="single" w:sz="4" w:space="0" w:color="auto"/>
              <w:bottom w:val="single" w:sz="4" w:space="0" w:color="auto"/>
              <w:right w:val="single" w:sz="4" w:space="0" w:color="auto"/>
            </w:tcBorders>
            <w:vAlign w:val="center"/>
          </w:tcPr>
          <w:p w14:paraId="09174716" w14:textId="09F7CE5E"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0,26</w:t>
            </w:r>
          </w:p>
        </w:tc>
      </w:tr>
      <w:tr w:rsidR="0074784C" w:rsidRPr="008149B5" w14:paraId="58F53100"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8F18CD0" w14:textId="77777777" w:rsidR="0074784C" w:rsidRPr="008149B5" w:rsidRDefault="0074784C" w:rsidP="0074784C">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55B3D530" w14:textId="77777777" w:rsidR="0074784C" w:rsidRPr="008149B5" w:rsidRDefault="0074784C" w:rsidP="00A84276">
            <w:pPr>
              <w:rPr>
                <w:sz w:val="18"/>
                <w:szCs w:val="18"/>
                <w:lang w:eastAsia="hr-HR"/>
              </w:rPr>
            </w:pPr>
            <w:r w:rsidRPr="008149B5">
              <w:rPr>
                <w:sz w:val="18"/>
                <w:szCs w:val="18"/>
                <w:lang w:eastAsia="hr-HR"/>
              </w:rPr>
              <w:t>- Kultura</w:t>
            </w:r>
          </w:p>
        </w:tc>
        <w:tc>
          <w:tcPr>
            <w:tcW w:w="992" w:type="dxa"/>
            <w:tcBorders>
              <w:top w:val="single" w:sz="4" w:space="0" w:color="auto"/>
              <w:left w:val="nil"/>
              <w:bottom w:val="single" w:sz="4" w:space="0" w:color="auto"/>
              <w:right w:val="single" w:sz="4" w:space="0" w:color="auto"/>
            </w:tcBorders>
            <w:vAlign w:val="center"/>
          </w:tcPr>
          <w:p w14:paraId="05A84B31" w14:textId="02B491C4"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22,0</w:t>
            </w:r>
          </w:p>
        </w:tc>
        <w:tc>
          <w:tcPr>
            <w:tcW w:w="851" w:type="dxa"/>
            <w:tcBorders>
              <w:top w:val="single" w:sz="4" w:space="0" w:color="auto"/>
              <w:left w:val="single" w:sz="4" w:space="0" w:color="auto"/>
              <w:bottom w:val="single" w:sz="4" w:space="0" w:color="auto"/>
              <w:right w:val="single" w:sz="4" w:space="0" w:color="auto"/>
            </w:tcBorders>
            <w:vAlign w:val="center"/>
          </w:tcPr>
          <w:p w14:paraId="14C4E43F" w14:textId="6448C6B8"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0,75</w:t>
            </w:r>
          </w:p>
        </w:tc>
        <w:tc>
          <w:tcPr>
            <w:tcW w:w="992" w:type="dxa"/>
            <w:tcBorders>
              <w:top w:val="single" w:sz="4" w:space="0" w:color="auto"/>
              <w:left w:val="single" w:sz="4" w:space="0" w:color="auto"/>
              <w:bottom w:val="single" w:sz="4" w:space="0" w:color="auto"/>
              <w:right w:val="single" w:sz="4" w:space="0" w:color="auto"/>
            </w:tcBorders>
            <w:vAlign w:val="center"/>
          </w:tcPr>
          <w:p w14:paraId="50E71729" w14:textId="56FC7BBA"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19,1</w:t>
            </w:r>
          </w:p>
        </w:tc>
        <w:tc>
          <w:tcPr>
            <w:tcW w:w="850" w:type="dxa"/>
            <w:tcBorders>
              <w:top w:val="single" w:sz="4" w:space="0" w:color="auto"/>
              <w:left w:val="single" w:sz="4" w:space="0" w:color="auto"/>
              <w:bottom w:val="single" w:sz="4" w:space="0" w:color="auto"/>
              <w:right w:val="single" w:sz="4" w:space="0" w:color="auto"/>
            </w:tcBorders>
            <w:vAlign w:val="center"/>
          </w:tcPr>
          <w:p w14:paraId="22156A6A" w14:textId="2F237B38"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0,63</w:t>
            </w:r>
          </w:p>
        </w:tc>
        <w:tc>
          <w:tcPr>
            <w:tcW w:w="943" w:type="dxa"/>
            <w:tcBorders>
              <w:top w:val="single" w:sz="4" w:space="0" w:color="auto"/>
              <w:left w:val="single" w:sz="4" w:space="0" w:color="auto"/>
              <w:bottom w:val="single" w:sz="4" w:space="0" w:color="auto"/>
              <w:right w:val="single" w:sz="4" w:space="0" w:color="auto"/>
            </w:tcBorders>
            <w:vAlign w:val="center"/>
          </w:tcPr>
          <w:p w14:paraId="625C5059" w14:textId="7F3AD55A" w:rsidR="0074784C" w:rsidRPr="008149B5" w:rsidRDefault="0074784C" w:rsidP="0074784C">
            <w:pPr>
              <w:jc w:val="right"/>
              <w:rPr>
                <w:rFonts w:eastAsia="Times New Roman"/>
                <w:sz w:val="18"/>
                <w:szCs w:val="18"/>
                <w:lang w:eastAsia="hr-HR"/>
              </w:rPr>
            </w:pPr>
            <w:r w:rsidRPr="008149B5">
              <w:rPr>
                <w:rFonts w:eastAsia="Times New Roman"/>
                <w:sz w:val="18"/>
                <w:szCs w:val="18"/>
                <w:lang w:eastAsia="hr-HR"/>
              </w:rPr>
              <w:t>24,1</w:t>
            </w:r>
          </w:p>
        </w:tc>
        <w:tc>
          <w:tcPr>
            <w:tcW w:w="756" w:type="dxa"/>
            <w:tcBorders>
              <w:top w:val="single" w:sz="4" w:space="0" w:color="auto"/>
              <w:left w:val="single" w:sz="4" w:space="0" w:color="auto"/>
              <w:bottom w:val="single" w:sz="4" w:space="0" w:color="auto"/>
              <w:right w:val="single" w:sz="4" w:space="0" w:color="auto"/>
            </w:tcBorders>
            <w:vAlign w:val="center"/>
          </w:tcPr>
          <w:p w14:paraId="1E1AD101" w14:textId="0F17DEE0" w:rsidR="0074784C" w:rsidRPr="008149B5" w:rsidRDefault="0074784C" w:rsidP="00A84276">
            <w:pPr>
              <w:jc w:val="center"/>
              <w:rPr>
                <w:rFonts w:eastAsia="Times New Roman"/>
                <w:sz w:val="18"/>
                <w:szCs w:val="18"/>
                <w:lang w:eastAsia="hr-HR"/>
              </w:rPr>
            </w:pPr>
            <w:r w:rsidRPr="008149B5">
              <w:rPr>
                <w:rFonts w:eastAsia="Times New Roman"/>
                <w:sz w:val="18"/>
                <w:szCs w:val="18"/>
                <w:lang w:eastAsia="hr-HR"/>
              </w:rPr>
              <w:t>0,79</w:t>
            </w:r>
          </w:p>
        </w:tc>
      </w:tr>
      <w:tr w:rsidR="0074784C" w:rsidRPr="008149B5" w14:paraId="4084D07E"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165C0FD" w14:textId="77777777" w:rsidR="0074784C" w:rsidRPr="008149B5" w:rsidRDefault="0074784C" w:rsidP="0074784C">
            <w:pPr>
              <w:jc w:val="both"/>
              <w:rPr>
                <w:b/>
                <w:bCs/>
                <w:sz w:val="18"/>
                <w:szCs w:val="18"/>
                <w:lang w:eastAsia="hr-HR"/>
              </w:rPr>
            </w:pPr>
            <w:r w:rsidRPr="008149B5">
              <w:rPr>
                <w:b/>
                <w:bCs/>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47A98AA4" w14:textId="77777777" w:rsidR="0074784C" w:rsidRPr="008149B5" w:rsidRDefault="0074784C" w:rsidP="00A84276">
            <w:pPr>
              <w:rPr>
                <w:b/>
                <w:bCs/>
                <w:i/>
                <w:iCs/>
                <w:sz w:val="18"/>
                <w:szCs w:val="18"/>
                <w:lang w:eastAsia="hr-HR"/>
              </w:rPr>
            </w:pPr>
            <w:r w:rsidRPr="008149B5">
              <w:rPr>
                <w:b/>
                <w:bCs/>
                <w:i/>
                <w:iCs/>
                <w:sz w:val="18"/>
                <w:szCs w:val="18"/>
                <w:lang w:eastAsia="hr-HR"/>
              </w:rPr>
              <w:t>Posebni sektori</w:t>
            </w:r>
          </w:p>
        </w:tc>
        <w:tc>
          <w:tcPr>
            <w:tcW w:w="992" w:type="dxa"/>
            <w:tcBorders>
              <w:top w:val="single" w:sz="4" w:space="0" w:color="auto"/>
              <w:left w:val="nil"/>
              <w:bottom w:val="single" w:sz="4" w:space="0" w:color="auto"/>
              <w:right w:val="single" w:sz="4" w:space="0" w:color="auto"/>
            </w:tcBorders>
            <w:vAlign w:val="center"/>
          </w:tcPr>
          <w:p w14:paraId="112A0FF8" w14:textId="21CDF08C"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584,3</w:t>
            </w:r>
          </w:p>
        </w:tc>
        <w:tc>
          <w:tcPr>
            <w:tcW w:w="851" w:type="dxa"/>
            <w:tcBorders>
              <w:top w:val="single" w:sz="4" w:space="0" w:color="auto"/>
              <w:left w:val="single" w:sz="4" w:space="0" w:color="auto"/>
              <w:bottom w:val="single" w:sz="4" w:space="0" w:color="auto"/>
              <w:right w:val="single" w:sz="4" w:space="0" w:color="auto"/>
            </w:tcBorders>
            <w:vAlign w:val="center"/>
          </w:tcPr>
          <w:p w14:paraId="05B8D34F" w14:textId="7491F509"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19,87</w:t>
            </w:r>
          </w:p>
        </w:tc>
        <w:tc>
          <w:tcPr>
            <w:tcW w:w="992" w:type="dxa"/>
            <w:tcBorders>
              <w:top w:val="single" w:sz="4" w:space="0" w:color="auto"/>
              <w:left w:val="single" w:sz="4" w:space="0" w:color="auto"/>
              <w:bottom w:val="single" w:sz="4" w:space="0" w:color="auto"/>
              <w:right w:val="single" w:sz="4" w:space="0" w:color="auto"/>
            </w:tcBorders>
            <w:vAlign w:val="center"/>
          </w:tcPr>
          <w:p w14:paraId="0C467D73" w14:textId="1E7253BB"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604,2</w:t>
            </w:r>
          </w:p>
        </w:tc>
        <w:tc>
          <w:tcPr>
            <w:tcW w:w="850" w:type="dxa"/>
            <w:tcBorders>
              <w:top w:val="single" w:sz="4" w:space="0" w:color="auto"/>
              <w:left w:val="single" w:sz="4" w:space="0" w:color="auto"/>
              <w:bottom w:val="single" w:sz="4" w:space="0" w:color="auto"/>
              <w:right w:val="single" w:sz="4" w:space="0" w:color="auto"/>
            </w:tcBorders>
            <w:vAlign w:val="center"/>
          </w:tcPr>
          <w:p w14:paraId="5C126137" w14:textId="2302F158"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20,04</w:t>
            </w:r>
          </w:p>
        </w:tc>
        <w:tc>
          <w:tcPr>
            <w:tcW w:w="943" w:type="dxa"/>
            <w:tcBorders>
              <w:top w:val="single" w:sz="4" w:space="0" w:color="auto"/>
              <w:left w:val="single" w:sz="4" w:space="0" w:color="auto"/>
              <w:bottom w:val="single" w:sz="4" w:space="0" w:color="auto"/>
              <w:right w:val="single" w:sz="4" w:space="0" w:color="auto"/>
            </w:tcBorders>
            <w:vAlign w:val="center"/>
          </w:tcPr>
          <w:p w14:paraId="6C8BB840" w14:textId="42F19097" w:rsidR="0074784C" w:rsidRPr="008149B5" w:rsidRDefault="0074784C" w:rsidP="0074784C">
            <w:pPr>
              <w:jc w:val="right"/>
              <w:rPr>
                <w:rFonts w:eastAsia="Times New Roman"/>
                <w:b/>
                <w:bCs/>
                <w:sz w:val="18"/>
                <w:szCs w:val="18"/>
                <w:lang w:eastAsia="hr-HR"/>
              </w:rPr>
            </w:pPr>
            <w:r w:rsidRPr="008149B5">
              <w:rPr>
                <w:rFonts w:eastAsia="Times New Roman"/>
                <w:b/>
                <w:bCs/>
                <w:sz w:val="18"/>
                <w:szCs w:val="18"/>
                <w:lang w:eastAsia="hr-HR"/>
              </w:rPr>
              <w:t>848,9</w:t>
            </w:r>
          </w:p>
        </w:tc>
        <w:tc>
          <w:tcPr>
            <w:tcW w:w="756" w:type="dxa"/>
            <w:tcBorders>
              <w:top w:val="single" w:sz="4" w:space="0" w:color="auto"/>
              <w:left w:val="single" w:sz="4" w:space="0" w:color="auto"/>
              <w:bottom w:val="single" w:sz="4" w:space="0" w:color="auto"/>
              <w:right w:val="single" w:sz="4" w:space="0" w:color="auto"/>
            </w:tcBorders>
            <w:vAlign w:val="center"/>
          </w:tcPr>
          <w:p w14:paraId="3A4E3F64" w14:textId="4844BF9B" w:rsidR="0074784C" w:rsidRPr="008149B5" w:rsidRDefault="0074784C" w:rsidP="00A84276">
            <w:pPr>
              <w:jc w:val="center"/>
              <w:rPr>
                <w:rFonts w:eastAsia="Times New Roman"/>
                <w:b/>
                <w:bCs/>
                <w:sz w:val="18"/>
                <w:szCs w:val="18"/>
                <w:lang w:eastAsia="hr-HR"/>
              </w:rPr>
            </w:pPr>
            <w:r w:rsidRPr="008149B5">
              <w:rPr>
                <w:rFonts w:eastAsia="Times New Roman"/>
                <w:b/>
                <w:bCs/>
                <w:sz w:val="18"/>
                <w:szCs w:val="18"/>
                <w:lang w:eastAsia="hr-HR"/>
              </w:rPr>
              <w:t>27,96</w:t>
            </w:r>
          </w:p>
        </w:tc>
      </w:tr>
      <w:tr w:rsidR="00A84276" w:rsidRPr="008149B5" w14:paraId="2A93F4E8"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23F45C5" w14:textId="77777777" w:rsidR="00A84276" w:rsidRPr="008149B5" w:rsidRDefault="00A84276" w:rsidP="00A84276">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106461CC" w14:textId="77777777" w:rsidR="00A84276" w:rsidRPr="008149B5" w:rsidRDefault="00A84276" w:rsidP="00A84276">
            <w:pPr>
              <w:rPr>
                <w:sz w:val="18"/>
                <w:szCs w:val="18"/>
                <w:lang w:eastAsia="hr-HR"/>
              </w:rPr>
            </w:pPr>
            <w:r w:rsidRPr="008149B5">
              <w:rPr>
                <w:sz w:val="18"/>
                <w:szCs w:val="18"/>
                <w:lang w:eastAsia="hr-HR"/>
              </w:rPr>
              <w:t>- Poštanske usluge</w:t>
            </w:r>
          </w:p>
        </w:tc>
        <w:tc>
          <w:tcPr>
            <w:tcW w:w="992" w:type="dxa"/>
            <w:tcBorders>
              <w:top w:val="single" w:sz="4" w:space="0" w:color="auto"/>
              <w:left w:val="nil"/>
              <w:bottom w:val="single" w:sz="4" w:space="0" w:color="auto"/>
              <w:right w:val="single" w:sz="4" w:space="0" w:color="auto"/>
            </w:tcBorders>
            <w:vAlign w:val="center"/>
          </w:tcPr>
          <w:p w14:paraId="19C252C0" w14:textId="5FD27C3D"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12,6</w:t>
            </w:r>
          </w:p>
        </w:tc>
        <w:tc>
          <w:tcPr>
            <w:tcW w:w="851" w:type="dxa"/>
            <w:tcBorders>
              <w:top w:val="single" w:sz="4" w:space="0" w:color="auto"/>
              <w:left w:val="single" w:sz="4" w:space="0" w:color="auto"/>
              <w:bottom w:val="single" w:sz="4" w:space="0" w:color="auto"/>
              <w:right w:val="single" w:sz="4" w:space="0" w:color="auto"/>
            </w:tcBorders>
            <w:vAlign w:val="center"/>
          </w:tcPr>
          <w:p w14:paraId="7816293B" w14:textId="28F513D1"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0,43</w:t>
            </w:r>
          </w:p>
        </w:tc>
        <w:tc>
          <w:tcPr>
            <w:tcW w:w="992" w:type="dxa"/>
            <w:tcBorders>
              <w:top w:val="single" w:sz="4" w:space="0" w:color="auto"/>
              <w:left w:val="single" w:sz="4" w:space="0" w:color="auto"/>
              <w:bottom w:val="single" w:sz="4" w:space="0" w:color="auto"/>
              <w:right w:val="single" w:sz="4" w:space="0" w:color="auto"/>
            </w:tcBorders>
            <w:vAlign w:val="center"/>
          </w:tcPr>
          <w:p w14:paraId="55487BD9" w14:textId="5D0602BB"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13,2</w:t>
            </w:r>
          </w:p>
        </w:tc>
        <w:tc>
          <w:tcPr>
            <w:tcW w:w="850" w:type="dxa"/>
            <w:tcBorders>
              <w:top w:val="single" w:sz="4" w:space="0" w:color="auto"/>
              <w:left w:val="single" w:sz="4" w:space="0" w:color="auto"/>
              <w:bottom w:val="single" w:sz="4" w:space="0" w:color="auto"/>
              <w:right w:val="single" w:sz="4" w:space="0" w:color="auto"/>
            </w:tcBorders>
            <w:vAlign w:val="center"/>
          </w:tcPr>
          <w:p w14:paraId="5152EB0B" w14:textId="4AA3968D"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0,44</w:t>
            </w:r>
          </w:p>
        </w:tc>
        <w:tc>
          <w:tcPr>
            <w:tcW w:w="943" w:type="dxa"/>
            <w:tcBorders>
              <w:top w:val="single" w:sz="4" w:space="0" w:color="auto"/>
              <w:left w:val="single" w:sz="4" w:space="0" w:color="auto"/>
              <w:bottom w:val="single" w:sz="4" w:space="0" w:color="auto"/>
              <w:right w:val="single" w:sz="4" w:space="0" w:color="auto"/>
            </w:tcBorders>
            <w:vAlign w:val="center"/>
          </w:tcPr>
          <w:p w14:paraId="750389FD" w14:textId="00D3782B"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14,8</w:t>
            </w:r>
          </w:p>
        </w:tc>
        <w:tc>
          <w:tcPr>
            <w:tcW w:w="756" w:type="dxa"/>
            <w:tcBorders>
              <w:top w:val="single" w:sz="4" w:space="0" w:color="auto"/>
              <w:left w:val="single" w:sz="4" w:space="0" w:color="auto"/>
              <w:bottom w:val="single" w:sz="4" w:space="0" w:color="auto"/>
              <w:right w:val="single" w:sz="4" w:space="0" w:color="auto"/>
            </w:tcBorders>
            <w:vAlign w:val="center"/>
          </w:tcPr>
          <w:p w14:paraId="23C6AE35" w14:textId="4BB5AE09"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0,49</w:t>
            </w:r>
          </w:p>
        </w:tc>
      </w:tr>
      <w:tr w:rsidR="00A84276" w:rsidRPr="008149B5" w14:paraId="16C1D964"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9271F35" w14:textId="77777777" w:rsidR="00A84276" w:rsidRPr="008149B5" w:rsidRDefault="00A84276" w:rsidP="00A84276">
            <w:pPr>
              <w:jc w:val="both"/>
              <w:rPr>
                <w:sz w:val="18"/>
                <w:szCs w:val="18"/>
                <w:lang w:eastAsia="hr-HR"/>
              </w:rPr>
            </w:pPr>
            <w:r w:rsidRPr="008149B5">
              <w:rPr>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14:paraId="3CE4ED33" w14:textId="77777777" w:rsidR="00A84276" w:rsidRPr="008149B5" w:rsidRDefault="00A84276" w:rsidP="00A84276">
            <w:pPr>
              <w:rPr>
                <w:sz w:val="18"/>
                <w:szCs w:val="18"/>
                <w:lang w:eastAsia="hr-HR"/>
              </w:rPr>
            </w:pPr>
            <w:r w:rsidRPr="008149B5">
              <w:rPr>
                <w:sz w:val="18"/>
                <w:szCs w:val="18"/>
                <w:lang w:eastAsia="hr-HR"/>
              </w:rPr>
              <w:t>- Zaštita okoliša i očuvanje energije</w:t>
            </w:r>
          </w:p>
        </w:tc>
        <w:tc>
          <w:tcPr>
            <w:tcW w:w="992" w:type="dxa"/>
            <w:tcBorders>
              <w:top w:val="single" w:sz="4" w:space="0" w:color="auto"/>
              <w:left w:val="nil"/>
              <w:bottom w:val="single" w:sz="4" w:space="0" w:color="auto"/>
              <w:right w:val="single" w:sz="4" w:space="0" w:color="auto"/>
            </w:tcBorders>
            <w:vAlign w:val="center"/>
          </w:tcPr>
          <w:p w14:paraId="00FF0550" w14:textId="13E273C1"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163,6</w:t>
            </w:r>
          </w:p>
        </w:tc>
        <w:tc>
          <w:tcPr>
            <w:tcW w:w="851" w:type="dxa"/>
            <w:tcBorders>
              <w:top w:val="single" w:sz="4" w:space="0" w:color="auto"/>
              <w:left w:val="single" w:sz="4" w:space="0" w:color="auto"/>
              <w:bottom w:val="single" w:sz="4" w:space="0" w:color="auto"/>
              <w:right w:val="single" w:sz="4" w:space="0" w:color="auto"/>
            </w:tcBorders>
            <w:vAlign w:val="center"/>
          </w:tcPr>
          <w:p w14:paraId="6A1748A6" w14:textId="717F61F1"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5,57</w:t>
            </w:r>
          </w:p>
        </w:tc>
        <w:tc>
          <w:tcPr>
            <w:tcW w:w="992" w:type="dxa"/>
            <w:tcBorders>
              <w:top w:val="single" w:sz="4" w:space="0" w:color="auto"/>
              <w:left w:val="single" w:sz="4" w:space="0" w:color="auto"/>
              <w:bottom w:val="single" w:sz="4" w:space="0" w:color="auto"/>
              <w:right w:val="single" w:sz="4" w:space="0" w:color="auto"/>
            </w:tcBorders>
            <w:vAlign w:val="center"/>
          </w:tcPr>
          <w:p w14:paraId="74B1ECA0" w14:textId="3EDD488C"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170,9</w:t>
            </w:r>
          </w:p>
        </w:tc>
        <w:tc>
          <w:tcPr>
            <w:tcW w:w="850" w:type="dxa"/>
            <w:tcBorders>
              <w:top w:val="single" w:sz="4" w:space="0" w:color="auto"/>
              <w:left w:val="single" w:sz="4" w:space="0" w:color="auto"/>
              <w:bottom w:val="single" w:sz="4" w:space="0" w:color="auto"/>
              <w:right w:val="single" w:sz="4" w:space="0" w:color="auto"/>
            </w:tcBorders>
            <w:vAlign w:val="center"/>
          </w:tcPr>
          <w:p w14:paraId="7CCD8A72" w14:textId="4A34EF36"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5,67</w:t>
            </w:r>
          </w:p>
        </w:tc>
        <w:tc>
          <w:tcPr>
            <w:tcW w:w="943" w:type="dxa"/>
            <w:tcBorders>
              <w:top w:val="single" w:sz="4" w:space="0" w:color="auto"/>
              <w:left w:val="single" w:sz="4" w:space="0" w:color="auto"/>
              <w:bottom w:val="single" w:sz="4" w:space="0" w:color="auto"/>
              <w:right w:val="single" w:sz="4" w:space="0" w:color="auto"/>
            </w:tcBorders>
            <w:vAlign w:val="center"/>
          </w:tcPr>
          <w:p w14:paraId="3CC4EE0A" w14:textId="6BC9C7FA"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184,9</w:t>
            </w:r>
          </w:p>
        </w:tc>
        <w:tc>
          <w:tcPr>
            <w:tcW w:w="756" w:type="dxa"/>
            <w:tcBorders>
              <w:top w:val="single" w:sz="4" w:space="0" w:color="auto"/>
              <w:left w:val="single" w:sz="4" w:space="0" w:color="auto"/>
              <w:bottom w:val="single" w:sz="4" w:space="0" w:color="auto"/>
              <w:right w:val="single" w:sz="4" w:space="0" w:color="auto"/>
            </w:tcBorders>
            <w:vAlign w:val="center"/>
          </w:tcPr>
          <w:p w14:paraId="1CF5E142" w14:textId="3709A819"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6,09</w:t>
            </w:r>
          </w:p>
        </w:tc>
      </w:tr>
      <w:tr w:rsidR="00A84276" w:rsidRPr="008149B5" w14:paraId="162BB83A"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5BDA147" w14:textId="77777777" w:rsidR="00A84276" w:rsidRPr="008149B5" w:rsidRDefault="00A84276" w:rsidP="00A84276">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76E0F35C" w14:textId="77777777" w:rsidR="00A84276" w:rsidRPr="008149B5" w:rsidRDefault="00A84276" w:rsidP="00A84276">
            <w:pPr>
              <w:rPr>
                <w:sz w:val="18"/>
                <w:szCs w:val="18"/>
                <w:lang w:eastAsia="hr-HR"/>
              </w:rPr>
            </w:pPr>
            <w:r w:rsidRPr="008149B5">
              <w:rPr>
                <w:sz w:val="18"/>
                <w:szCs w:val="18"/>
                <w:lang w:eastAsia="hr-HR"/>
              </w:rPr>
              <w:t>- Promet</w:t>
            </w:r>
          </w:p>
        </w:tc>
        <w:tc>
          <w:tcPr>
            <w:tcW w:w="992" w:type="dxa"/>
            <w:tcBorders>
              <w:top w:val="single" w:sz="4" w:space="0" w:color="auto"/>
              <w:left w:val="nil"/>
              <w:bottom w:val="single" w:sz="4" w:space="0" w:color="auto"/>
              <w:right w:val="single" w:sz="4" w:space="0" w:color="auto"/>
            </w:tcBorders>
            <w:vAlign w:val="center"/>
          </w:tcPr>
          <w:p w14:paraId="673C5BC5" w14:textId="08829EAD"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160,5</w:t>
            </w:r>
          </w:p>
        </w:tc>
        <w:tc>
          <w:tcPr>
            <w:tcW w:w="851" w:type="dxa"/>
            <w:tcBorders>
              <w:top w:val="single" w:sz="4" w:space="0" w:color="auto"/>
              <w:left w:val="single" w:sz="4" w:space="0" w:color="auto"/>
              <w:bottom w:val="single" w:sz="4" w:space="0" w:color="auto"/>
              <w:right w:val="single" w:sz="4" w:space="0" w:color="auto"/>
            </w:tcBorders>
            <w:vAlign w:val="center"/>
          </w:tcPr>
          <w:p w14:paraId="4B4A5822" w14:textId="160E134A"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5,46</w:t>
            </w:r>
          </w:p>
        </w:tc>
        <w:tc>
          <w:tcPr>
            <w:tcW w:w="992" w:type="dxa"/>
            <w:tcBorders>
              <w:top w:val="single" w:sz="4" w:space="0" w:color="auto"/>
              <w:left w:val="single" w:sz="4" w:space="0" w:color="auto"/>
              <w:bottom w:val="single" w:sz="4" w:space="0" w:color="auto"/>
              <w:right w:val="single" w:sz="4" w:space="0" w:color="auto"/>
            </w:tcBorders>
            <w:vAlign w:val="center"/>
          </w:tcPr>
          <w:p w14:paraId="04E2D70F" w14:textId="3506B974"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205,0</w:t>
            </w:r>
          </w:p>
        </w:tc>
        <w:tc>
          <w:tcPr>
            <w:tcW w:w="850" w:type="dxa"/>
            <w:tcBorders>
              <w:top w:val="single" w:sz="4" w:space="0" w:color="auto"/>
              <w:left w:val="single" w:sz="4" w:space="0" w:color="auto"/>
              <w:bottom w:val="single" w:sz="4" w:space="0" w:color="auto"/>
              <w:right w:val="single" w:sz="4" w:space="0" w:color="auto"/>
            </w:tcBorders>
            <w:vAlign w:val="center"/>
          </w:tcPr>
          <w:p w14:paraId="1D9903FA" w14:textId="5E055A20"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6,80</w:t>
            </w:r>
          </w:p>
        </w:tc>
        <w:tc>
          <w:tcPr>
            <w:tcW w:w="943" w:type="dxa"/>
            <w:tcBorders>
              <w:top w:val="single" w:sz="4" w:space="0" w:color="auto"/>
              <w:left w:val="single" w:sz="4" w:space="0" w:color="auto"/>
              <w:bottom w:val="single" w:sz="4" w:space="0" w:color="auto"/>
              <w:right w:val="single" w:sz="4" w:space="0" w:color="auto"/>
            </w:tcBorders>
            <w:vAlign w:val="center"/>
          </w:tcPr>
          <w:p w14:paraId="3E13B8CB" w14:textId="0E5F664E"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320,6</w:t>
            </w:r>
          </w:p>
        </w:tc>
        <w:tc>
          <w:tcPr>
            <w:tcW w:w="756" w:type="dxa"/>
            <w:tcBorders>
              <w:top w:val="single" w:sz="4" w:space="0" w:color="auto"/>
              <w:left w:val="single" w:sz="4" w:space="0" w:color="auto"/>
              <w:bottom w:val="single" w:sz="4" w:space="0" w:color="auto"/>
              <w:right w:val="single" w:sz="4" w:space="0" w:color="auto"/>
            </w:tcBorders>
            <w:vAlign w:val="center"/>
          </w:tcPr>
          <w:p w14:paraId="729F5883" w14:textId="7CE4684B"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10,56</w:t>
            </w:r>
          </w:p>
        </w:tc>
      </w:tr>
      <w:tr w:rsidR="00A84276" w:rsidRPr="008149B5" w14:paraId="4D6FEB06"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6473548" w14:textId="77777777" w:rsidR="00A84276" w:rsidRPr="008149B5" w:rsidRDefault="00A84276" w:rsidP="00A84276">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14D3C514" w14:textId="77777777" w:rsidR="00A84276" w:rsidRPr="008149B5" w:rsidRDefault="00A84276" w:rsidP="00A84276">
            <w:pPr>
              <w:rPr>
                <w:sz w:val="18"/>
                <w:szCs w:val="18"/>
                <w:lang w:eastAsia="hr-HR"/>
              </w:rPr>
            </w:pPr>
            <w:r w:rsidRPr="008149B5">
              <w:rPr>
                <w:sz w:val="18"/>
                <w:szCs w:val="18"/>
                <w:lang w:eastAsia="hr-HR"/>
              </w:rPr>
              <w:t>- Brodogradnja</w:t>
            </w:r>
          </w:p>
        </w:tc>
        <w:tc>
          <w:tcPr>
            <w:tcW w:w="992" w:type="dxa"/>
            <w:tcBorders>
              <w:top w:val="single" w:sz="4" w:space="0" w:color="auto"/>
              <w:left w:val="nil"/>
              <w:bottom w:val="single" w:sz="4" w:space="0" w:color="auto"/>
              <w:right w:val="single" w:sz="4" w:space="0" w:color="auto"/>
            </w:tcBorders>
            <w:vAlign w:val="center"/>
          </w:tcPr>
          <w:p w14:paraId="48A2E121" w14:textId="6181FAA8"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92,7</w:t>
            </w:r>
          </w:p>
        </w:tc>
        <w:tc>
          <w:tcPr>
            <w:tcW w:w="851" w:type="dxa"/>
            <w:tcBorders>
              <w:top w:val="single" w:sz="4" w:space="0" w:color="auto"/>
              <w:left w:val="single" w:sz="4" w:space="0" w:color="auto"/>
              <w:bottom w:val="single" w:sz="4" w:space="0" w:color="auto"/>
              <w:right w:val="single" w:sz="4" w:space="0" w:color="auto"/>
            </w:tcBorders>
            <w:vAlign w:val="center"/>
          </w:tcPr>
          <w:p w14:paraId="40FC2112" w14:textId="5279F125"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3,15</w:t>
            </w:r>
          </w:p>
        </w:tc>
        <w:tc>
          <w:tcPr>
            <w:tcW w:w="992" w:type="dxa"/>
            <w:tcBorders>
              <w:top w:val="single" w:sz="4" w:space="0" w:color="auto"/>
              <w:left w:val="single" w:sz="4" w:space="0" w:color="auto"/>
              <w:bottom w:val="single" w:sz="4" w:space="0" w:color="auto"/>
              <w:right w:val="single" w:sz="4" w:space="0" w:color="auto"/>
            </w:tcBorders>
            <w:vAlign w:val="center"/>
          </w:tcPr>
          <w:p w14:paraId="61CA12F6" w14:textId="2B250AC9"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61,2</w:t>
            </w:r>
          </w:p>
        </w:tc>
        <w:tc>
          <w:tcPr>
            <w:tcW w:w="850" w:type="dxa"/>
            <w:tcBorders>
              <w:top w:val="single" w:sz="4" w:space="0" w:color="auto"/>
              <w:left w:val="single" w:sz="4" w:space="0" w:color="auto"/>
              <w:bottom w:val="single" w:sz="4" w:space="0" w:color="auto"/>
              <w:right w:val="single" w:sz="4" w:space="0" w:color="auto"/>
            </w:tcBorders>
            <w:vAlign w:val="center"/>
          </w:tcPr>
          <w:p w14:paraId="61D63C09" w14:textId="471B7B8A"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2,03</w:t>
            </w:r>
          </w:p>
        </w:tc>
        <w:tc>
          <w:tcPr>
            <w:tcW w:w="943" w:type="dxa"/>
            <w:tcBorders>
              <w:top w:val="single" w:sz="4" w:space="0" w:color="auto"/>
              <w:left w:val="single" w:sz="4" w:space="0" w:color="auto"/>
              <w:bottom w:val="single" w:sz="4" w:space="0" w:color="auto"/>
              <w:right w:val="single" w:sz="4" w:space="0" w:color="auto"/>
            </w:tcBorders>
            <w:vAlign w:val="center"/>
          </w:tcPr>
          <w:p w14:paraId="778456A8" w14:textId="045F31A8"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29,5</w:t>
            </w:r>
          </w:p>
        </w:tc>
        <w:tc>
          <w:tcPr>
            <w:tcW w:w="756" w:type="dxa"/>
            <w:tcBorders>
              <w:top w:val="single" w:sz="4" w:space="0" w:color="auto"/>
              <w:left w:val="single" w:sz="4" w:space="0" w:color="auto"/>
              <w:bottom w:val="single" w:sz="4" w:space="0" w:color="auto"/>
              <w:right w:val="single" w:sz="4" w:space="0" w:color="auto"/>
            </w:tcBorders>
            <w:vAlign w:val="center"/>
          </w:tcPr>
          <w:p w14:paraId="18F45303" w14:textId="5300A94F"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0,97</w:t>
            </w:r>
          </w:p>
        </w:tc>
      </w:tr>
      <w:tr w:rsidR="00A84276" w:rsidRPr="008149B5" w14:paraId="19040876"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983233" w14:textId="77777777" w:rsidR="00A84276" w:rsidRPr="008149B5" w:rsidRDefault="00A84276" w:rsidP="00A84276">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3ECAB362" w14:textId="77777777" w:rsidR="00A84276" w:rsidRPr="008149B5" w:rsidRDefault="00A84276" w:rsidP="00A84276">
            <w:pPr>
              <w:rPr>
                <w:sz w:val="18"/>
                <w:szCs w:val="18"/>
                <w:lang w:eastAsia="hr-HR"/>
              </w:rPr>
            </w:pPr>
            <w:r w:rsidRPr="008149B5">
              <w:rPr>
                <w:sz w:val="18"/>
                <w:szCs w:val="18"/>
                <w:lang w:eastAsia="hr-HR"/>
              </w:rPr>
              <w:t>- Turizam</w:t>
            </w:r>
          </w:p>
        </w:tc>
        <w:tc>
          <w:tcPr>
            <w:tcW w:w="992" w:type="dxa"/>
            <w:tcBorders>
              <w:top w:val="single" w:sz="4" w:space="0" w:color="auto"/>
              <w:left w:val="nil"/>
              <w:bottom w:val="single" w:sz="4" w:space="0" w:color="auto"/>
              <w:right w:val="single" w:sz="4" w:space="0" w:color="auto"/>
            </w:tcBorders>
            <w:vAlign w:val="center"/>
          </w:tcPr>
          <w:p w14:paraId="3E6E400A" w14:textId="5B6C2D24"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0,9</w:t>
            </w:r>
          </w:p>
        </w:tc>
        <w:tc>
          <w:tcPr>
            <w:tcW w:w="851" w:type="dxa"/>
            <w:tcBorders>
              <w:top w:val="single" w:sz="4" w:space="0" w:color="auto"/>
              <w:left w:val="single" w:sz="4" w:space="0" w:color="auto"/>
              <w:bottom w:val="single" w:sz="4" w:space="0" w:color="auto"/>
              <w:right w:val="single" w:sz="4" w:space="0" w:color="auto"/>
            </w:tcBorders>
            <w:vAlign w:val="center"/>
          </w:tcPr>
          <w:p w14:paraId="0774A492" w14:textId="600C9811"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0,03</w:t>
            </w:r>
          </w:p>
        </w:tc>
        <w:tc>
          <w:tcPr>
            <w:tcW w:w="992" w:type="dxa"/>
            <w:tcBorders>
              <w:top w:val="single" w:sz="4" w:space="0" w:color="auto"/>
              <w:left w:val="single" w:sz="4" w:space="0" w:color="auto"/>
              <w:bottom w:val="single" w:sz="4" w:space="0" w:color="auto"/>
              <w:right w:val="single" w:sz="4" w:space="0" w:color="auto"/>
            </w:tcBorders>
            <w:vAlign w:val="center"/>
          </w:tcPr>
          <w:p w14:paraId="476204D3" w14:textId="5E32A3C8"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0,7</w:t>
            </w:r>
          </w:p>
        </w:tc>
        <w:tc>
          <w:tcPr>
            <w:tcW w:w="850" w:type="dxa"/>
            <w:tcBorders>
              <w:top w:val="single" w:sz="4" w:space="0" w:color="auto"/>
              <w:left w:val="single" w:sz="4" w:space="0" w:color="auto"/>
              <w:bottom w:val="single" w:sz="4" w:space="0" w:color="auto"/>
              <w:right w:val="single" w:sz="4" w:space="0" w:color="auto"/>
            </w:tcBorders>
            <w:vAlign w:val="center"/>
          </w:tcPr>
          <w:p w14:paraId="4D3DC4F6" w14:textId="57C2272A"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0,02</w:t>
            </w:r>
          </w:p>
        </w:tc>
        <w:tc>
          <w:tcPr>
            <w:tcW w:w="943" w:type="dxa"/>
            <w:tcBorders>
              <w:top w:val="single" w:sz="4" w:space="0" w:color="auto"/>
              <w:left w:val="single" w:sz="4" w:space="0" w:color="auto"/>
              <w:bottom w:val="single" w:sz="4" w:space="0" w:color="auto"/>
              <w:right w:val="single" w:sz="4" w:space="0" w:color="auto"/>
            </w:tcBorders>
            <w:vAlign w:val="center"/>
          </w:tcPr>
          <w:p w14:paraId="55F0DB2A" w14:textId="4E656B98" w:rsidR="00A84276" w:rsidRPr="008149B5" w:rsidRDefault="00A84276" w:rsidP="00A84276">
            <w:pPr>
              <w:jc w:val="right"/>
              <w:rPr>
                <w:rFonts w:eastAsia="Times New Roman"/>
                <w:sz w:val="18"/>
                <w:szCs w:val="18"/>
                <w:lang w:eastAsia="hr-HR"/>
              </w:rPr>
            </w:pPr>
            <w:r w:rsidRPr="008149B5">
              <w:rPr>
                <w:rFonts w:eastAsia="Times New Roman"/>
                <w:sz w:val="18"/>
                <w:szCs w:val="18"/>
                <w:lang w:eastAsia="hr-HR"/>
              </w:rPr>
              <w:t>130,5</w:t>
            </w:r>
          </w:p>
        </w:tc>
        <w:tc>
          <w:tcPr>
            <w:tcW w:w="756" w:type="dxa"/>
            <w:tcBorders>
              <w:top w:val="single" w:sz="4" w:space="0" w:color="auto"/>
              <w:left w:val="single" w:sz="4" w:space="0" w:color="auto"/>
              <w:bottom w:val="single" w:sz="4" w:space="0" w:color="auto"/>
              <w:right w:val="single" w:sz="4" w:space="0" w:color="auto"/>
            </w:tcBorders>
            <w:vAlign w:val="center"/>
          </w:tcPr>
          <w:p w14:paraId="4C1BFDA5" w14:textId="23DD914B" w:rsidR="00A84276" w:rsidRPr="008149B5" w:rsidRDefault="00A84276" w:rsidP="00A84276">
            <w:pPr>
              <w:jc w:val="center"/>
              <w:rPr>
                <w:rFonts w:eastAsia="Times New Roman"/>
                <w:sz w:val="18"/>
                <w:szCs w:val="18"/>
                <w:lang w:eastAsia="hr-HR"/>
              </w:rPr>
            </w:pPr>
            <w:r w:rsidRPr="008149B5">
              <w:rPr>
                <w:rFonts w:eastAsia="Times New Roman"/>
                <w:sz w:val="18"/>
                <w:szCs w:val="18"/>
                <w:lang w:eastAsia="hr-HR"/>
              </w:rPr>
              <w:t>4,30</w:t>
            </w:r>
          </w:p>
        </w:tc>
      </w:tr>
      <w:tr w:rsidR="00C13BE0" w:rsidRPr="008149B5" w14:paraId="59D030B0"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AC54459" w14:textId="77777777" w:rsidR="00C13BE0" w:rsidRPr="008149B5" w:rsidRDefault="00C13BE0" w:rsidP="00C13BE0">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0CDBEDFD" w14:textId="77777777" w:rsidR="00C13BE0" w:rsidRPr="008149B5" w:rsidRDefault="00C13BE0" w:rsidP="00C13BE0">
            <w:pPr>
              <w:rPr>
                <w:sz w:val="18"/>
                <w:szCs w:val="18"/>
                <w:lang w:eastAsia="hr-HR"/>
              </w:rPr>
            </w:pPr>
            <w:r w:rsidRPr="008149B5">
              <w:rPr>
                <w:sz w:val="18"/>
                <w:szCs w:val="18"/>
                <w:lang w:eastAsia="hr-HR"/>
              </w:rPr>
              <w:t xml:space="preserve">- Sanacija i restrukturiranje </w:t>
            </w:r>
          </w:p>
        </w:tc>
        <w:tc>
          <w:tcPr>
            <w:tcW w:w="992" w:type="dxa"/>
            <w:tcBorders>
              <w:top w:val="single" w:sz="4" w:space="0" w:color="auto"/>
              <w:left w:val="nil"/>
              <w:bottom w:val="single" w:sz="4" w:space="0" w:color="auto"/>
              <w:right w:val="single" w:sz="4" w:space="0" w:color="auto"/>
            </w:tcBorders>
            <w:vAlign w:val="center"/>
          </w:tcPr>
          <w:p w14:paraId="37A6C7CC" w14:textId="754C5753" w:rsidR="00C13BE0" w:rsidRPr="00C13BE0" w:rsidRDefault="00C13BE0" w:rsidP="00C13BE0">
            <w:pPr>
              <w:jc w:val="right"/>
              <w:rPr>
                <w:rFonts w:eastAsia="Times New Roman"/>
                <w:sz w:val="18"/>
                <w:szCs w:val="18"/>
                <w:lang w:eastAsia="hr-HR"/>
              </w:rPr>
            </w:pPr>
            <w:r w:rsidRPr="00C13BE0">
              <w:rPr>
                <w:b/>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B7C6B31" w14:textId="2CE164CC" w:rsidR="00C13BE0" w:rsidRPr="008149B5" w:rsidRDefault="00C13BE0" w:rsidP="00C13BE0">
            <w:pPr>
              <w:jc w:val="center"/>
              <w:rPr>
                <w:rFonts w:eastAsia="Times New Roman"/>
                <w:sz w:val="18"/>
                <w:szCs w:val="18"/>
                <w:lang w:eastAsia="hr-HR"/>
              </w:rPr>
            </w:pPr>
            <w:r w:rsidRPr="00C13BE0">
              <w:rPr>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68164C" w14:textId="402FAF00" w:rsidR="00C13BE0" w:rsidRPr="008149B5" w:rsidRDefault="00C13BE0" w:rsidP="00C13BE0">
            <w:pPr>
              <w:jc w:val="right"/>
              <w:rPr>
                <w:rFonts w:eastAsia="Times New Roman"/>
                <w:sz w:val="18"/>
                <w:szCs w:val="18"/>
                <w:lang w:eastAsia="hr-HR"/>
              </w:rPr>
            </w:pPr>
            <w:r w:rsidRPr="00C13BE0">
              <w:rPr>
                <w:b/>
                <w:sz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79B2C45" w14:textId="1570EF7C" w:rsidR="00C13BE0" w:rsidRPr="008149B5" w:rsidRDefault="00C13BE0" w:rsidP="00C13BE0">
            <w:pPr>
              <w:jc w:val="center"/>
              <w:rPr>
                <w:rFonts w:eastAsia="Times New Roman"/>
                <w:sz w:val="18"/>
                <w:szCs w:val="18"/>
                <w:lang w:eastAsia="hr-HR"/>
              </w:rPr>
            </w:pPr>
            <w:r w:rsidRPr="00C13BE0">
              <w:rPr>
                <w:b/>
                <w:sz w:val="18"/>
              </w:rPr>
              <w:t>–</w:t>
            </w:r>
          </w:p>
        </w:tc>
        <w:tc>
          <w:tcPr>
            <w:tcW w:w="943" w:type="dxa"/>
            <w:tcBorders>
              <w:top w:val="single" w:sz="4" w:space="0" w:color="auto"/>
              <w:left w:val="single" w:sz="4" w:space="0" w:color="auto"/>
              <w:bottom w:val="single" w:sz="4" w:space="0" w:color="auto"/>
              <w:right w:val="single" w:sz="4" w:space="0" w:color="auto"/>
            </w:tcBorders>
            <w:vAlign w:val="center"/>
          </w:tcPr>
          <w:p w14:paraId="77FDA3E2" w14:textId="208E631E" w:rsidR="00C13BE0" w:rsidRPr="008149B5" w:rsidRDefault="00C13BE0" w:rsidP="00C13BE0">
            <w:pPr>
              <w:jc w:val="right"/>
              <w:rPr>
                <w:rFonts w:eastAsia="Times New Roman"/>
                <w:sz w:val="18"/>
                <w:szCs w:val="18"/>
                <w:lang w:eastAsia="hr-HR"/>
              </w:rPr>
            </w:pPr>
            <w:r w:rsidRPr="008149B5">
              <w:rPr>
                <w:rFonts w:eastAsia="Times New Roman"/>
                <w:sz w:val="18"/>
                <w:szCs w:val="18"/>
                <w:lang w:eastAsia="hr-HR"/>
              </w:rPr>
              <w:t>9,0</w:t>
            </w:r>
          </w:p>
        </w:tc>
        <w:tc>
          <w:tcPr>
            <w:tcW w:w="756" w:type="dxa"/>
            <w:tcBorders>
              <w:top w:val="single" w:sz="4" w:space="0" w:color="auto"/>
              <w:left w:val="single" w:sz="4" w:space="0" w:color="auto"/>
              <w:bottom w:val="single" w:sz="4" w:space="0" w:color="auto"/>
              <w:right w:val="single" w:sz="4" w:space="0" w:color="auto"/>
            </w:tcBorders>
            <w:vAlign w:val="center"/>
          </w:tcPr>
          <w:p w14:paraId="3A77158E" w14:textId="117D312B" w:rsidR="00C13BE0" w:rsidRPr="008149B5" w:rsidRDefault="00C13BE0" w:rsidP="00C13BE0">
            <w:pPr>
              <w:jc w:val="center"/>
              <w:rPr>
                <w:rFonts w:eastAsia="Times New Roman"/>
                <w:sz w:val="18"/>
                <w:szCs w:val="18"/>
                <w:lang w:eastAsia="hr-HR"/>
              </w:rPr>
            </w:pPr>
            <w:r w:rsidRPr="008149B5">
              <w:rPr>
                <w:rFonts w:eastAsia="Times New Roman"/>
                <w:sz w:val="18"/>
                <w:szCs w:val="18"/>
                <w:lang w:eastAsia="hr-HR"/>
              </w:rPr>
              <w:t>0,30</w:t>
            </w:r>
          </w:p>
        </w:tc>
      </w:tr>
      <w:tr w:rsidR="00C13BE0" w:rsidRPr="008149B5" w14:paraId="66059884" w14:textId="77777777" w:rsidTr="00A84276">
        <w:trPr>
          <w:trHeight w:val="6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E8AE46" w14:textId="77777777" w:rsidR="00C13BE0" w:rsidRPr="008149B5" w:rsidRDefault="00C13BE0" w:rsidP="00C13BE0">
            <w:pPr>
              <w:jc w:val="both"/>
              <w:rPr>
                <w:sz w:val="18"/>
                <w:szCs w:val="18"/>
                <w:lang w:eastAsia="hr-HR"/>
              </w:rPr>
            </w:pPr>
            <w:r w:rsidRPr="008149B5">
              <w:rPr>
                <w:sz w:val="18"/>
                <w:szCs w:val="18"/>
                <w:lang w:eastAsia="hr-HR"/>
              </w:rPr>
              <w:t> </w:t>
            </w:r>
          </w:p>
        </w:tc>
        <w:tc>
          <w:tcPr>
            <w:tcW w:w="3297" w:type="dxa"/>
            <w:tcBorders>
              <w:top w:val="nil"/>
              <w:left w:val="nil"/>
              <w:bottom w:val="single" w:sz="4" w:space="0" w:color="auto"/>
              <w:right w:val="single" w:sz="4" w:space="0" w:color="auto"/>
            </w:tcBorders>
            <w:shd w:val="clear" w:color="auto" w:fill="auto"/>
            <w:noWrap/>
            <w:vAlign w:val="center"/>
            <w:hideMark/>
          </w:tcPr>
          <w:p w14:paraId="53728134" w14:textId="77777777" w:rsidR="00C13BE0" w:rsidRPr="008149B5" w:rsidRDefault="00C13BE0" w:rsidP="00C13BE0">
            <w:pPr>
              <w:rPr>
                <w:sz w:val="18"/>
                <w:szCs w:val="18"/>
                <w:lang w:eastAsia="hr-HR"/>
              </w:rPr>
            </w:pPr>
            <w:r w:rsidRPr="008149B5">
              <w:rPr>
                <w:sz w:val="18"/>
                <w:szCs w:val="18"/>
                <w:lang w:eastAsia="hr-HR"/>
              </w:rPr>
              <w:t xml:space="preserve">- Radiotelevizijsko emitiranje </w:t>
            </w:r>
            <w:r w:rsidRPr="008149B5">
              <w:rPr>
                <w:sz w:val="18"/>
                <w:szCs w:val="18"/>
              </w:rPr>
              <w:t>i audiovizualna industrija</w:t>
            </w:r>
          </w:p>
        </w:tc>
        <w:tc>
          <w:tcPr>
            <w:tcW w:w="992" w:type="dxa"/>
            <w:tcBorders>
              <w:top w:val="single" w:sz="4" w:space="0" w:color="auto"/>
              <w:left w:val="nil"/>
              <w:bottom w:val="single" w:sz="4" w:space="0" w:color="auto"/>
              <w:right w:val="single" w:sz="4" w:space="0" w:color="auto"/>
            </w:tcBorders>
            <w:vAlign w:val="center"/>
          </w:tcPr>
          <w:p w14:paraId="37014219" w14:textId="0AD40C1A" w:rsidR="00C13BE0" w:rsidRPr="008149B5" w:rsidRDefault="00C13BE0" w:rsidP="00C13BE0">
            <w:pPr>
              <w:jc w:val="right"/>
              <w:rPr>
                <w:rFonts w:eastAsia="Times New Roman"/>
                <w:sz w:val="18"/>
                <w:szCs w:val="18"/>
                <w:lang w:eastAsia="hr-HR"/>
              </w:rPr>
            </w:pPr>
            <w:r w:rsidRPr="008149B5">
              <w:rPr>
                <w:rFonts w:eastAsia="Times New Roman"/>
                <w:sz w:val="18"/>
                <w:szCs w:val="18"/>
                <w:lang w:eastAsia="hr-HR"/>
              </w:rPr>
              <w:t>153,9</w:t>
            </w:r>
          </w:p>
        </w:tc>
        <w:tc>
          <w:tcPr>
            <w:tcW w:w="851" w:type="dxa"/>
            <w:tcBorders>
              <w:top w:val="single" w:sz="4" w:space="0" w:color="auto"/>
              <w:left w:val="single" w:sz="4" w:space="0" w:color="auto"/>
              <w:bottom w:val="single" w:sz="4" w:space="0" w:color="auto"/>
              <w:right w:val="single" w:sz="4" w:space="0" w:color="auto"/>
            </w:tcBorders>
            <w:vAlign w:val="center"/>
          </w:tcPr>
          <w:p w14:paraId="0AD3F741" w14:textId="03E0EDE2" w:rsidR="00C13BE0" w:rsidRPr="008149B5" w:rsidRDefault="00C13BE0" w:rsidP="00C13BE0">
            <w:pPr>
              <w:jc w:val="center"/>
              <w:rPr>
                <w:rFonts w:eastAsia="Times New Roman"/>
                <w:sz w:val="18"/>
                <w:szCs w:val="18"/>
                <w:lang w:eastAsia="hr-HR"/>
              </w:rPr>
            </w:pPr>
            <w:r w:rsidRPr="008149B5">
              <w:rPr>
                <w:rFonts w:eastAsia="Times New Roman"/>
                <w:sz w:val="18"/>
                <w:szCs w:val="18"/>
                <w:lang w:eastAsia="hr-HR"/>
              </w:rPr>
              <w:t>5,23</w:t>
            </w:r>
          </w:p>
        </w:tc>
        <w:tc>
          <w:tcPr>
            <w:tcW w:w="992" w:type="dxa"/>
            <w:tcBorders>
              <w:top w:val="single" w:sz="4" w:space="0" w:color="auto"/>
              <w:left w:val="single" w:sz="4" w:space="0" w:color="auto"/>
              <w:bottom w:val="single" w:sz="4" w:space="0" w:color="auto"/>
              <w:right w:val="single" w:sz="4" w:space="0" w:color="auto"/>
            </w:tcBorders>
            <w:vAlign w:val="center"/>
          </w:tcPr>
          <w:p w14:paraId="5BDCAF50" w14:textId="67129F90" w:rsidR="00C13BE0" w:rsidRPr="008149B5" w:rsidRDefault="00C13BE0" w:rsidP="00C13BE0">
            <w:pPr>
              <w:jc w:val="right"/>
              <w:rPr>
                <w:rFonts w:eastAsia="Times New Roman"/>
                <w:sz w:val="18"/>
                <w:szCs w:val="18"/>
                <w:lang w:eastAsia="hr-HR"/>
              </w:rPr>
            </w:pPr>
            <w:r w:rsidRPr="008149B5">
              <w:rPr>
                <w:rFonts w:eastAsia="Times New Roman"/>
                <w:sz w:val="18"/>
                <w:szCs w:val="18"/>
                <w:lang w:eastAsia="hr-HR"/>
              </w:rPr>
              <w:t>153,2</w:t>
            </w:r>
          </w:p>
        </w:tc>
        <w:tc>
          <w:tcPr>
            <w:tcW w:w="850" w:type="dxa"/>
            <w:tcBorders>
              <w:top w:val="single" w:sz="4" w:space="0" w:color="auto"/>
              <w:left w:val="single" w:sz="4" w:space="0" w:color="auto"/>
              <w:bottom w:val="single" w:sz="4" w:space="0" w:color="auto"/>
              <w:right w:val="single" w:sz="4" w:space="0" w:color="auto"/>
            </w:tcBorders>
            <w:vAlign w:val="center"/>
          </w:tcPr>
          <w:p w14:paraId="13662B6B" w14:textId="50803473" w:rsidR="00C13BE0" w:rsidRPr="008149B5" w:rsidRDefault="00C13BE0" w:rsidP="00C13BE0">
            <w:pPr>
              <w:jc w:val="center"/>
              <w:rPr>
                <w:rFonts w:eastAsia="Times New Roman"/>
                <w:sz w:val="18"/>
                <w:szCs w:val="18"/>
                <w:lang w:eastAsia="hr-HR"/>
              </w:rPr>
            </w:pPr>
            <w:r w:rsidRPr="008149B5">
              <w:rPr>
                <w:rFonts w:eastAsia="Times New Roman"/>
                <w:sz w:val="18"/>
                <w:szCs w:val="18"/>
                <w:lang w:eastAsia="hr-HR"/>
              </w:rPr>
              <w:t>5,08</w:t>
            </w:r>
          </w:p>
        </w:tc>
        <w:tc>
          <w:tcPr>
            <w:tcW w:w="943" w:type="dxa"/>
            <w:tcBorders>
              <w:top w:val="single" w:sz="4" w:space="0" w:color="auto"/>
              <w:left w:val="single" w:sz="4" w:space="0" w:color="auto"/>
              <w:bottom w:val="single" w:sz="4" w:space="0" w:color="auto"/>
              <w:right w:val="single" w:sz="4" w:space="0" w:color="auto"/>
            </w:tcBorders>
            <w:vAlign w:val="center"/>
          </w:tcPr>
          <w:p w14:paraId="0202A05E" w14:textId="6168F126" w:rsidR="00C13BE0" w:rsidRPr="008149B5" w:rsidRDefault="00C13BE0" w:rsidP="00C13BE0">
            <w:pPr>
              <w:jc w:val="right"/>
              <w:rPr>
                <w:rFonts w:eastAsia="Times New Roman"/>
                <w:sz w:val="18"/>
                <w:szCs w:val="18"/>
                <w:lang w:eastAsia="hr-HR"/>
              </w:rPr>
            </w:pPr>
            <w:r w:rsidRPr="008149B5">
              <w:rPr>
                <w:rFonts w:eastAsia="Times New Roman"/>
                <w:sz w:val="18"/>
                <w:szCs w:val="18"/>
                <w:lang w:eastAsia="hr-HR"/>
              </w:rPr>
              <w:t>153,9</w:t>
            </w:r>
          </w:p>
        </w:tc>
        <w:tc>
          <w:tcPr>
            <w:tcW w:w="756" w:type="dxa"/>
            <w:tcBorders>
              <w:top w:val="single" w:sz="4" w:space="0" w:color="auto"/>
              <w:left w:val="single" w:sz="4" w:space="0" w:color="auto"/>
              <w:bottom w:val="single" w:sz="4" w:space="0" w:color="auto"/>
              <w:right w:val="single" w:sz="4" w:space="0" w:color="auto"/>
            </w:tcBorders>
            <w:vAlign w:val="center"/>
          </w:tcPr>
          <w:p w14:paraId="00A3CCBA" w14:textId="11F822B0" w:rsidR="00C13BE0" w:rsidRPr="008149B5" w:rsidRDefault="00C13BE0" w:rsidP="00C13BE0">
            <w:pPr>
              <w:jc w:val="center"/>
              <w:rPr>
                <w:rFonts w:eastAsia="Times New Roman"/>
                <w:sz w:val="18"/>
                <w:szCs w:val="18"/>
                <w:lang w:eastAsia="hr-HR"/>
              </w:rPr>
            </w:pPr>
            <w:r w:rsidRPr="008149B5">
              <w:rPr>
                <w:rFonts w:eastAsia="Times New Roman"/>
                <w:sz w:val="18"/>
                <w:szCs w:val="18"/>
                <w:lang w:eastAsia="hr-HR"/>
              </w:rPr>
              <w:t>5,07</w:t>
            </w:r>
          </w:p>
        </w:tc>
      </w:tr>
      <w:tr w:rsidR="00C13BE0" w:rsidRPr="008149B5" w14:paraId="0353F402" w14:textId="77777777" w:rsidTr="00A84276">
        <w:trPr>
          <w:trHeight w:val="60"/>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FB8EC25" w14:textId="77777777" w:rsidR="00C13BE0" w:rsidRPr="008149B5" w:rsidRDefault="00C13BE0" w:rsidP="00C13BE0">
            <w:pPr>
              <w:jc w:val="both"/>
              <w:rPr>
                <w:sz w:val="18"/>
                <w:szCs w:val="18"/>
                <w:lang w:eastAsia="hr-HR"/>
              </w:rPr>
            </w:pPr>
          </w:p>
        </w:tc>
        <w:tc>
          <w:tcPr>
            <w:tcW w:w="3297" w:type="dxa"/>
            <w:tcBorders>
              <w:top w:val="nil"/>
              <w:left w:val="nil"/>
              <w:bottom w:val="single" w:sz="4" w:space="0" w:color="auto"/>
              <w:right w:val="single" w:sz="4" w:space="0" w:color="auto"/>
            </w:tcBorders>
            <w:shd w:val="clear" w:color="auto" w:fill="auto"/>
            <w:noWrap/>
            <w:vAlign w:val="center"/>
          </w:tcPr>
          <w:p w14:paraId="744852BB" w14:textId="77777777" w:rsidR="00C13BE0" w:rsidRPr="008149B5" w:rsidRDefault="00C13BE0" w:rsidP="00C13BE0">
            <w:pPr>
              <w:rPr>
                <w:sz w:val="18"/>
                <w:szCs w:val="18"/>
                <w:lang w:eastAsia="hr-HR"/>
              </w:rPr>
            </w:pPr>
            <w:r w:rsidRPr="008149B5">
              <w:rPr>
                <w:sz w:val="18"/>
                <w:szCs w:val="18"/>
                <w:lang w:eastAsia="hr-HR"/>
              </w:rPr>
              <w:t xml:space="preserve">- </w:t>
            </w:r>
            <w:r w:rsidRPr="008149B5">
              <w:rPr>
                <w:rFonts w:eastAsia="Times New Roman"/>
                <w:sz w:val="18"/>
                <w:szCs w:val="18"/>
              </w:rPr>
              <w:t>Razvoj širokopojasnih mreža</w:t>
            </w:r>
          </w:p>
        </w:tc>
        <w:tc>
          <w:tcPr>
            <w:tcW w:w="992" w:type="dxa"/>
            <w:tcBorders>
              <w:top w:val="single" w:sz="4" w:space="0" w:color="auto"/>
              <w:left w:val="nil"/>
              <w:bottom w:val="single" w:sz="4" w:space="0" w:color="auto"/>
              <w:right w:val="single" w:sz="4" w:space="0" w:color="auto"/>
            </w:tcBorders>
            <w:vAlign w:val="center"/>
          </w:tcPr>
          <w:p w14:paraId="4116E992" w14:textId="1F09EF7E" w:rsidR="00C13BE0" w:rsidRPr="008149B5" w:rsidRDefault="00C13BE0" w:rsidP="00C13BE0">
            <w:pPr>
              <w:jc w:val="right"/>
              <w:rPr>
                <w:rFonts w:eastAsia="Times New Roman"/>
                <w:sz w:val="18"/>
                <w:szCs w:val="18"/>
                <w:lang w:eastAsia="hr-HR"/>
              </w:rPr>
            </w:pPr>
            <w:r w:rsidRPr="00C13BE0">
              <w:rPr>
                <w:b/>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B837A06" w14:textId="2B268D5B" w:rsidR="00C13BE0" w:rsidRPr="008149B5" w:rsidRDefault="00C13BE0" w:rsidP="00C13BE0">
            <w:pPr>
              <w:jc w:val="center"/>
              <w:rPr>
                <w:rFonts w:eastAsia="Times New Roman"/>
                <w:sz w:val="18"/>
                <w:szCs w:val="18"/>
                <w:lang w:eastAsia="hr-HR"/>
              </w:rPr>
            </w:pPr>
            <w:r w:rsidRPr="00C13BE0">
              <w:rPr>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44E939D" w14:textId="4C9CDAAA" w:rsidR="00C13BE0" w:rsidRPr="008149B5" w:rsidRDefault="00C13BE0" w:rsidP="00C13BE0">
            <w:pPr>
              <w:jc w:val="right"/>
              <w:rPr>
                <w:rFonts w:eastAsia="Times New Roman"/>
                <w:sz w:val="18"/>
                <w:szCs w:val="18"/>
                <w:lang w:eastAsia="hr-HR"/>
              </w:rPr>
            </w:pPr>
            <w:r w:rsidRPr="00C13BE0">
              <w:rPr>
                <w:b/>
                <w:sz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646B88E" w14:textId="432B4022" w:rsidR="00C13BE0" w:rsidRPr="008149B5" w:rsidRDefault="00C13BE0" w:rsidP="00C13BE0">
            <w:pPr>
              <w:jc w:val="center"/>
              <w:rPr>
                <w:rFonts w:eastAsia="Times New Roman"/>
                <w:sz w:val="18"/>
                <w:szCs w:val="18"/>
                <w:lang w:eastAsia="hr-HR"/>
              </w:rPr>
            </w:pPr>
            <w:r w:rsidRPr="00C13BE0">
              <w:rPr>
                <w:b/>
                <w:sz w:val="18"/>
              </w:rPr>
              <w:t>–</w:t>
            </w:r>
          </w:p>
        </w:tc>
        <w:tc>
          <w:tcPr>
            <w:tcW w:w="943" w:type="dxa"/>
            <w:tcBorders>
              <w:top w:val="single" w:sz="4" w:space="0" w:color="auto"/>
              <w:left w:val="single" w:sz="4" w:space="0" w:color="auto"/>
              <w:bottom w:val="single" w:sz="4" w:space="0" w:color="auto"/>
              <w:right w:val="single" w:sz="4" w:space="0" w:color="auto"/>
            </w:tcBorders>
            <w:vAlign w:val="center"/>
          </w:tcPr>
          <w:p w14:paraId="540A7819" w14:textId="2B1A40FC" w:rsidR="00C13BE0" w:rsidRPr="008149B5" w:rsidRDefault="00C13BE0" w:rsidP="00C13BE0">
            <w:pPr>
              <w:jc w:val="right"/>
              <w:rPr>
                <w:rFonts w:eastAsia="Times New Roman"/>
                <w:sz w:val="18"/>
                <w:szCs w:val="18"/>
                <w:lang w:eastAsia="hr-HR"/>
              </w:rPr>
            </w:pPr>
            <w:r w:rsidRPr="008149B5">
              <w:rPr>
                <w:rFonts w:eastAsia="Times New Roman"/>
                <w:sz w:val="18"/>
                <w:szCs w:val="18"/>
                <w:lang w:eastAsia="hr-HR"/>
              </w:rPr>
              <w:t>5,8</w:t>
            </w:r>
          </w:p>
        </w:tc>
        <w:tc>
          <w:tcPr>
            <w:tcW w:w="756" w:type="dxa"/>
            <w:tcBorders>
              <w:top w:val="single" w:sz="4" w:space="0" w:color="auto"/>
              <w:left w:val="single" w:sz="4" w:space="0" w:color="auto"/>
              <w:bottom w:val="single" w:sz="4" w:space="0" w:color="auto"/>
              <w:right w:val="single" w:sz="4" w:space="0" w:color="auto"/>
            </w:tcBorders>
            <w:vAlign w:val="center"/>
          </w:tcPr>
          <w:p w14:paraId="214DEB9A" w14:textId="293BCF4D" w:rsidR="00C13BE0" w:rsidRPr="008149B5" w:rsidRDefault="00C13BE0" w:rsidP="00C13BE0">
            <w:pPr>
              <w:jc w:val="center"/>
              <w:rPr>
                <w:rFonts w:eastAsia="Times New Roman"/>
                <w:sz w:val="18"/>
                <w:szCs w:val="18"/>
                <w:lang w:eastAsia="hr-HR"/>
              </w:rPr>
            </w:pPr>
            <w:r w:rsidRPr="008149B5">
              <w:rPr>
                <w:rFonts w:eastAsia="Times New Roman"/>
                <w:sz w:val="18"/>
                <w:szCs w:val="18"/>
                <w:lang w:eastAsia="hr-HR"/>
              </w:rPr>
              <w:t>0,19</w:t>
            </w:r>
          </w:p>
        </w:tc>
      </w:tr>
      <w:tr w:rsidR="00C13BE0" w:rsidRPr="008149B5" w14:paraId="5DCC4F10" w14:textId="77777777" w:rsidTr="00A84276">
        <w:trPr>
          <w:trHeight w:val="3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6C49F7B" w14:textId="77777777" w:rsidR="00C13BE0" w:rsidRPr="008149B5" w:rsidRDefault="00C13BE0" w:rsidP="00C13BE0">
            <w:pPr>
              <w:jc w:val="both"/>
              <w:rPr>
                <w:b/>
                <w:bCs/>
                <w:sz w:val="18"/>
                <w:szCs w:val="18"/>
                <w:lang w:eastAsia="hr-HR"/>
              </w:rPr>
            </w:pPr>
            <w:r w:rsidRPr="008149B5">
              <w:rPr>
                <w:b/>
                <w:bCs/>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002718B7" w14:textId="77777777" w:rsidR="00C13BE0" w:rsidRPr="008149B5" w:rsidRDefault="00C13BE0" w:rsidP="00C13BE0">
            <w:pPr>
              <w:rPr>
                <w:b/>
                <w:bCs/>
                <w:i/>
                <w:iCs/>
                <w:sz w:val="18"/>
                <w:szCs w:val="18"/>
                <w:lang w:eastAsia="hr-HR"/>
              </w:rPr>
            </w:pPr>
            <w:r w:rsidRPr="008149B5">
              <w:rPr>
                <w:b/>
                <w:bCs/>
                <w:i/>
                <w:iCs/>
                <w:sz w:val="18"/>
                <w:szCs w:val="18"/>
                <w:lang w:eastAsia="hr-HR"/>
              </w:rPr>
              <w:t>Regionalne potpore</w:t>
            </w:r>
          </w:p>
        </w:tc>
        <w:tc>
          <w:tcPr>
            <w:tcW w:w="992" w:type="dxa"/>
            <w:tcBorders>
              <w:top w:val="single" w:sz="4" w:space="0" w:color="auto"/>
              <w:left w:val="nil"/>
              <w:bottom w:val="single" w:sz="4" w:space="0" w:color="auto"/>
              <w:right w:val="single" w:sz="4" w:space="0" w:color="auto"/>
            </w:tcBorders>
            <w:vAlign w:val="center"/>
          </w:tcPr>
          <w:p w14:paraId="7CCE50DC" w14:textId="7DBA6FEE"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85,6</w:t>
            </w:r>
          </w:p>
        </w:tc>
        <w:tc>
          <w:tcPr>
            <w:tcW w:w="851" w:type="dxa"/>
            <w:tcBorders>
              <w:top w:val="single" w:sz="4" w:space="0" w:color="auto"/>
              <w:left w:val="single" w:sz="4" w:space="0" w:color="auto"/>
              <w:bottom w:val="single" w:sz="4" w:space="0" w:color="auto"/>
              <w:right w:val="single" w:sz="4" w:space="0" w:color="auto"/>
            </w:tcBorders>
            <w:vAlign w:val="center"/>
          </w:tcPr>
          <w:p w14:paraId="186F22CC" w14:textId="7464FF9C"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2,91</w:t>
            </w:r>
          </w:p>
        </w:tc>
        <w:tc>
          <w:tcPr>
            <w:tcW w:w="992" w:type="dxa"/>
            <w:tcBorders>
              <w:top w:val="single" w:sz="4" w:space="0" w:color="auto"/>
              <w:left w:val="single" w:sz="4" w:space="0" w:color="auto"/>
              <w:bottom w:val="single" w:sz="4" w:space="0" w:color="auto"/>
              <w:right w:val="single" w:sz="4" w:space="0" w:color="auto"/>
            </w:tcBorders>
            <w:vAlign w:val="center"/>
          </w:tcPr>
          <w:p w14:paraId="2C8AA8D2" w14:textId="61AEF124"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107,0</w:t>
            </w:r>
          </w:p>
        </w:tc>
        <w:tc>
          <w:tcPr>
            <w:tcW w:w="850" w:type="dxa"/>
            <w:tcBorders>
              <w:top w:val="single" w:sz="4" w:space="0" w:color="auto"/>
              <w:left w:val="single" w:sz="4" w:space="0" w:color="auto"/>
              <w:bottom w:val="single" w:sz="4" w:space="0" w:color="auto"/>
              <w:right w:val="single" w:sz="4" w:space="0" w:color="auto"/>
            </w:tcBorders>
            <w:vAlign w:val="center"/>
          </w:tcPr>
          <w:p w14:paraId="645FC9FA" w14:textId="0F65DA75"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3,55</w:t>
            </w:r>
          </w:p>
        </w:tc>
        <w:tc>
          <w:tcPr>
            <w:tcW w:w="943" w:type="dxa"/>
            <w:tcBorders>
              <w:top w:val="single" w:sz="4" w:space="0" w:color="auto"/>
              <w:left w:val="single" w:sz="4" w:space="0" w:color="auto"/>
              <w:bottom w:val="single" w:sz="4" w:space="0" w:color="auto"/>
              <w:right w:val="single" w:sz="4" w:space="0" w:color="auto"/>
            </w:tcBorders>
            <w:vAlign w:val="center"/>
          </w:tcPr>
          <w:p w14:paraId="25FF1AC1" w14:textId="517A6EF4"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148,2</w:t>
            </w:r>
          </w:p>
        </w:tc>
        <w:tc>
          <w:tcPr>
            <w:tcW w:w="756" w:type="dxa"/>
            <w:tcBorders>
              <w:top w:val="single" w:sz="4" w:space="0" w:color="auto"/>
              <w:left w:val="single" w:sz="4" w:space="0" w:color="auto"/>
              <w:bottom w:val="single" w:sz="4" w:space="0" w:color="auto"/>
              <w:right w:val="single" w:sz="4" w:space="0" w:color="auto"/>
            </w:tcBorders>
            <w:vAlign w:val="center"/>
          </w:tcPr>
          <w:p w14:paraId="4CC96B80" w14:textId="60FF662C"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4,88</w:t>
            </w:r>
          </w:p>
        </w:tc>
      </w:tr>
      <w:tr w:rsidR="00C13BE0" w:rsidRPr="008149B5" w14:paraId="60B4D706" w14:textId="77777777" w:rsidTr="00A84276">
        <w:trPr>
          <w:trHeight w:val="9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2020DA1" w14:textId="77777777" w:rsidR="00C13BE0" w:rsidRPr="008149B5" w:rsidRDefault="00C13BE0" w:rsidP="00C13BE0">
            <w:pPr>
              <w:jc w:val="both"/>
              <w:rPr>
                <w:b/>
                <w:bCs/>
                <w:sz w:val="18"/>
                <w:szCs w:val="18"/>
                <w:lang w:eastAsia="hr-HR"/>
              </w:rPr>
            </w:pPr>
            <w:r w:rsidRPr="008149B5">
              <w:rPr>
                <w:b/>
                <w:bCs/>
                <w:sz w:val="18"/>
                <w:szCs w:val="18"/>
                <w:lang w:eastAsia="hr-HR"/>
              </w:rPr>
              <w:t> </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23D193C9" w14:textId="77777777" w:rsidR="00C13BE0" w:rsidRPr="008149B5" w:rsidRDefault="00C13BE0" w:rsidP="00C13BE0">
            <w:pPr>
              <w:rPr>
                <w:b/>
                <w:bCs/>
                <w:i/>
                <w:iCs/>
                <w:sz w:val="18"/>
                <w:szCs w:val="18"/>
                <w:lang w:eastAsia="hr-HR"/>
              </w:rPr>
            </w:pPr>
            <w:r w:rsidRPr="008149B5">
              <w:rPr>
                <w:b/>
                <w:bCs/>
                <w:i/>
                <w:iCs/>
                <w:sz w:val="18"/>
                <w:szCs w:val="18"/>
                <w:lang w:eastAsia="hr-HR"/>
              </w:rPr>
              <w:t>Potpore na lokalnoj razini</w:t>
            </w:r>
          </w:p>
        </w:tc>
        <w:tc>
          <w:tcPr>
            <w:tcW w:w="992" w:type="dxa"/>
            <w:tcBorders>
              <w:top w:val="single" w:sz="4" w:space="0" w:color="auto"/>
              <w:left w:val="nil"/>
              <w:bottom w:val="single" w:sz="4" w:space="0" w:color="auto"/>
              <w:right w:val="single" w:sz="4" w:space="0" w:color="auto"/>
            </w:tcBorders>
            <w:vAlign w:val="center"/>
          </w:tcPr>
          <w:p w14:paraId="4D3F9E55" w14:textId="40FF9687"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123,9</w:t>
            </w:r>
          </w:p>
        </w:tc>
        <w:tc>
          <w:tcPr>
            <w:tcW w:w="851" w:type="dxa"/>
            <w:tcBorders>
              <w:top w:val="single" w:sz="4" w:space="0" w:color="auto"/>
              <w:left w:val="single" w:sz="4" w:space="0" w:color="auto"/>
              <w:bottom w:val="single" w:sz="4" w:space="0" w:color="auto"/>
              <w:right w:val="single" w:sz="4" w:space="0" w:color="auto"/>
            </w:tcBorders>
            <w:vAlign w:val="center"/>
          </w:tcPr>
          <w:p w14:paraId="02241042" w14:textId="283E8C24"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4,22</w:t>
            </w:r>
          </w:p>
        </w:tc>
        <w:tc>
          <w:tcPr>
            <w:tcW w:w="992" w:type="dxa"/>
            <w:tcBorders>
              <w:top w:val="single" w:sz="4" w:space="0" w:color="auto"/>
              <w:left w:val="single" w:sz="4" w:space="0" w:color="auto"/>
              <w:bottom w:val="single" w:sz="4" w:space="0" w:color="auto"/>
              <w:right w:val="single" w:sz="4" w:space="0" w:color="auto"/>
            </w:tcBorders>
            <w:vAlign w:val="center"/>
          </w:tcPr>
          <w:p w14:paraId="38C84901" w14:textId="0293056B"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120,8</w:t>
            </w:r>
          </w:p>
        </w:tc>
        <w:tc>
          <w:tcPr>
            <w:tcW w:w="850" w:type="dxa"/>
            <w:tcBorders>
              <w:top w:val="single" w:sz="4" w:space="0" w:color="auto"/>
              <w:left w:val="single" w:sz="4" w:space="0" w:color="auto"/>
              <w:bottom w:val="single" w:sz="4" w:space="0" w:color="auto"/>
              <w:right w:val="single" w:sz="4" w:space="0" w:color="auto"/>
            </w:tcBorders>
            <w:vAlign w:val="center"/>
          </w:tcPr>
          <w:p w14:paraId="772B2969" w14:textId="5D438028"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4,01</w:t>
            </w:r>
          </w:p>
        </w:tc>
        <w:tc>
          <w:tcPr>
            <w:tcW w:w="943" w:type="dxa"/>
            <w:tcBorders>
              <w:top w:val="single" w:sz="4" w:space="0" w:color="auto"/>
              <w:left w:val="single" w:sz="4" w:space="0" w:color="auto"/>
              <w:bottom w:val="single" w:sz="4" w:space="0" w:color="auto"/>
              <w:right w:val="single" w:sz="4" w:space="0" w:color="auto"/>
            </w:tcBorders>
            <w:vAlign w:val="center"/>
          </w:tcPr>
          <w:p w14:paraId="390BD783" w14:textId="019877C6"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146,4</w:t>
            </w:r>
          </w:p>
        </w:tc>
        <w:tc>
          <w:tcPr>
            <w:tcW w:w="756" w:type="dxa"/>
            <w:tcBorders>
              <w:top w:val="single" w:sz="4" w:space="0" w:color="auto"/>
              <w:left w:val="single" w:sz="4" w:space="0" w:color="auto"/>
              <w:bottom w:val="single" w:sz="4" w:space="0" w:color="auto"/>
              <w:right w:val="single" w:sz="4" w:space="0" w:color="auto"/>
            </w:tcBorders>
            <w:vAlign w:val="center"/>
          </w:tcPr>
          <w:p w14:paraId="08D77461" w14:textId="51378700"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4,82</w:t>
            </w:r>
          </w:p>
        </w:tc>
      </w:tr>
      <w:tr w:rsidR="00C13BE0" w:rsidRPr="008149B5" w14:paraId="0BA56D12" w14:textId="77777777" w:rsidTr="00A84276">
        <w:trPr>
          <w:trHeight w:val="98"/>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4A9DD0B" w14:textId="77777777" w:rsidR="00C13BE0" w:rsidRPr="008149B5" w:rsidRDefault="00C13BE0" w:rsidP="00C13BE0">
            <w:pPr>
              <w:jc w:val="both"/>
              <w:rPr>
                <w:b/>
                <w:bCs/>
                <w:sz w:val="18"/>
                <w:szCs w:val="18"/>
                <w:lang w:eastAsia="hr-HR"/>
              </w:rPr>
            </w:pPr>
          </w:p>
        </w:tc>
        <w:tc>
          <w:tcPr>
            <w:tcW w:w="3297" w:type="dxa"/>
            <w:tcBorders>
              <w:top w:val="single" w:sz="4" w:space="0" w:color="auto"/>
              <w:left w:val="nil"/>
              <w:bottom w:val="single" w:sz="4" w:space="0" w:color="auto"/>
              <w:right w:val="single" w:sz="4" w:space="0" w:color="auto"/>
            </w:tcBorders>
            <w:shd w:val="clear" w:color="auto" w:fill="auto"/>
            <w:vAlign w:val="center"/>
          </w:tcPr>
          <w:p w14:paraId="5391BCFF" w14:textId="106C32AD" w:rsidR="00C13BE0" w:rsidRPr="008149B5" w:rsidRDefault="00C13BE0" w:rsidP="00C13BE0">
            <w:pPr>
              <w:rPr>
                <w:b/>
                <w:bCs/>
                <w:i/>
                <w:iCs/>
                <w:sz w:val="18"/>
                <w:szCs w:val="18"/>
                <w:lang w:eastAsia="hr-HR"/>
              </w:rPr>
            </w:pPr>
            <w:r w:rsidRPr="008149B5">
              <w:rPr>
                <w:rFonts w:eastAsia="Times New Roman"/>
                <w:b/>
                <w:bCs/>
                <w:i/>
                <w:iCs/>
                <w:sz w:val="18"/>
                <w:szCs w:val="18"/>
              </w:rPr>
              <w:t>Potpore za suzbijanje učinaka COVID</w:t>
            </w:r>
            <w:r>
              <w:rPr>
                <w:rFonts w:eastAsia="Times New Roman"/>
                <w:b/>
                <w:bCs/>
                <w:i/>
                <w:iCs/>
                <w:sz w:val="18"/>
                <w:szCs w:val="18"/>
              </w:rPr>
              <w:t>-a i ruske agresije na Ukrajinu</w:t>
            </w:r>
          </w:p>
        </w:tc>
        <w:tc>
          <w:tcPr>
            <w:tcW w:w="992" w:type="dxa"/>
            <w:tcBorders>
              <w:top w:val="single" w:sz="4" w:space="0" w:color="auto"/>
              <w:left w:val="nil"/>
              <w:bottom w:val="single" w:sz="4" w:space="0" w:color="auto"/>
              <w:right w:val="single" w:sz="4" w:space="0" w:color="auto"/>
            </w:tcBorders>
            <w:vAlign w:val="center"/>
          </w:tcPr>
          <w:p w14:paraId="42DD7329" w14:textId="5A42DAF3"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854,5</w:t>
            </w:r>
          </w:p>
        </w:tc>
        <w:tc>
          <w:tcPr>
            <w:tcW w:w="851" w:type="dxa"/>
            <w:tcBorders>
              <w:top w:val="single" w:sz="4" w:space="0" w:color="auto"/>
              <w:left w:val="single" w:sz="4" w:space="0" w:color="auto"/>
              <w:bottom w:val="single" w:sz="4" w:space="0" w:color="auto"/>
              <w:right w:val="single" w:sz="4" w:space="0" w:color="auto"/>
            </w:tcBorders>
            <w:vAlign w:val="center"/>
          </w:tcPr>
          <w:p w14:paraId="0CAF49DE" w14:textId="51D67A50"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29,07</w:t>
            </w:r>
          </w:p>
        </w:tc>
        <w:tc>
          <w:tcPr>
            <w:tcW w:w="992" w:type="dxa"/>
            <w:tcBorders>
              <w:top w:val="single" w:sz="4" w:space="0" w:color="auto"/>
              <w:left w:val="single" w:sz="4" w:space="0" w:color="auto"/>
              <w:bottom w:val="single" w:sz="4" w:space="0" w:color="auto"/>
              <w:right w:val="single" w:sz="4" w:space="0" w:color="auto"/>
            </w:tcBorders>
            <w:vAlign w:val="center"/>
          </w:tcPr>
          <w:p w14:paraId="44DA65BF" w14:textId="2C1F2754"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1.110,2</w:t>
            </w:r>
          </w:p>
        </w:tc>
        <w:tc>
          <w:tcPr>
            <w:tcW w:w="850" w:type="dxa"/>
            <w:tcBorders>
              <w:top w:val="single" w:sz="4" w:space="0" w:color="auto"/>
              <w:left w:val="single" w:sz="4" w:space="0" w:color="auto"/>
              <w:bottom w:val="single" w:sz="4" w:space="0" w:color="auto"/>
              <w:right w:val="single" w:sz="4" w:space="0" w:color="auto"/>
            </w:tcBorders>
            <w:vAlign w:val="center"/>
          </w:tcPr>
          <w:p w14:paraId="3B58DF26" w14:textId="42349A4E"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36,82</w:t>
            </w:r>
          </w:p>
        </w:tc>
        <w:tc>
          <w:tcPr>
            <w:tcW w:w="943" w:type="dxa"/>
            <w:tcBorders>
              <w:top w:val="single" w:sz="4" w:space="0" w:color="auto"/>
              <w:left w:val="single" w:sz="4" w:space="0" w:color="auto"/>
              <w:bottom w:val="single" w:sz="4" w:space="0" w:color="auto"/>
              <w:right w:val="single" w:sz="4" w:space="0" w:color="auto"/>
            </w:tcBorders>
            <w:vAlign w:val="center"/>
          </w:tcPr>
          <w:p w14:paraId="3555F81F" w14:textId="7710858A"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556,6</w:t>
            </w:r>
          </w:p>
        </w:tc>
        <w:tc>
          <w:tcPr>
            <w:tcW w:w="756" w:type="dxa"/>
            <w:tcBorders>
              <w:top w:val="single" w:sz="4" w:space="0" w:color="auto"/>
              <w:left w:val="single" w:sz="4" w:space="0" w:color="auto"/>
              <w:bottom w:val="single" w:sz="4" w:space="0" w:color="auto"/>
              <w:right w:val="single" w:sz="4" w:space="0" w:color="auto"/>
            </w:tcBorders>
            <w:vAlign w:val="center"/>
          </w:tcPr>
          <w:p w14:paraId="0B059234" w14:textId="4FDFEBDA"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18,34</w:t>
            </w:r>
          </w:p>
        </w:tc>
      </w:tr>
      <w:tr w:rsidR="00C13BE0" w:rsidRPr="008149B5" w14:paraId="6D19630F" w14:textId="77777777" w:rsidTr="00A84276">
        <w:trPr>
          <w:trHeight w:val="102"/>
        </w:trPr>
        <w:tc>
          <w:tcPr>
            <w:tcW w:w="368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4561258" w14:textId="77777777" w:rsidR="00C13BE0" w:rsidRPr="008149B5" w:rsidRDefault="00C13BE0" w:rsidP="00C13BE0">
            <w:pPr>
              <w:jc w:val="both"/>
              <w:rPr>
                <w:b/>
                <w:bCs/>
                <w:sz w:val="18"/>
                <w:szCs w:val="18"/>
                <w:lang w:eastAsia="hr-HR"/>
              </w:rPr>
            </w:pPr>
            <w:r w:rsidRPr="008149B5">
              <w:rPr>
                <w:b/>
                <w:bCs/>
                <w:sz w:val="18"/>
                <w:szCs w:val="18"/>
                <w:lang w:eastAsia="hr-HR"/>
              </w:rPr>
              <w:t>UKUPNO</w:t>
            </w:r>
          </w:p>
        </w:tc>
        <w:tc>
          <w:tcPr>
            <w:tcW w:w="992" w:type="dxa"/>
            <w:tcBorders>
              <w:top w:val="single" w:sz="4" w:space="0" w:color="auto"/>
              <w:left w:val="nil"/>
              <w:bottom w:val="single" w:sz="4" w:space="0" w:color="auto"/>
              <w:right w:val="single" w:sz="4" w:space="0" w:color="auto"/>
            </w:tcBorders>
            <w:shd w:val="clear" w:color="000000" w:fill="FFFF99"/>
            <w:vAlign w:val="center"/>
          </w:tcPr>
          <w:p w14:paraId="0B42093A" w14:textId="0F709018"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2.939,7</w:t>
            </w:r>
          </w:p>
        </w:tc>
        <w:tc>
          <w:tcPr>
            <w:tcW w:w="851" w:type="dxa"/>
            <w:tcBorders>
              <w:top w:val="single" w:sz="4" w:space="0" w:color="auto"/>
              <w:left w:val="single" w:sz="4" w:space="0" w:color="auto"/>
              <w:bottom w:val="single" w:sz="4" w:space="0" w:color="auto"/>
              <w:right w:val="single" w:sz="4" w:space="0" w:color="auto"/>
            </w:tcBorders>
            <w:shd w:val="clear" w:color="000000" w:fill="FFFF99"/>
            <w:vAlign w:val="center"/>
          </w:tcPr>
          <w:p w14:paraId="242B1A03" w14:textId="4B9C719B"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100,00</w:t>
            </w:r>
          </w:p>
        </w:tc>
        <w:tc>
          <w:tcPr>
            <w:tcW w:w="992" w:type="dxa"/>
            <w:tcBorders>
              <w:top w:val="single" w:sz="4" w:space="0" w:color="auto"/>
              <w:left w:val="single" w:sz="4" w:space="0" w:color="auto"/>
              <w:bottom w:val="single" w:sz="4" w:space="0" w:color="auto"/>
              <w:right w:val="single" w:sz="4" w:space="0" w:color="auto"/>
            </w:tcBorders>
            <w:shd w:val="clear" w:color="000000" w:fill="FFFF99"/>
            <w:vAlign w:val="center"/>
          </w:tcPr>
          <w:p w14:paraId="4899BF92" w14:textId="6FAB227E"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3.015,0</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tcPr>
          <w:p w14:paraId="479AC55D" w14:textId="17C0E748"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100,00</w:t>
            </w:r>
          </w:p>
        </w:tc>
        <w:tc>
          <w:tcPr>
            <w:tcW w:w="943" w:type="dxa"/>
            <w:tcBorders>
              <w:top w:val="single" w:sz="4" w:space="0" w:color="auto"/>
              <w:left w:val="single" w:sz="4" w:space="0" w:color="auto"/>
              <w:bottom w:val="single" w:sz="4" w:space="0" w:color="auto"/>
              <w:right w:val="single" w:sz="4" w:space="0" w:color="auto"/>
            </w:tcBorders>
            <w:shd w:val="clear" w:color="000000" w:fill="FFFF99"/>
            <w:vAlign w:val="center"/>
          </w:tcPr>
          <w:p w14:paraId="698755FF" w14:textId="531EC950" w:rsidR="00C13BE0" w:rsidRPr="008149B5" w:rsidRDefault="00C13BE0" w:rsidP="00C13BE0">
            <w:pPr>
              <w:jc w:val="right"/>
              <w:rPr>
                <w:rFonts w:eastAsia="Times New Roman"/>
                <w:b/>
                <w:bCs/>
                <w:sz w:val="18"/>
                <w:szCs w:val="18"/>
                <w:lang w:eastAsia="hr-HR"/>
              </w:rPr>
            </w:pPr>
            <w:r w:rsidRPr="008149B5">
              <w:rPr>
                <w:rFonts w:eastAsia="Times New Roman"/>
                <w:b/>
                <w:bCs/>
                <w:sz w:val="18"/>
                <w:szCs w:val="18"/>
                <w:lang w:eastAsia="hr-HR"/>
              </w:rPr>
              <w:t>3.035,6</w:t>
            </w:r>
          </w:p>
        </w:tc>
        <w:tc>
          <w:tcPr>
            <w:tcW w:w="756" w:type="dxa"/>
            <w:tcBorders>
              <w:top w:val="single" w:sz="4" w:space="0" w:color="auto"/>
              <w:left w:val="single" w:sz="4" w:space="0" w:color="auto"/>
              <w:bottom w:val="single" w:sz="4" w:space="0" w:color="auto"/>
              <w:right w:val="single" w:sz="4" w:space="0" w:color="auto"/>
            </w:tcBorders>
            <w:shd w:val="clear" w:color="000000" w:fill="FFFF99"/>
            <w:vAlign w:val="center"/>
          </w:tcPr>
          <w:p w14:paraId="2C5687BF" w14:textId="709B799D" w:rsidR="00C13BE0" w:rsidRPr="008149B5" w:rsidRDefault="00C13BE0" w:rsidP="00C13BE0">
            <w:pPr>
              <w:jc w:val="center"/>
              <w:rPr>
                <w:rFonts w:eastAsia="Times New Roman"/>
                <w:b/>
                <w:bCs/>
                <w:sz w:val="18"/>
                <w:szCs w:val="18"/>
                <w:lang w:eastAsia="hr-HR"/>
              </w:rPr>
            </w:pPr>
            <w:r w:rsidRPr="008149B5">
              <w:rPr>
                <w:rFonts w:eastAsia="Times New Roman"/>
                <w:b/>
                <w:bCs/>
                <w:sz w:val="18"/>
                <w:szCs w:val="18"/>
                <w:lang w:eastAsia="hr-HR"/>
              </w:rPr>
              <w:t>100,00</w:t>
            </w:r>
          </w:p>
        </w:tc>
      </w:tr>
    </w:tbl>
    <w:p w14:paraId="01FA2EDD" w14:textId="77777777" w:rsidR="00FE2D9A" w:rsidRPr="008149B5" w:rsidRDefault="00FE2D9A" w:rsidP="00BE487D">
      <w:pPr>
        <w:contextualSpacing/>
        <w:jc w:val="both"/>
        <w:rPr>
          <w:i/>
          <w:sz w:val="20"/>
        </w:rPr>
      </w:pPr>
      <w:r w:rsidRPr="008149B5">
        <w:rPr>
          <w:i/>
          <w:sz w:val="20"/>
        </w:rPr>
        <w:t>Izvor: Ministarstvo financija i davatelji potpora; podaci obrađeni u Ministarstvu financija</w:t>
      </w:r>
    </w:p>
    <w:p w14:paraId="75674E85" w14:textId="77777777" w:rsidR="00C13BE0" w:rsidRDefault="00C13BE0" w:rsidP="00BE487D">
      <w:pPr>
        <w:jc w:val="both"/>
      </w:pPr>
    </w:p>
    <w:p w14:paraId="5AA39C3D" w14:textId="6F71A22B" w:rsidR="00E0274E" w:rsidRPr="007A4040" w:rsidRDefault="00FE2D9A" w:rsidP="00BE487D">
      <w:pPr>
        <w:jc w:val="both"/>
      </w:pPr>
      <w:r w:rsidRPr="007A4040">
        <w:t xml:space="preserve">Potpore sektoru poljoprivrede i ribarstva </w:t>
      </w:r>
      <w:r w:rsidR="002C7455" w:rsidRPr="007A4040">
        <w:t xml:space="preserve">dodijeljene </w:t>
      </w:r>
      <w:r w:rsidR="00A84276" w:rsidRPr="007A4040">
        <w:t>s</w:t>
      </w:r>
      <w:r w:rsidR="002C7455" w:rsidRPr="007A4040">
        <w:t xml:space="preserve">u </w:t>
      </w:r>
      <w:r w:rsidR="00A84276" w:rsidRPr="007A4040">
        <w:t xml:space="preserve">u </w:t>
      </w:r>
      <w:r w:rsidRPr="007A4040">
        <w:t>202</w:t>
      </w:r>
      <w:r w:rsidR="00A84276" w:rsidRPr="007A4040">
        <w:t>3</w:t>
      </w:r>
      <w:r w:rsidRPr="007A4040">
        <w:t>. godini</w:t>
      </w:r>
      <w:r w:rsidR="00A84276" w:rsidRPr="007A4040">
        <w:t xml:space="preserve"> u </w:t>
      </w:r>
      <w:r w:rsidR="00CB3EEA" w:rsidRPr="007A4040">
        <w:t>iznos</w:t>
      </w:r>
      <w:r w:rsidR="00A84276" w:rsidRPr="007A4040">
        <w:t>u od 1.068</w:t>
      </w:r>
      <w:r w:rsidR="00E0274E" w:rsidRPr="007A4040">
        <w:t xml:space="preserve"> </w:t>
      </w:r>
      <w:r w:rsidRPr="007A4040">
        <w:t xml:space="preserve">milijuna </w:t>
      </w:r>
      <w:r w:rsidR="00A84276" w:rsidRPr="007A4040">
        <w:t>eura</w:t>
      </w:r>
      <w:r w:rsidRPr="007A4040">
        <w:t xml:space="preserve">, što </w:t>
      </w:r>
      <w:r w:rsidR="00E0274E" w:rsidRPr="007A4040">
        <w:t>je</w:t>
      </w:r>
      <w:r w:rsidR="00CE3FA7" w:rsidRPr="007A4040">
        <w:t xml:space="preserve"> </w:t>
      </w:r>
      <w:r w:rsidR="00A84276" w:rsidRPr="007A4040">
        <w:t>povećanje</w:t>
      </w:r>
      <w:r w:rsidR="00CB3EEA" w:rsidRPr="007A4040">
        <w:t xml:space="preserve"> </w:t>
      </w:r>
      <w:r w:rsidRPr="007A4040">
        <w:t xml:space="preserve">za </w:t>
      </w:r>
      <w:r w:rsidR="00A84276" w:rsidRPr="007A4040">
        <w:t xml:space="preserve">94,7 milijuna eura ili 9,7 posto u </w:t>
      </w:r>
      <w:r w:rsidRPr="007A4040">
        <w:t>odnosu na 20</w:t>
      </w:r>
      <w:r w:rsidR="00CB3EEA" w:rsidRPr="007A4040">
        <w:t>2</w:t>
      </w:r>
      <w:r w:rsidR="00A84276" w:rsidRPr="007A4040">
        <w:t>2</w:t>
      </w:r>
      <w:r w:rsidRPr="007A4040">
        <w:t>. godinu</w:t>
      </w:r>
      <w:r w:rsidR="00E0274E" w:rsidRPr="007A4040">
        <w:t xml:space="preserve"> kada su </w:t>
      </w:r>
      <w:r w:rsidR="00A84276" w:rsidRPr="007A4040">
        <w:t>navedene potpore</w:t>
      </w:r>
      <w:r w:rsidR="00E0274E" w:rsidRPr="007A4040">
        <w:t xml:space="preserve"> </w:t>
      </w:r>
      <w:r w:rsidR="00A84276" w:rsidRPr="007A4040">
        <w:t xml:space="preserve">dodijeljene u </w:t>
      </w:r>
      <w:r w:rsidR="00E0274E" w:rsidRPr="007A4040">
        <w:t>iznos</w:t>
      </w:r>
      <w:r w:rsidR="00A84276" w:rsidRPr="007A4040">
        <w:t>u od 973,3</w:t>
      </w:r>
      <w:r w:rsidR="00E0274E" w:rsidRPr="007A4040">
        <w:t xml:space="preserve"> milijuna </w:t>
      </w:r>
      <w:r w:rsidR="00A84276" w:rsidRPr="007A4040">
        <w:t>eura</w:t>
      </w:r>
      <w:r w:rsidRPr="007A4040">
        <w:t xml:space="preserve">, </w:t>
      </w:r>
      <w:r w:rsidR="00A84276" w:rsidRPr="007A4040">
        <w:t>te su naved</w:t>
      </w:r>
      <w:r w:rsidR="00032790" w:rsidRPr="007A4040">
        <w:t>e</w:t>
      </w:r>
      <w:r w:rsidR="00A84276" w:rsidRPr="007A4040">
        <w:t>ne potpore povećane za 62,6 milijuna eura ili 6,2</w:t>
      </w:r>
      <w:r w:rsidRPr="007A4040">
        <w:t xml:space="preserve"> posto u odnosu na 20</w:t>
      </w:r>
      <w:r w:rsidR="00E0274E" w:rsidRPr="007A4040">
        <w:t>2</w:t>
      </w:r>
      <w:r w:rsidR="00A84276" w:rsidRPr="007A4040">
        <w:t>1</w:t>
      </w:r>
      <w:r w:rsidRPr="007A4040">
        <w:t>. godinu</w:t>
      </w:r>
      <w:r w:rsidR="00E0274E" w:rsidRPr="007A4040">
        <w:t xml:space="preserve"> kada su </w:t>
      </w:r>
      <w:r w:rsidR="00A84276" w:rsidRPr="007A4040">
        <w:t>dodij</w:t>
      </w:r>
      <w:r w:rsidR="00032790" w:rsidRPr="007A4040">
        <w:t>e</w:t>
      </w:r>
      <w:r w:rsidR="00A84276" w:rsidRPr="007A4040">
        <w:t xml:space="preserve">ljene u </w:t>
      </w:r>
      <w:r w:rsidR="00E0274E" w:rsidRPr="007A4040">
        <w:t>iznos</w:t>
      </w:r>
      <w:r w:rsidR="00A84276" w:rsidRPr="007A4040">
        <w:t>u od 1.005,4</w:t>
      </w:r>
      <w:r w:rsidR="00E0274E" w:rsidRPr="007A4040">
        <w:t xml:space="preserve"> milijuna </w:t>
      </w:r>
      <w:r w:rsidR="00A84276" w:rsidRPr="007A4040">
        <w:t>eura</w:t>
      </w:r>
      <w:r w:rsidR="00E0274E" w:rsidRPr="007A4040">
        <w:t>.</w:t>
      </w:r>
    </w:p>
    <w:p w14:paraId="51ADB0BE" w14:textId="0E61B95E" w:rsidR="004701B4" w:rsidRPr="007A4040" w:rsidRDefault="004701B4" w:rsidP="00CB3EEA"/>
    <w:p w14:paraId="0F624809" w14:textId="08F50F7B" w:rsidR="00FE2D9A" w:rsidRPr="007A4040" w:rsidRDefault="00FE2D9A" w:rsidP="00BE487D">
      <w:pPr>
        <w:jc w:val="both"/>
        <w:rPr>
          <w:spacing w:val="-2"/>
        </w:rPr>
      </w:pPr>
      <w:r w:rsidRPr="007A4040">
        <w:rPr>
          <w:spacing w:val="-2"/>
        </w:rPr>
        <w:t xml:space="preserve">Potpore </w:t>
      </w:r>
      <w:r w:rsidR="00CB3EEA" w:rsidRPr="007A4040">
        <w:rPr>
          <w:spacing w:val="-2"/>
        </w:rPr>
        <w:t xml:space="preserve">u sektoru </w:t>
      </w:r>
      <w:r w:rsidRPr="007A4040">
        <w:rPr>
          <w:spacing w:val="-2"/>
        </w:rPr>
        <w:t>industrij</w:t>
      </w:r>
      <w:r w:rsidR="00CB3EEA" w:rsidRPr="007A4040">
        <w:rPr>
          <w:spacing w:val="-2"/>
        </w:rPr>
        <w:t>e</w:t>
      </w:r>
      <w:r w:rsidRPr="007A4040">
        <w:rPr>
          <w:spacing w:val="-2"/>
        </w:rPr>
        <w:t xml:space="preserve"> i usluga </w:t>
      </w:r>
      <w:r w:rsidR="00A84276" w:rsidRPr="007A4040">
        <w:rPr>
          <w:spacing w:val="-2"/>
        </w:rPr>
        <w:t xml:space="preserve">dodijeljene su u 2023. godini u iznosu od 1.967,7 </w:t>
      </w:r>
      <w:r w:rsidRPr="007A4040">
        <w:rPr>
          <w:spacing w:val="-2"/>
        </w:rPr>
        <w:t xml:space="preserve">milijuna </w:t>
      </w:r>
      <w:r w:rsidR="00A84276" w:rsidRPr="007A4040">
        <w:rPr>
          <w:spacing w:val="-2"/>
        </w:rPr>
        <w:t>eura</w:t>
      </w:r>
      <w:r w:rsidRPr="007A4040">
        <w:rPr>
          <w:spacing w:val="-2"/>
        </w:rPr>
        <w:t xml:space="preserve">, što </w:t>
      </w:r>
      <w:r w:rsidR="00E0274E" w:rsidRPr="007A4040">
        <w:rPr>
          <w:spacing w:val="-2"/>
        </w:rPr>
        <w:t>je</w:t>
      </w:r>
      <w:r w:rsidR="00CE3FA7" w:rsidRPr="007A4040">
        <w:rPr>
          <w:spacing w:val="-2"/>
        </w:rPr>
        <w:t xml:space="preserve"> </w:t>
      </w:r>
      <w:r w:rsidR="00CB3EEA" w:rsidRPr="007A4040">
        <w:rPr>
          <w:spacing w:val="-2"/>
        </w:rPr>
        <w:t xml:space="preserve">smanjenje </w:t>
      </w:r>
      <w:r w:rsidRPr="007A4040">
        <w:rPr>
          <w:spacing w:val="-2"/>
        </w:rPr>
        <w:t xml:space="preserve">za </w:t>
      </w:r>
      <w:r w:rsidR="00A84276" w:rsidRPr="007A4040">
        <w:rPr>
          <w:spacing w:val="-2"/>
        </w:rPr>
        <w:t xml:space="preserve">74 milijuna eura ili 3,6 posto </w:t>
      </w:r>
      <w:r w:rsidR="00BB0CB3" w:rsidRPr="007A4040">
        <w:rPr>
          <w:spacing w:val="-2"/>
        </w:rPr>
        <w:t xml:space="preserve">u odnosu na 2022. godinu kada su navedene potpore dodijeljene u iznosu od 2.041,7 </w:t>
      </w:r>
      <w:r w:rsidRPr="007A4040">
        <w:rPr>
          <w:spacing w:val="-2"/>
        </w:rPr>
        <w:t xml:space="preserve">milijuna </w:t>
      </w:r>
      <w:r w:rsidR="00A84276" w:rsidRPr="007A4040">
        <w:rPr>
          <w:spacing w:val="-2"/>
        </w:rPr>
        <w:t>eura</w:t>
      </w:r>
      <w:r w:rsidR="00CB3EEA" w:rsidRPr="007A4040">
        <w:rPr>
          <w:spacing w:val="-2"/>
        </w:rPr>
        <w:t>,</w:t>
      </w:r>
      <w:r w:rsidRPr="007A4040">
        <w:rPr>
          <w:spacing w:val="-2"/>
        </w:rPr>
        <w:t xml:space="preserve"> te </w:t>
      </w:r>
      <w:r w:rsidR="00E0274E" w:rsidRPr="007A4040">
        <w:rPr>
          <w:spacing w:val="-2"/>
        </w:rPr>
        <w:t xml:space="preserve">je </w:t>
      </w:r>
      <w:r w:rsidR="00BB0CB3" w:rsidRPr="007A4040">
        <w:rPr>
          <w:spacing w:val="-2"/>
        </w:rPr>
        <w:t>povećanje</w:t>
      </w:r>
      <w:r w:rsidR="00E0274E" w:rsidRPr="007A4040">
        <w:rPr>
          <w:spacing w:val="-2"/>
        </w:rPr>
        <w:t xml:space="preserve"> z</w:t>
      </w:r>
      <w:r w:rsidR="00093A16" w:rsidRPr="007A4040">
        <w:rPr>
          <w:spacing w:val="-2"/>
        </w:rPr>
        <w:t xml:space="preserve">a </w:t>
      </w:r>
      <w:r w:rsidR="00BB0CB3" w:rsidRPr="007A4040">
        <w:rPr>
          <w:spacing w:val="-2"/>
        </w:rPr>
        <w:t xml:space="preserve">33,4 milijuna eura ili 1,7 </w:t>
      </w:r>
      <w:r w:rsidRPr="007A4040">
        <w:rPr>
          <w:spacing w:val="-2"/>
        </w:rPr>
        <w:t>posto u odnosu na 20</w:t>
      </w:r>
      <w:r w:rsidR="00E0274E" w:rsidRPr="007A4040">
        <w:rPr>
          <w:spacing w:val="-2"/>
        </w:rPr>
        <w:t>2</w:t>
      </w:r>
      <w:r w:rsidR="00BB0CB3" w:rsidRPr="007A4040">
        <w:rPr>
          <w:spacing w:val="-2"/>
        </w:rPr>
        <w:t>1</w:t>
      </w:r>
      <w:r w:rsidRPr="007A4040">
        <w:rPr>
          <w:spacing w:val="-2"/>
        </w:rPr>
        <w:t xml:space="preserve">. godinu kad su </w:t>
      </w:r>
      <w:r w:rsidR="00CB3EEA" w:rsidRPr="007A4040">
        <w:rPr>
          <w:spacing w:val="-2"/>
        </w:rPr>
        <w:t xml:space="preserve">navedene potpore </w:t>
      </w:r>
      <w:r w:rsidR="00E0274E" w:rsidRPr="007A4040">
        <w:rPr>
          <w:spacing w:val="-2"/>
        </w:rPr>
        <w:t>iznosile</w:t>
      </w:r>
      <w:r w:rsidR="00CB3EEA" w:rsidRPr="007A4040">
        <w:rPr>
          <w:spacing w:val="-2"/>
        </w:rPr>
        <w:t xml:space="preserve"> </w:t>
      </w:r>
      <w:r w:rsidR="00032790" w:rsidRPr="007A4040">
        <w:rPr>
          <w:spacing w:val="-2"/>
        </w:rPr>
        <w:t>1.934,3</w:t>
      </w:r>
      <w:r w:rsidR="00E0274E" w:rsidRPr="007A4040">
        <w:rPr>
          <w:spacing w:val="-2"/>
        </w:rPr>
        <w:t xml:space="preserve"> </w:t>
      </w:r>
      <w:r w:rsidRPr="007A4040">
        <w:rPr>
          <w:spacing w:val="-2"/>
        </w:rPr>
        <w:t xml:space="preserve">milijuna </w:t>
      </w:r>
      <w:r w:rsidR="00A84276" w:rsidRPr="007A4040">
        <w:rPr>
          <w:spacing w:val="-2"/>
        </w:rPr>
        <w:t>eura</w:t>
      </w:r>
      <w:r w:rsidRPr="007A4040">
        <w:rPr>
          <w:spacing w:val="-2"/>
        </w:rPr>
        <w:t>.</w:t>
      </w:r>
    </w:p>
    <w:p w14:paraId="48724109" w14:textId="77777777" w:rsidR="00E0274E" w:rsidRPr="00032790" w:rsidRDefault="00E0274E" w:rsidP="00BE487D">
      <w:pPr>
        <w:jc w:val="both"/>
      </w:pPr>
    </w:p>
    <w:p w14:paraId="3BF16765" w14:textId="77777777" w:rsidR="007A7C7C" w:rsidRDefault="007A7C7C">
      <w:pPr>
        <w:rPr>
          <w:b/>
        </w:rPr>
      </w:pPr>
      <w:r>
        <w:rPr>
          <w:b/>
        </w:rPr>
        <w:br w:type="page"/>
      </w:r>
    </w:p>
    <w:p w14:paraId="430DCFE8" w14:textId="3F3F94A1" w:rsidR="00FE2D9A" w:rsidRPr="00B9741D" w:rsidRDefault="00FE2D9A" w:rsidP="00BE487D">
      <w:pPr>
        <w:jc w:val="both"/>
      </w:pPr>
      <w:r w:rsidRPr="00B9741D">
        <w:lastRenderedPageBreak/>
        <w:t xml:space="preserve">Slika </w:t>
      </w:r>
      <w:r w:rsidR="00032790" w:rsidRPr="00B9741D">
        <w:t>2</w:t>
      </w:r>
      <w:r w:rsidRPr="00B9741D">
        <w:t>. Udio potpora za poljoprivredu i ribarstvo i udio potpora za industriju i usluge u ukupno dodijelje</w:t>
      </w:r>
      <w:r w:rsidR="00101847" w:rsidRPr="00B9741D">
        <w:t xml:space="preserve">nim potporama </w:t>
      </w:r>
      <w:r w:rsidR="009666C0" w:rsidRPr="00B9741D">
        <w:t>u</w:t>
      </w:r>
      <w:r w:rsidR="00101847" w:rsidRPr="00B9741D">
        <w:t xml:space="preserve"> razdoblj</w:t>
      </w:r>
      <w:r w:rsidR="009666C0" w:rsidRPr="00B9741D">
        <w:t>u</w:t>
      </w:r>
      <w:r w:rsidR="00101847" w:rsidRPr="00B9741D">
        <w:t xml:space="preserve"> od 201</w:t>
      </w:r>
      <w:r w:rsidR="00032790" w:rsidRPr="00B9741D">
        <w:t>3</w:t>
      </w:r>
      <w:r w:rsidRPr="00B9741D">
        <w:t>. do 20</w:t>
      </w:r>
      <w:r w:rsidR="00287CC3" w:rsidRPr="00B9741D">
        <w:t>2</w:t>
      </w:r>
      <w:r w:rsidR="00032790" w:rsidRPr="00B9741D">
        <w:t>3</w:t>
      </w:r>
      <w:r w:rsidRPr="00B9741D">
        <w:t>. godine</w:t>
      </w:r>
    </w:p>
    <w:p w14:paraId="03EDDC97" w14:textId="77777777" w:rsidR="001972F6" w:rsidRPr="00032790" w:rsidRDefault="001972F6" w:rsidP="001972F6">
      <w:pPr>
        <w:jc w:val="both"/>
        <w:rPr>
          <w:sz w:val="20"/>
        </w:rPr>
      </w:pPr>
    </w:p>
    <w:p w14:paraId="4E56497B" w14:textId="2DACAEF6" w:rsidR="00F4498F" w:rsidRPr="00032790" w:rsidRDefault="00F4498F" w:rsidP="00032790">
      <w:pPr>
        <w:jc w:val="center"/>
      </w:pPr>
      <w:r w:rsidRPr="00032790">
        <w:rPr>
          <w:noProof/>
          <w:lang w:eastAsia="hr-HR"/>
        </w:rPr>
        <w:drawing>
          <wp:inline distT="0" distB="0" distL="0" distR="0" wp14:anchorId="54C0DDFF" wp14:editId="7EE16461">
            <wp:extent cx="5759450" cy="2013857"/>
            <wp:effectExtent l="0" t="0" r="31750" b="43815"/>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0B9B86" w14:textId="77777777" w:rsidR="00032790" w:rsidRPr="00032790" w:rsidRDefault="00032790" w:rsidP="00032790">
      <w:pPr>
        <w:contextualSpacing/>
        <w:jc w:val="center"/>
        <w:rPr>
          <w:i/>
          <w:sz w:val="20"/>
        </w:rPr>
      </w:pPr>
      <w:r w:rsidRPr="00032790">
        <w:rPr>
          <w:i/>
          <w:sz w:val="20"/>
        </w:rPr>
        <w:t>Izvor: Ministarstvo financija i davatelji potpora; podaci obrađeni u Ministarstvu financija</w:t>
      </w:r>
    </w:p>
    <w:p w14:paraId="2B35CEDA" w14:textId="77777777" w:rsidR="00F4498F" w:rsidRPr="00032790" w:rsidRDefault="00F4498F" w:rsidP="001972F6">
      <w:pPr>
        <w:jc w:val="both"/>
      </w:pPr>
    </w:p>
    <w:p w14:paraId="16203977" w14:textId="78F2F095" w:rsidR="0049485E" w:rsidRPr="00032790" w:rsidRDefault="00CB3EEA" w:rsidP="0049485E">
      <w:pPr>
        <w:jc w:val="both"/>
      </w:pPr>
      <w:r w:rsidRPr="00032790">
        <w:t>Sli</w:t>
      </w:r>
      <w:r w:rsidR="0049485E" w:rsidRPr="00032790">
        <w:t>ka</w:t>
      </w:r>
      <w:r w:rsidR="001972F6" w:rsidRPr="00032790">
        <w:t xml:space="preserve"> </w:t>
      </w:r>
      <w:r w:rsidR="00032790" w:rsidRPr="00032790">
        <w:t>2</w:t>
      </w:r>
      <w:r w:rsidR="001972F6" w:rsidRPr="00032790">
        <w:t>. prikaz</w:t>
      </w:r>
      <w:r w:rsidR="0049485E" w:rsidRPr="00032790">
        <w:t>uje</w:t>
      </w:r>
      <w:r w:rsidR="001972F6" w:rsidRPr="00032790">
        <w:t xml:space="preserve"> udio potpora</w:t>
      </w:r>
      <w:r w:rsidRPr="00032790">
        <w:t>,</w:t>
      </w:r>
      <w:r w:rsidR="001972F6" w:rsidRPr="00032790">
        <w:t xml:space="preserve"> </w:t>
      </w:r>
      <w:r w:rsidRPr="00032790">
        <w:t xml:space="preserve">u postotcima, </w:t>
      </w:r>
      <w:r w:rsidR="001972F6" w:rsidRPr="00032790">
        <w:t xml:space="preserve">u sektoru poljoprivrede i ribarstva </w:t>
      </w:r>
      <w:r w:rsidR="00032790" w:rsidRPr="00032790">
        <w:t>i</w:t>
      </w:r>
      <w:r w:rsidR="001972F6" w:rsidRPr="00032790">
        <w:t xml:space="preserve"> udio potpora u sektoru industrije i usluga u ukupno dodijeljenim potporama </w:t>
      </w:r>
      <w:r w:rsidR="00032790" w:rsidRPr="00032790">
        <w:t>za</w:t>
      </w:r>
      <w:r w:rsidR="007410C6" w:rsidRPr="00032790">
        <w:t xml:space="preserve"> </w:t>
      </w:r>
      <w:r w:rsidR="001972F6" w:rsidRPr="00032790">
        <w:t>razdoblj</w:t>
      </w:r>
      <w:r w:rsidR="00032790" w:rsidRPr="00032790">
        <w:t>e</w:t>
      </w:r>
      <w:r w:rsidR="001972F6" w:rsidRPr="00032790">
        <w:t xml:space="preserve"> od 20</w:t>
      </w:r>
      <w:r w:rsidR="0049485E" w:rsidRPr="00032790">
        <w:t>1</w:t>
      </w:r>
      <w:r w:rsidR="00032790" w:rsidRPr="00032790">
        <w:t>3</w:t>
      </w:r>
      <w:r w:rsidR="001972F6" w:rsidRPr="00032790">
        <w:t>. do 202</w:t>
      </w:r>
      <w:r w:rsidR="00032790" w:rsidRPr="00032790">
        <w:t>3</w:t>
      </w:r>
      <w:r w:rsidR="001972F6" w:rsidRPr="00032790">
        <w:t>. godine</w:t>
      </w:r>
      <w:r w:rsidR="0049485E" w:rsidRPr="00032790">
        <w:t xml:space="preserve">, </w:t>
      </w:r>
      <w:r w:rsidR="00032790" w:rsidRPr="00032790">
        <w:t>a</w:t>
      </w:r>
      <w:r w:rsidR="0049485E" w:rsidRPr="00032790">
        <w:t xml:space="preserve"> Slika </w:t>
      </w:r>
      <w:r w:rsidR="00032790" w:rsidRPr="00032790">
        <w:t>3</w:t>
      </w:r>
      <w:r w:rsidR="0049485E" w:rsidRPr="00032790">
        <w:t xml:space="preserve">. prikazuje potpore u sektoru poljoprivrede i ribarstva </w:t>
      </w:r>
      <w:r w:rsidR="00032790" w:rsidRPr="00032790">
        <w:t>i</w:t>
      </w:r>
      <w:r w:rsidR="0049485E" w:rsidRPr="00032790">
        <w:t xml:space="preserve"> potpore u sektoru industrije i usluga u ukupno dodijeljenim potporama, u milijunima </w:t>
      </w:r>
      <w:r w:rsidR="00032790" w:rsidRPr="00032790">
        <w:t>eura</w:t>
      </w:r>
      <w:r w:rsidR="0049485E" w:rsidRPr="00032790">
        <w:t xml:space="preserve">, </w:t>
      </w:r>
      <w:r w:rsidR="00032790" w:rsidRPr="00032790">
        <w:t>za</w:t>
      </w:r>
      <w:r w:rsidR="0049485E" w:rsidRPr="00032790">
        <w:t xml:space="preserve"> razdoblj</w:t>
      </w:r>
      <w:r w:rsidR="00032790" w:rsidRPr="00032790">
        <w:t>e</w:t>
      </w:r>
      <w:r w:rsidR="0049485E" w:rsidRPr="00032790">
        <w:t xml:space="preserve"> od 201</w:t>
      </w:r>
      <w:r w:rsidR="00032790" w:rsidRPr="00032790">
        <w:t>3</w:t>
      </w:r>
      <w:r w:rsidR="0049485E" w:rsidRPr="00032790">
        <w:t>. do 202</w:t>
      </w:r>
      <w:r w:rsidR="00032790" w:rsidRPr="00032790">
        <w:t>3</w:t>
      </w:r>
      <w:r w:rsidR="0049485E" w:rsidRPr="00032790">
        <w:t>. godine.</w:t>
      </w:r>
    </w:p>
    <w:p w14:paraId="6D494F63" w14:textId="77777777" w:rsidR="00CB3EEA" w:rsidRPr="00032790" w:rsidRDefault="00CB3EEA" w:rsidP="001972F6">
      <w:pPr>
        <w:jc w:val="both"/>
      </w:pPr>
    </w:p>
    <w:p w14:paraId="30777BE8" w14:textId="0706E4A8" w:rsidR="00FE2D9A" w:rsidRPr="00B9741D" w:rsidRDefault="00FE2D9A" w:rsidP="00BE487D">
      <w:pPr>
        <w:jc w:val="both"/>
      </w:pPr>
      <w:r w:rsidRPr="00B9741D">
        <w:t xml:space="preserve">Slika </w:t>
      </w:r>
      <w:r w:rsidR="00032790" w:rsidRPr="00B9741D">
        <w:t>3</w:t>
      </w:r>
      <w:r w:rsidRPr="00B9741D">
        <w:t xml:space="preserve">. </w:t>
      </w:r>
      <w:r w:rsidR="00287CC3" w:rsidRPr="00B9741D">
        <w:t>Iznosi p</w:t>
      </w:r>
      <w:r w:rsidRPr="00B9741D">
        <w:t>otpor</w:t>
      </w:r>
      <w:r w:rsidR="00287CC3" w:rsidRPr="00B9741D">
        <w:t>a</w:t>
      </w:r>
      <w:r w:rsidRPr="00B9741D">
        <w:t xml:space="preserve"> za poljoprivredu i ribarstvo i potpor</w:t>
      </w:r>
      <w:r w:rsidR="00287CC3" w:rsidRPr="00B9741D">
        <w:t>a</w:t>
      </w:r>
      <w:r w:rsidRPr="00B9741D">
        <w:t xml:space="preserve"> za industriju i usluge u ukupno dodijeljenim potporama za razdoblje od 201</w:t>
      </w:r>
      <w:r w:rsidR="00032790" w:rsidRPr="00B9741D">
        <w:t>3</w:t>
      </w:r>
      <w:r w:rsidRPr="00B9741D">
        <w:t>. do 202</w:t>
      </w:r>
      <w:r w:rsidR="00032790" w:rsidRPr="00B9741D">
        <w:t>3</w:t>
      </w:r>
      <w:r w:rsidRPr="00B9741D">
        <w:t xml:space="preserve">. godine (u milijunima </w:t>
      </w:r>
      <w:r w:rsidR="00032790" w:rsidRPr="00B9741D">
        <w:t>eura</w:t>
      </w:r>
      <w:r w:rsidRPr="00B9741D">
        <w:t>)</w:t>
      </w:r>
    </w:p>
    <w:p w14:paraId="72D93F55" w14:textId="77777777" w:rsidR="0013665B" w:rsidRPr="00032790" w:rsidRDefault="0013665B" w:rsidP="00BE487D">
      <w:pPr>
        <w:jc w:val="both"/>
        <w:rPr>
          <w:sz w:val="20"/>
        </w:rPr>
      </w:pPr>
    </w:p>
    <w:p w14:paraId="0615C5E5" w14:textId="60B5ADFF" w:rsidR="00CC2841" w:rsidRPr="00032790" w:rsidRDefault="00F4498F" w:rsidP="00032790">
      <w:pPr>
        <w:jc w:val="center"/>
      </w:pPr>
      <w:r w:rsidRPr="00032790">
        <w:rPr>
          <w:noProof/>
          <w:lang w:eastAsia="hr-HR"/>
        </w:rPr>
        <w:drawing>
          <wp:inline distT="0" distB="0" distL="0" distR="0" wp14:anchorId="34E100EE" wp14:editId="50A90D1F">
            <wp:extent cx="5759450" cy="2943225"/>
            <wp:effectExtent l="0" t="0" r="12700" b="952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256114" w14:textId="77777777" w:rsidR="00032790" w:rsidRPr="00032790" w:rsidRDefault="00032790" w:rsidP="00032790">
      <w:pPr>
        <w:contextualSpacing/>
        <w:jc w:val="center"/>
        <w:rPr>
          <w:i/>
          <w:sz w:val="20"/>
        </w:rPr>
      </w:pPr>
      <w:r w:rsidRPr="00032790">
        <w:rPr>
          <w:i/>
          <w:sz w:val="20"/>
        </w:rPr>
        <w:t>Izvor: Ministarstvo financija i davatelji potpora; podaci obrađeni u Ministarstvu financija</w:t>
      </w:r>
    </w:p>
    <w:p w14:paraId="2A846000" w14:textId="31B71943" w:rsidR="00F4498F" w:rsidRPr="00032790" w:rsidRDefault="00F4498F" w:rsidP="00BE487D">
      <w:pPr>
        <w:jc w:val="both"/>
      </w:pPr>
    </w:p>
    <w:p w14:paraId="08E26C66" w14:textId="77777777" w:rsidR="00F4498F" w:rsidRPr="00C66040" w:rsidRDefault="00F4498F" w:rsidP="00BE487D">
      <w:pPr>
        <w:jc w:val="both"/>
      </w:pPr>
    </w:p>
    <w:p w14:paraId="0C55A867" w14:textId="77777777" w:rsidR="00EE5842" w:rsidRPr="00C66040" w:rsidRDefault="00EE5842" w:rsidP="00BE487D">
      <w:r w:rsidRPr="00C66040">
        <w:br w:type="page"/>
      </w:r>
    </w:p>
    <w:p w14:paraId="66DEB7CD" w14:textId="46C8F38B" w:rsidR="00BE0817" w:rsidRPr="00C66040" w:rsidRDefault="00CC2841" w:rsidP="00C92009">
      <w:pPr>
        <w:pStyle w:val="Heading2"/>
        <w:ind w:left="811" w:hanging="454"/>
      </w:pPr>
      <w:r w:rsidRPr="00C66040">
        <w:lastRenderedPageBreak/>
        <w:t xml:space="preserve"> </w:t>
      </w:r>
      <w:bookmarkStart w:id="8" w:name="_Toc184635839"/>
      <w:r w:rsidR="00B20C9B" w:rsidRPr="00C66040">
        <w:t>DRŽAVNE POTPORE PREMA INSTRUMENTIMA</w:t>
      </w:r>
      <w:bookmarkEnd w:id="8"/>
    </w:p>
    <w:p w14:paraId="093E12A3" w14:textId="77777777" w:rsidR="00CC2841" w:rsidRPr="00C66040" w:rsidRDefault="00CC2841" w:rsidP="00BE487D">
      <w:pPr>
        <w:jc w:val="both"/>
      </w:pPr>
    </w:p>
    <w:p w14:paraId="2D5D9E8E" w14:textId="77777777" w:rsidR="00CC2841" w:rsidRPr="00C66040" w:rsidRDefault="00CC2841" w:rsidP="00BE487D">
      <w:pPr>
        <w:jc w:val="both"/>
      </w:pPr>
    </w:p>
    <w:p w14:paraId="7B986EEC" w14:textId="77777777" w:rsidR="00D625B8" w:rsidRPr="00B3287A" w:rsidRDefault="000E0349" w:rsidP="000E0349">
      <w:pPr>
        <w:jc w:val="both"/>
      </w:pPr>
      <w:r w:rsidRPr="00B3287A">
        <w:t xml:space="preserve">Potpore </w:t>
      </w:r>
      <w:r w:rsidR="009E4ECA" w:rsidRPr="00B3287A">
        <w:t xml:space="preserve">se dodjeljuju </w:t>
      </w:r>
      <w:r w:rsidR="00ED3785" w:rsidRPr="00B3287A">
        <w:t>putem raznih instrumenata, kao što su</w:t>
      </w:r>
      <w:r w:rsidRPr="00B3287A">
        <w:rPr>
          <w:vertAlign w:val="superscript"/>
        </w:rPr>
        <w:footnoteReference w:id="17"/>
      </w:r>
      <w:r w:rsidRPr="00B3287A">
        <w:t xml:space="preserve">: </w:t>
      </w:r>
    </w:p>
    <w:p w14:paraId="21E43C90" w14:textId="71E25AEF" w:rsidR="00D625B8" w:rsidRPr="00B3287A" w:rsidRDefault="000E0349" w:rsidP="00996C82">
      <w:pPr>
        <w:pStyle w:val="ListParagraph"/>
        <w:numPr>
          <w:ilvl w:val="0"/>
          <w:numId w:val="26"/>
        </w:numPr>
        <w:ind w:left="714" w:hanging="357"/>
        <w:jc w:val="both"/>
      </w:pPr>
      <w:r w:rsidRPr="00B3287A">
        <w:t>A1</w:t>
      </w:r>
      <w:r w:rsidR="00D625B8" w:rsidRPr="00B3287A">
        <w:t xml:space="preserve"> – </w:t>
      </w:r>
      <w:r w:rsidRPr="00B3287A">
        <w:t xml:space="preserve">subvencije i neposredne subvencije kamata, </w:t>
      </w:r>
      <w:r w:rsidR="00D625B8" w:rsidRPr="00B3287A">
        <w:t>oprost duga po osnovi zajma i prisilna nagodba i stečaj</w:t>
      </w:r>
    </w:p>
    <w:p w14:paraId="4BF41849" w14:textId="0D74C676" w:rsidR="00996C82" w:rsidRPr="00B3287A" w:rsidRDefault="000E0349" w:rsidP="00996C82">
      <w:pPr>
        <w:pStyle w:val="ListParagraph"/>
        <w:numPr>
          <w:ilvl w:val="0"/>
          <w:numId w:val="26"/>
        </w:numPr>
        <w:ind w:left="714" w:hanging="357"/>
        <w:jc w:val="both"/>
      </w:pPr>
      <w:r w:rsidRPr="00B3287A">
        <w:t>A2</w:t>
      </w:r>
      <w:r w:rsidR="00D625B8" w:rsidRPr="00B3287A">
        <w:t xml:space="preserve"> –</w:t>
      </w:r>
      <w:r w:rsidR="00996C82" w:rsidRPr="00B3287A">
        <w:t xml:space="preserve"> oprost poreza, porezna oslobođenja, izuzeća i olakšice, snižavanje, oslobođenje, olakšice, izuzeće i oprost plaćanja doprinosa, odgode pri plaćanju poreza, otpis duga i odgode pri podmirenju duga</w:t>
      </w:r>
    </w:p>
    <w:p w14:paraId="6E54764B" w14:textId="00F4A7B6" w:rsidR="00D625B8" w:rsidRPr="00B3287A" w:rsidRDefault="000E0349" w:rsidP="00996C82">
      <w:pPr>
        <w:pStyle w:val="ListParagraph"/>
        <w:numPr>
          <w:ilvl w:val="0"/>
          <w:numId w:val="26"/>
        </w:numPr>
        <w:ind w:left="714" w:hanging="357"/>
        <w:jc w:val="both"/>
      </w:pPr>
      <w:r w:rsidRPr="00B3287A">
        <w:t>B</w:t>
      </w:r>
      <w:r w:rsidR="00996C82" w:rsidRPr="00B3287A">
        <w:t xml:space="preserve"> – ulaganja u vlastiti kapital, kapitalna ulaganja i rizični kapital, pretvaranje duga u vlasnički udjel, prodaja državne imovine pod povoljnim uvjetima i odricanje od isplate dobiti poduzetnika</w:t>
      </w:r>
    </w:p>
    <w:p w14:paraId="394B09EA" w14:textId="6D7F846C" w:rsidR="00D625B8" w:rsidRPr="00B3287A" w:rsidRDefault="000E0349" w:rsidP="00996C82">
      <w:pPr>
        <w:pStyle w:val="ListParagraph"/>
        <w:numPr>
          <w:ilvl w:val="0"/>
          <w:numId w:val="26"/>
        </w:numPr>
        <w:ind w:left="714" w:hanging="357"/>
        <w:jc w:val="both"/>
      </w:pPr>
      <w:r w:rsidRPr="00B3287A">
        <w:t>C1</w:t>
      </w:r>
      <w:r w:rsidR="00996C82" w:rsidRPr="00B3287A">
        <w:t xml:space="preserve"> – </w:t>
      </w:r>
      <w:r w:rsidRPr="00B3287A">
        <w:t>povoljni zajmovi i za</w:t>
      </w:r>
      <w:r w:rsidR="000857FF" w:rsidRPr="00B3287A">
        <w:t>jmovi poduzetnicima u teškoćama</w:t>
      </w:r>
      <w:r w:rsidRPr="00B3287A">
        <w:t xml:space="preserve"> i </w:t>
      </w:r>
    </w:p>
    <w:p w14:paraId="0EC83ACA" w14:textId="77777777" w:rsidR="000E0349" w:rsidRPr="00B3287A" w:rsidRDefault="000E0349" w:rsidP="00996C82">
      <w:pPr>
        <w:pStyle w:val="ListParagraph"/>
        <w:numPr>
          <w:ilvl w:val="0"/>
          <w:numId w:val="26"/>
        </w:numPr>
        <w:ind w:left="714" w:hanging="357"/>
        <w:jc w:val="both"/>
      </w:pPr>
      <w:r w:rsidRPr="00B3287A">
        <w:t>D</w:t>
      </w:r>
      <w:r w:rsidR="00996C82" w:rsidRPr="00B3287A">
        <w:t xml:space="preserve"> – </w:t>
      </w:r>
      <w:r w:rsidRPr="00B3287A">
        <w:t xml:space="preserve">izdana državna jamstva te aktivirana odnosno protestirana ili opozvana jamstva. </w:t>
      </w:r>
    </w:p>
    <w:p w14:paraId="328416A0" w14:textId="541316D4" w:rsidR="00D625B8" w:rsidRDefault="00D625B8" w:rsidP="008C2D7C">
      <w:pPr>
        <w:jc w:val="both"/>
      </w:pPr>
    </w:p>
    <w:p w14:paraId="1064B74B" w14:textId="519AC277" w:rsidR="008C2D7C" w:rsidRPr="00B9741D" w:rsidRDefault="008C2D7C" w:rsidP="008C2D7C">
      <w:pPr>
        <w:jc w:val="both"/>
      </w:pPr>
      <w:r w:rsidRPr="00B9741D">
        <w:t xml:space="preserve">Tablica </w:t>
      </w:r>
      <w:r w:rsidR="00B3287A" w:rsidRPr="00B9741D">
        <w:t>3</w:t>
      </w:r>
      <w:r w:rsidRPr="00B9741D">
        <w:t>. Potpore prema instrumentima dodjele u 202</w:t>
      </w:r>
      <w:r w:rsidR="00B3287A" w:rsidRPr="00B9741D">
        <w:t>3</w:t>
      </w:r>
      <w:r w:rsidRPr="00B9741D">
        <w:t xml:space="preserve">. godini (u milijunima </w:t>
      </w:r>
      <w:r w:rsidR="00A84276" w:rsidRPr="00B9741D">
        <w:t>eura</w:t>
      </w:r>
      <w:r w:rsidRPr="00B9741D">
        <w:t>)</w:t>
      </w:r>
    </w:p>
    <w:p w14:paraId="02D87072" w14:textId="77777777" w:rsidR="008C2D7C" w:rsidRPr="00B3287A" w:rsidRDefault="008C2D7C" w:rsidP="008C2D7C">
      <w:pPr>
        <w:contextualSpacing/>
        <w:jc w:val="both"/>
        <w:rPr>
          <w:b/>
          <w:bCs/>
          <w:sz w:val="20"/>
        </w:rPr>
      </w:pPr>
    </w:p>
    <w:tbl>
      <w:tblPr>
        <w:tblW w:w="9166" w:type="dxa"/>
        <w:tblLook w:val="04A0" w:firstRow="1" w:lastRow="0" w:firstColumn="1" w:lastColumn="0" w:noHBand="0" w:noVBand="1"/>
      </w:tblPr>
      <w:tblGrid>
        <w:gridCol w:w="366"/>
        <w:gridCol w:w="308"/>
        <w:gridCol w:w="3432"/>
        <w:gridCol w:w="851"/>
        <w:gridCol w:w="850"/>
        <w:gridCol w:w="851"/>
        <w:gridCol w:w="756"/>
        <w:gridCol w:w="760"/>
        <w:gridCol w:w="992"/>
      </w:tblGrid>
      <w:tr w:rsidR="008C2D7C" w:rsidRPr="007A7C7C" w14:paraId="0C1C140E" w14:textId="77777777" w:rsidTr="00AB080D">
        <w:trPr>
          <w:trHeight w:val="51"/>
        </w:trPr>
        <w:tc>
          <w:tcPr>
            <w:tcW w:w="4106" w:type="dxa"/>
            <w:gridSpan w:val="3"/>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445E81BB" w14:textId="77777777" w:rsidR="008C2D7C" w:rsidRPr="007A7C7C" w:rsidRDefault="008C2D7C" w:rsidP="00842357">
            <w:pPr>
              <w:jc w:val="center"/>
              <w:rPr>
                <w:b/>
                <w:sz w:val="20"/>
                <w:szCs w:val="20"/>
                <w:lang w:eastAsia="hr-HR"/>
              </w:rPr>
            </w:pPr>
            <w:r w:rsidRPr="007A7C7C">
              <w:rPr>
                <w:b/>
                <w:sz w:val="20"/>
                <w:szCs w:val="20"/>
                <w:lang w:eastAsia="hr-HR"/>
              </w:rPr>
              <w:t>Kategorija</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14:paraId="78A3C53D" w14:textId="77777777" w:rsidR="008C2D7C" w:rsidRPr="007A7C7C" w:rsidRDefault="008C2D7C" w:rsidP="00842357">
            <w:pPr>
              <w:jc w:val="center"/>
              <w:rPr>
                <w:b/>
                <w:sz w:val="20"/>
                <w:szCs w:val="20"/>
                <w:lang w:eastAsia="hr-HR"/>
              </w:rPr>
            </w:pPr>
            <w:r w:rsidRPr="007A7C7C">
              <w:rPr>
                <w:b/>
                <w:sz w:val="20"/>
                <w:szCs w:val="20"/>
                <w:lang w:eastAsia="hr-HR"/>
              </w:rPr>
              <w:t>A1</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14:paraId="3DD2B1FE" w14:textId="77777777" w:rsidR="008C2D7C" w:rsidRPr="007A7C7C" w:rsidRDefault="008C2D7C" w:rsidP="00842357">
            <w:pPr>
              <w:jc w:val="center"/>
              <w:rPr>
                <w:b/>
                <w:sz w:val="20"/>
                <w:szCs w:val="20"/>
                <w:lang w:eastAsia="hr-HR"/>
              </w:rPr>
            </w:pPr>
            <w:r w:rsidRPr="007A7C7C">
              <w:rPr>
                <w:b/>
                <w:sz w:val="20"/>
                <w:szCs w:val="20"/>
                <w:lang w:eastAsia="hr-HR"/>
              </w:rPr>
              <w:t>A2</w:t>
            </w:r>
          </w:p>
        </w:tc>
        <w:tc>
          <w:tcPr>
            <w:tcW w:w="851" w:type="dxa"/>
            <w:tcBorders>
              <w:top w:val="single" w:sz="4" w:space="0" w:color="auto"/>
              <w:left w:val="nil"/>
              <w:bottom w:val="single" w:sz="4" w:space="0" w:color="auto"/>
              <w:right w:val="single" w:sz="4" w:space="0" w:color="auto"/>
            </w:tcBorders>
            <w:shd w:val="clear" w:color="000000" w:fill="FFFF99"/>
            <w:noWrap/>
            <w:vAlign w:val="center"/>
            <w:hideMark/>
          </w:tcPr>
          <w:p w14:paraId="5703286D" w14:textId="3165B54B" w:rsidR="008C2D7C" w:rsidRPr="007A7C7C" w:rsidRDefault="00C53C8B" w:rsidP="00842357">
            <w:pPr>
              <w:jc w:val="center"/>
              <w:rPr>
                <w:b/>
                <w:sz w:val="20"/>
                <w:szCs w:val="20"/>
                <w:lang w:eastAsia="hr-HR"/>
              </w:rPr>
            </w:pPr>
            <w:r w:rsidRPr="007A7C7C">
              <w:rPr>
                <w:b/>
                <w:sz w:val="20"/>
                <w:szCs w:val="20"/>
                <w:lang w:eastAsia="hr-HR"/>
              </w:rPr>
              <w:t>B</w:t>
            </w:r>
          </w:p>
        </w:tc>
        <w:tc>
          <w:tcPr>
            <w:tcW w:w="756" w:type="dxa"/>
            <w:tcBorders>
              <w:top w:val="single" w:sz="4" w:space="0" w:color="auto"/>
              <w:left w:val="nil"/>
              <w:bottom w:val="single" w:sz="4" w:space="0" w:color="auto"/>
              <w:right w:val="single" w:sz="4" w:space="0" w:color="auto"/>
            </w:tcBorders>
            <w:shd w:val="clear" w:color="000000" w:fill="FFFF99"/>
            <w:noWrap/>
            <w:vAlign w:val="center"/>
            <w:hideMark/>
          </w:tcPr>
          <w:p w14:paraId="2F32BE8E" w14:textId="77777777" w:rsidR="008C2D7C" w:rsidRPr="007A7C7C" w:rsidRDefault="008C2D7C" w:rsidP="00842357">
            <w:pPr>
              <w:jc w:val="center"/>
              <w:rPr>
                <w:b/>
                <w:sz w:val="20"/>
                <w:szCs w:val="20"/>
                <w:lang w:eastAsia="hr-HR"/>
              </w:rPr>
            </w:pPr>
            <w:r w:rsidRPr="007A7C7C">
              <w:rPr>
                <w:b/>
                <w:sz w:val="20"/>
                <w:szCs w:val="20"/>
                <w:lang w:eastAsia="hr-HR"/>
              </w:rPr>
              <w:t>C1</w:t>
            </w:r>
          </w:p>
        </w:tc>
        <w:tc>
          <w:tcPr>
            <w:tcW w:w="760" w:type="dxa"/>
            <w:tcBorders>
              <w:top w:val="single" w:sz="4" w:space="0" w:color="auto"/>
              <w:left w:val="nil"/>
              <w:bottom w:val="single" w:sz="4" w:space="0" w:color="auto"/>
              <w:right w:val="nil"/>
            </w:tcBorders>
            <w:shd w:val="clear" w:color="000000" w:fill="FFFF99"/>
            <w:noWrap/>
            <w:vAlign w:val="center"/>
            <w:hideMark/>
          </w:tcPr>
          <w:p w14:paraId="48C52913" w14:textId="77777777" w:rsidR="008C2D7C" w:rsidRPr="007A7C7C" w:rsidRDefault="008C2D7C" w:rsidP="00842357">
            <w:pPr>
              <w:jc w:val="center"/>
              <w:rPr>
                <w:b/>
                <w:sz w:val="20"/>
                <w:szCs w:val="20"/>
                <w:lang w:eastAsia="hr-HR"/>
              </w:rPr>
            </w:pPr>
            <w:r w:rsidRPr="007A7C7C">
              <w:rPr>
                <w:b/>
                <w:sz w:val="20"/>
                <w:szCs w:val="20"/>
                <w:lang w:eastAsia="hr-HR"/>
              </w:rPr>
              <w:t>D</w:t>
            </w:r>
          </w:p>
        </w:tc>
        <w:tc>
          <w:tcPr>
            <w:tcW w:w="99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EC58F6C" w14:textId="77777777" w:rsidR="008C2D7C" w:rsidRPr="007A7C7C" w:rsidRDefault="008C2D7C" w:rsidP="00842357">
            <w:pPr>
              <w:jc w:val="center"/>
              <w:rPr>
                <w:b/>
                <w:bCs/>
                <w:sz w:val="20"/>
                <w:szCs w:val="20"/>
                <w:lang w:eastAsia="hr-HR"/>
              </w:rPr>
            </w:pPr>
            <w:r w:rsidRPr="007A7C7C">
              <w:rPr>
                <w:b/>
                <w:bCs/>
                <w:sz w:val="20"/>
                <w:szCs w:val="20"/>
                <w:lang w:eastAsia="hr-HR"/>
              </w:rPr>
              <w:t>Ukupno</w:t>
            </w:r>
          </w:p>
        </w:tc>
      </w:tr>
      <w:tr w:rsidR="00B3287A" w:rsidRPr="007A7C7C" w14:paraId="26444A16" w14:textId="77777777" w:rsidTr="00EF23F8">
        <w:trPr>
          <w:trHeight w:val="4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14:paraId="2C3A0D31" w14:textId="77777777" w:rsidR="00B3287A" w:rsidRPr="007A7C7C" w:rsidRDefault="00B3287A" w:rsidP="00B3287A">
            <w:pPr>
              <w:jc w:val="both"/>
              <w:rPr>
                <w:b/>
                <w:bCs/>
                <w:sz w:val="20"/>
                <w:szCs w:val="20"/>
                <w:lang w:eastAsia="hr-HR"/>
              </w:rPr>
            </w:pPr>
            <w:r w:rsidRPr="007A7C7C">
              <w:rPr>
                <w:b/>
                <w:bCs/>
                <w:sz w:val="20"/>
                <w:szCs w:val="20"/>
                <w:lang w:eastAsia="hr-HR"/>
              </w:rPr>
              <w:t>1.</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A18DBCE" w14:textId="77777777" w:rsidR="00B3287A" w:rsidRPr="007A7C7C" w:rsidRDefault="00B3287A" w:rsidP="00B3287A">
            <w:pPr>
              <w:jc w:val="both"/>
              <w:rPr>
                <w:b/>
                <w:bCs/>
                <w:i/>
                <w:iCs/>
                <w:sz w:val="20"/>
                <w:szCs w:val="20"/>
                <w:lang w:eastAsia="hr-HR"/>
              </w:rPr>
            </w:pPr>
            <w:r w:rsidRPr="007A7C7C">
              <w:rPr>
                <w:b/>
                <w:bCs/>
                <w:i/>
                <w:iCs/>
                <w:sz w:val="20"/>
                <w:szCs w:val="20"/>
                <w:lang w:eastAsia="hr-HR"/>
              </w:rPr>
              <w:t>Poljoprivreda i ribarstvo</w:t>
            </w:r>
          </w:p>
        </w:tc>
        <w:tc>
          <w:tcPr>
            <w:tcW w:w="851" w:type="dxa"/>
            <w:tcBorders>
              <w:top w:val="nil"/>
              <w:left w:val="nil"/>
              <w:bottom w:val="nil"/>
              <w:right w:val="nil"/>
            </w:tcBorders>
            <w:shd w:val="clear" w:color="auto" w:fill="auto"/>
            <w:noWrap/>
            <w:vAlign w:val="bottom"/>
          </w:tcPr>
          <w:p w14:paraId="36B540DB" w14:textId="2347A1E5" w:rsidR="00B3287A" w:rsidRPr="007A7C7C" w:rsidRDefault="00B3287A" w:rsidP="00B3287A">
            <w:pPr>
              <w:jc w:val="right"/>
              <w:rPr>
                <w:rFonts w:eastAsia="Times New Roman"/>
                <w:b/>
                <w:bCs/>
                <w:sz w:val="20"/>
                <w:szCs w:val="20"/>
                <w:lang w:eastAsia="hr-HR"/>
              </w:rPr>
            </w:pPr>
            <w:r w:rsidRPr="007A7C7C">
              <w:rPr>
                <w:b/>
                <w:sz w:val="20"/>
                <w:szCs w:val="20"/>
              </w:rPr>
              <w:t>780,7</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285F549" w14:textId="0E1A918E" w:rsidR="00B3287A" w:rsidRPr="007A7C7C" w:rsidRDefault="00B3287A" w:rsidP="00B3287A">
            <w:pPr>
              <w:jc w:val="right"/>
              <w:rPr>
                <w:rFonts w:eastAsia="Times New Roman"/>
                <w:b/>
                <w:bCs/>
                <w:sz w:val="20"/>
                <w:szCs w:val="20"/>
                <w:lang w:eastAsia="hr-HR"/>
              </w:rPr>
            </w:pPr>
            <w:r w:rsidRPr="007A7C7C">
              <w:rPr>
                <w:b/>
                <w:sz w:val="20"/>
                <w:szCs w:val="20"/>
              </w:rPr>
              <w:t>61,0</w:t>
            </w:r>
          </w:p>
        </w:tc>
        <w:tc>
          <w:tcPr>
            <w:tcW w:w="851" w:type="dxa"/>
            <w:tcBorders>
              <w:top w:val="nil"/>
              <w:left w:val="nil"/>
              <w:bottom w:val="single" w:sz="4" w:space="0" w:color="auto"/>
              <w:right w:val="single" w:sz="4" w:space="0" w:color="auto"/>
            </w:tcBorders>
            <w:shd w:val="clear" w:color="auto" w:fill="auto"/>
            <w:noWrap/>
            <w:vAlign w:val="center"/>
          </w:tcPr>
          <w:p w14:paraId="481FE8A8" w14:textId="2C4EB361" w:rsidR="00B3287A" w:rsidRPr="007A7C7C" w:rsidRDefault="00B3287A" w:rsidP="00B3287A">
            <w:pPr>
              <w:jc w:val="right"/>
              <w:rPr>
                <w:rFonts w:eastAsia="Times New Roman"/>
                <w:b/>
                <w:bCs/>
                <w:sz w:val="20"/>
                <w:szCs w:val="20"/>
                <w:lang w:eastAsia="hr-HR"/>
              </w:rPr>
            </w:pPr>
            <w:r w:rsidRPr="007A7C7C">
              <w:rPr>
                <w:b/>
                <w:sz w:val="20"/>
                <w:szCs w:val="20"/>
              </w:rPr>
              <w:t>203,2</w:t>
            </w:r>
          </w:p>
        </w:tc>
        <w:tc>
          <w:tcPr>
            <w:tcW w:w="756" w:type="dxa"/>
            <w:tcBorders>
              <w:top w:val="nil"/>
              <w:left w:val="nil"/>
              <w:bottom w:val="single" w:sz="4" w:space="0" w:color="auto"/>
              <w:right w:val="single" w:sz="4" w:space="0" w:color="auto"/>
            </w:tcBorders>
            <w:shd w:val="clear" w:color="auto" w:fill="auto"/>
            <w:noWrap/>
            <w:vAlign w:val="center"/>
          </w:tcPr>
          <w:p w14:paraId="0B2D4788" w14:textId="62444BF4" w:rsidR="00B3287A" w:rsidRPr="007A7C7C" w:rsidRDefault="00B3287A" w:rsidP="00B3287A">
            <w:pPr>
              <w:jc w:val="right"/>
              <w:rPr>
                <w:rFonts w:eastAsia="Times New Roman"/>
                <w:b/>
                <w:bCs/>
                <w:sz w:val="20"/>
                <w:szCs w:val="20"/>
                <w:lang w:eastAsia="hr-HR"/>
              </w:rPr>
            </w:pPr>
            <w:r w:rsidRPr="007A7C7C">
              <w:rPr>
                <w:b/>
                <w:sz w:val="20"/>
                <w:szCs w:val="20"/>
              </w:rPr>
              <w:t>23,1</w:t>
            </w:r>
          </w:p>
        </w:tc>
        <w:tc>
          <w:tcPr>
            <w:tcW w:w="760" w:type="dxa"/>
            <w:tcBorders>
              <w:top w:val="nil"/>
              <w:left w:val="nil"/>
              <w:bottom w:val="single" w:sz="4" w:space="0" w:color="auto"/>
              <w:right w:val="single" w:sz="4" w:space="0" w:color="auto"/>
            </w:tcBorders>
            <w:shd w:val="clear" w:color="auto" w:fill="auto"/>
            <w:noWrap/>
            <w:vAlign w:val="center"/>
          </w:tcPr>
          <w:p w14:paraId="631DDF5B" w14:textId="7122C6EC" w:rsidR="00B3287A" w:rsidRPr="007A7C7C" w:rsidRDefault="00B3287A" w:rsidP="00B3287A">
            <w:pPr>
              <w:jc w:val="right"/>
              <w:rPr>
                <w:rFonts w:eastAsia="Times New Roman"/>
                <w:b/>
                <w:bCs/>
                <w:sz w:val="20"/>
                <w:szCs w:val="20"/>
                <w:lang w:eastAsia="hr-HR"/>
              </w:rPr>
            </w:pPr>
            <w:r w:rsidRPr="007A7C7C">
              <w:rPr>
                <w:b/>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14:paraId="0C0E93AF" w14:textId="5E365287" w:rsidR="00B3287A" w:rsidRPr="007A7C7C" w:rsidRDefault="00B3287A" w:rsidP="00B3287A">
            <w:pPr>
              <w:jc w:val="right"/>
              <w:rPr>
                <w:rFonts w:eastAsia="Times New Roman"/>
                <w:b/>
                <w:bCs/>
                <w:sz w:val="20"/>
                <w:szCs w:val="20"/>
                <w:lang w:eastAsia="hr-HR"/>
              </w:rPr>
            </w:pPr>
            <w:r w:rsidRPr="007A7C7C">
              <w:rPr>
                <w:b/>
                <w:sz w:val="20"/>
                <w:szCs w:val="20"/>
              </w:rPr>
              <w:t>1.068,0</w:t>
            </w:r>
          </w:p>
        </w:tc>
      </w:tr>
      <w:tr w:rsidR="00B3287A" w:rsidRPr="007A7C7C" w14:paraId="21E71EB4" w14:textId="77777777" w:rsidTr="00B3287A">
        <w:trPr>
          <w:trHeight w:val="51"/>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14:paraId="24DAF999" w14:textId="77777777" w:rsidR="00B3287A" w:rsidRPr="007A7C7C" w:rsidRDefault="00B3287A" w:rsidP="00B3287A">
            <w:pPr>
              <w:jc w:val="both"/>
              <w:rPr>
                <w:b/>
                <w:bCs/>
                <w:sz w:val="20"/>
                <w:szCs w:val="20"/>
                <w:lang w:eastAsia="hr-HR"/>
              </w:rPr>
            </w:pPr>
            <w:r w:rsidRPr="007A7C7C">
              <w:rPr>
                <w:b/>
                <w:bCs/>
                <w:sz w:val="20"/>
                <w:szCs w:val="20"/>
                <w:lang w:eastAsia="hr-HR"/>
              </w:rPr>
              <w:t>2.</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7FA6209E" w14:textId="77777777" w:rsidR="00B3287A" w:rsidRPr="007A7C7C" w:rsidRDefault="00B3287A" w:rsidP="00B3287A">
            <w:pPr>
              <w:jc w:val="both"/>
              <w:rPr>
                <w:b/>
                <w:bCs/>
                <w:i/>
                <w:iCs/>
                <w:sz w:val="20"/>
                <w:szCs w:val="20"/>
                <w:lang w:eastAsia="hr-HR"/>
              </w:rPr>
            </w:pPr>
            <w:r w:rsidRPr="007A7C7C">
              <w:rPr>
                <w:b/>
                <w:bCs/>
                <w:i/>
                <w:iCs/>
                <w:sz w:val="20"/>
                <w:szCs w:val="20"/>
                <w:lang w:eastAsia="hr-HR"/>
              </w:rPr>
              <w:t>Industrija i usluge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E5CE3" w14:textId="79F97300" w:rsidR="00B3287A" w:rsidRPr="007A7C7C" w:rsidRDefault="00B3287A" w:rsidP="00B3287A">
            <w:pPr>
              <w:jc w:val="right"/>
              <w:rPr>
                <w:rFonts w:eastAsia="Times New Roman"/>
                <w:b/>
                <w:bCs/>
                <w:sz w:val="20"/>
                <w:szCs w:val="20"/>
                <w:lang w:eastAsia="hr-HR"/>
              </w:rPr>
            </w:pPr>
            <w:r w:rsidRPr="007A7C7C">
              <w:rPr>
                <w:b/>
                <w:sz w:val="20"/>
                <w:szCs w:val="20"/>
              </w:rPr>
              <w:t>1.200,0</w:t>
            </w:r>
          </w:p>
        </w:tc>
        <w:tc>
          <w:tcPr>
            <w:tcW w:w="850" w:type="dxa"/>
            <w:tcBorders>
              <w:top w:val="nil"/>
              <w:left w:val="nil"/>
              <w:bottom w:val="single" w:sz="4" w:space="0" w:color="auto"/>
              <w:right w:val="single" w:sz="4" w:space="0" w:color="auto"/>
            </w:tcBorders>
            <w:shd w:val="clear" w:color="auto" w:fill="auto"/>
            <w:noWrap/>
            <w:vAlign w:val="center"/>
          </w:tcPr>
          <w:p w14:paraId="2A7E4450" w14:textId="71BDC16E" w:rsidR="00B3287A" w:rsidRPr="007A7C7C" w:rsidRDefault="00B3287A" w:rsidP="00B3287A">
            <w:pPr>
              <w:jc w:val="right"/>
              <w:rPr>
                <w:rFonts w:eastAsia="Times New Roman"/>
                <w:b/>
                <w:bCs/>
                <w:sz w:val="20"/>
                <w:szCs w:val="20"/>
                <w:lang w:eastAsia="hr-HR"/>
              </w:rPr>
            </w:pPr>
            <w:r w:rsidRPr="007A7C7C">
              <w:rPr>
                <w:b/>
                <w:sz w:val="20"/>
                <w:szCs w:val="20"/>
              </w:rPr>
              <w:t>169,7</w:t>
            </w:r>
          </w:p>
        </w:tc>
        <w:tc>
          <w:tcPr>
            <w:tcW w:w="851" w:type="dxa"/>
            <w:tcBorders>
              <w:top w:val="nil"/>
              <w:left w:val="nil"/>
              <w:bottom w:val="single" w:sz="4" w:space="0" w:color="auto"/>
              <w:right w:val="single" w:sz="4" w:space="0" w:color="auto"/>
            </w:tcBorders>
            <w:shd w:val="clear" w:color="auto" w:fill="auto"/>
            <w:noWrap/>
            <w:vAlign w:val="center"/>
          </w:tcPr>
          <w:p w14:paraId="490F6E5B" w14:textId="71F57501" w:rsidR="00B3287A" w:rsidRPr="007A7C7C" w:rsidRDefault="00B3287A" w:rsidP="00B3287A">
            <w:pPr>
              <w:jc w:val="right"/>
              <w:rPr>
                <w:rFonts w:eastAsia="Times New Roman"/>
                <w:b/>
                <w:bCs/>
                <w:sz w:val="20"/>
                <w:szCs w:val="20"/>
                <w:lang w:eastAsia="hr-HR"/>
              </w:rPr>
            </w:pPr>
            <w:r w:rsidRPr="007A7C7C">
              <w:rPr>
                <w:b/>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700962DC" w14:textId="388B3EF0" w:rsidR="00B3287A" w:rsidRPr="007A7C7C" w:rsidRDefault="00B3287A" w:rsidP="00B3287A">
            <w:pPr>
              <w:jc w:val="right"/>
              <w:rPr>
                <w:rFonts w:eastAsia="Times New Roman"/>
                <w:b/>
                <w:bCs/>
                <w:sz w:val="20"/>
                <w:szCs w:val="20"/>
                <w:lang w:eastAsia="hr-HR"/>
              </w:rPr>
            </w:pPr>
            <w:r w:rsidRPr="007A7C7C">
              <w:rPr>
                <w:b/>
                <w:sz w:val="20"/>
                <w:szCs w:val="20"/>
              </w:rPr>
              <w:t>164,8</w:t>
            </w:r>
          </w:p>
        </w:tc>
        <w:tc>
          <w:tcPr>
            <w:tcW w:w="760" w:type="dxa"/>
            <w:tcBorders>
              <w:top w:val="nil"/>
              <w:left w:val="nil"/>
              <w:bottom w:val="single" w:sz="4" w:space="0" w:color="auto"/>
              <w:right w:val="single" w:sz="4" w:space="0" w:color="auto"/>
            </w:tcBorders>
            <w:shd w:val="clear" w:color="auto" w:fill="auto"/>
            <w:noWrap/>
            <w:vAlign w:val="center"/>
          </w:tcPr>
          <w:p w14:paraId="33228EE7" w14:textId="50FA53A7" w:rsidR="00B3287A" w:rsidRPr="007A7C7C" w:rsidRDefault="00B3287A" w:rsidP="00B3287A">
            <w:pPr>
              <w:jc w:val="right"/>
              <w:rPr>
                <w:rFonts w:eastAsia="Times New Roman"/>
                <w:b/>
                <w:bCs/>
                <w:sz w:val="20"/>
                <w:szCs w:val="20"/>
                <w:lang w:eastAsia="hr-HR"/>
              </w:rPr>
            </w:pPr>
            <w:r w:rsidRPr="007A7C7C">
              <w:rPr>
                <w:b/>
                <w:sz w:val="20"/>
                <w:szCs w:val="20"/>
              </w:rPr>
              <w:t>433,1</w:t>
            </w:r>
          </w:p>
        </w:tc>
        <w:tc>
          <w:tcPr>
            <w:tcW w:w="992" w:type="dxa"/>
            <w:tcBorders>
              <w:top w:val="nil"/>
              <w:left w:val="nil"/>
              <w:bottom w:val="single" w:sz="4" w:space="0" w:color="auto"/>
              <w:right w:val="single" w:sz="4" w:space="0" w:color="auto"/>
            </w:tcBorders>
            <w:shd w:val="clear" w:color="auto" w:fill="auto"/>
            <w:noWrap/>
            <w:vAlign w:val="center"/>
          </w:tcPr>
          <w:p w14:paraId="4FD10CDB" w14:textId="2E681F09" w:rsidR="00B3287A" w:rsidRPr="007A7C7C" w:rsidRDefault="00B3287A" w:rsidP="00B3287A">
            <w:pPr>
              <w:jc w:val="right"/>
              <w:rPr>
                <w:rFonts w:eastAsia="Times New Roman"/>
                <w:b/>
                <w:bCs/>
                <w:sz w:val="20"/>
                <w:szCs w:val="20"/>
                <w:lang w:eastAsia="hr-HR"/>
              </w:rPr>
            </w:pPr>
            <w:r w:rsidRPr="007A7C7C">
              <w:rPr>
                <w:b/>
                <w:sz w:val="20"/>
                <w:szCs w:val="20"/>
              </w:rPr>
              <w:t>1.967,7</w:t>
            </w:r>
          </w:p>
        </w:tc>
      </w:tr>
      <w:tr w:rsidR="00B3287A" w:rsidRPr="007A7C7C" w14:paraId="5B37CCA5" w14:textId="77777777" w:rsidTr="00A8612C">
        <w:trPr>
          <w:trHeight w:val="47"/>
        </w:trPr>
        <w:tc>
          <w:tcPr>
            <w:tcW w:w="366" w:type="dxa"/>
            <w:tcBorders>
              <w:top w:val="nil"/>
              <w:left w:val="single" w:sz="4" w:space="0" w:color="auto"/>
              <w:bottom w:val="nil"/>
              <w:right w:val="single" w:sz="4" w:space="0" w:color="auto"/>
            </w:tcBorders>
            <w:shd w:val="clear" w:color="auto" w:fill="auto"/>
            <w:noWrap/>
            <w:vAlign w:val="center"/>
          </w:tcPr>
          <w:p w14:paraId="3A919D82" w14:textId="637F3BE1" w:rsidR="00B3287A" w:rsidRPr="007A7C7C" w:rsidRDefault="00B3287A" w:rsidP="00B3287A">
            <w:pPr>
              <w:jc w:val="both"/>
              <w:rPr>
                <w:b/>
                <w:bCs/>
                <w:sz w:val="20"/>
                <w:szCs w:val="20"/>
                <w:lang w:eastAsia="hr-HR"/>
              </w:rPr>
            </w:pPr>
          </w:p>
        </w:tc>
        <w:tc>
          <w:tcPr>
            <w:tcW w:w="3740" w:type="dxa"/>
            <w:gridSpan w:val="2"/>
            <w:tcBorders>
              <w:top w:val="single" w:sz="4" w:space="0" w:color="auto"/>
              <w:left w:val="nil"/>
              <w:bottom w:val="single" w:sz="4" w:space="0" w:color="auto"/>
              <w:right w:val="single" w:sz="4" w:space="0" w:color="000000"/>
            </w:tcBorders>
            <w:shd w:val="clear" w:color="auto" w:fill="auto"/>
            <w:vAlign w:val="center"/>
            <w:hideMark/>
          </w:tcPr>
          <w:p w14:paraId="7F544DF4" w14:textId="77777777" w:rsidR="00B3287A" w:rsidRPr="007A7C7C" w:rsidRDefault="00B3287A" w:rsidP="00B3287A">
            <w:pPr>
              <w:jc w:val="both"/>
              <w:rPr>
                <w:b/>
                <w:bCs/>
                <w:i/>
                <w:iCs/>
                <w:sz w:val="20"/>
                <w:szCs w:val="20"/>
                <w:lang w:eastAsia="hr-HR"/>
              </w:rPr>
            </w:pPr>
            <w:r w:rsidRPr="007A7C7C">
              <w:rPr>
                <w:b/>
                <w:bCs/>
                <w:i/>
                <w:iCs/>
                <w:sz w:val="20"/>
                <w:szCs w:val="20"/>
                <w:lang w:eastAsia="hr-HR"/>
              </w:rPr>
              <w:t>Horizontalni ciljevi</w:t>
            </w:r>
          </w:p>
        </w:tc>
        <w:tc>
          <w:tcPr>
            <w:tcW w:w="851" w:type="dxa"/>
            <w:tcBorders>
              <w:top w:val="nil"/>
              <w:left w:val="nil"/>
              <w:bottom w:val="single" w:sz="4" w:space="0" w:color="auto"/>
              <w:right w:val="single" w:sz="4" w:space="0" w:color="auto"/>
            </w:tcBorders>
            <w:shd w:val="clear" w:color="auto" w:fill="auto"/>
            <w:noWrap/>
            <w:vAlign w:val="center"/>
          </w:tcPr>
          <w:p w14:paraId="603F7FA7" w14:textId="42C57889" w:rsidR="00B3287A" w:rsidRPr="007A7C7C" w:rsidRDefault="00B3287A" w:rsidP="00B3287A">
            <w:pPr>
              <w:jc w:val="right"/>
              <w:rPr>
                <w:rFonts w:eastAsia="Times New Roman"/>
                <w:b/>
                <w:bCs/>
                <w:sz w:val="20"/>
                <w:szCs w:val="20"/>
                <w:lang w:eastAsia="hr-HR"/>
              </w:rPr>
            </w:pPr>
            <w:r w:rsidRPr="007A7C7C">
              <w:rPr>
                <w:b/>
                <w:sz w:val="20"/>
                <w:szCs w:val="20"/>
              </w:rPr>
              <w:t>264,5</w:t>
            </w:r>
          </w:p>
        </w:tc>
        <w:tc>
          <w:tcPr>
            <w:tcW w:w="850" w:type="dxa"/>
            <w:tcBorders>
              <w:top w:val="nil"/>
              <w:left w:val="nil"/>
              <w:bottom w:val="single" w:sz="4" w:space="0" w:color="auto"/>
              <w:right w:val="single" w:sz="4" w:space="0" w:color="auto"/>
            </w:tcBorders>
            <w:shd w:val="clear" w:color="auto" w:fill="auto"/>
            <w:noWrap/>
            <w:vAlign w:val="center"/>
          </w:tcPr>
          <w:p w14:paraId="7F1106CD" w14:textId="4B439E83" w:rsidR="00B3287A" w:rsidRPr="007A7C7C" w:rsidRDefault="00B3287A" w:rsidP="00B3287A">
            <w:pPr>
              <w:jc w:val="right"/>
              <w:rPr>
                <w:b/>
                <w:sz w:val="20"/>
                <w:szCs w:val="20"/>
              </w:rPr>
            </w:pPr>
            <w:r w:rsidRPr="007A7C7C">
              <w:rPr>
                <w:b/>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B3EDE35" w14:textId="5B010187" w:rsidR="00B3287A" w:rsidRPr="007A7C7C" w:rsidRDefault="00B3287A" w:rsidP="00B3287A">
            <w:pPr>
              <w:jc w:val="right"/>
              <w:rPr>
                <w:b/>
                <w:sz w:val="20"/>
                <w:szCs w:val="20"/>
              </w:rPr>
            </w:pPr>
            <w:r w:rsidRPr="007A7C7C">
              <w:rPr>
                <w:b/>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45DF7B48" w14:textId="2F5CD87E" w:rsidR="00B3287A" w:rsidRPr="007A7C7C" w:rsidRDefault="00B3287A" w:rsidP="00B3287A">
            <w:pPr>
              <w:jc w:val="right"/>
              <w:rPr>
                <w:rFonts w:eastAsia="Times New Roman"/>
                <w:b/>
                <w:bCs/>
                <w:sz w:val="20"/>
                <w:szCs w:val="20"/>
                <w:lang w:eastAsia="hr-HR"/>
              </w:rPr>
            </w:pPr>
            <w:r w:rsidRPr="007A7C7C">
              <w:rPr>
                <w:b/>
                <w:sz w:val="20"/>
                <w:szCs w:val="20"/>
              </w:rPr>
              <w:t>1,1</w:t>
            </w:r>
          </w:p>
        </w:tc>
        <w:tc>
          <w:tcPr>
            <w:tcW w:w="760" w:type="dxa"/>
            <w:tcBorders>
              <w:top w:val="nil"/>
              <w:left w:val="nil"/>
              <w:bottom w:val="single" w:sz="4" w:space="0" w:color="auto"/>
              <w:right w:val="single" w:sz="4" w:space="0" w:color="auto"/>
            </w:tcBorders>
            <w:shd w:val="clear" w:color="auto" w:fill="auto"/>
            <w:noWrap/>
            <w:vAlign w:val="center"/>
          </w:tcPr>
          <w:p w14:paraId="298965CE" w14:textId="17EA1B30" w:rsidR="00B3287A" w:rsidRPr="007A7C7C" w:rsidRDefault="00B3287A" w:rsidP="00B3287A">
            <w:pPr>
              <w:jc w:val="right"/>
              <w:rPr>
                <w:rFonts w:eastAsia="Times New Roman"/>
                <w:b/>
                <w:bCs/>
                <w:sz w:val="20"/>
                <w:szCs w:val="20"/>
                <w:lang w:eastAsia="hr-HR"/>
              </w:rPr>
            </w:pPr>
            <w:r w:rsidRPr="007A7C7C">
              <w:rPr>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171351DA" w14:textId="0B21C9DF" w:rsidR="00B3287A" w:rsidRPr="007A7C7C" w:rsidRDefault="00B3287A" w:rsidP="00B3287A">
            <w:pPr>
              <w:jc w:val="right"/>
              <w:rPr>
                <w:rFonts w:eastAsia="Times New Roman"/>
                <w:b/>
                <w:bCs/>
                <w:sz w:val="20"/>
                <w:szCs w:val="20"/>
                <w:lang w:eastAsia="hr-HR"/>
              </w:rPr>
            </w:pPr>
            <w:r w:rsidRPr="007A7C7C">
              <w:rPr>
                <w:b/>
                <w:sz w:val="20"/>
                <w:szCs w:val="20"/>
              </w:rPr>
              <w:t>267,7</w:t>
            </w:r>
          </w:p>
        </w:tc>
      </w:tr>
      <w:tr w:rsidR="00B3287A" w:rsidRPr="007A7C7C" w14:paraId="1C959D77"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06B2B57B" w14:textId="232920F3"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10E8D381" w14:textId="0289B6F2"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4F06A898" w14:textId="77777777" w:rsidR="00B3287A" w:rsidRPr="007A7C7C" w:rsidRDefault="00B3287A" w:rsidP="00B3287A">
            <w:pPr>
              <w:jc w:val="both"/>
              <w:rPr>
                <w:sz w:val="20"/>
                <w:szCs w:val="20"/>
                <w:lang w:eastAsia="hr-HR"/>
              </w:rPr>
            </w:pPr>
            <w:r w:rsidRPr="007A7C7C">
              <w:rPr>
                <w:sz w:val="20"/>
                <w:szCs w:val="20"/>
                <w:lang w:eastAsia="hr-HR"/>
              </w:rPr>
              <w:t>Istraživanje i razvoj i inovacije</w:t>
            </w:r>
          </w:p>
        </w:tc>
        <w:tc>
          <w:tcPr>
            <w:tcW w:w="851" w:type="dxa"/>
            <w:tcBorders>
              <w:top w:val="nil"/>
              <w:left w:val="nil"/>
              <w:bottom w:val="single" w:sz="4" w:space="0" w:color="auto"/>
              <w:right w:val="single" w:sz="4" w:space="0" w:color="auto"/>
            </w:tcBorders>
            <w:shd w:val="clear" w:color="auto" w:fill="auto"/>
            <w:noWrap/>
            <w:vAlign w:val="center"/>
          </w:tcPr>
          <w:p w14:paraId="4D7EB9EB" w14:textId="2FB15E61" w:rsidR="00B3287A" w:rsidRPr="007A7C7C" w:rsidRDefault="00B3287A" w:rsidP="00B3287A">
            <w:pPr>
              <w:jc w:val="right"/>
              <w:rPr>
                <w:rFonts w:eastAsia="Times New Roman"/>
                <w:sz w:val="20"/>
                <w:szCs w:val="20"/>
                <w:lang w:eastAsia="hr-HR"/>
              </w:rPr>
            </w:pPr>
            <w:r w:rsidRPr="007A7C7C">
              <w:rPr>
                <w:sz w:val="20"/>
                <w:szCs w:val="20"/>
              </w:rPr>
              <w:t>193,4</w:t>
            </w:r>
          </w:p>
        </w:tc>
        <w:tc>
          <w:tcPr>
            <w:tcW w:w="850" w:type="dxa"/>
            <w:tcBorders>
              <w:top w:val="nil"/>
              <w:left w:val="nil"/>
              <w:bottom w:val="single" w:sz="4" w:space="0" w:color="auto"/>
              <w:right w:val="single" w:sz="4" w:space="0" w:color="auto"/>
            </w:tcBorders>
            <w:shd w:val="clear" w:color="auto" w:fill="auto"/>
            <w:noWrap/>
            <w:vAlign w:val="center"/>
          </w:tcPr>
          <w:p w14:paraId="11AF3907" w14:textId="5138AB2F"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A2B6E0E" w14:textId="186A94F1"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3F29BE84" w14:textId="21E42263"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3F7EA6F8" w14:textId="7D87E957"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78D849D6" w14:textId="08FA5F5D" w:rsidR="00B3287A" w:rsidRPr="007A7C7C" w:rsidRDefault="00B3287A" w:rsidP="00B3287A">
            <w:pPr>
              <w:jc w:val="right"/>
              <w:rPr>
                <w:rFonts w:eastAsia="Times New Roman"/>
                <w:sz w:val="20"/>
                <w:szCs w:val="20"/>
                <w:lang w:eastAsia="hr-HR"/>
              </w:rPr>
            </w:pPr>
            <w:r w:rsidRPr="007A7C7C">
              <w:rPr>
                <w:sz w:val="20"/>
                <w:szCs w:val="20"/>
              </w:rPr>
              <w:t>193,4</w:t>
            </w:r>
          </w:p>
        </w:tc>
      </w:tr>
      <w:tr w:rsidR="00B3287A" w:rsidRPr="007A7C7C" w14:paraId="52C199F3"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32C6A87C" w14:textId="7BE1C791"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0A3A771D" w14:textId="783C037B"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7FF853BF" w14:textId="77777777" w:rsidR="00B3287A" w:rsidRPr="007A7C7C" w:rsidRDefault="00B3287A" w:rsidP="00B3287A">
            <w:pPr>
              <w:jc w:val="both"/>
              <w:rPr>
                <w:sz w:val="20"/>
                <w:szCs w:val="20"/>
                <w:lang w:eastAsia="hr-HR"/>
              </w:rPr>
            </w:pPr>
            <w:r w:rsidRPr="007A7C7C">
              <w:rPr>
                <w:sz w:val="20"/>
                <w:szCs w:val="20"/>
                <w:lang w:eastAsia="hr-HR"/>
              </w:rPr>
              <w:t>Zapošljavanje</w:t>
            </w:r>
          </w:p>
        </w:tc>
        <w:tc>
          <w:tcPr>
            <w:tcW w:w="851" w:type="dxa"/>
            <w:tcBorders>
              <w:top w:val="nil"/>
              <w:left w:val="nil"/>
              <w:bottom w:val="single" w:sz="4" w:space="0" w:color="auto"/>
              <w:right w:val="single" w:sz="4" w:space="0" w:color="auto"/>
            </w:tcBorders>
            <w:shd w:val="clear" w:color="auto" w:fill="auto"/>
            <w:noWrap/>
            <w:vAlign w:val="bottom"/>
          </w:tcPr>
          <w:p w14:paraId="74B1B9C6" w14:textId="3790FDAD" w:rsidR="00B3287A" w:rsidRPr="007A7C7C" w:rsidRDefault="00B3287A" w:rsidP="00B3287A">
            <w:pPr>
              <w:jc w:val="right"/>
              <w:rPr>
                <w:rFonts w:eastAsia="Times New Roman"/>
                <w:sz w:val="20"/>
                <w:szCs w:val="20"/>
                <w:lang w:eastAsia="hr-HR"/>
              </w:rPr>
            </w:pPr>
            <w:r w:rsidRPr="007A7C7C">
              <w:rPr>
                <w:sz w:val="20"/>
                <w:szCs w:val="20"/>
              </w:rPr>
              <w:t>42,4</w:t>
            </w:r>
          </w:p>
        </w:tc>
        <w:tc>
          <w:tcPr>
            <w:tcW w:w="850" w:type="dxa"/>
            <w:tcBorders>
              <w:top w:val="nil"/>
              <w:left w:val="nil"/>
              <w:bottom w:val="single" w:sz="4" w:space="0" w:color="auto"/>
              <w:right w:val="single" w:sz="4" w:space="0" w:color="auto"/>
            </w:tcBorders>
            <w:shd w:val="clear" w:color="auto" w:fill="auto"/>
            <w:noWrap/>
            <w:vAlign w:val="center"/>
          </w:tcPr>
          <w:p w14:paraId="6130D6A4" w14:textId="182CA098"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9A73935" w14:textId="042643AC"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0F4A61C0" w14:textId="769DFED1"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3394BEC5" w14:textId="0CD7C25D"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6C6751FF" w14:textId="2818B189" w:rsidR="00B3287A" w:rsidRPr="007A7C7C" w:rsidRDefault="00B3287A" w:rsidP="00B3287A">
            <w:pPr>
              <w:jc w:val="right"/>
              <w:rPr>
                <w:rFonts w:eastAsia="Times New Roman"/>
                <w:sz w:val="20"/>
                <w:szCs w:val="20"/>
                <w:lang w:eastAsia="hr-HR"/>
              </w:rPr>
            </w:pPr>
            <w:r w:rsidRPr="007A7C7C">
              <w:rPr>
                <w:sz w:val="20"/>
                <w:szCs w:val="20"/>
              </w:rPr>
              <w:t>42,4</w:t>
            </w:r>
          </w:p>
        </w:tc>
      </w:tr>
      <w:tr w:rsidR="00B3287A" w:rsidRPr="007A7C7C" w14:paraId="029E7AB0" w14:textId="77777777" w:rsidTr="00AB080D">
        <w:trPr>
          <w:trHeight w:val="51"/>
        </w:trPr>
        <w:tc>
          <w:tcPr>
            <w:tcW w:w="366" w:type="dxa"/>
            <w:tcBorders>
              <w:top w:val="nil"/>
              <w:left w:val="single" w:sz="4" w:space="0" w:color="auto"/>
              <w:bottom w:val="nil"/>
              <w:right w:val="single" w:sz="4" w:space="0" w:color="auto"/>
            </w:tcBorders>
            <w:shd w:val="clear" w:color="auto" w:fill="auto"/>
            <w:noWrap/>
            <w:vAlign w:val="center"/>
          </w:tcPr>
          <w:p w14:paraId="683BD1EC" w14:textId="77777777"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59F131FC" w14:textId="77777777"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tcPr>
          <w:p w14:paraId="151775EE" w14:textId="77777777" w:rsidR="00B3287A" w:rsidRPr="007A7C7C" w:rsidRDefault="00B3287A" w:rsidP="00B3287A">
            <w:pPr>
              <w:jc w:val="both"/>
              <w:rPr>
                <w:sz w:val="20"/>
                <w:szCs w:val="20"/>
                <w:lang w:eastAsia="hr-HR"/>
              </w:rPr>
            </w:pPr>
            <w:r w:rsidRPr="007A7C7C">
              <w:rPr>
                <w:sz w:val="20"/>
                <w:szCs w:val="20"/>
              </w:rPr>
              <w:t>Usavršavanje</w:t>
            </w:r>
          </w:p>
        </w:tc>
        <w:tc>
          <w:tcPr>
            <w:tcW w:w="851" w:type="dxa"/>
            <w:tcBorders>
              <w:top w:val="nil"/>
              <w:left w:val="nil"/>
              <w:bottom w:val="single" w:sz="4" w:space="0" w:color="auto"/>
              <w:right w:val="single" w:sz="4" w:space="0" w:color="auto"/>
            </w:tcBorders>
            <w:shd w:val="clear" w:color="auto" w:fill="auto"/>
            <w:noWrap/>
            <w:vAlign w:val="center"/>
          </w:tcPr>
          <w:p w14:paraId="4013D5B9" w14:textId="00E9E5E7" w:rsidR="00B3287A" w:rsidRPr="007A7C7C" w:rsidRDefault="00B3287A" w:rsidP="00B3287A">
            <w:pPr>
              <w:jc w:val="right"/>
              <w:rPr>
                <w:rFonts w:eastAsia="Times New Roman"/>
                <w:sz w:val="20"/>
                <w:szCs w:val="20"/>
                <w:lang w:eastAsia="hr-HR"/>
              </w:rPr>
            </w:pPr>
            <w:r w:rsidRPr="007A7C7C">
              <w:rPr>
                <w:sz w:val="20"/>
                <w:szCs w:val="20"/>
              </w:rPr>
              <w:t>0,03</w:t>
            </w:r>
          </w:p>
        </w:tc>
        <w:tc>
          <w:tcPr>
            <w:tcW w:w="850" w:type="dxa"/>
            <w:tcBorders>
              <w:top w:val="nil"/>
              <w:left w:val="nil"/>
              <w:bottom w:val="single" w:sz="4" w:space="0" w:color="auto"/>
              <w:right w:val="single" w:sz="4" w:space="0" w:color="auto"/>
            </w:tcBorders>
            <w:shd w:val="clear" w:color="auto" w:fill="auto"/>
            <w:noWrap/>
            <w:vAlign w:val="center"/>
          </w:tcPr>
          <w:p w14:paraId="53FADEC4" w14:textId="092AE683"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5A40E6C2" w14:textId="2D4157ED"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06E18D5A" w14:textId="5551CE19"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15F86640" w14:textId="06077FF9"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757773B2" w14:textId="131F30FF" w:rsidR="00B3287A" w:rsidRPr="007A7C7C" w:rsidRDefault="00B3287A" w:rsidP="00B3287A">
            <w:pPr>
              <w:jc w:val="right"/>
              <w:rPr>
                <w:rFonts w:eastAsia="Times New Roman"/>
                <w:sz w:val="20"/>
                <w:szCs w:val="20"/>
                <w:lang w:eastAsia="hr-HR"/>
              </w:rPr>
            </w:pPr>
            <w:r w:rsidRPr="007A7C7C">
              <w:rPr>
                <w:sz w:val="20"/>
                <w:szCs w:val="20"/>
              </w:rPr>
              <w:t>0,03</w:t>
            </w:r>
          </w:p>
        </w:tc>
      </w:tr>
      <w:tr w:rsidR="00B3287A" w:rsidRPr="007A7C7C" w14:paraId="103126CC"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14D571B4" w14:textId="1FB1F5D9"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5B77CFF9" w14:textId="315E6DEA"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1E725C2D" w14:textId="77777777" w:rsidR="00B3287A" w:rsidRPr="007A7C7C" w:rsidRDefault="00B3287A" w:rsidP="00B3287A">
            <w:pPr>
              <w:jc w:val="both"/>
              <w:rPr>
                <w:sz w:val="20"/>
                <w:szCs w:val="20"/>
                <w:lang w:eastAsia="hr-HR"/>
              </w:rPr>
            </w:pPr>
            <w:r w:rsidRPr="007A7C7C">
              <w:rPr>
                <w:sz w:val="20"/>
                <w:szCs w:val="20"/>
                <w:lang w:eastAsia="hr-HR"/>
              </w:rPr>
              <w:t>Mali i srednji poduzetnici</w:t>
            </w:r>
          </w:p>
        </w:tc>
        <w:tc>
          <w:tcPr>
            <w:tcW w:w="851" w:type="dxa"/>
            <w:tcBorders>
              <w:top w:val="nil"/>
              <w:left w:val="nil"/>
              <w:bottom w:val="single" w:sz="4" w:space="0" w:color="auto"/>
              <w:right w:val="single" w:sz="4" w:space="0" w:color="auto"/>
            </w:tcBorders>
            <w:shd w:val="clear" w:color="auto" w:fill="auto"/>
            <w:noWrap/>
            <w:vAlign w:val="bottom"/>
          </w:tcPr>
          <w:p w14:paraId="2446E039" w14:textId="511C27D0" w:rsidR="00B3287A" w:rsidRPr="007A7C7C" w:rsidRDefault="00B3287A" w:rsidP="00B3287A">
            <w:pPr>
              <w:jc w:val="right"/>
              <w:rPr>
                <w:rFonts w:eastAsia="Times New Roman"/>
                <w:sz w:val="20"/>
                <w:szCs w:val="20"/>
                <w:lang w:eastAsia="hr-HR"/>
              </w:rPr>
            </w:pPr>
            <w:r w:rsidRPr="007A7C7C">
              <w:rPr>
                <w:sz w:val="20"/>
                <w:szCs w:val="20"/>
              </w:rPr>
              <w:t>4,7</w:t>
            </w:r>
          </w:p>
        </w:tc>
        <w:tc>
          <w:tcPr>
            <w:tcW w:w="850" w:type="dxa"/>
            <w:tcBorders>
              <w:top w:val="nil"/>
              <w:left w:val="nil"/>
              <w:bottom w:val="single" w:sz="4" w:space="0" w:color="auto"/>
              <w:right w:val="single" w:sz="4" w:space="0" w:color="auto"/>
            </w:tcBorders>
            <w:shd w:val="clear" w:color="auto" w:fill="auto"/>
            <w:noWrap/>
            <w:vAlign w:val="center"/>
          </w:tcPr>
          <w:p w14:paraId="4E14B52F" w14:textId="39E6377B"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B77BB0C" w14:textId="588EBB8E"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bottom"/>
          </w:tcPr>
          <w:p w14:paraId="0B4F6F37" w14:textId="072A4F7A" w:rsidR="00B3287A" w:rsidRPr="007A7C7C" w:rsidRDefault="00B3287A" w:rsidP="00B3287A">
            <w:pPr>
              <w:jc w:val="right"/>
              <w:rPr>
                <w:rFonts w:eastAsia="Times New Roman"/>
                <w:sz w:val="20"/>
                <w:szCs w:val="20"/>
                <w:lang w:eastAsia="hr-HR"/>
              </w:rPr>
            </w:pPr>
            <w:r w:rsidRPr="007A7C7C">
              <w:rPr>
                <w:sz w:val="20"/>
                <w:szCs w:val="20"/>
              </w:rPr>
              <w:t>1,1</w:t>
            </w:r>
          </w:p>
        </w:tc>
        <w:tc>
          <w:tcPr>
            <w:tcW w:w="760" w:type="dxa"/>
            <w:tcBorders>
              <w:top w:val="nil"/>
              <w:left w:val="nil"/>
              <w:bottom w:val="single" w:sz="4" w:space="0" w:color="auto"/>
              <w:right w:val="single" w:sz="4" w:space="0" w:color="auto"/>
            </w:tcBorders>
            <w:shd w:val="clear" w:color="auto" w:fill="auto"/>
            <w:noWrap/>
            <w:vAlign w:val="bottom"/>
          </w:tcPr>
          <w:p w14:paraId="016A38C6" w14:textId="7D37B696" w:rsidR="00B3287A" w:rsidRPr="007A7C7C" w:rsidRDefault="00B3287A" w:rsidP="00B3287A">
            <w:pPr>
              <w:jc w:val="right"/>
              <w:rPr>
                <w:rFonts w:eastAsia="Times New Roman"/>
                <w:sz w:val="20"/>
                <w:szCs w:val="20"/>
                <w:lang w:eastAsia="hr-HR"/>
              </w:rPr>
            </w:pPr>
            <w:r w:rsidRPr="007A7C7C">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6310A259" w14:textId="5D648C54" w:rsidR="00B3287A" w:rsidRPr="007A7C7C" w:rsidRDefault="00B3287A" w:rsidP="00B3287A">
            <w:pPr>
              <w:jc w:val="right"/>
              <w:rPr>
                <w:rFonts w:eastAsia="Times New Roman"/>
                <w:sz w:val="20"/>
                <w:szCs w:val="20"/>
                <w:lang w:eastAsia="hr-HR"/>
              </w:rPr>
            </w:pPr>
            <w:r w:rsidRPr="007A7C7C">
              <w:rPr>
                <w:sz w:val="20"/>
                <w:szCs w:val="20"/>
              </w:rPr>
              <w:t>7,8</w:t>
            </w:r>
          </w:p>
        </w:tc>
      </w:tr>
      <w:tr w:rsidR="00B3287A" w:rsidRPr="007A7C7C" w14:paraId="02717E8A"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48AA25B8" w14:textId="0931362A"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4275D3DE" w14:textId="0EAB6787"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3D4DC530" w14:textId="77777777" w:rsidR="00B3287A" w:rsidRPr="007A7C7C" w:rsidRDefault="00B3287A" w:rsidP="00B3287A">
            <w:pPr>
              <w:jc w:val="both"/>
              <w:rPr>
                <w:sz w:val="20"/>
                <w:szCs w:val="20"/>
                <w:lang w:eastAsia="hr-HR"/>
              </w:rPr>
            </w:pPr>
            <w:r w:rsidRPr="007A7C7C">
              <w:rPr>
                <w:sz w:val="20"/>
                <w:szCs w:val="20"/>
                <w:lang w:eastAsia="hr-HR"/>
              </w:rPr>
              <w:t>Kultura</w:t>
            </w:r>
          </w:p>
        </w:tc>
        <w:tc>
          <w:tcPr>
            <w:tcW w:w="851" w:type="dxa"/>
            <w:tcBorders>
              <w:top w:val="nil"/>
              <w:left w:val="nil"/>
              <w:bottom w:val="single" w:sz="4" w:space="0" w:color="auto"/>
              <w:right w:val="single" w:sz="4" w:space="0" w:color="auto"/>
            </w:tcBorders>
            <w:shd w:val="clear" w:color="auto" w:fill="auto"/>
            <w:noWrap/>
            <w:vAlign w:val="center"/>
          </w:tcPr>
          <w:p w14:paraId="6B929E99" w14:textId="75686BD2" w:rsidR="00B3287A" w:rsidRPr="007A7C7C" w:rsidRDefault="00B3287A" w:rsidP="00B3287A">
            <w:pPr>
              <w:jc w:val="right"/>
              <w:rPr>
                <w:rFonts w:eastAsia="Times New Roman"/>
                <w:sz w:val="20"/>
                <w:szCs w:val="20"/>
                <w:lang w:eastAsia="hr-HR"/>
              </w:rPr>
            </w:pPr>
            <w:r w:rsidRPr="007A7C7C">
              <w:rPr>
                <w:sz w:val="20"/>
                <w:szCs w:val="20"/>
              </w:rPr>
              <w:t>24,1</w:t>
            </w:r>
          </w:p>
        </w:tc>
        <w:tc>
          <w:tcPr>
            <w:tcW w:w="850" w:type="dxa"/>
            <w:tcBorders>
              <w:top w:val="nil"/>
              <w:left w:val="nil"/>
              <w:bottom w:val="single" w:sz="4" w:space="0" w:color="auto"/>
              <w:right w:val="single" w:sz="4" w:space="0" w:color="auto"/>
            </w:tcBorders>
            <w:shd w:val="clear" w:color="auto" w:fill="auto"/>
            <w:noWrap/>
            <w:vAlign w:val="center"/>
          </w:tcPr>
          <w:p w14:paraId="72DB3D74" w14:textId="0FA9DBEF"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5FD17E4E" w14:textId="5798F415"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02E75739" w14:textId="10573502"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0009D3DE" w14:textId="203324DF"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14119AEF" w14:textId="7635DE5C" w:rsidR="00B3287A" w:rsidRPr="007A7C7C" w:rsidRDefault="00B3287A" w:rsidP="00B3287A">
            <w:pPr>
              <w:jc w:val="right"/>
              <w:rPr>
                <w:rFonts w:eastAsia="Times New Roman"/>
                <w:sz w:val="20"/>
                <w:szCs w:val="20"/>
                <w:lang w:eastAsia="hr-HR"/>
              </w:rPr>
            </w:pPr>
            <w:r w:rsidRPr="007A7C7C">
              <w:rPr>
                <w:sz w:val="20"/>
                <w:szCs w:val="20"/>
              </w:rPr>
              <w:t>24,1</w:t>
            </w:r>
          </w:p>
        </w:tc>
      </w:tr>
      <w:tr w:rsidR="00B3287A" w:rsidRPr="007A7C7C" w14:paraId="353FA995"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57103415" w14:textId="228B9E09" w:rsidR="00B3287A" w:rsidRPr="007A7C7C" w:rsidRDefault="00B3287A" w:rsidP="00B3287A">
            <w:pPr>
              <w:jc w:val="both"/>
              <w:rPr>
                <w:b/>
                <w:bCs/>
                <w:sz w:val="20"/>
                <w:szCs w:val="20"/>
                <w:lang w:eastAsia="hr-HR"/>
              </w:rPr>
            </w:pPr>
          </w:p>
        </w:tc>
        <w:tc>
          <w:tcPr>
            <w:tcW w:w="3740" w:type="dxa"/>
            <w:gridSpan w:val="2"/>
            <w:tcBorders>
              <w:top w:val="single" w:sz="4" w:space="0" w:color="auto"/>
              <w:left w:val="nil"/>
              <w:bottom w:val="single" w:sz="4" w:space="0" w:color="auto"/>
              <w:right w:val="single" w:sz="4" w:space="0" w:color="000000"/>
            </w:tcBorders>
            <w:shd w:val="clear" w:color="auto" w:fill="auto"/>
            <w:vAlign w:val="center"/>
            <w:hideMark/>
          </w:tcPr>
          <w:p w14:paraId="23AAF7D1" w14:textId="77777777" w:rsidR="00B3287A" w:rsidRPr="007A7C7C" w:rsidRDefault="00B3287A" w:rsidP="00B3287A">
            <w:pPr>
              <w:jc w:val="both"/>
              <w:rPr>
                <w:b/>
                <w:bCs/>
                <w:i/>
                <w:iCs/>
                <w:sz w:val="20"/>
                <w:szCs w:val="20"/>
                <w:lang w:eastAsia="hr-HR"/>
              </w:rPr>
            </w:pPr>
            <w:r w:rsidRPr="007A7C7C">
              <w:rPr>
                <w:b/>
                <w:bCs/>
                <w:i/>
                <w:iCs/>
                <w:sz w:val="20"/>
                <w:szCs w:val="20"/>
                <w:lang w:eastAsia="hr-HR"/>
              </w:rPr>
              <w:t>Posebni sektori</w:t>
            </w:r>
          </w:p>
        </w:tc>
        <w:tc>
          <w:tcPr>
            <w:tcW w:w="851" w:type="dxa"/>
            <w:tcBorders>
              <w:top w:val="nil"/>
              <w:left w:val="nil"/>
              <w:bottom w:val="single" w:sz="4" w:space="0" w:color="auto"/>
              <w:right w:val="single" w:sz="4" w:space="0" w:color="auto"/>
            </w:tcBorders>
            <w:shd w:val="clear" w:color="auto" w:fill="auto"/>
            <w:noWrap/>
            <w:vAlign w:val="center"/>
          </w:tcPr>
          <w:p w14:paraId="70F1C81E" w14:textId="3BD91D9E" w:rsidR="00B3287A" w:rsidRPr="007A7C7C" w:rsidRDefault="00B3287A" w:rsidP="00B3287A">
            <w:pPr>
              <w:jc w:val="right"/>
              <w:rPr>
                <w:rFonts w:eastAsia="Times New Roman"/>
                <w:b/>
                <w:bCs/>
                <w:sz w:val="20"/>
                <w:szCs w:val="20"/>
                <w:lang w:eastAsia="hr-HR"/>
              </w:rPr>
            </w:pPr>
            <w:r w:rsidRPr="007A7C7C">
              <w:rPr>
                <w:b/>
                <w:sz w:val="20"/>
                <w:szCs w:val="20"/>
              </w:rPr>
              <w:t>756,9</w:t>
            </w:r>
          </w:p>
        </w:tc>
        <w:tc>
          <w:tcPr>
            <w:tcW w:w="850" w:type="dxa"/>
            <w:tcBorders>
              <w:top w:val="nil"/>
              <w:left w:val="nil"/>
              <w:bottom w:val="single" w:sz="4" w:space="0" w:color="auto"/>
              <w:right w:val="single" w:sz="4" w:space="0" w:color="auto"/>
            </w:tcBorders>
            <w:shd w:val="clear" w:color="auto" w:fill="auto"/>
            <w:noWrap/>
            <w:vAlign w:val="center"/>
          </w:tcPr>
          <w:p w14:paraId="069713C6" w14:textId="13520B12" w:rsidR="00B3287A" w:rsidRPr="007A7C7C" w:rsidRDefault="00B3287A" w:rsidP="00B3287A">
            <w:pPr>
              <w:jc w:val="right"/>
              <w:rPr>
                <w:rFonts w:eastAsia="Times New Roman"/>
                <w:b/>
                <w:bCs/>
                <w:sz w:val="20"/>
                <w:szCs w:val="20"/>
                <w:lang w:eastAsia="hr-HR"/>
              </w:rPr>
            </w:pPr>
            <w:r w:rsidRPr="007A7C7C">
              <w:rPr>
                <w:b/>
                <w:sz w:val="20"/>
                <w:szCs w:val="20"/>
              </w:rPr>
              <w:t>38,0</w:t>
            </w:r>
          </w:p>
        </w:tc>
        <w:tc>
          <w:tcPr>
            <w:tcW w:w="851" w:type="dxa"/>
            <w:tcBorders>
              <w:top w:val="nil"/>
              <w:left w:val="nil"/>
              <w:bottom w:val="single" w:sz="4" w:space="0" w:color="auto"/>
              <w:right w:val="single" w:sz="4" w:space="0" w:color="auto"/>
            </w:tcBorders>
            <w:shd w:val="clear" w:color="auto" w:fill="auto"/>
            <w:noWrap/>
            <w:vAlign w:val="center"/>
          </w:tcPr>
          <w:p w14:paraId="6CDE438E" w14:textId="463FAF73" w:rsidR="00B3287A" w:rsidRPr="007A7C7C" w:rsidRDefault="00B3287A" w:rsidP="00B3287A">
            <w:pPr>
              <w:jc w:val="right"/>
              <w:rPr>
                <w:b/>
                <w:sz w:val="20"/>
                <w:szCs w:val="20"/>
              </w:rPr>
            </w:pPr>
            <w:r w:rsidRPr="007A7C7C">
              <w:rPr>
                <w:b/>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25D29A5F" w14:textId="2CC8CB50" w:rsidR="00B3287A" w:rsidRPr="007A7C7C" w:rsidRDefault="00B3287A" w:rsidP="00B3287A">
            <w:pPr>
              <w:jc w:val="right"/>
              <w:rPr>
                <w:b/>
                <w:sz w:val="20"/>
                <w:szCs w:val="20"/>
              </w:rPr>
            </w:pPr>
            <w:r w:rsidRPr="007A7C7C">
              <w:rPr>
                <w:b/>
                <w:sz w:val="20"/>
                <w:szCs w:val="20"/>
              </w:rPr>
              <w:t>15,6</w:t>
            </w:r>
          </w:p>
        </w:tc>
        <w:tc>
          <w:tcPr>
            <w:tcW w:w="760" w:type="dxa"/>
            <w:tcBorders>
              <w:top w:val="nil"/>
              <w:left w:val="nil"/>
              <w:bottom w:val="single" w:sz="4" w:space="0" w:color="auto"/>
              <w:right w:val="single" w:sz="4" w:space="0" w:color="auto"/>
            </w:tcBorders>
            <w:shd w:val="clear" w:color="auto" w:fill="auto"/>
            <w:noWrap/>
            <w:vAlign w:val="center"/>
          </w:tcPr>
          <w:p w14:paraId="1B78E4B0" w14:textId="2E2C96CD" w:rsidR="00B3287A" w:rsidRPr="007A7C7C" w:rsidRDefault="00B3287A" w:rsidP="00B3287A">
            <w:pPr>
              <w:jc w:val="right"/>
              <w:rPr>
                <w:rFonts w:eastAsia="Times New Roman"/>
                <w:b/>
                <w:bCs/>
                <w:sz w:val="20"/>
                <w:szCs w:val="20"/>
                <w:lang w:eastAsia="hr-HR"/>
              </w:rPr>
            </w:pPr>
            <w:r w:rsidRPr="007A7C7C">
              <w:rPr>
                <w:b/>
                <w:sz w:val="20"/>
                <w:szCs w:val="20"/>
              </w:rPr>
              <w:t>38,5</w:t>
            </w:r>
          </w:p>
        </w:tc>
        <w:tc>
          <w:tcPr>
            <w:tcW w:w="992" w:type="dxa"/>
            <w:tcBorders>
              <w:top w:val="nil"/>
              <w:left w:val="nil"/>
              <w:bottom w:val="single" w:sz="4" w:space="0" w:color="auto"/>
              <w:right w:val="single" w:sz="4" w:space="0" w:color="auto"/>
            </w:tcBorders>
            <w:shd w:val="clear" w:color="auto" w:fill="auto"/>
            <w:noWrap/>
            <w:vAlign w:val="center"/>
          </w:tcPr>
          <w:p w14:paraId="07E9F3EE" w14:textId="7FA20F09" w:rsidR="00B3287A" w:rsidRPr="007A7C7C" w:rsidRDefault="00B3287A" w:rsidP="00B3287A">
            <w:pPr>
              <w:jc w:val="right"/>
              <w:rPr>
                <w:rFonts w:eastAsia="Times New Roman"/>
                <w:b/>
                <w:bCs/>
                <w:sz w:val="20"/>
                <w:szCs w:val="20"/>
                <w:lang w:eastAsia="hr-HR"/>
              </w:rPr>
            </w:pPr>
            <w:r w:rsidRPr="007A7C7C">
              <w:rPr>
                <w:b/>
                <w:sz w:val="20"/>
                <w:szCs w:val="20"/>
              </w:rPr>
              <w:t>848,9</w:t>
            </w:r>
          </w:p>
        </w:tc>
      </w:tr>
      <w:tr w:rsidR="00B3287A" w:rsidRPr="007A7C7C" w14:paraId="1D8F5FAD"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665994D7" w14:textId="613A7E95"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15AFE289" w14:textId="0E202AB2"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vAlign w:val="center"/>
            <w:hideMark/>
          </w:tcPr>
          <w:p w14:paraId="179260DD" w14:textId="77777777" w:rsidR="00B3287A" w:rsidRPr="007A7C7C" w:rsidRDefault="00B3287A" w:rsidP="00B3287A">
            <w:pPr>
              <w:jc w:val="both"/>
              <w:rPr>
                <w:sz w:val="20"/>
                <w:szCs w:val="20"/>
                <w:lang w:eastAsia="hr-HR"/>
              </w:rPr>
            </w:pPr>
            <w:r w:rsidRPr="007A7C7C">
              <w:rPr>
                <w:sz w:val="20"/>
                <w:szCs w:val="20"/>
                <w:lang w:eastAsia="hr-HR"/>
              </w:rPr>
              <w:t>Poštanske usluge</w:t>
            </w:r>
          </w:p>
        </w:tc>
        <w:tc>
          <w:tcPr>
            <w:tcW w:w="851" w:type="dxa"/>
            <w:tcBorders>
              <w:top w:val="nil"/>
              <w:left w:val="nil"/>
              <w:bottom w:val="single" w:sz="4" w:space="0" w:color="auto"/>
              <w:right w:val="single" w:sz="4" w:space="0" w:color="auto"/>
            </w:tcBorders>
            <w:shd w:val="clear" w:color="auto" w:fill="auto"/>
            <w:vAlign w:val="center"/>
          </w:tcPr>
          <w:p w14:paraId="659AAF83" w14:textId="52157E9A" w:rsidR="00B3287A" w:rsidRPr="007A7C7C" w:rsidRDefault="00B3287A" w:rsidP="00B3287A">
            <w:pPr>
              <w:jc w:val="right"/>
              <w:rPr>
                <w:rFonts w:eastAsia="Times New Roman"/>
                <w:sz w:val="20"/>
                <w:szCs w:val="20"/>
                <w:lang w:eastAsia="hr-HR"/>
              </w:rPr>
            </w:pPr>
            <w:r w:rsidRPr="007A7C7C">
              <w:rPr>
                <w:sz w:val="20"/>
                <w:szCs w:val="20"/>
              </w:rPr>
              <w:t>14,8</w:t>
            </w:r>
          </w:p>
        </w:tc>
        <w:tc>
          <w:tcPr>
            <w:tcW w:w="850" w:type="dxa"/>
            <w:tcBorders>
              <w:top w:val="nil"/>
              <w:left w:val="nil"/>
              <w:bottom w:val="single" w:sz="4" w:space="0" w:color="auto"/>
              <w:right w:val="single" w:sz="4" w:space="0" w:color="auto"/>
            </w:tcBorders>
            <w:shd w:val="clear" w:color="auto" w:fill="auto"/>
            <w:noWrap/>
            <w:vAlign w:val="center"/>
          </w:tcPr>
          <w:p w14:paraId="7A4C1B63" w14:textId="2738D709"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54C3AD42" w14:textId="59F32DEA"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vAlign w:val="center"/>
          </w:tcPr>
          <w:p w14:paraId="71DAA666" w14:textId="0104476D"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6C2E86B2" w14:textId="3087FC49"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4FF24D61" w14:textId="4CF74590" w:rsidR="00B3287A" w:rsidRPr="007A7C7C" w:rsidRDefault="00B3287A" w:rsidP="00B3287A">
            <w:pPr>
              <w:jc w:val="right"/>
              <w:rPr>
                <w:rFonts w:eastAsia="Times New Roman"/>
                <w:sz w:val="20"/>
                <w:szCs w:val="20"/>
                <w:lang w:eastAsia="hr-HR"/>
              </w:rPr>
            </w:pPr>
            <w:r w:rsidRPr="007A7C7C">
              <w:rPr>
                <w:sz w:val="20"/>
                <w:szCs w:val="20"/>
              </w:rPr>
              <w:t>14,8</w:t>
            </w:r>
          </w:p>
        </w:tc>
      </w:tr>
      <w:tr w:rsidR="00B3287A" w:rsidRPr="007A7C7C" w14:paraId="6257BB7C"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205636BB" w14:textId="1C1706A1"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267E7755" w14:textId="0312B926"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5CB4B1B9" w14:textId="77777777" w:rsidR="00B3287A" w:rsidRPr="007A7C7C" w:rsidRDefault="00B3287A" w:rsidP="00B3287A">
            <w:pPr>
              <w:jc w:val="both"/>
              <w:rPr>
                <w:sz w:val="20"/>
                <w:szCs w:val="20"/>
                <w:lang w:eastAsia="hr-HR"/>
              </w:rPr>
            </w:pPr>
            <w:r w:rsidRPr="007A7C7C">
              <w:rPr>
                <w:sz w:val="20"/>
                <w:szCs w:val="20"/>
                <w:lang w:eastAsia="hr-HR"/>
              </w:rPr>
              <w:t>Zaštita okoliša i očuvanje energije</w:t>
            </w:r>
          </w:p>
        </w:tc>
        <w:tc>
          <w:tcPr>
            <w:tcW w:w="851" w:type="dxa"/>
            <w:tcBorders>
              <w:top w:val="nil"/>
              <w:left w:val="nil"/>
              <w:bottom w:val="single" w:sz="4" w:space="0" w:color="auto"/>
              <w:right w:val="single" w:sz="4" w:space="0" w:color="auto"/>
            </w:tcBorders>
            <w:shd w:val="clear" w:color="auto" w:fill="auto"/>
            <w:noWrap/>
            <w:vAlign w:val="center"/>
          </w:tcPr>
          <w:p w14:paraId="1B12E8BE" w14:textId="45348E10" w:rsidR="00B3287A" w:rsidRPr="007A7C7C" w:rsidRDefault="00B3287A" w:rsidP="00B3287A">
            <w:pPr>
              <w:jc w:val="right"/>
              <w:rPr>
                <w:rFonts w:eastAsia="Times New Roman"/>
                <w:sz w:val="20"/>
                <w:szCs w:val="20"/>
                <w:lang w:eastAsia="hr-HR"/>
              </w:rPr>
            </w:pPr>
            <w:r w:rsidRPr="007A7C7C">
              <w:rPr>
                <w:sz w:val="20"/>
                <w:szCs w:val="20"/>
              </w:rPr>
              <w:t>167,6</w:t>
            </w:r>
          </w:p>
        </w:tc>
        <w:tc>
          <w:tcPr>
            <w:tcW w:w="850" w:type="dxa"/>
            <w:tcBorders>
              <w:top w:val="nil"/>
              <w:left w:val="nil"/>
              <w:bottom w:val="single" w:sz="4" w:space="0" w:color="auto"/>
              <w:right w:val="single" w:sz="4" w:space="0" w:color="auto"/>
            </w:tcBorders>
            <w:shd w:val="clear" w:color="auto" w:fill="auto"/>
            <w:noWrap/>
            <w:vAlign w:val="center"/>
          </w:tcPr>
          <w:p w14:paraId="3F776F08" w14:textId="33307BFD"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3EB4D9C" w14:textId="53700DE4"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550D535B" w14:textId="650187B6" w:rsidR="00B3287A" w:rsidRPr="007A7C7C" w:rsidRDefault="00B3287A" w:rsidP="00B3287A">
            <w:pPr>
              <w:jc w:val="right"/>
              <w:rPr>
                <w:sz w:val="20"/>
                <w:szCs w:val="20"/>
              </w:rPr>
            </w:pPr>
            <w:r w:rsidRPr="007A7C7C">
              <w:rPr>
                <w:sz w:val="20"/>
                <w:szCs w:val="20"/>
              </w:rPr>
              <w:t>1,0</w:t>
            </w:r>
          </w:p>
        </w:tc>
        <w:tc>
          <w:tcPr>
            <w:tcW w:w="760" w:type="dxa"/>
            <w:tcBorders>
              <w:top w:val="nil"/>
              <w:left w:val="nil"/>
              <w:bottom w:val="single" w:sz="4" w:space="0" w:color="auto"/>
              <w:right w:val="single" w:sz="4" w:space="0" w:color="auto"/>
            </w:tcBorders>
            <w:shd w:val="clear" w:color="auto" w:fill="auto"/>
            <w:noWrap/>
            <w:vAlign w:val="center"/>
          </w:tcPr>
          <w:p w14:paraId="7B43A34B" w14:textId="067066AA"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6CDC8142" w14:textId="1756527F" w:rsidR="00B3287A" w:rsidRPr="007A7C7C" w:rsidRDefault="00B3287A" w:rsidP="00B3287A">
            <w:pPr>
              <w:jc w:val="right"/>
              <w:rPr>
                <w:rFonts w:eastAsia="Times New Roman"/>
                <w:sz w:val="20"/>
                <w:szCs w:val="20"/>
                <w:lang w:eastAsia="hr-HR"/>
              </w:rPr>
            </w:pPr>
            <w:r w:rsidRPr="007A7C7C">
              <w:rPr>
                <w:sz w:val="20"/>
                <w:szCs w:val="20"/>
              </w:rPr>
              <w:t>184,9</w:t>
            </w:r>
          </w:p>
        </w:tc>
      </w:tr>
      <w:tr w:rsidR="00B3287A" w:rsidRPr="007A7C7C" w14:paraId="14ED90B7"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5AC05D49" w14:textId="3A660290"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20C7A02C" w14:textId="0055890D"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vAlign w:val="center"/>
            <w:hideMark/>
          </w:tcPr>
          <w:p w14:paraId="25588BFB" w14:textId="77777777" w:rsidR="00B3287A" w:rsidRPr="007A7C7C" w:rsidRDefault="00B3287A" w:rsidP="00B3287A">
            <w:pPr>
              <w:jc w:val="both"/>
              <w:rPr>
                <w:sz w:val="20"/>
                <w:szCs w:val="20"/>
                <w:lang w:eastAsia="hr-HR"/>
              </w:rPr>
            </w:pPr>
            <w:r w:rsidRPr="007A7C7C">
              <w:rPr>
                <w:sz w:val="20"/>
                <w:szCs w:val="20"/>
                <w:lang w:eastAsia="hr-HR"/>
              </w:rPr>
              <w:t>Promet</w:t>
            </w:r>
          </w:p>
        </w:tc>
        <w:tc>
          <w:tcPr>
            <w:tcW w:w="851" w:type="dxa"/>
            <w:tcBorders>
              <w:top w:val="nil"/>
              <w:left w:val="nil"/>
              <w:bottom w:val="single" w:sz="4" w:space="0" w:color="auto"/>
              <w:right w:val="single" w:sz="4" w:space="0" w:color="auto"/>
            </w:tcBorders>
            <w:shd w:val="clear" w:color="auto" w:fill="auto"/>
            <w:vAlign w:val="bottom"/>
          </w:tcPr>
          <w:p w14:paraId="50FEE769" w14:textId="65A781CA" w:rsidR="00B3287A" w:rsidRPr="007A7C7C" w:rsidRDefault="00B3287A" w:rsidP="00B3287A">
            <w:pPr>
              <w:jc w:val="right"/>
              <w:rPr>
                <w:rFonts w:eastAsia="Times New Roman"/>
                <w:sz w:val="20"/>
                <w:szCs w:val="20"/>
                <w:lang w:eastAsia="hr-HR"/>
              </w:rPr>
            </w:pPr>
            <w:r w:rsidRPr="007A7C7C">
              <w:rPr>
                <w:sz w:val="20"/>
                <w:szCs w:val="20"/>
              </w:rPr>
              <w:t>284,4</w:t>
            </w:r>
          </w:p>
        </w:tc>
        <w:tc>
          <w:tcPr>
            <w:tcW w:w="850" w:type="dxa"/>
            <w:tcBorders>
              <w:top w:val="nil"/>
              <w:left w:val="nil"/>
              <w:bottom w:val="single" w:sz="4" w:space="0" w:color="auto"/>
              <w:right w:val="single" w:sz="4" w:space="0" w:color="auto"/>
            </w:tcBorders>
            <w:shd w:val="clear" w:color="auto" w:fill="auto"/>
            <w:noWrap/>
            <w:vAlign w:val="center"/>
          </w:tcPr>
          <w:p w14:paraId="5E008F12" w14:textId="42ABEC9E" w:rsidR="00B3287A" w:rsidRPr="007A7C7C" w:rsidRDefault="00B3287A" w:rsidP="00B3287A">
            <w:pPr>
              <w:jc w:val="right"/>
              <w:rPr>
                <w:rFonts w:eastAsia="Times New Roman"/>
                <w:sz w:val="20"/>
                <w:szCs w:val="20"/>
                <w:lang w:eastAsia="hr-HR"/>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567D7CE8" w14:textId="672F263A"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vAlign w:val="bottom"/>
          </w:tcPr>
          <w:p w14:paraId="272DA22E" w14:textId="07088554" w:rsidR="00B3287A" w:rsidRPr="007A7C7C" w:rsidRDefault="00B3287A" w:rsidP="00B3287A">
            <w:pPr>
              <w:jc w:val="right"/>
              <w:rPr>
                <w:sz w:val="20"/>
                <w:szCs w:val="20"/>
              </w:rPr>
            </w:pPr>
            <w:r w:rsidRPr="007A7C7C">
              <w:rPr>
                <w:sz w:val="20"/>
                <w:szCs w:val="20"/>
              </w:rPr>
              <w:t>14,6</w:t>
            </w:r>
          </w:p>
        </w:tc>
        <w:tc>
          <w:tcPr>
            <w:tcW w:w="760" w:type="dxa"/>
            <w:tcBorders>
              <w:top w:val="nil"/>
              <w:left w:val="nil"/>
              <w:bottom w:val="single" w:sz="4" w:space="0" w:color="auto"/>
              <w:right w:val="single" w:sz="4" w:space="0" w:color="auto"/>
            </w:tcBorders>
            <w:shd w:val="clear" w:color="auto" w:fill="auto"/>
            <w:noWrap/>
            <w:vAlign w:val="center"/>
          </w:tcPr>
          <w:p w14:paraId="1CB386A5" w14:textId="489D2289"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2E4129CE" w14:textId="40E89F20" w:rsidR="00B3287A" w:rsidRPr="007A7C7C" w:rsidRDefault="00B3287A" w:rsidP="00B3287A">
            <w:pPr>
              <w:jc w:val="right"/>
              <w:rPr>
                <w:rFonts w:eastAsia="Times New Roman"/>
                <w:sz w:val="20"/>
                <w:szCs w:val="20"/>
                <w:lang w:eastAsia="hr-HR"/>
              </w:rPr>
            </w:pPr>
            <w:r w:rsidRPr="007A7C7C">
              <w:rPr>
                <w:sz w:val="20"/>
                <w:szCs w:val="20"/>
              </w:rPr>
              <w:t>320,6</w:t>
            </w:r>
          </w:p>
        </w:tc>
      </w:tr>
      <w:tr w:rsidR="00B3287A" w:rsidRPr="007A7C7C" w14:paraId="4AC907BB"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78D57DE4" w14:textId="767D315D"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314B839F" w14:textId="6C776B93"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vAlign w:val="center"/>
            <w:hideMark/>
          </w:tcPr>
          <w:p w14:paraId="390544E7" w14:textId="77777777" w:rsidR="00B3287A" w:rsidRPr="007A7C7C" w:rsidRDefault="00B3287A" w:rsidP="00B3287A">
            <w:pPr>
              <w:jc w:val="both"/>
              <w:rPr>
                <w:sz w:val="20"/>
                <w:szCs w:val="20"/>
                <w:lang w:eastAsia="hr-HR"/>
              </w:rPr>
            </w:pPr>
            <w:r w:rsidRPr="007A7C7C">
              <w:rPr>
                <w:sz w:val="20"/>
                <w:szCs w:val="20"/>
                <w:lang w:eastAsia="hr-HR"/>
              </w:rPr>
              <w:t>Brodogradnja</w:t>
            </w:r>
          </w:p>
        </w:tc>
        <w:tc>
          <w:tcPr>
            <w:tcW w:w="851" w:type="dxa"/>
            <w:tcBorders>
              <w:top w:val="nil"/>
              <w:left w:val="nil"/>
              <w:bottom w:val="single" w:sz="4" w:space="0" w:color="auto"/>
              <w:right w:val="single" w:sz="4" w:space="0" w:color="auto"/>
            </w:tcBorders>
            <w:shd w:val="clear" w:color="auto" w:fill="auto"/>
            <w:noWrap/>
            <w:vAlign w:val="center"/>
          </w:tcPr>
          <w:p w14:paraId="1A31191A" w14:textId="0A14D4EE" w:rsidR="00B3287A" w:rsidRPr="007A7C7C" w:rsidRDefault="00B3287A" w:rsidP="00B3287A">
            <w:pPr>
              <w:jc w:val="right"/>
              <w:rPr>
                <w:sz w:val="20"/>
                <w:szCs w:val="20"/>
              </w:rPr>
            </w:pPr>
            <w:r w:rsidRPr="007A7C7C">
              <w:rPr>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14:paraId="689CC359" w14:textId="3CD9D5A0"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0FF236B" w14:textId="56CA582E"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36FEA3E7" w14:textId="0C465E9E"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61E29B33" w14:textId="59CB3B49" w:rsidR="00B3287A" w:rsidRPr="007A7C7C" w:rsidRDefault="00B3287A" w:rsidP="00B3287A">
            <w:pPr>
              <w:jc w:val="right"/>
              <w:rPr>
                <w:rFonts w:eastAsia="Times New Roman"/>
                <w:sz w:val="20"/>
                <w:szCs w:val="20"/>
                <w:lang w:eastAsia="hr-HR"/>
              </w:rPr>
            </w:pPr>
            <w:r w:rsidRPr="007A7C7C">
              <w:rPr>
                <w:sz w:val="20"/>
                <w:szCs w:val="20"/>
              </w:rPr>
              <w:t>29,5</w:t>
            </w:r>
          </w:p>
        </w:tc>
        <w:tc>
          <w:tcPr>
            <w:tcW w:w="992" w:type="dxa"/>
            <w:tcBorders>
              <w:top w:val="nil"/>
              <w:left w:val="nil"/>
              <w:bottom w:val="single" w:sz="4" w:space="0" w:color="auto"/>
              <w:right w:val="single" w:sz="4" w:space="0" w:color="auto"/>
            </w:tcBorders>
            <w:shd w:val="clear" w:color="auto" w:fill="auto"/>
            <w:noWrap/>
            <w:vAlign w:val="center"/>
          </w:tcPr>
          <w:p w14:paraId="4D68DBE7" w14:textId="64AE49C4" w:rsidR="00B3287A" w:rsidRPr="007A7C7C" w:rsidRDefault="00B3287A" w:rsidP="00B3287A">
            <w:pPr>
              <w:jc w:val="right"/>
              <w:rPr>
                <w:rFonts w:eastAsia="Times New Roman"/>
                <w:sz w:val="20"/>
                <w:szCs w:val="20"/>
                <w:lang w:eastAsia="hr-HR"/>
              </w:rPr>
            </w:pPr>
            <w:r w:rsidRPr="007A7C7C">
              <w:rPr>
                <w:sz w:val="20"/>
                <w:szCs w:val="20"/>
              </w:rPr>
              <w:t>29,5</w:t>
            </w:r>
          </w:p>
        </w:tc>
      </w:tr>
      <w:tr w:rsidR="00B3287A" w:rsidRPr="007A7C7C" w14:paraId="094CBB7E"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1D3A7078" w14:textId="3BDBC1EF"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65F975C5" w14:textId="3C66CB8D"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vAlign w:val="center"/>
            <w:hideMark/>
          </w:tcPr>
          <w:p w14:paraId="2E280007" w14:textId="77777777" w:rsidR="00B3287A" w:rsidRPr="007A7C7C" w:rsidRDefault="00B3287A" w:rsidP="00B3287A">
            <w:pPr>
              <w:jc w:val="both"/>
              <w:rPr>
                <w:sz w:val="20"/>
                <w:szCs w:val="20"/>
                <w:lang w:eastAsia="hr-HR"/>
              </w:rPr>
            </w:pPr>
            <w:r w:rsidRPr="007A7C7C">
              <w:rPr>
                <w:sz w:val="20"/>
                <w:szCs w:val="20"/>
                <w:lang w:eastAsia="hr-HR"/>
              </w:rPr>
              <w:t>Turizam</w:t>
            </w:r>
          </w:p>
        </w:tc>
        <w:tc>
          <w:tcPr>
            <w:tcW w:w="851" w:type="dxa"/>
            <w:tcBorders>
              <w:top w:val="nil"/>
              <w:left w:val="nil"/>
              <w:bottom w:val="single" w:sz="4" w:space="0" w:color="auto"/>
              <w:right w:val="single" w:sz="4" w:space="0" w:color="auto"/>
            </w:tcBorders>
            <w:shd w:val="clear" w:color="auto" w:fill="auto"/>
            <w:noWrap/>
            <w:vAlign w:val="bottom"/>
          </w:tcPr>
          <w:p w14:paraId="4F95D0E0" w14:textId="0D50D3C6" w:rsidR="00B3287A" w:rsidRPr="007A7C7C" w:rsidRDefault="00B3287A" w:rsidP="00B3287A">
            <w:pPr>
              <w:jc w:val="right"/>
              <w:rPr>
                <w:rFonts w:eastAsia="Times New Roman"/>
                <w:sz w:val="20"/>
                <w:szCs w:val="20"/>
                <w:lang w:eastAsia="hr-HR"/>
              </w:rPr>
            </w:pPr>
            <w:r w:rsidRPr="007A7C7C">
              <w:rPr>
                <w:sz w:val="20"/>
                <w:szCs w:val="20"/>
              </w:rPr>
              <w:t>130,5</w:t>
            </w:r>
          </w:p>
        </w:tc>
        <w:tc>
          <w:tcPr>
            <w:tcW w:w="850" w:type="dxa"/>
            <w:tcBorders>
              <w:top w:val="nil"/>
              <w:left w:val="nil"/>
              <w:bottom w:val="single" w:sz="4" w:space="0" w:color="auto"/>
              <w:right w:val="single" w:sz="4" w:space="0" w:color="auto"/>
            </w:tcBorders>
            <w:shd w:val="clear" w:color="auto" w:fill="auto"/>
            <w:noWrap/>
            <w:vAlign w:val="center"/>
          </w:tcPr>
          <w:p w14:paraId="417B1464" w14:textId="74DCE600"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9CA1333" w14:textId="0F8FAE71"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484F6152" w14:textId="14C422A3"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28555FCE" w14:textId="42C7391C"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6E493395" w14:textId="65442DF2" w:rsidR="00B3287A" w:rsidRPr="007A7C7C" w:rsidRDefault="00B3287A" w:rsidP="00B3287A">
            <w:pPr>
              <w:jc w:val="right"/>
              <w:rPr>
                <w:rFonts w:eastAsia="Times New Roman"/>
                <w:sz w:val="20"/>
                <w:szCs w:val="20"/>
                <w:lang w:eastAsia="hr-HR"/>
              </w:rPr>
            </w:pPr>
            <w:r w:rsidRPr="007A7C7C">
              <w:rPr>
                <w:sz w:val="20"/>
                <w:szCs w:val="20"/>
              </w:rPr>
              <w:t>130,5</w:t>
            </w:r>
          </w:p>
        </w:tc>
      </w:tr>
      <w:tr w:rsidR="00B3287A" w:rsidRPr="007A7C7C" w14:paraId="472DAF35"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5FC174AA" w14:textId="78ABBF1E"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1BA577D3" w14:textId="4E9BB21E"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35F299DE" w14:textId="77777777" w:rsidR="00B3287A" w:rsidRPr="007A7C7C" w:rsidRDefault="00B3287A" w:rsidP="00B3287A">
            <w:pPr>
              <w:jc w:val="both"/>
              <w:rPr>
                <w:sz w:val="20"/>
                <w:szCs w:val="20"/>
                <w:lang w:eastAsia="hr-HR"/>
              </w:rPr>
            </w:pPr>
            <w:r w:rsidRPr="007A7C7C">
              <w:rPr>
                <w:sz w:val="20"/>
                <w:szCs w:val="20"/>
                <w:lang w:eastAsia="hr-HR"/>
              </w:rPr>
              <w:t>Sanacija i restrukturiranje</w:t>
            </w:r>
          </w:p>
        </w:tc>
        <w:tc>
          <w:tcPr>
            <w:tcW w:w="851" w:type="dxa"/>
            <w:tcBorders>
              <w:top w:val="nil"/>
              <w:left w:val="nil"/>
              <w:bottom w:val="single" w:sz="4" w:space="0" w:color="auto"/>
              <w:right w:val="single" w:sz="4" w:space="0" w:color="auto"/>
            </w:tcBorders>
            <w:shd w:val="clear" w:color="auto" w:fill="auto"/>
            <w:noWrap/>
            <w:vAlign w:val="center"/>
          </w:tcPr>
          <w:p w14:paraId="3705A6AD" w14:textId="6466BDBC" w:rsidR="00B3287A" w:rsidRPr="007A7C7C" w:rsidRDefault="00B3287A" w:rsidP="00B3287A">
            <w:pPr>
              <w:jc w:val="right"/>
              <w:rPr>
                <w:sz w:val="20"/>
                <w:szCs w:val="20"/>
              </w:rPr>
            </w:pPr>
            <w:r w:rsidRPr="007A7C7C">
              <w:rPr>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14:paraId="6ED80A32" w14:textId="4D543AEA"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10C07B6" w14:textId="77E8E834"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7590D284" w14:textId="76EC5966"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4FE90677" w14:textId="5DE82F0D" w:rsidR="00B3287A" w:rsidRPr="007A7C7C" w:rsidRDefault="00B3287A" w:rsidP="00B3287A">
            <w:pPr>
              <w:jc w:val="right"/>
              <w:rPr>
                <w:sz w:val="20"/>
                <w:szCs w:val="20"/>
              </w:rPr>
            </w:pPr>
            <w:r w:rsidRPr="007A7C7C">
              <w:rPr>
                <w:sz w:val="20"/>
                <w:szCs w:val="20"/>
              </w:rPr>
              <w:t>9,0</w:t>
            </w:r>
          </w:p>
        </w:tc>
        <w:tc>
          <w:tcPr>
            <w:tcW w:w="992" w:type="dxa"/>
            <w:tcBorders>
              <w:top w:val="nil"/>
              <w:left w:val="nil"/>
              <w:bottom w:val="single" w:sz="4" w:space="0" w:color="auto"/>
              <w:right w:val="single" w:sz="4" w:space="0" w:color="auto"/>
            </w:tcBorders>
            <w:shd w:val="clear" w:color="auto" w:fill="auto"/>
            <w:noWrap/>
            <w:vAlign w:val="center"/>
          </w:tcPr>
          <w:p w14:paraId="39A9EE74" w14:textId="2F61EFBF" w:rsidR="00B3287A" w:rsidRPr="007A7C7C" w:rsidRDefault="00B3287A" w:rsidP="00B3287A">
            <w:pPr>
              <w:jc w:val="right"/>
              <w:rPr>
                <w:sz w:val="20"/>
                <w:szCs w:val="20"/>
              </w:rPr>
            </w:pPr>
            <w:r w:rsidRPr="007A7C7C">
              <w:rPr>
                <w:sz w:val="20"/>
                <w:szCs w:val="20"/>
              </w:rPr>
              <w:t>9,0</w:t>
            </w:r>
          </w:p>
        </w:tc>
      </w:tr>
      <w:tr w:rsidR="00B3287A" w:rsidRPr="007A7C7C" w14:paraId="648F8613"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3EA760A4" w14:textId="6FCFE52C" w:rsidR="00B3287A" w:rsidRPr="007A7C7C" w:rsidRDefault="00B3287A" w:rsidP="00B3287A">
            <w:pPr>
              <w:jc w:val="both"/>
              <w:rPr>
                <w:sz w:val="20"/>
                <w:szCs w:val="20"/>
                <w:lang w:eastAsia="hr-HR"/>
              </w:rPr>
            </w:pPr>
          </w:p>
        </w:tc>
        <w:tc>
          <w:tcPr>
            <w:tcW w:w="308" w:type="dxa"/>
            <w:tcBorders>
              <w:top w:val="nil"/>
              <w:left w:val="nil"/>
              <w:bottom w:val="single" w:sz="4" w:space="0" w:color="auto"/>
              <w:right w:val="nil"/>
            </w:tcBorders>
            <w:shd w:val="clear" w:color="auto" w:fill="auto"/>
            <w:noWrap/>
            <w:vAlign w:val="center"/>
          </w:tcPr>
          <w:p w14:paraId="36334BFF" w14:textId="460D1731" w:rsidR="00B3287A" w:rsidRPr="007A7C7C" w:rsidRDefault="00B3287A" w:rsidP="00B3287A">
            <w:pPr>
              <w:jc w:val="both"/>
              <w:rPr>
                <w:b/>
                <w:bCs/>
                <w:sz w:val="20"/>
                <w:szCs w:val="20"/>
                <w:lang w:eastAsia="hr-HR"/>
              </w:rPr>
            </w:pPr>
          </w:p>
        </w:tc>
        <w:tc>
          <w:tcPr>
            <w:tcW w:w="3432" w:type="dxa"/>
            <w:tcBorders>
              <w:top w:val="nil"/>
              <w:left w:val="nil"/>
              <w:bottom w:val="single" w:sz="4" w:space="0" w:color="auto"/>
              <w:right w:val="single" w:sz="4" w:space="0" w:color="auto"/>
            </w:tcBorders>
            <w:shd w:val="clear" w:color="auto" w:fill="auto"/>
            <w:noWrap/>
            <w:vAlign w:val="center"/>
            <w:hideMark/>
          </w:tcPr>
          <w:p w14:paraId="68F735FF" w14:textId="77777777" w:rsidR="00B3287A" w:rsidRPr="007A7C7C" w:rsidRDefault="00B3287A" w:rsidP="00B3287A">
            <w:pPr>
              <w:rPr>
                <w:sz w:val="20"/>
                <w:szCs w:val="20"/>
                <w:lang w:eastAsia="hr-HR"/>
              </w:rPr>
            </w:pPr>
            <w:r w:rsidRPr="007A7C7C">
              <w:rPr>
                <w:sz w:val="20"/>
                <w:szCs w:val="20"/>
                <w:lang w:eastAsia="hr-HR"/>
              </w:rPr>
              <w:t xml:space="preserve">Radiotelevizijsko emitiranje </w:t>
            </w:r>
            <w:r w:rsidRPr="007A7C7C">
              <w:rPr>
                <w:sz w:val="20"/>
                <w:szCs w:val="20"/>
              </w:rPr>
              <w:t>i audiovizualna industrija</w:t>
            </w:r>
          </w:p>
        </w:tc>
        <w:tc>
          <w:tcPr>
            <w:tcW w:w="851" w:type="dxa"/>
            <w:tcBorders>
              <w:top w:val="nil"/>
              <w:left w:val="nil"/>
              <w:bottom w:val="single" w:sz="4" w:space="0" w:color="auto"/>
              <w:right w:val="single" w:sz="4" w:space="0" w:color="auto"/>
            </w:tcBorders>
            <w:shd w:val="clear" w:color="auto" w:fill="auto"/>
            <w:noWrap/>
            <w:vAlign w:val="bottom"/>
          </w:tcPr>
          <w:p w14:paraId="6EDF78F6" w14:textId="5B374D0C" w:rsidR="00B3287A" w:rsidRPr="007A7C7C" w:rsidRDefault="00B3287A" w:rsidP="00B3287A">
            <w:pPr>
              <w:jc w:val="right"/>
              <w:rPr>
                <w:rFonts w:eastAsia="Times New Roman"/>
                <w:sz w:val="20"/>
                <w:szCs w:val="20"/>
                <w:lang w:eastAsia="hr-HR"/>
              </w:rPr>
            </w:pPr>
            <w:r w:rsidRPr="007A7C7C">
              <w:rPr>
                <w:sz w:val="20"/>
                <w:szCs w:val="20"/>
              </w:rPr>
              <w:t>153,9</w:t>
            </w:r>
          </w:p>
        </w:tc>
        <w:tc>
          <w:tcPr>
            <w:tcW w:w="850" w:type="dxa"/>
            <w:tcBorders>
              <w:top w:val="nil"/>
              <w:left w:val="nil"/>
              <w:bottom w:val="single" w:sz="4" w:space="0" w:color="auto"/>
              <w:right w:val="single" w:sz="4" w:space="0" w:color="auto"/>
            </w:tcBorders>
            <w:shd w:val="clear" w:color="auto" w:fill="auto"/>
            <w:noWrap/>
            <w:vAlign w:val="center"/>
          </w:tcPr>
          <w:p w14:paraId="0E3062D7" w14:textId="4486FF88"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14C941D" w14:textId="384278EA"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21DB1DB7" w14:textId="6ACAC3AF"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6E0FAEA6" w14:textId="6A12F0C5"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6AAC06D8" w14:textId="1158FEAD" w:rsidR="00B3287A" w:rsidRPr="007A7C7C" w:rsidRDefault="00B3287A" w:rsidP="00B3287A">
            <w:pPr>
              <w:jc w:val="right"/>
              <w:rPr>
                <w:rFonts w:eastAsia="Times New Roman"/>
                <w:sz w:val="20"/>
                <w:szCs w:val="20"/>
                <w:lang w:eastAsia="hr-HR"/>
              </w:rPr>
            </w:pPr>
            <w:r w:rsidRPr="007A7C7C">
              <w:rPr>
                <w:sz w:val="20"/>
                <w:szCs w:val="20"/>
              </w:rPr>
              <w:t>153,9</w:t>
            </w:r>
          </w:p>
        </w:tc>
      </w:tr>
      <w:tr w:rsidR="00B3287A" w:rsidRPr="007A7C7C" w14:paraId="17DACB33"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71177F89" w14:textId="1597ABD1" w:rsidR="00B3287A" w:rsidRPr="007A7C7C" w:rsidRDefault="00B3287A" w:rsidP="00B3287A">
            <w:pPr>
              <w:jc w:val="both"/>
              <w:rPr>
                <w:sz w:val="20"/>
                <w:szCs w:val="20"/>
                <w:lang w:eastAsia="hr-HR"/>
              </w:rPr>
            </w:pPr>
          </w:p>
        </w:tc>
        <w:tc>
          <w:tcPr>
            <w:tcW w:w="308" w:type="dxa"/>
            <w:tcBorders>
              <w:top w:val="single" w:sz="4" w:space="0" w:color="auto"/>
              <w:left w:val="nil"/>
              <w:bottom w:val="single" w:sz="4" w:space="0" w:color="auto"/>
            </w:tcBorders>
            <w:shd w:val="clear" w:color="auto" w:fill="auto"/>
            <w:noWrap/>
            <w:vAlign w:val="center"/>
          </w:tcPr>
          <w:p w14:paraId="2D84958B" w14:textId="7F3F9B06" w:rsidR="00B3287A" w:rsidRPr="007A7C7C" w:rsidRDefault="00B3287A" w:rsidP="00B3287A">
            <w:pPr>
              <w:jc w:val="both"/>
              <w:rPr>
                <w:b/>
                <w:bCs/>
                <w:sz w:val="20"/>
                <w:szCs w:val="20"/>
                <w:lang w:eastAsia="hr-HR"/>
              </w:rPr>
            </w:pPr>
          </w:p>
        </w:tc>
        <w:tc>
          <w:tcPr>
            <w:tcW w:w="3432" w:type="dxa"/>
            <w:tcBorders>
              <w:top w:val="single" w:sz="4" w:space="0" w:color="auto"/>
              <w:bottom w:val="single" w:sz="4" w:space="0" w:color="auto"/>
              <w:right w:val="single" w:sz="4" w:space="0" w:color="auto"/>
            </w:tcBorders>
            <w:shd w:val="clear" w:color="auto" w:fill="auto"/>
            <w:noWrap/>
            <w:vAlign w:val="center"/>
            <w:hideMark/>
          </w:tcPr>
          <w:p w14:paraId="5269C931" w14:textId="77777777" w:rsidR="00B3287A" w:rsidRPr="007A7C7C" w:rsidRDefault="00B3287A" w:rsidP="00B3287A">
            <w:pPr>
              <w:jc w:val="both"/>
              <w:rPr>
                <w:sz w:val="20"/>
                <w:szCs w:val="20"/>
                <w:lang w:eastAsia="hr-HR"/>
              </w:rPr>
            </w:pPr>
            <w:r w:rsidRPr="007A7C7C">
              <w:rPr>
                <w:rFonts w:eastAsia="Times New Roman"/>
                <w:sz w:val="20"/>
                <w:szCs w:val="20"/>
              </w:rPr>
              <w:t>Razvoj širokopojasnih mreža</w:t>
            </w:r>
          </w:p>
        </w:tc>
        <w:tc>
          <w:tcPr>
            <w:tcW w:w="851" w:type="dxa"/>
            <w:tcBorders>
              <w:top w:val="nil"/>
              <w:left w:val="nil"/>
              <w:bottom w:val="single" w:sz="4" w:space="0" w:color="auto"/>
              <w:right w:val="single" w:sz="4" w:space="0" w:color="auto"/>
            </w:tcBorders>
            <w:shd w:val="clear" w:color="auto" w:fill="auto"/>
            <w:noWrap/>
            <w:vAlign w:val="center"/>
          </w:tcPr>
          <w:p w14:paraId="3F583285" w14:textId="1E2EF29D" w:rsidR="00B3287A" w:rsidRPr="007A7C7C" w:rsidRDefault="00B3287A" w:rsidP="00B3287A">
            <w:pPr>
              <w:jc w:val="right"/>
              <w:rPr>
                <w:sz w:val="20"/>
                <w:szCs w:val="20"/>
              </w:rPr>
            </w:pPr>
            <w:r w:rsidRPr="007A7C7C">
              <w:rPr>
                <w:sz w:val="20"/>
                <w:szCs w:val="20"/>
              </w:rPr>
              <w:t>5,8</w:t>
            </w:r>
          </w:p>
        </w:tc>
        <w:tc>
          <w:tcPr>
            <w:tcW w:w="850" w:type="dxa"/>
            <w:tcBorders>
              <w:top w:val="nil"/>
              <w:left w:val="nil"/>
              <w:bottom w:val="single" w:sz="4" w:space="0" w:color="auto"/>
              <w:right w:val="single" w:sz="4" w:space="0" w:color="auto"/>
            </w:tcBorders>
            <w:shd w:val="clear" w:color="auto" w:fill="auto"/>
            <w:noWrap/>
            <w:vAlign w:val="center"/>
          </w:tcPr>
          <w:p w14:paraId="3596EA5D" w14:textId="1B65E881" w:rsidR="00B3287A" w:rsidRPr="007A7C7C" w:rsidRDefault="00B3287A" w:rsidP="00B3287A">
            <w:pPr>
              <w:jc w:val="right"/>
              <w:rPr>
                <w:sz w:val="20"/>
                <w:szCs w:val="20"/>
              </w:rPr>
            </w:pPr>
            <w:r w:rsidRPr="007A7C7C">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A9C7A6" w14:textId="5C14534B" w:rsidR="00B3287A" w:rsidRPr="007A7C7C" w:rsidRDefault="00B3287A" w:rsidP="00B3287A">
            <w:pPr>
              <w:jc w:val="right"/>
              <w:rPr>
                <w:sz w:val="20"/>
                <w:szCs w:val="20"/>
              </w:rPr>
            </w:pPr>
            <w:r w:rsidRPr="007A7C7C">
              <w:rPr>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015D31A8" w14:textId="527D9A73" w:rsidR="00B3287A" w:rsidRPr="007A7C7C" w:rsidRDefault="00B3287A" w:rsidP="00B3287A">
            <w:pPr>
              <w:jc w:val="right"/>
              <w:rPr>
                <w:sz w:val="20"/>
                <w:szCs w:val="20"/>
              </w:rPr>
            </w:pPr>
            <w:r w:rsidRPr="007A7C7C">
              <w:rPr>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6F46A15E" w14:textId="18922FFB" w:rsidR="00B3287A" w:rsidRPr="007A7C7C" w:rsidRDefault="00B3287A" w:rsidP="00B3287A">
            <w:pPr>
              <w:jc w:val="right"/>
              <w:rPr>
                <w:sz w:val="20"/>
                <w:szCs w:val="20"/>
              </w:rPr>
            </w:pPr>
            <w:r w:rsidRPr="007A7C7C">
              <w:rPr>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03A97ADB" w14:textId="40D90080" w:rsidR="00B3287A" w:rsidRPr="007A7C7C" w:rsidRDefault="00B3287A" w:rsidP="00B3287A">
            <w:pPr>
              <w:jc w:val="right"/>
              <w:rPr>
                <w:sz w:val="20"/>
                <w:szCs w:val="20"/>
              </w:rPr>
            </w:pPr>
            <w:r w:rsidRPr="007A7C7C">
              <w:rPr>
                <w:sz w:val="20"/>
                <w:szCs w:val="20"/>
              </w:rPr>
              <w:t>5,8</w:t>
            </w:r>
          </w:p>
        </w:tc>
      </w:tr>
      <w:tr w:rsidR="00B3287A" w:rsidRPr="007A7C7C" w14:paraId="1567E300" w14:textId="77777777" w:rsidTr="00A8612C">
        <w:trPr>
          <w:trHeight w:val="51"/>
        </w:trPr>
        <w:tc>
          <w:tcPr>
            <w:tcW w:w="366" w:type="dxa"/>
            <w:tcBorders>
              <w:top w:val="nil"/>
              <w:left w:val="single" w:sz="4" w:space="0" w:color="auto"/>
              <w:bottom w:val="nil"/>
              <w:right w:val="single" w:sz="4" w:space="0" w:color="auto"/>
            </w:tcBorders>
            <w:shd w:val="clear" w:color="auto" w:fill="auto"/>
            <w:noWrap/>
            <w:vAlign w:val="center"/>
          </w:tcPr>
          <w:p w14:paraId="3FB21A60" w14:textId="76A73AE1" w:rsidR="00B3287A" w:rsidRPr="007A7C7C" w:rsidRDefault="00B3287A" w:rsidP="00B3287A">
            <w:pPr>
              <w:jc w:val="both"/>
              <w:rPr>
                <w:b/>
                <w:bCs/>
                <w:sz w:val="20"/>
                <w:szCs w:val="20"/>
                <w:lang w:eastAsia="hr-HR"/>
              </w:rPr>
            </w:pPr>
          </w:p>
        </w:tc>
        <w:tc>
          <w:tcPr>
            <w:tcW w:w="3740" w:type="dxa"/>
            <w:gridSpan w:val="2"/>
            <w:tcBorders>
              <w:top w:val="single" w:sz="4" w:space="0" w:color="auto"/>
              <w:left w:val="nil"/>
              <w:bottom w:val="single" w:sz="4" w:space="0" w:color="auto"/>
              <w:right w:val="nil"/>
            </w:tcBorders>
            <w:shd w:val="clear" w:color="auto" w:fill="auto"/>
            <w:vAlign w:val="center"/>
            <w:hideMark/>
          </w:tcPr>
          <w:p w14:paraId="2EAAAD38" w14:textId="77777777" w:rsidR="00B3287A" w:rsidRPr="007A7C7C" w:rsidRDefault="00B3287A" w:rsidP="00B3287A">
            <w:pPr>
              <w:jc w:val="both"/>
              <w:rPr>
                <w:b/>
                <w:bCs/>
                <w:i/>
                <w:iCs/>
                <w:sz w:val="20"/>
                <w:szCs w:val="20"/>
                <w:lang w:eastAsia="hr-HR"/>
              </w:rPr>
            </w:pPr>
            <w:r w:rsidRPr="007A7C7C">
              <w:rPr>
                <w:b/>
                <w:bCs/>
                <w:i/>
                <w:iCs/>
                <w:sz w:val="20"/>
                <w:szCs w:val="20"/>
                <w:lang w:eastAsia="hr-HR"/>
              </w:rPr>
              <w:t>Regionalne potpore</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4C3F6BD" w14:textId="27CBEDDB" w:rsidR="00B3287A" w:rsidRPr="007A7C7C" w:rsidRDefault="00B3287A" w:rsidP="00B3287A">
            <w:pPr>
              <w:jc w:val="right"/>
              <w:rPr>
                <w:rFonts w:eastAsia="Times New Roman"/>
                <w:b/>
                <w:bCs/>
                <w:sz w:val="20"/>
                <w:szCs w:val="20"/>
                <w:lang w:eastAsia="hr-HR"/>
              </w:rPr>
            </w:pPr>
            <w:r w:rsidRPr="007A7C7C">
              <w:rPr>
                <w:b/>
                <w:sz w:val="20"/>
                <w:szCs w:val="20"/>
              </w:rPr>
              <w:t>9,8</w:t>
            </w:r>
          </w:p>
        </w:tc>
        <w:tc>
          <w:tcPr>
            <w:tcW w:w="850" w:type="dxa"/>
            <w:tcBorders>
              <w:top w:val="nil"/>
              <w:left w:val="nil"/>
              <w:bottom w:val="single" w:sz="4" w:space="0" w:color="auto"/>
              <w:right w:val="single" w:sz="4" w:space="0" w:color="auto"/>
            </w:tcBorders>
            <w:shd w:val="clear" w:color="auto" w:fill="auto"/>
            <w:noWrap/>
            <w:vAlign w:val="bottom"/>
          </w:tcPr>
          <w:p w14:paraId="4CDD8FBE" w14:textId="5570A18E" w:rsidR="00B3287A" w:rsidRPr="007A7C7C" w:rsidRDefault="00B3287A" w:rsidP="00B3287A">
            <w:pPr>
              <w:jc w:val="right"/>
              <w:rPr>
                <w:rFonts w:eastAsia="Times New Roman"/>
                <w:b/>
                <w:bCs/>
                <w:sz w:val="20"/>
                <w:szCs w:val="20"/>
                <w:lang w:eastAsia="hr-HR"/>
              </w:rPr>
            </w:pPr>
            <w:r w:rsidRPr="007A7C7C">
              <w:rPr>
                <w:b/>
                <w:sz w:val="20"/>
                <w:szCs w:val="20"/>
              </w:rPr>
              <w:t>117,4</w:t>
            </w:r>
          </w:p>
        </w:tc>
        <w:tc>
          <w:tcPr>
            <w:tcW w:w="851" w:type="dxa"/>
            <w:tcBorders>
              <w:top w:val="nil"/>
              <w:left w:val="nil"/>
              <w:bottom w:val="single" w:sz="4" w:space="0" w:color="auto"/>
              <w:right w:val="single" w:sz="4" w:space="0" w:color="auto"/>
            </w:tcBorders>
            <w:shd w:val="clear" w:color="auto" w:fill="auto"/>
            <w:noWrap/>
            <w:vAlign w:val="center"/>
          </w:tcPr>
          <w:p w14:paraId="6AE0591E" w14:textId="113768C0" w:rsidR="00B3287A" w:rsidRPr="007A7C7C" w:rsidRDefault="00B3287A" w:rsidP="00B3287A">
            <w:pPr>
              <w:jc w:val="right"/>
              <w:rPr>
                <w:b/>
                <w:sz w:val="20"/>
                <w:szCs w:val="20"/>
              </w:rPr>
            </w:pPr>
            <w:r w:rsidRPr="007A7C7C">
              <w:rPr>
                <w:b/>
                <w:sz w:val="20"/>
                <w:szCs w:val="20"/>
              </w:rPr>
              <w:t>–</w:t>
            </w:r>
          </w:p>
        </w:tc>
        <w:tc>
          <w:tcPr>
            <w:tcW w:w="756" w:type="dxa"/>
            <w:tcBorders>
              <w:top w:val="nil"/>
              <w:left w:val="nil"/>
              <w:bottom w:val="single" w:sz="4" w:space="0" w:color="auto"/>
              <w:right w:val="single" w:sz="4" w:space="0" w:color="auto"/>
            </w:tcBorders>
            <w:shd w:val="clear" w:color="auto" w:fill="auto"/>
            <w:noWrap/>
            <w:vAlign w:val="bottom"/>
          </w:tcPr>
          <w:p w14:paraId="3BC7BFB9" w14:textId="6491B7CD" w:rsidR="00B3287A" w:rsidRPr="007A7C7C" w:rsidRDefault="00B3287A" w:rsidP="00B3287A">
            <w:pPr>
              <w:jc w:val="right"/>
              <w:rPr>
                <w:rFonts w:eastAsia="Times New Roman"/>
                <w:b/>
                <w:bCs/>
                <w:sz w:val="20"/>
                <w:szCs w:val="20"/>
                <w:lang w:eastAsia="hr-HR"/>
              </w:rPr>
            </w:pPr>
            <w:r w:rsidRPr="007A7C7C">
              <w:rPr>
                <w:b/>
                <w:sz w:val="20"/>
                <w:szCs w:val="20"/>
              </w:rPr>
              <w:t>20,8</w:t>
            </w:r>
          </w:p>
        </w:tc>
        <w:tc>
          <w:tcPr>
            <w:tcW w:w="760" w:type="dxa"/>
            <w:tcBorders>
              <w:top w:val="nil"/>
              <w:left w:val="nil"/>
              <w:bottom w:val="single" w:sz="4" w:space="0" w:color="auto"/>
              <w:right w:val="single" w:sz="4" w:space="0" w:color="auto"/>
            </w:tcBorders>
            <w:shd w:val="clear" w:color="auto" w:fill="auto"/>
            <w:noWrap/>
            <w:vAlign w:val="center"/>
          </w:tcPr>
          <w:p w14:paraId="7912DE5E" w14:textId="4545134E" w:rsidR="00B3287A" w:rsidRPr="007A7C7C" w:rsidRDefault="00B3287A" w:rsidP="00B3287A">
            <w:pPr>
              <w:jc w:val="right"/>
              <w:rPr>
                <w:b/>
                <w:sz w:val="20"/>
                <w:szCs w:val="20"/>
              </w:rPr>
            </w:pPr>
            <w:r w:rsidRPr="007A7C7C">
              <w:rPr>
                <w:b/>
                <w:sz w:val="20"/>
                <w:szCs w:val="20"/>
              </w:rPr>
              <w:t>0,1</w:t>
            </w:r>
          </w:p>
        </w:tc>
        <w:tc>
          <w:tcPr>
            <w:tcW w:w="992" w:type="dxa"/>
            <w:tcBorders>
              <w:top w:val="nil"/>
              <w:left w:val="nil"/>
              <w:bottom w:val="single" w:sz="4" w:space="0" w:color="auto"/>
              <w:right w:val="single" w:sz="4" w:space="0" w:color="auto"/>
            </w:tcBorders>
            <w:shd w:val="clear" w:color="auto" w:fill="auto"/>
            <w:noWrap/>
            <w:vAlign w:val="center"/>
          </w:tcPr>
          <w:p w14:paraId="63E9A4E5" w14:textId="06027D64" w:rsidR="00B3287A" w:rsidRPr="007A7C7C" w:rsidRDefault="00B3287A" w:rsidP="00B3287A">
            <w:pPr>
              <w:jc w:val="right"/>
              <w:rPr>
                <w:rFonts w:eastAsia="Times New Roman"/>
                <w:b/>
                <w:bCs/>
                <w:sz w:val="20"/>
                <w:szCs w:val="20"/>
                <w:lang w:eastAsia="hr-HR"/>
              </w:rPr>
            </w:pPr>
            <w:r w:rsidRPr="007A7C7C">
              <w:rPr>
                <w:b/>
                <w:sz w:val="20"/>
                <w:szCs w:val="20"/>
              </w:rPr>
              <w:t>148,2</w:t>
            </w:r>
          </w:p>
        </w:tc>
      </w:tr>
      <w:tr w:rsidR="00B3287A" w:rsidRPr="007A7C7C" w14:paraId="28F4098B" w14:textId="77777777" w:rsidTr="00AB080D">
        <w:trPr>
          <w:trHeight w:val="51"/>
        </w:trPr>
        <w:tc>
          <w:tcPr>
            <w:tcW w:w="366" w:type="dxa"/>
            <w:tcBorders>
              <w:top w:val="nil"/>
              <w:left w:val="single" w:sz="4" w:space="0" w:color="auto"/>
              <w:bottom w:val="nil"/>
              <w:right w:val="single" w:sz="4" w:space="0" w:color="auto"/>
            </w:tcBorders>
            <w:shd w:val="clear" w:color="auto" w:fill="auto"/>
            <w:noWrap/>
            <w:vAlign w:val="center"/>
          </w:tcPr>
          <w:p w14:paraId="4D7C2980" w14:textId="77777777" w:rsidR="00B3287A" w:rsidRPr="007A7C7C" w:rsidRDefault="00B3287A" w:rsidP="00B3287A">
            <w:pPr>
              <w:jc w:val="both"/>
              <w:rPr>
                <w:b/>
                <w:bCs/>
                <w:sz w:val="20"/>
                <w:szCs w:val="20"/>
                <w:lang w:eastAsia="hr-HR"/>
              </w:rPr>
            </w:pPr>
          </w:p>
        </w:tc>
        <w:tc>
          <w:tcPr>
            <w:tcW w:w="3740" w:type="dxa"/>
            <w:gridSpan w:val="2"/>
            <w:tcBorders>
              <w:top w:val="single" w:sz="4" w:space="0" w:color="auto"/>
              <w:left w:val="nil"/>
              <w:bottom w:val="single" w:sz="4" w:space="0" w:color="auto"/>
              <w:right w:val="nil"/>
            </w:tcBorders>
            <w:shd w:val="clear" w:color="auto" w:fill="auto"/>
            <w:vAlign w:val="center"/>
          </w:tcPr>
          <w:p w14:paraId="2F50FDAD" w14:textId="77777777" w:rsidR="00B3287A" w:rsidRPr="007A7C7C" w:rsidRDefault="00B3287A" w:rsidP="00B3287A">
            <w:pPr>
              <w:jc w:val="both"/>
              <w:rPr>
                <w:b/>
                <w:bCs/>
                <w:i/>
                <w:iCs/>
                <w:sz w:val="20"/>
                <w:szCs w:val="20"/>
                <w:lang w:eastAsia="hr-HR"/>
              </w:rPr>
            </w:pPr>
            <w:r w:rsidRPr="007A7C7C">
              <w:rPr>
                <w:b/>
                <w:bCs/>
                <w:i/>
                <w:iCs/>
                <w:sz w:val="20"/>
                <w:szCs w:val="20"/>
                <w:lang w:eastAsia="hr-HR"/>
              </w:rPr>
              <w:t>Potpore na lokalnoj razini</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1209815" w14:textId="71E1235C" w:rsidR="00B3287A" w:rsidRPr="007A7C7C" w:rsidRDefault="00B3287A" w:rsidP="00B3287A">
            <w:pPr>
              <w:jc w:val="right"/>
              <w:rPr>
                <w:rFonts w:eastAsia="Times New Roman"/>
                <w:b/>
                <w:bCs/>
                <w:sz w:val="20"/>
                <w:szCs w:val="20"/>
                <w:lang w:eastAsia="hr-HR"/>
              </w:rPr>
            </w:pPr>
            <w:r w:rsidRPr="007A7C7C">
              <w:rPr>
                <w:b/>
                <w:sz w:val="20"/>
                <w:szCs w:val="20"/>
              </w:rPr>
              <w:t>146,4</w:t>
            </w:r>
          </w:p>
        </w:tc>
        <w:tc>
          <w:tcPr>
            <w:tcW w:w="850" w:type="dxa"/>
            <w:tcBorders>
              <w:top w:val="nil"/>
              <w:left w:val="nil"/>
              <w:bottom w:val="single" w:sz="4" w:space="0" w:color="auto"/>
              <w:right w:val="single" w:sz="4" w:space="0" w:color="auto"/>
            </w:tcBorders>
            <w:shd w:val="clear" w:color="auto" w:fill="auto"/>
            <w:noWrap/>
            <w:vAlign w:val="center"/>
          </w:tcPr>
          <w:p w14:paraId="6A774D58" w14:textId="6F3EC8BA" w:rsidR="00B3287A" w:rsidRPr="007A7C7C" w:rsidRDefault="00B3287A" w:rsidP="00B3287A">
            <w:pPr>
              <w:jc w:val="right"/>
              <w:rPr>
                <w:b/>
                <w:sz w:val="20"/>
                <w:szCs w:val="20"/>
              </w:rPr>
            </w:pPr>
            <w:r w:rsidRPr="007A7C7C">
              <w:rPr>
                <w:b/>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DDF2280" w14:textId="27286B71" w:rsidR="00B3287A" w:rsidRPr="007A7C7C" w:rsidRDefault="00B3287A" w:rsidP="00B3287A">
            <w:pPr>
              <w:jc w:val="right"/>
              <w:rPr>
                <w:b/>
                <w:sz w:val="20"/>
                <w:szCs w:val="20"/>
              </w:rPr>
            </w:pPr>
            <w:r w:rsidRPr="007A7C7C">
              <w:rPr>
                <w:b/>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14:paraId="743B7A2A" w14:textId="661D46B6" w:rsidR="00B3287A" w:rsidRPr="007A7C7C" w:rsidRDefault="00B3287A" w:rsidP="00B3287A">
            <w:pPr>
              <w:jc w:val="right"/>
              <w:rPr>
                <w:b/>
                <w:sz w:val="20"/>
                <w:szCs w:val="20"/>
              </w:rPr>
            </w:pPr>
            <w:r w:rsidRPr="007A7C7C">
              <w:rPr>
                <w:b/>
                <w:sz w:val="20"/>
                <w:szCs w:val="20"/>
              </w:rPr>
              <w:t>–</w:t>
            </w:r>
          </w:p>
        </w:tc>
        <w:tc>
          <w:tcPr>
            <w:tcW w:w="760" w:type="dxa"/>
            <w:tcBorders>
              <w:top w:val="nil"/>
              <w:left w:val="nil"/>
              <w:bottom w:val="single" w:sz="4" w:space="0" w:color="auto"/>
              <w:right w:val="single" w:sz="4" w:space="0" w:color="auto"/>
            </w:tcBorders>
            <w:shd w:val="clear" w:color="auto" w:fill="auto"/>
            <w:noWrap/>
            <w:vAlign w:val="center"/>
          </w:tcPr>
          <w:p w14:paraId="28CA8C3A" w14:textId="7192BB77" w:rsidR="00B3287A" w:rsidRPr="007A7C7C" w:rsidRDefault="00B3287A" w:rsidP="00B3287A">
            <w:pPr>
              <w:jc w:val="right"/>
              <w:rPr>
                <w:b/>
                <w:sz w:val="20"/>
                <w:szCs w:val="20"/>
              </w:rPr>
            </w:pPr>
            <w:r w:rsidRPr="007A7C7C">
              <w:rPr>
                <w:b/>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7D72675B" w14:textId="3B6366FB" w:rsidR="00B3287A" w:rsidRPr="007A7C7C" w:rsidRDefault="00B3287A" w:rsidP="00B3287A">
            <w:pPr>
              <w:jc w:val="right"/>
              <w:rPr>
                <w:rFonts w:eastAsia="Times New Roman"/>
                <w:b/>
                <w:bCs/>
                <w:sz w:val="20"/>
                <w:szCs w:val="20"/>
                <w:lang w:eastAsia="hr-HR"/>
              </w:rPr>
            </w:pPr>
            <w:r w:rsidRPr="007A7C7C">
              <w:rPr>
                <w:b/>
                <w:sz w:val="20"/>
                <w:szCs w:val="20"/>
              </w:rPr>
              <w:t>146,4</w:t>
            </w:r>
          </w:p>
        </w:tc>
      </w:tr>
      <w:tr w:rsidR="00B3287A" w:rsidRPr="007A7C7C" w14:paraId="4531046C" w14:textId="77777777" w:rsidTr="00AB080D">
        <w:trPr>
          <w:trHeight w:val="51"/>
        </w:trPr>
        <w:tc>
          <w:tcPr>
            <w:tcW w:w="366" w:type="dxa"/>
            <w:tcBorders>
              <w:top w:val="nil"/>
              <w:left w:val="single" w:sz="4" w:space="0" w:color="auto"/>
              <w:bottom w:val="double" w:sz="4" w:space="0" w:color="auto"/>
              <w:right w:val="single" w:sz="4" w:space="0" w:color="auto"/>
            </w:tcBorders>
            <w:shd w:val="clear" w:color="auto" w:fill="auto"/>
            <w:noWrap/>
            <w:vAlign w:val="center"/>
          </w:tcPr>
          <w:p w14:paraId="351EDA29" w14:textId="77777777" w:rsidR="00B3287A" w:rsidRPr="007A7C7C" w:rsidRDefault="00B3287A" w:rsidP="00B3287A">
            <w:pPr>
              <w:jc w:val="both"/>
              <w:rPr>
                <w:b/>
                <w:bCs/>
                <w:sz w:val="20"/>
                <w:szCs w:val="20"/>
                <w:lang w:eastAsia="hr-HR"/>
              </w:rPr>
            </w:pPr>
          </w:p>
        </w:tc>
        <w:tc>
          <w:tcPr>
            <w:tcW w:w="3740" w:type="dxa"/>
            <w:gridSpan w:val="2"/>
            <w:tcBorders>
              <w:top w:val="single" w:sz="4" w:space="0" w:color="auto"/>
              <w:left w:val="nil"/>
              <w:bottom w:val="double" w:sz="4" w:space="0" w:color="auto"/>
              <w:right w:val="nil"/>
            </w:tcBorders>
            <w:shd w:val="clear" w:color="auto" w:fill="auto"/>
            <w:vAlign w:val="center"/>
          </w:tcPr>
          <w:p w14:paraId="7BA4275D" w14:textId="2C903FA8" w:rsidR="00B3287A" w:rsidRPr="007A7C7C" w:rsidRDefault="00B3287A" w:rsidP="00B3287A">
            <w:pPr>
              <w:jc w:val="both"/>
              <w:rPr>
                <w:b/>
                <w:bCs/>
                <w:i/>
                <w:iCs/>
                <w:sz w:val="20"/>
                <w:szCs w:val="20"/>
                <w:lang w:eastAsia="hr-HR"/>
              </w:rPr>
            </w:pPr>
            <w:r w:rsidRPr="007A7C7C">
              <w:rPr>
                <w:b/>
                <w:i/>
                <w:sz w:val="20"/>
                <w:szCs w:val="20"/>
              </w:rPr>
              <w:t>Potpore za suzbijanje učinaka COVID</w:t>
            </w:r>
            <w:r w:rsidR="007A7C7C">
              <w:rPr>
                <w:b/>
                <w:i/>
                <w:sz w:val="20"/>
                <w:szCs w:val="20"/>
              </w:rPr>
              <w:t>-a i ruske agresije na Ukrajinu</w:t>
            </w:r>
          </w:p>
        </w:tc>
        <w:tc>
          <w:tcPr>
            <w:tcW w:w="851" w:type="dxa"/>
            <w:tcBorders>
              <w:top w:val="nil"/>
              <w:left w:val="single" w:sz="4" w:space="0" w:color="auto"/>
              <w:bottom w:val="double" w:sz="4" w:space="0" w:color="auto"/>
              <w:right w:val="single" w:sz="4" w:space="0" w:color="auto"/>
            </w:tcBorders>
            <w:shd w:val="clear" w:color="auto" w:fill="auto"/>
            <w:noWrap/>
            <w:vAlign w:val="center"/>
          </w:tcPr>
          <w:p w14:paraId="63871E22" w14:textId="6457A9F7" w:rsidR="00B3287A" w:rsidRPr="007A7C7C" w:rsidRDefault="00B3287A" w:rsidP="00B3287A">
            <w:pPr>
              <w:jc w:val="right"/>
              <w:rPr>
                <w:rFonts w:eastAsia="Times New Roman"/>
                <w:b/>
                <w:bCs/>
                <w:sz w:val="20"/>
                <w:szCs w:val="20"/>
                <w:lang w:eastAsia="hr-HR"/>
              </w:rPr>
            </w:pPr>
            <w:r w:rsidRPr="007A7C7C">
              <w:rPr>
                <w:b/>
                <w:sz w:val="20"/>
                <w:szCs w:val="20"/>
              </w:rPr>
              <w:t>22,4</w:t>
            </w:r>
          </w:p>
        </w:tc>
        <w:tc>
          <w:tcPr>
            <w:tcW w:w="850" w:type="dxa"/>
            <w:tcBorders>
              <w:top w:val="nil"/>
              <w:left w:val="nil"/>
              <w:bottom w:val="double" w:sz="4" w:space="0" w:color="auto"/>
              <w:right w:val="single" w:sz="4" w:space="0" w:color="auto"/>
            </w:tcBorders>
            <w:shd w:val="clear" w:color="auto" w:fill="auto"/>
            <w:noWrap/>
            <w:vAlign w:val="center"/>
          </w:tcPr>
          <w:p w14:paraId="519BE839" w14:textId="12204F29" w:rsidR="00B3287A" w:rsidRPr="007A7C7C" w:rsidRDefault="00B3287A" w:rsidP="00B3287A">
            <w:pPr>
              <w:jc w:val="right"/>
              <w:rPr>
                <w:b/>
                <w:sz w:val="20"/>
                <w:szCs w:val="20"/>
              </w:rPr>
            </w:pPr>
            <w:r w:rsidRPr="007A7C7C">
              <w:rPr>
                <w:b/>
                <w:sz w:val="20"/>
                <w:szCs w:val="20"/>
              </w:rPr>
              <w:t>14,3</w:t>
            </w:r>
          </w:p>
        </w:tc>
        <w:tc>
          <w:tcPr>
            <w:tcW w:w="851" w:type="dxa"/>
            <w:tcBorders>
              <w:top w:val="nil"/>
              <w:left w:val="nil"/>
              <w:bottom w:val="double" w:sz="4" w:space="0" w:color="auto"/>
              <w:right w:val="single" w:sz="4" w:space="0" w:color="auto"/>
            </w:tcBorders>
            <w:shd w:val="clear" w:color="auto" w:fill="auto"/>
            <w:noWrap/>
            <w:vAlign w:val="center"/>
          </w:tcPr>
          <w:p w14:paraId="6528C5CC" w14:textId="46610191" w:rsidR="00B3287A" w:rsidRPr="007A7C7C" w:rsidRDefault="00B3287A" w:rsidP="00B3287A">
            <w:pPr>
              <w:jc w:val="right"/>
              <w:rPr>
                <w:rFonts w:eastAsia="Times New Roman"/>
                <w:b/>
                <w:bCs/>
                <w:sz w:val="20"/>
                <w:szCs w:val="20"/>
                <w:lang w:eastAsia="hr-HR"/>
              </w:rPr>
            </w:pPr>
            <w:r w:rsidRPr="007A7C7C">
              <w:rPr>
                <w:b/>
                <w:sz w:val="20"/>
                <w:szCs w:val="20"/>
              </w:rPr>
              <w:t>–</w:t>
            </w:r>
          </w:p>
        </w:tc>
        <w:tc>
          <w:tcPr>
            <w:tcW w:w="756" w:type="dxa"/>
            <w:tcBorders>
              <w:top w:val="nil"/>
              <w:left w:val="nil"/>
              <w:bottom w:val="double" w:sz="4" w:space="0" w:color="auto"/>
              <w:right w:val="single" w:sz="4" w:space="0" w:color="auto"/>
            </w:tcBorders>
            <w:shd w:val="clear" w:color="auto" w:fill="auto"/>
            <w:noWrap/>
            <w:vAlign w:val="center"/>
          </w:tcPr>
          <w:p w14:paraId="6838FCF2" w14:textId="45721923" w:rsidR="00B3287A" w:rsidRPr="007A7C7C" w:rsidRDefault="00B3287A" w:rsidP="00B3287A">
            <w:pPr>
              <w:jc w:val="right"/>
              <w:rPr>
                <w:rFonts w:eastAsia="Times New Roman"/>
                <w:b/>
                <w:bCs/>
                <w:sz w:val="20"/>
                <w:szCs w:val="20"/>
                <w:lang w:eastAsia="hr-HR"/>
              </w:rPr>
            </w:pPr>
            <w:r w:rsidRPr="007A7C7C">
              <w:rPr>
                <w:b/>
                <w:sz w:val="20"/>
                <w:szCs w:val="20"/>
              </w:rPr>
              <w:t>127,4</w:t>
            </w:r>
          </w:p>
        </w:tc>
        <w:tc>
          <w:tcPr>
            <w:tcW w:w="760" w:type="dxa"/>
            <w:tcBorders>
              <w:top w:val="nil"/>
              <w:left w:val="nil"/>
              <w:bottom w:val="double" w:sz="4" w:space="0" w:color="auto"/>
              <w:right w:val="single" w:sz="4" w:space="0" w:color="auto"/>
            </w:tcBorders>
            <w:shd w:val="clear" w:color="auto" w:fill="auto"/>
            <w:noWrap/>
            <w:vAlign w:val="center"/>
          </w:tcPr>
          <w:p w14:paraId="6D4CC7F2" w14:textId="453B3A97" w:rsidR="00B3287A" w:rsidRPr="007A7C7C" w:rsidRDefault="00B3287A" w:rsidP="00B3287A">
            <w:pPr>
              <w:jc w:val="right"/>
              <w:rPr>
                <w:rFonts w:eastAsia="Times New Roman"/>
                <w:b/>
                <w:bCs/>
                <w:sz w:val="20"/>
                <w:szCs w:val="20"/>
                <w:lang w:eastAsia="hr-HR"/>
              </w:rPr>
            </w:pPr>
            <w:r w:rsidRPr="007A7C7C">
              <w:rPr>
                <w:b/>
                <w:sz w:val="20"/>
                <w:szCs w:val="20"/>
              </w:rPr>
              <w:t>392,5</w:t>
            </w:r>
          </w:p>
        </w:tc>
        <w:tc>
          <w:tcPr>
            <w:tcW w:w="992" w:type="dxa"/>
            <w:tcBorders>
              <w:top w:val="nil"/>
              <w:left w:val="nil"/>
              <w:bottom w:val="double" w:sz="4" w:space="0" w:color="auto"/>
              <w:right w:val="single" w:sz="4" w:space="0" w:color="auto"/>
            </w:tcBorders>
            <w:shd w:val="clear" w:color="auto" w:fill="auto"/>
            <w:noWrap/>
            <w:vAlign w:val="center"/>
          </w:tcPr>
          <w:p w14:paraId="359F8EAB" w14:textId="0C439BC2" w:rsidR="00B3287A" w:rsidRPr="007A7C7C" w:rsidRDefault="00B3287A" w:rsidP="00B3287A">
            <w:pPr>
              <w:jc w:val="right"/>
              <w:rPr>
                <w:rFonts w:eastAsia="Times New Roman"/>
                <w:b/>
                <w:bCs/>
                <w:sz w:val="20"/>
                <w:szCs w:val="20"/>
                <w:lang w:eastAsia="hr-HR"/>
              </w:rPr>
            </w:pPr>
            <w:r w:rsidRPr="007A7C7C">
              <w:rPr>
                <w:b/>
                <w:sz w:val="20"/>
                <w:szCs w:val="20"/>
              </w:rPr>
              <w:t>556,6</w:t>
            </w:r>
          </w:p>
        </w:tc>
      </w:tr>
      <w:tr w:rsidR="00B3287A" w:rsidRPr="007A7C7C" w14:paraId="06012146" w14:textId="77777777" w:rsidTr="00B3287A">
        <w:trPr>
          <w:trHeight w:val="51"/>
        </w:trPr>
        <w:tc>
          <w:tcPr>
            <w:tcW w:w="4106" w:type="dxa"/>
            <w:gridSpan w:val="3"/>
            <w:tcBorders>
              <w:top w:val="double" w:sz="4" w:space="0" w:color="auto"/>
              <w:left w:val="single" w:sz="4" w:space="0" w:color="auto"/>
              <w:bottom w:val="double" w:sz="4" w:space="0" w:color="auto"/>
              <w:right w:val="single" w:sz="4" w:space="0" w:color="000000"/>
            </w:tcBorders>
            <w:shd w:val="clear" w:color="000000" w:fill="FFFF99"/>
            <w:noWrap/>
            <w:vAlign w:val="center"/>
            <w:hideMark/>
          </w:tcPr>
          <w:p w14:paraId="048375F6" w14:textId="77777777" w:rsidR="00B3287A" w:rsidRPr="007A7C7C" w:rsidRDefault="00B3287A" w:rsidP="00B3287A">
            <w:pPr>
              <w:jc w:val="both"/>
              <w:rPr>
                <w:b/>
                <w:bCs/>
                <w:sz w:val="20"/>
                <w:szCs w:val="20"/>
                <w:lang w:eastAsia="hr-HR"/>
              </w:rPr>
            </w:pPr>
            <w:r w:rsidRPr="007A7C7C">
              <w:rPr>
                <w:b/>
                <w:bCs/>
                <w:sz w:val="20"/>
                <w:szCs w:val="20"/>
                <w:lang w:eastAsia="hr-HR"/>
              </w:rPr>
              <w:t>UKUPNO</w:t>
            </w:r>
          </w:p>
        </w:tc>
        <w:tc>
          <w:tcPr>
            <w:tcW w:w="851" w:type="dxa"/>
            <w:tcBorders>
              <w:top w:val="double" w:sz="4" w:space="0" w:color="auto"/>
              <w:left w:val="nil"/>
              <w:bottom w:val="double" w:sz="4" w:space="0" w:color="auto"/>
              <w:right w:val="single" w:sz="4" w:space="0" w:color="auto"/>
            </w:tcBorders>
            <w:shd w:val="clear" w:color="000000" w:fill="FFFF99"/>
            <w:noWrap/>
            <w:vAlign w:val="center"/>
          </w:tcPr>
          <w:p w14:paraId="4250FFDC" w14:textId="036CA313" w:rsidR="00B3287A" w:rsidRPr="007A7C7C" w:rsidRDefault="00B3287A" w:rsidP="00B3287A">
            <w:pPr>
              <w:jc w:val="right"/>
              <w:rPr>
                <w:rFonts w:eastAsia="Times New Roman"/>
                <w:b/>
                <w:bCs/>
                <w:sz w:val="20"/>
                <w:szCs w:val="20"/>
                <w:lang w:eastAsia="hr-HR"/>
              </w:rPr>
            </w:pPr>
            <w:r w:rsidRPr="007A7C7C">
              <w:rPr>
                <w:b/>
                <w:sz w:val="20"/>
                <w:szCs w:val="20"/>
              </w:rPr>
              <w:t>1.980,7</w:t>
            </w:r>
          </w:p>
        </w:tc>
        <w:tc>
          <w:tcPr>
            <w:tcW w:w="850" w:type="dxa"/>
            <w:tcBorders>
              <w:top w:val="double" w:sz="4" w:space="0" w:color="auto"/>
              <w:left w:val="nil"/>
              <w:bottom w:val="double" w:sz="4" w:space="0" w:color="auto"/>
              <w:right w:val="single" w:sz="4" w:space="0" w:color="auto"/>
            </w:tcBorders>
            <w:shd w:val="clear" w:color="000000" w:fill="FFFF99"/>
            <w:noWrap/>
            <w:vAlign w:val="center"/>
          </w:tcPr>
          <w:p w14:paraId="38747C2E" w14:textId="79B8BE0E" w:rsidR="00B3287A" w:rsidRPr="007A7C7C" w:rsidRDefault="00B3287A" w:rsidP="00B3287A">
            <w:pPr>
              <w:jc w:val="right"/>
              <w:rPr>
                <w:rFonts w:eastAsia="Times New Roman"/>
                <w:b/>
                <w:bCs/>
                <w:sz w:val="20"/>
                <w:szCs w:val="20"/>
                <w:lang w:eastAsia="hr-HR"/>
              </w:rPr>
            </w:pPr>
            <w:r w:rsidRPr="007A7C7C">
              <w:rPr>
                <w:b/>
                <w:sz w:val="20"/>
                <w:szCs w:val="20"/>
              </w:rPr>
              <w:t>230,7</w:t>
            </w:r>
          </w:p>
        </w:tc>
        <w:tc>
          <w:tcPr>
            <w:tcW w:w="851" w:type="dxa"/>
            <w:tcBorders>
              <w:top w:val="double" w:sz="4" w:space="0" w:color="auto"/>
              <w:left w:val="nil"/>
              <w:bottom w:val="double" w:sz="4" w:space="0" w:color="auto"/>
              <w:right w:val="single" w:sz="4" w:space="0" w:color="auto"/>
            </w:tcBorders>
            <w:shd w:val="clear" w:color="000000" w:fill="FFFF99"/>
            <w:noWrap/>
            <w:vAlign w:val="center"/>
          </w:tcPr>
          <w:p w14:paraId="67CCC1B5" w14:textId="3F601B18" w:rsidR="00B3287A" w:rsidRPr="007A7C7C" w:rsidRDefault="00B3287A" w:rsidP="00B3287A">
            <w:pPr>
              <w:jc w:val="right"/>
              <w:rPr>
                <w:rFonts w:eastAsia="Times New Roman"/>
                <w:b/>
                <w:bCs/>
                <w:sz w:val="20"/>
                <w:szCs w:val="20"/>
                <w:lang w:eastAsia="hr-HR"/>
              </w:rPr>
            </w:pPr>
            <w:r w:rsidRPr="007A7C7C">
              <w:rPr>
                <w:b/>
                <w:sz w:val="20"/>
                <w:szCs w:val="20"/>
              </w:rPr>
              <w:t>203,2</w:t>
            </w:r>
          </w:p>
        </w:tc>
        <w:tc>
          <w:tcPr>
            <w:tcW w:w="756" w:type="dxa"/>
            <w:tcBorders>
              <w:top w:val="double" w:sz="4" w:space="0" w:color="auto"/>
              <w:left w:val="nil"/>
              <w:bottom w:val="double" w:sz="4" w:space="0" w:color="auto"/>
              <w:right w:val="single" w:sz="4" w:space="0" w:color="auto"/>
            </w:tcBorders>
            <w:shd w:val="clear" w:color="000000" w:fill="FFFF99"/>
            <w:noWrap/>
            <w:vAlign w:val="center"/>
          </w:tcPr>
          <w:p w14:paraId="35302428" w14:textId="64FC32DF" w:rsidR="00B3287A" w:rsidRPr="007A7C7C" w:rsidRDefault="00B3287A" w:rsidP="00B3287A">
            <w:pPr>
              <w:jc w:val="right"/>
              <w:rPr>
                <w:rFonts w:eastAsia="Times New Roman"/>
                <w:b/>
                <w:bCs/>
                <w:sz w:val="20"/>
                <w:szCs w:val="20"/>
                <w:lang w:eastAsia="hr-HR"/>
              </w:rPr>
            </w:pPr>
            <w:r w:rsidRPr="007A7C7C">
              <w:rPr>
                <w:b/>
                <w:sz w:val="20"/>
                <w:szCs w:val="20"/>
              </w:rPr>
              <w:t>188,0</w:t>
            </w:r>
          </w:p>
        </w:tc>
        <w:tc>
          <w:tcPr>
            <w:tcW w:w="760" w:type="dxa"/>
            <w:tcBorders>
              <w:top w:val="double" w:sz="4" w:space="0" w:color="auto"/>
              <w:left w:val="nil"/>
              <w:bottom w:val="double" w:sz="4" w:space="0" w:color="auto"/>
              <w:right w:val="single" w:sz="4" w:space="0" w:color="auto"/>
            </w:tcBorders>
            <w:shd w:val="clear" w:color="000000" w:fill="FFFF99"/>
            <w:noWrap/>
            <w:vAlign w:val="center"/>
          </w:tcPr>
          <w:p w14:paraId="12E7DF7C" w14:textId="3A3875F8" w:rsidR="00B3287A" w:rsidRPr="007A7C7C" w:rsidRDefault="00B3287A" w:rsidP="00B3287A">
            <w:pPr>
              <w:jc w:val="right"/>
              <w:rPr>
                <w:rFonts w:eastAsia="Times New Roman"/>
                <w:b/>
                <w:bCs/>
                <w:sz w:val="20"/>
                <w:szCs w:val="20"/>
                <w:lang w:eastAsia="hr-HR"/>
              </w:rPr>
            </w:pPr>
            <w:r w:rsidRPr="007A7C7C">
              <w:rPr>
                <w:b/>
                <w:sz w:val="20"/>
                <w:szCs w:val="20"/>
              </w:rPr>
              <w:t>433,1</w:t>
            </w:r>
          </w:p>
        </w:tc>
        <w:tc>
          <w:tcPr>
            <w:tcW w:w="992" w:type="dxa"/>
            <w:tcBorders>
              <w:top w:val="double" w:sz="4" w:space="0" w:color="auto"/>
              <w:left w:val="nil"/>
              <w:bottom w:val="double" w:sz="4" w:space="0" w:color="auto"/>
              <w:right w:val="single" w:sz="4" w:space="0" w:color="auto"/>
            </w:tcBorders>
            <w:shd w:val="clear" w:color="000000" w:fill="FFFF99"/>
            <w:noWrap/>
            <w:vAlign w:val="center"/>
          </w:tcPr>
          <w:p w14:paraId="6475606D" w14:textId="23128695" w:rsidR="00B3287A" w:rsidRPr="007A7C7C" w:rsidRDefault="00B3287A" w:rsidP="00B3287A">
            <w:pPr>
              <w:jc w:val="right"/>
              <w:rPr>
                <w:rFonts w:eastAsia="Times New Roman"/>
                <w:b/>
                <w:bCs/>
                <w:sz w:val="20"/>
                <w:szCs w:val="20"/>
                <w:lang w:eastAsia="hr-HR"/>
              </w:rPr>
            </w:pPr>
            <w:r w:rsidRPr="007A7C7C">
              <w:rPr>
                <w:b/>
                <w:sz w:val="20"/>
                <w:szCs w:val="20"/>
              </w:rPr>
              <w:t>3.035,6</w:t>
            </w:r>
          </w:p>
        </w:tc>
      </w:tr>
    </w:tbl>
    <w:p w14:paraId="74662E94" w14:textId="77777777" w:rsidR="008C2D7C" w:rsidRPr="00B3287A" w:rsidRDefault="008C2D7C" w:rsidP="008C2D7C">
      <w:pPr>
        <w:contextualSpacing/>
        <w:jc w:val="both"/>
        <w:rPr>
          <w:i/>
          <w:sz w:val="20"/>
        </w:rPr>
      </w:pPr>
      <w:r w:rsidRPr="00B3287A">
        <w:rPr>
          <w:i/>
          <w:sz w:val="20"/>
        </w:rPr>
        <w:t>Izvor: Ministarstvo financija i davatelji potpora; podaci obrađeni u Ministarstvu financija</w:t>
      </w:r>
    </w:p>
    <w:p w14:paraId="4F1D525A" w14:textId="428C3DDF" w:rsidR="006175AF" w:rsidRPr="001054B3" w:rsidRDefault="006175AF" w:rsidP="000E0349">
      <w:pPr>
        <w:jc w:val="both"/>
      </w:pPr>
    </w:p>
    <w:p w14:paraId="5284991F" w14:textId="29A98B6D" w:rsidR="008C2D7C" w:rsidRPr="001054B3" w:rsidRDefault="009A7BB3" w:rsidP="008C2D7C">
      <w:pPr>
        <w:jc w:val="both"/>
      </w:pPr>
      <w:r w:rsidRPr="00B9741D">
        <w:rPr>
          <w:u w:val="single"/>
        </w:rPr>
        <w:t>Ukupne potpore</w:t>
      </w:r>
      <w:r w:rsidRPr="001054B3">
        <w:t xml:space="preserve"> </w:t>
      </w:r>
      <w:r w:rsidR="001054B3" w:rsidRPr="001054B3">
        <w:t xml:space="preserve">u 2023. godini dodijeljene su </w:t>
      </w:r>
      <w:r w:rsidRPr="001054B3">
        <w:t xml:space="preserve">u iznosu od </w:t>
      </w:r>
      <w:r w:rsidR="001054B3" w:rsidRPr="001054B3">
        <w:t xml:space="preserve">3.035,6 </w:t>
      </w:r>
      <w:r w:rsidRPr="001054B3">
        <w:t xml:space="preserve">milijuna </w:t>
      </w:r>
      <w:r w:rsidR="001054B3" w:rsidRPr="001054B3">
        <w:t xml:space="preserve">eura, te </w:t>
      </w:r>
      <w:r w:rsidRPr="001054B3">
        <w:t xml:space="preserve">su </w:t>
      </w:r>
      <w:r w:rsidR="000E0349" w:rsidRPr="001054B3">
        <w:t xml:space="preserve">najvećim dijelom </w:t>
      </w:r>
      <w:r w:rsidRPr="001054B3">
        <w:t xml:space="preserve">dodjeljivane </w:t>
      </w:r>
      <w:r w:rsidR="000E0349" w:rsidRPr="001054B3">
        <w:t>putem subvencija i neposrednih subvencija kamata</w:t>
      </w:r>
      <w:r w:rsidR="008C2D7C" w:rsidRPr="001054B3">
        <w:t>, i to</w:t>
      </w:r>
      <w:r w:rsidR="000E0349" w:rsidRPr="001054B3">
        <w:t xml:space="preserve"> u iznosu od </w:t>
      </w:r>
      <w:r w:rsidR="001054B3" w:rsidRPr="001054B3">
        <w:t xml:space="preserve">1.980,7 </w:t>
      </w:r>
      <w:r w:rsidR="000E0349" w:rsidRPr="001054B3">
        <w:t xml:space="preserve">milijuna </w:t>
      </w:r>
      <w:r w:rsidR="001054B3" w:rsidRPr="001054B3">
        <w:t xml:space="preserve">eura </w:t>
      </w:r>
      <w:r w:rsidR="000E0349" w:rsidRPr="001054B3">
        <w:t xml:space="preserve">ili s udjelom u ukupno dodijeljenim potporama od </w:t>
      </w:r>
      <w:r w:rsidRPr="001054B3">
        <w:t>65</w:t>
      </w:r>
      <w:r w:rsidR="001054B3" w:rsidRPr="001054B3">
        <w:t>,2</w:t>
      </w:r>
      <w:r w:rsidRPr="001054B3">
        <w:t xml:space="preserve"> </w:t>
      </w:r>
      <w:r w:rsidR="000E0349" w:rsidRPr="001054B3">
        <w:t xml:space="preserve">posto, slijede </w:t>
      </w:r>
      <w:r w:rsidR="008C2D7C" w:rsidRPr="001054B3">
        <w:t xml:space="preserve">izdana jamstva u iznosu od </w:t>
      </w:r>
      <w:r w:rsidR="001054B3" w:rsidRPr="001054B3">
        <w:t xml:space="preserve">433,1 </w:t>
      </w:r>
      <w:r w:rsidR="008C2D7C" w:rsidRPr="001054B3">
        <w:t xml:space="preserve">milijun </w:t>
      </w:r>
      <w:r w:rsidR="001054B3" w:rsidRPr="001054B3">
        <w:t xml:space="preserve">eura </w:t>
      </w:r>
      <w:r w:rsidR="008C2D7C" w:rsidRPr="001054B3">
        <w:t xml:space="preserve">ili </w:t>
      </w:r>
      <w:r w:rsidR="001054B3" w:rsidRPr="001054B3">
        <w:t xml:space="preserve">14,3 </w:t>
      </w:r>
      <w:r w:rsidR="008C2D7C" w:rsidRPr="001054B3">
        <w:t xml:space="preserve">posto, </w:t>
      </w:r>
      <w:r w:rsidR="001054B3" w:rsidRPr="001054B3">
        <w:t>porezna oslobođenja, izuzeća, oprost poreza i doprinosa i olakšice s iznosom od 230,7 milijuna eura ili 7,6 posto,</w:t>
      </w:r>
      <w:r w:rsidR="00166E76">
        <w:t xml:space="preserve"> </w:t>
      </w:r>
      <w:r w:rsidR="008C2D7C" w:rsidRPr="001054B3">
        <w:t xml:space="preserve">kapitalna ulaganja s iznosom od </w:t>
      </w:r>
      <w:r w:rsidR="001054B3" w:rsidRPr="001054B3">
        <w:t xml:space="preserve">203,2 </w:t>
      </w:r>
      <w:r w:rsidR="008C2D7C" w:rsidRPr="001054B3">
        <w:t xml:space="preserve">milijuna </w:t>
      </w:r>
      <w:r w:rsidR="001054B3" w:rsidRPr="001054B3">
        <w:t xml:space="preserve">eura </w:t>
      </w:r>
      <w:r w:rsidR="008C2D7C" w:rsidRPr="001054B3">
        <w:t xml:space="preserve">ili </w:t>
      </w:r>
      <w:r w:rsidR="001054B3" w:rsidRPr="001054B3">
        <w:t xml:space="preserve">6,7 </w:t>
      </w:r>
      <w:r w:rsidR="008C2D7C" w:rsidRPr="001054B3">
        <w:t xml:space="preserve">posto, </w:t>
      </w:r>
      <w:r w:rsidRPr="001054B3">
        <w:t xml:space="preserve">te </w:t>
      </w:r>
      <w:r w:rsidR="008C2D7C" w:rsidRPr="001054B3">
        <w:t xml:space="preserve">povoljni zajmovi s iznosom od </w:t>
      </w:r>
      <w:r w:rsidR="001054B3" w:rsidRPr="001054B3">
        <w:t xml:space="preserve">188 </w:t>
      </w:r>
      <w:r w:rsidR="008C2D7C" w:rsidRPr="001054B3">
        <w:t xml:space="preserve">milijuna </w:t>
      </w:r>
      <w:r w:rsidR="001054B3" w:rsidRPr="001054B3">
        <w:t xml:space="preserve">eura </w:t>
      </w:r>
      <w:r w:rsidR="008C2D7C" w:rsidRPr="001054B3">
        <w:t xml:space="preserve">ili </w:t>
      </w:r>
      <w:r w:rsidR="001054B3" w:rsidRPr="001054B3">
        <w:t>6,2</w:t>
      </w:r>
      <w:r w:rsidRPr="001054B3">
        <w:t xml:space="preserve"> posto</w:t>
      </w:r>
      <w:r w:rsidR="008C2D7C" w:rsidRPr="001054B3">
        <w:t>.</w:t>
      </w:r>
    </w:p>
    <w:p w14:paraId="48027D44" w14:textId="77777777" w:rsidR="00886D03" w:rsidRPr="004824D4" w:rsidRDefault="00886D03" w:rsidP="008C2D7C">
      <w:pPr>
        <w:jc w:val="both"/>
      </w:pPr>
    </w:p>
    <w:p w14:paraId="5F261D50" w14:textId="49BBBD39" w:rsidR="002E1CBE" w:rsidRPr="00B9741D" w:rsidRDefault="002E1CBE" w:rsidP="002E1CBE">
      <w:pPr>
        <w:contextualSpacing/>
        <w:jc w:val="both"/>
      </w:pPr>
      <w:r w:rsidRPr="00B9741D">
        <w:t xml:space="preserve">Slika </w:t>
      </w:r>
      <w:r w:rsidR="004824D4" w:rsidRPr="00B9741D">
        <w:t>4</w:t>
      </w:r>
      <w:r w:rsidRPr="00B9741D">
        <w:t>. Ukupne potpore prema instrumentima dodjele u 202</w:t>
      </w:r>
      <w:r w:rsidR="004824D4" w:rsidRPr="00B9741D">
        <w:t>3</w:t>
      </w:r>
      <w:r w:rsidRPr="00B9741D">
        <w:t>. godini</w:t>
      </w:r>
      <w:r w:rsidRPr="00B9741D">
        <w:rPr>
          <w:rStyle w:val="FootnoteReference"/>
        </w:rPr>
        <w:footnoteReference w:id="18"/>
      </w:r>
    </w:p>
    <w:p w14:paraId="543F7F25" w14:textId="77777777" w:rsidR="002E1CBE" w:rsidRPr="004824D4" w:rsidRDefault="002E1CBE" w:rsidP="002E1CBE">
      <w:pPr>
        <w:jc w:val="both"/>
        <w:rPr>
          <w:sz w:val="20"/>
        </w:rPr>
      </w:pPr>
    </w:p>
    <w:p w14:paraId="5E5A1743" w14:textId="351C6C78" w:rsidR="00886D03" w:rsidRPr="004824D4" w:rsidRDefault="002C5ADC" w:rsidP="004824D4">
      <w:pPr>
        <w:jc w:val="center"/>
      </w:pPr>
      <w:r w:rsidRPr="004824D4">
        <w:rPr>
          <w:noProof/>
          <w:sz w:val="18"/>
          <w:lang w:eastAsia="hr-HR"/>
        </w:rPr>
        <w:drawing>
          <wp:inline distT="0" distB="0" distL="0" distR="0" wp14:anchorId="1E79F689" wp14:editId="626931D1">
            <wp:extent cx="4155141" cy="2294964"/>
            <wp:effectExtent l="0" t="0" r="17145" b="10160"/>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81A65B" w14:textId="77777777" w:rsidR="004824D4" w:rsidRPr="004824D4" w:rsidRDefault="004824D4" w:rsidP="004824D4">
      <w:pPr>
        <w:contextualSpacing/>
        <w:jc w:val="center"/>
        <w:rPr>
          <w:i/>
          <w:sz w:val="20"/>
        </w:rPr>
      </w:pPr>
      <w:r w:rsidRPr="004824D4">
        <w:rPr>
          <w:i/>
          <w:sz w:val="20"/>
        </w:rPr>
        <w:t>Izvor: Ministarstvo financija i davatelji potpora; podaci obrađeni u Ministarstvu financija</w:t>
      </w:r>
    </w:p>
    <w:p w14:paraId="06F1F4C6" w14:textId="77777777" w:rsidR="00886D03" w:rsidRPr="004824D4" w:rsidRDefault="00886D03" w:rsidP="00BE487D">
      <w:pPr>
        <w:jc w:val="both"/>
      </w:pPr>
    </w:p>
    <w:p w14:paraId="4C065C3C" w14:textId="0E719410" w:rsidR="00FE2D9A" w:rsidRPr="00E54C8B" w:rsidRDefault="00FE2D9A" w:rsidP="00BE487D">
      <w:pPr>
        <w:jc w:val="both"/>
      </w:pPr>
      <w:r w:rsidRPr="00B9741D">
        <w:rPr>
          <w:u w:val="single"/>
        </w:rPr>
        <w:t xml:space="preserve">Potpore </w:t>
      </w:r>
      <w:r w:rsidR="001054B3" w:rsidRPr="00B9741D">
        <w:rPr>
          <w:u w:val="single"/>
        </w:rPr>
        <w:t xml:space="preserve">u </w:t>
      </w:r>
      <w:r w:rsidRPr="00B9741D">
        <w:rPr>
          <w:u w:val="single"/>
        </w:rPr>
        <w:t>sektoru poljoprivrede i ribarstva</w:t>
      </w:r>
      <w:r w:rsidRPr="00E54C8B">
        <w:t xml:space="preserve"> dodijeljene su </w:t>
      </w:r>
      <w:r w:rsidR="009A7BB3" w:rsidRPr="00E54C8B">
        <w:t>u 202</w:t>
      </w:r>
      <w:r w:rsidR="001054B3" w:rsidRPr="00E54C8B">
        <w:t>3</w:t>
      </w:r>
      <w:r w:rsidR="009A7BB3" w:rsidRPr="00E54C8B">
        <w:t xml:space="preserve">. godini </w:t>
      </w:r>
      <w:r w:rsidRPr="00E54C8B">
        <w:t xml:space="preserve">u iznosu od </w:t>
      </w:r>
      <w:r w:rsidR="00E54C8B" w:rsidRPr="00E54C8B">
        <w:t>1.068</w:t>
      </w:r>
      <w:r w:rsidR="00E54C8B" w:rsidRPr="00E54C8B">
        <w:rPr>
          <w:b/>
        </w:rPr>
        <w:t xml:space="preserve"> </w:t>
      </w:r>
      <w:r w:rsidRPr="00E54C8B">
        <w:t xml:space="preserve">milijuna </w:t>
      </w:r>
      <w:r w:rsidR="00E54C8B" w:rsidRPr="00E54C8B">
        <w:t>eura</w:t>
      </w:r>
      <w:r w:rsidRPr="00E54C8B">
        <w:t xml:space="preserve">, </w:t>
      </w:r>
      <w:r w:rsidR="009A7BB3" w:rsidRPr="00E54C8B">
        <w:t xml:space="preserve">i to </w:t>
      </w:r>
      <w:r w:rsidRPr="00E54C8B">
        <w:t xml:space="preserve">najvećem dijelom putem subvencija u iznosu od </w:t>
      </w:r>
      <w:r w:rsidR="00E54C8B" w:rsidRPr="00E54C8B">
        <w:t xml:space="preserve">780,7 </w:t>
      </w:r>
      <w:r w:rsidRPr="00E54C8B">
        <w:t xml:space="preserve">milijuna </w:t>
      </w:r>
      <w:r w:rsidR="00E54C8B" w:rsidRPr="00E54C8B">
        <w:t xml:space="preserve">eura </w:t>
      </w:r>
      <w:r w:rsidRPr="00E54C8B">
        <w:t xml:space="preserve">ili s udjelom od </w:t>
      </w:r>
      <w:r w:rsidR="00620C08" w:rsidRPr="00E54C8B">
        <w:t>7</w:t>
      </w:r>
      <w:r w:rsidR="00E54C8B" w:rsidRPr="00E54C8B">
        <w:t>3,1</w:t>
      </w:r>
      <w:r w:rsidRPr="00E54C8B">
        <w:t xml:space="preserve"> posto</w:t>
      </w:r>
      <w:r w:rsidR="00DF0232" w:rsidRPr="00E54C8B">
        <w:t xml:space="preserve"> u </w:t>
      </w:r>
      <w:r w:rsidR="00E54C8B" w:rsidRPr="00E54C8B">
        <w:t xml:space="preserve">sektoru </w:t>
      </w:r>
      <w:r w:rsidR="00DF0232" w:rsidRPr="00E54C8B">
        <w:t>poljoprivred</w:t>
      </w:r>
      <w:r w:rsidR="00E54C8B" w:rsidRPr="00E54C8B">
        <w:t>e</w:t>
      </w:r>
      <w:r w:rsidR="00DF0232" w:rsidRPr="00E54C8B">
        <w:t xml:space="preserve"> i ribarstv</w:t>
      </w:r>
      <w:r w:rsidR="00E54C8B" w:rsidRPr="00E54C8B">
        <w:t>a</w:t>
      </w:r>
      <w:r w:rsidRPr="00E54C8B">
        <w:t xml:space="preserve">, </w:t>
      </w:r>
      <w:r w:rsidR="00DF0232" w:rsidRPr="00E54C8B">
        <w:t xml:space="preserve">slijede </w:t>
      </w:r>
      <w:r w:rsidRPr="00E54C8B">
        <w:t>kapitaln</w:t>
      </w:r>
      <w:r w:rsidR="00DF0232" w:rsidRPr="00E54C8B">
        <w:t>a</w:t>
      </w:r>
      <w:r w:rsidRPr="00E54C8B">
        <w:t xml:space="preserve"> ulaganja u iznosu od </w:t>
      </w:r>
      <w:r w:rsidR="00E54C8B" w:rsidRPr="00E54C8B">
        <w:t xml:space="preserve">203,2 </w:t>
      </w:r>
      <w:r w:rsidRPr="00E54C8B">
        <w:t xml:space="preserve">milijuna </w:t>
      </w:r>
      <w:r w:rsidR="00E54C8B" w:rsidRPr="00E54C8B">
        <w:t xml:space="preserve">eura </w:t>
      </w:r>
      <w:r w:rsidRPr="00E54C8B">
        <w:t xml:space="preserve">ili </w:t>
      </w:r>
      <w:r w:rsidR="00E54C8B" w:rsidRPr="00E54C8B">
        <w:t>19</w:t>
      </w:r>
      <w:r w:rsidRPr="00E54C8B">
        <w:t xml:space="preserve"> posto, porezn</w:t>
      </w:r>
      <w:r w:rsidR="00DF0232" w:rsidRPr="00E54C8B">
        <w:t>e</w:t>
      </w:r>
      <w:r w:rsidRPr="00E54C8B">
        <w:t xml:space="preserve"> olakšic</w:t>
      </w:r>
      <w:r w:rsidR="00DF0232" w:rsidRPr="00E54C8B">
        <w:t>e</w:t>
      </w:r>
      <w:r w:rsidRPr="00E54C8B">
        <w:t xml:space="preserve"> u iznosu od </w:t>
      </w:r>
      <w:r w:rsidR="00E54C8B" w:rsidRPr="00E54C8B">
        <w:t>61</w:t>
      </w:r>
      <w:r w:rsidR="00620C08" w:rsidRPr="00E54C8B">
        <w:t xml:space="preserve"> </w:t>
      </w:r>
      <w:r w:rsidRPr="00E54C8B">
        <w:t xml:space="preserve">milijun </w:t>
      </w:r>
      <w:r w:rsidR="00E54C8B" w:rsidRPr="00E54C8B">
        <w:t xml:space="preserve">eura </w:t>
      </w:r>
      <w:r w:rsidRPr="00E54C8B">
        <w:t xml:space="preserve">ili </w:t>
      </w:r>
      <w:r w:rsidR="00E54C8B" w:rsidRPr="00E54C8B">
        <w:t>5,7</w:t>
      </w:r>
      <w:r w:rsidRPr="00E54C8B">
        <w:t xml:space="preserve"> posto te </w:t>
      </w:r>
      <w:r w:rsidR="00DF0232" w:rsidRPr="00E54C8B">
        <w:t>povoljni</w:t>
      </w:r>
      <w:r w:rsidRPr="00E54C8B">
        <w:t xml:space="preserve"> zajmov</w:t>
      </w:r>
      <w:r w:rsidR="00DF0232" w:rsidRPr="00E54C8B">
        <w:t>i</w:t>
      </w:r>
      <w:r w:rsidRPr="00E54C8B">
        <w:t xml:space="preserve"> u iznosu od </w:t>
      </w:r>
      <w:r w:rsidR="00E54C8B" w:rsidRPr="00E54C8B">
        <w:t>23,1</w:t>
      </w:r>
      <w:r w:rsidR="00620C08" w:rsidRPr="00E54C8B">
        <w:t xml:space="preserve"> </w:t>
      </w:r>
      <w:r w:rsidRPr="00E54C8B">
        <w:t xml:space="preserve">milijun </w:t>
      </w:r>
      <w:r w:rsidR="00E54C8B" w:rsidRPr="00E54C8B">
        <w:t xml:space="preserve">eura </w:t>
      </w:r>
      <w:r w:rsidRPr="00E54C8B">
        <w:t xml:space="preserve">ili </w:t>
      </w:r>
      <w:r w:rsidR="00620C08" w:rsidRPr="00E54C8B">
        <w:rPr>
          <w:rFonts w:eastAsia="Times New Roman"/>
        </w:rPr>
        <w:t>2</w:t>
      </w:r>
      <w:r w:rsidR="00E54C8B" w:rsidRPr="00E54C8B">
        <w:rPr>
          <w:rFonts w:eastAsia="Times New Roman"/>
        </w:rPr>
        <w:t>,2</w:t>
      </w:r>
      <w:r w:rsidRPr="00E54C8B">
        <w:rPr>
          <w:rFonts w:eastAsia="Times New Roman"/>
        </w:rPr>
        <w:t xml:space="preserve"> </w:t>
      </w:r>
      <w:r w:rsidRPr="00E54C8B">
        <w:t>posto.</w:t>
      </w:r>
    </w:p>
    <w:p w14:paraId="20B34DDF" w14:textId="77777777" w:rsidR="00E54C8B" w:rsidRPr="00E54C8B" w:rsidRDefault="00E54C8B" w:rsidP="00BE487D">
      <w:pPr>
        <w:jc w:val="both"/>
      </w:pPr>
    </w:p>
    <w:p w14:paraId="3605801B" w14:textId="62D0862B" w:rsidR="00FE2D9A" w:rsidRPr="00C71DA7" w:rsidRDefault="00FE2D9A" w:rsidP="00BE487D">
      <w:pPr>
        <w:jc w:val="both"/>
      </w:pPr>
      <w:r w:rsidRPr="00B9741D">
        <w:rPr>
          <w:u w:val="single"/>
        </w:rPr>
        <w:t xml:space="preserve">Potpore </w:t>
      </w:r>
      <w:r w:rsidR="00E54C8B" w:rsidRPr="00B9741D">
        <w:rPr>
          <w:u w:val="single"/>
        </w:rPr>
        <w:t xml:space="preserve">u </w:t>
      </w:r>
      <w:r w:rsidRPr="00B9741D">
        <w:rPr>
          <w:u w:val="single"/>
        </w:rPr>
        <w:t>sektoru industrije i usluga</w:t>
      </w:r>
      <w:r w:rsidRPr="00C71DA7">
        <w:t xml:space="preserve"> </w:t>
      </w:r>
      <w:r w:rsidR="00620C08" w:rsidRPr="00C71DA7">
        <w:t>dodijeljene su u 202</w:t>
      </w:r>
      <w:r w:rsidR="00E54C8B" w:rsidRPr="00C71DA7">
        <w:t>3</w:t>
      </w:r>
      <w:r w:rsidR="00620C08" w:rsidRPr="00C71DA7">
        <w:t xml:space="preserve">. godini </w:t>
      </w:r>
      <w:r w:rsidR="00DF0232" w:rsidRPr="00C71DA7">
        <w:t xml:space="preserve">u iznosu </w:t>
      </w:r>
      <w:r w:rsidRPr="00C71DA7">
        <w:t xml:space="preserve">od </w:t>
      </w:r>
      <w:r w:rsidR="00E54C8B" w:rsidRPr="00C71DA7">
        <w:t xml:space="preserve">1.967,7 </w:t>
      </w:r>
      <w:r w:rsidRPr="00C71DA7">
        <w:t xml:space="preserve">milijuna </w:t>
      </w:r>
      <w:r w:rsidR="00E54C8B" w:rsidRPr="00C71DA7">
        <w:t>eura</w:t>
      </w:r>
      <w:r w:rsidRPr="00C71DA7">
        <w:t xml:space="preserve">, </w:t>
      </w:r>
      <w:r w:rsidR="00620C08" w:rsidRPr="00C71DA7">
        <w:t>i to najvećem</w:t>
      </w:r>
      <w:r w:rsidRPr="00C71DA7">
        <w:t xml:space="preserve"> dijelom putem subvencija i neposrednih subvencija kamata u iznosu od </w:t>
      </w:r>
      <w:r w:rsidR="00E54C8B" w:rsidRPr="00C71DA7">
        <w:t xml:space="preserve">1.200 </w:t>
      </w:r>
      <w:r w:rsidRPr="00C71DA7">
        <w:t xml:space="preserve">milijuna </w:t>
      </w:r>
      <w:r w:rsidR="00E54C8B" w:rsidRPr="00C71DA7">
        <w:t xml:space="preserve">eura </w:t>
      </w:r>
      <w:r w:rsidRPr="00C71DA7">
        <w:t xml:space="preserve">ili s </w:t>
      </w:r>
      <w:r w:rsidR="00842357" w:rsidRPr="00C71DA7">
        <w:t>u</w:t>
      </w:r>
      <w:r w:rsidRPr="00C71DA7">
        <w:t xml:space="preserve">djelom </w:t>
      </w:r>
      <w:r w:rsidR="00842357" w:rsidRPr="00C71DA7">
        <w:t xml:space="preserve">od </w:t>
      </w:r>
      <w:r w:rsidR="00E54C8B" w:rsidRPr="00C71DA7">
        <w:t>61</w:t>
      </w:r>
      <w:r w:rsidR="00842357" w:rsidRPr="00C71DA7">
        <w:t xml:space="preserve"> posto </w:t>
      </w:r>
      <w:r w:rsidRPr="00C71DA7">
        <w:t xml:space="preserve">u sektoru industrije i usluga, slijede </w:t>
      </w:r>
      <w:r w:rsidR="00842357" w:rsidRPr="00C71DA7">
        <w:t xml:space="preserve">izdana </w:t>
      </w:r>
      <w:r w:rsidRPr="00C71DA7">
        <w:t xml:space="preserve">jamstva s iznosom od </w:t>
      </w:r>
      <w:r w:rsidR="00E54C8B" w:rsidRPr="00C71DA7">
        <w:t xml:space="preserve">433,1 </w:t>
      </w:r>
      <w:r w:rsidRPr="00C71DA7">
        <w:t xml:space="preserve">milijun </w:t>
      </w:r>
      <w:r w:rsidR="00E54C8B" w:rsidRPr="00C71DA7">
        <w:t xml:space="preserve">eura </w:t>
      </w:r>
      <w:r w:rsidRPr="00C71DA7">
        <w:t xml:space="preserve">ili </w:t>
      </w:r>
      <w:r w:rsidR="00620C08" w:rsidRPr="00C71DA7">
        <w:t>2</w:t>
      </w:r>
      <w:r w:rsidR="00E54C8B" w:rsidRPr="00C71DA7">
        <w:t>2</w:t>
      </w:r>
      <w:r w:rsidRPr="00C71DA7">
        <w:rPr>
          <w:rFonts w:eastAsia="Times New Roman"/>
        </w:rPr>
        <w:t xml:space="preserve"> </w:t>
      </w:r>
      <w:r w:rsidRPr="00C71DA7">
        <w:t xml:space="preserve">posto, </w:t>
      </w:r>
      <w:r w:rsidR="00620C08" w:rsidRPr="00C71DA7">
        <w:t xml:space="preserve">porezne olakšice u iznosu od </w:t>
      </w:r>
      <w:r w:rsidR="00E54C8B" w:rsidRPr="00C71DA7">
        <w:t xml:space="preserve">169,7 </w:t>
      </w:r>
      <w:r w:rsidR="00620C08" w:rsidRPr="00C71DA7">
        <w:t xml:space="preserve">milijuna </w:t>
      </w:r>
      <w:r w:rsidR="00E54C8B" w:rsidRPr="00C71DA7">
        <w:t xml:space="preserve">eura </w:t>
      </w:r>
      <w:r w:rsidR="00620C08" w:rsidRPr="00C71DA7">
        <w:t xml:space="preserve">ili </w:t>
      </w:r>
      <w:r w:rsidR="00E54C8B" w:rsidRPr="00C71DA7">
        <w:t>8,6</w:t>
      </w:r>
      <w:r w:rsidR="00620C08" w:rsidRPr="00C71DA7">
        <w:t xml:space="preserve"> posto</w:t>
      </w:r>
      <w:r w:rsidR="00E54C8B" w:rsidRPr="00C71DA7">
        <w:t xml:space="preserve"> te</w:t>
      </w:r>
      <w:r w:rsidR="00620C08" w:rsidRPr="00C71DA7">
        <w:t xml:space="preserve"> </w:t>
      </w:r>
      <w:r w:rsidR="00842357" w:rsidRPr="00C71DA7">
        <w:t xml:space="preserve">povoljni zajmovi s iznosom od </w:t>
      </w:r>
      <w:r w:rsidR="00C71DA7" w:rsidRPr="00C71DA7">
        <w:t xml:space="preserve">164,8 </w:t>
      </w:r>
      <w:r w:rsidR="00842357" w:rsidRPr="00C71DA7">
        <w:t xml:space="preserve">milijuna </w:t>
      </w:r>
      <w:r w:rsidR="00E54C8B" w:rsidRPr="00C71DA7">
        <w:t xml:space="preserve">eura </w:t>
      </w:r>
      <w:r w:rsidR="00842357" w:rsidRPr="00C71DA7">
        <w:t xml:space="preserve">ili </w:t>
      </w:r>
      <w:r w:rsidR="00C71DA7" w:rsidRPr="00C71DA7">
        <w:t>8,4</w:t>
      </w:r>
      <w:r w:rsidR="00842357" w:rsidRPr="00C71DA7">
        <w:t xml:space="preserve"> posto</w:t>
      </w:r>
      <w:r w:rsidRPr="00C71DA7">
        <w:t>.</w:t>
      </w:r>
    </w:p>
    <w:p w14:paraId="057B2024" w14:textId="77777777" w:rsidR="00C71DA7" w:rsidRPr="00C71DA7" w:rsidRDefault="00C71DA7" w:rsidP="00BE487D">
      <w:pPr>
        <w:jc w:val="both"/>
      </w:pPr>
    </w:p>
    <w:p w14:paraId="691325C3" w14:textId="269FB829" w:rsidR="003E3F81" w:rsidRPr="007A4040" w:rsidRDefault="00FE2D9A" w:rsidP="003E3F81">
      <w:pPr>
        <w:jc w:val="both"/>
      </w:pPr>
      <w:r w:rsidRPr="00B9741D">
        <w:rPr>
          <w:u w:val="single"/>
        </w:rPr>
        <w:t xml:space="preserve">Potpore </w:t>
      </w:r>
      <w:r w:rsidR="00503FDB" w:rsidRPr="00B9741D">
        <w:rPr>
          <w:u w:val="single"/>
        </w:rPr>
        <w:t>horizontalnim</w:t>
      </w:r>
      <w:r w:rsidRPr="00B9741D">
        <w:rPr>
          <w:u w:val="single"/>
        </w:rPr>
        <w:t xml:space="preserve"> ciljev</w:t>
      </w:r>
      <w:r w:rsidR="00503FDB" w:rsidRPr="00B9741D">
        <w:rPr>
          <w:u w:val="single"/>
        </w:rPr>
        <w:t>ima</w:t>
      </w:r>
      <w:r w:rsidRPr="00B9741D">
        <w:rPr>
          <w:u w:val="single"/>
        </w:rPr>
        <w:t xml:space="preserve"> ili „horizontalne potpore u užem smislu“</w:t>
      </w:r>
      <w:r w:rsidR="003E3F81" w:rsidRPr="007A4040">
        <w:rPr>
          <w:b/>
        </w:rPr>
        <w:t xml:space="preserve"> </w:t>
      </w:r>
      <w:r w:rsidR="00503FDB" w:rsidRPr="007A4040">
        <w:t xml:space="preserve">dodijeljene su </w:t>
      </w:r>
      <w:r w:rsidR="003E3F81" w:rsidRPr="007A4040">
        <w:t>u 202</w:t>
      </w:r>
      <w:r w:rsidR="00C71DA7" w:rsidRPr="007A4040">
        <w:t>3</w:t>
      </w:r>
      <w:r w:rsidR="003E3F81" w:rsidRPr="007A4040">
        <w:t xml:space="preserve">. godini u iznosu od </w:t>
      </w:r>
      <w:r w:rsidR="00C71DA7" w:rsidRPr="007A4040">
        <w:t xml:space="preserve">267,7 </w:t>
      </w:r>
      <w:r w:rsidRPr="007A4040">
        <w:t xml:space="preserve">milijuna </w:t>
      </w:r>
      <w:r w:rsidR="00C71DA7" w:rsidRPr="007A4040">
        <w:t>eura</w:t>
      </w:r>
      <w:r w:rsidRPr="007A4040">
        <w:t xml:space="preserve">, </w:t>
      </w:r>
      <w:r w:rsidR="00C71DA7" w:rsidRPr="007A4040">
        <w:t xml:space="preserve">i to </w:t>
      </w:r>
      <w:r w:rsidR="003E3F81" w:rsidRPr="007A4040">
        <w:t xml:space="preserve">najvećem dijelom putem </w:t>
      </w:r>
      <w:r w:rsidRPr="007A4040">
        <w:t xml:space="preserve">subvencija </w:t>
      </w:r>
      <w:r w:rsidR="003E3F81" w:rsidRPr="007A4040">
        <w:t>i</w:t>
      </w:r>
      <w:r w:rsidRPr="007A4040">
        <w:t xml:space="preserve"> neposrednih subvencija kamata u iznosu od </w:t>
      </w:r>
      <w:r w:rsidR="00C71DA7" w:rsidRPr="007A4040">
        <w:t xml:space="preserve">264,5 </w:t>
      </w:r>
      <w:r w:rsidRPr="007A4040">
        <w:t>milijun</w:t>
      </w:r>
      <w:r w:rsidR="00C71DA7" w:rsidRPr="007A4040">
        <w:t xml:space="preserve">a eura </w:t>
      </w:r>
      <w:r w:rsidRPr="007A4040">
        <w:t xml:space="preserve">ili s udjelom od </w:t>
      </w:r>
      <w:r w:rsidR="00C71DA7" w:rsidRPr="007A4040">
        <w:t>98,8</w:t>
      </w:r>
      <w:r w:rsidRPr="007A4040">
        <w:rPr>
          <w:rFonts w:eastAsia="Times New Roman"/>
        </w:rPr>
        <w:t xml:space="preserve"> </w:t>
      </w:r>
      <w:r w:rsidRPr="007A4040">
        <w:t>posto</w:t>
      </w:r>
      <w:r w:rsidR="003E3F81" w:rsidRPr="007A4040">
        <w:t xml:space="preserve"> u</w:t>
      </w:r>
      <w:r w:rsidRPr="007A4040">
        <w:t xml:space="preserve"> horizontalni</w:t>
      </w:r>
      <w:r w:rsidR="003E3F81" w:rsidRPr="007A4040">
        <w:t>m</w:t>
      </w:r>
      <w:r w:rsidR="00D27C89" w:rsidRPr="007A4040">
        <w:t xml:space="preserve"> ciljev</w:t>
      </w:r>
      <w:r w:rsidR="003E3F81" w:rsidRPr="007A4040">
        <w:t>ima</w:t>
      </w:r>
      <w:r w:rsidRPr="007A4040">
        <w:t xml:space="preserve">, </w:t>
      </w:r>
      <w:r w:rsidR="003E3F81" w:rsidRPr="007A4040">
        <w:t xml:space="preserve">slijede izdana jamstva u iznosu od </w:t>
      </w:r>
      <w:r w:rsidR="00C71DA7" w:rsidRPr="007A4040">
        <w:t>2</w:t>
      </w:r>
      <w:r w:rsidR="003E3F81" w:rsidRPr="007A4040">
        <w:t xml:space="preserve"> milijun</w:t>
      </w:r>
      <w:r w:rsidR="00503FDB" w:rsidRPr="007A4040">
        <w:t>a</w:t>
      </w:r>
      <w:r w:rsidR="003E3F81" w:rsidRPr="007A4040">
        <w:t xml:space="preserve"> </w:t>
      </w:r>
      <w:r w:rsidR="00C71DA7" w:rsidRPr="007A4040">
        <w:t xml:space="preserve">eura </w:t>
      </w:r>
      <w:r w:rsidR="003E3F81" w:rsidRPr="007A4040">
        <w:t xml:space="preserve">ili </w:t>
      </w:r>
      <w:r w:rsidR="00C71DA7" w:rsidRPr="007A4040">
        <w:t>0,8</w:t>
      </w:r>
      <w:r w:rsidR="003E3F81" w:rsidRPr="007A4040">
        <w:t xml:space="preserve"> posto</w:t>
      </w:r>
      <w:r w:rsidR="00503FDB" w:rsidRPr="007A4040">
        <w:t xml:space="preserve"> te </w:t>
      </w:r>
      <w:r w:rsidR="003E3F81" w:rsidRPr="007A4040">
        <w:t xml:space="preserve">povoljni zajmovi u iznosu od </w:t>
      </w:r>
      <w:r w:rsidR="00C71DA7" w:rsidRPr="007A4040">
        <w:t>1,1 milijun</w:t>
      </w:r>
      <w:r w:rsidR="003E3F81" w:rsidRPr="007A4040">
        <w:t xml:space="preserve"> </w:t>
      </w:r>
      <w:r w:rsidR="00C71DA7" w:rsidRPr="007A4040">
        <w:t xml:space="preserve">eura </w:t>
      </w:r>
      <w:r w:rsidR="003E3F81" w:rsidRPr="007A4040">
        <w:t>ili 0,</w:t>
      </w:r>
      <w:r w:rsidR="00C71DA7" w:rsidRPr="007A4040">
        <w:t>4</w:t>
      </w:r>
      <w:r w:rsidR="003E3F81" w:rsidRPr="007A4040">
        <w:t xml:space="preserve"> posto.</w:t>
      </w:r>
    </w:p>
    <w:p w14:paraId="5868CF8A" w14:textId="085239CF" w:rsidR="00C71DA7" w:rsidRPr="007A4040" w:rsidRDefault="00C71DA7" w:rsidP="003E3F81">
      <w:pPr>
        <w:jc w:val="both"/>
      </w:pPr>
    </w:p>
    <w:p w14:paraId="7A8AA14B" w14:textId="0388B263" w:rsidR="007C318A" w:rsidRPr="007A4040" w:rsidRDefault="007C318A" w:rsidP="007C318A">
      <w:pPr>
        <w:jc w:val="both"/>
      </w:pPr>
      <w:r w:rsidRPr="00B9741D">
        <w:rPr>
          <w:u w:val="single"/>
        </w:rPr>
        <w:t>Potpore posebnim sektorima</w:t>
      </w:r>
      <w:r w:rsidRPr="007A4040">
        <w:t xml:space="preserve"> </w:t>
      </w:r>
      <w:r w:rsidR="00503FDB" w:rsidRPr="007A4040">
        <w:t xml:space="preserve">dodijeljene su </w:t>
      </w:r>
      <w:r w:rsidRPr="007A4040">
        <w:t>u 202</w:t>
      </w:r>
      <w:r w:rsidR="00C71DA7" w:rsidRPr="007A4040">
        <w:t>3</w:t>
      </w:r>
      <w:r w:rsidRPr="007A4040">
        <w:t xml:space="preserve">. godini u iznosu od </w:t>
      </w:r>
      <w:r w:rsidR="00C71DA7" w:rsidRPr="007A4040">
        <w:t xml:space="preserve">848,9 </w:t>
      </w:r>
      <w:r w:rsidRPr="007A4040">
        <w:t xml:space="preserve">milijuna </w:t>
      </w:r>
      <w:r w:rsidR="00C71DA7" w:rsidRPr="007A4040">
        <w:t>eura</w:t>
      </w:r>
      <w:r w:rsidRPr="007A4040">
        <w:t xml:space="preserve">, </w:t>
      </w:r>
      <w:r w:rsidR="00C71DA7" w:rsidRPr="007A4040">
        <w:t xml:space="preserve">i to </w:t>
      </w:r>
      <w:r w:rsidRPr="007A4040">
        <w:t xml:space="preserve">najvećem dijelom putem subvencija i neposrednih subvencija kamata u iznosu od </w:t>
      </w:r>
      <w:r w:rsidR="00C71DA7" w:rsidRPr="007A4040">
        <w:t xml:space="preserve">756,9 </w:t>
      </w:r>
      <w:r w:rsidRPr="007A4040">
        <w:t>milijun</w:t>
      </w:r>
      <w:r w:rsidR="00C71DA7" w:rsidRPr="007A4040">
        <w:t>a</w:t>
      </w:r>
      <w:r w:rsidRPr="007A4040">
        <w:t xml:space="preserve"> </w:t>
      </w:r>
      <w:r w:rsidR="00C71DA7" w:rsidRPr="007A4040">
        <w:t xml:space="preserve">eura </w:t>
      </w:r>
      <w:r w:rsidRPr="007A4040">
        <w:t xml:space="preserve">ili s udjelom od </w:t>
      </w:r>
      <w:r w:rsidR="00C71DA7" w:rsidRPr="007A4040">
        <w:t>89,2</w:t>
      </w:r>
      <w:r w:rsidRPr="007A4040">
        <w:rPr>
          <w:rFonts w:eastAsia="Times New Roman"/>
        </w:rPr>
        <w:t xml:space="preserve"> </w:t>
      </w:r>
      <w:r w:rsidRPr="007A4040">
        <w:t xml:space="preserve">posto u posebnim sektorima, slijede izdana jamstva u iznosu od </w:t>
      </w:r>
      <w:r w:rsidR="00C71DA7" w:rsidRPr="007A4040">
        <w:t xml:space="preserve">38,5 </w:t>
      </w:r>
      <w:r w:rsidRPr="007A4040">
        <w:t>milijun</w:t>
      </w:r>
      <w:r w:rsidR="00C71DA7" w:rsidRPr="007A4040">
        <w:t>a</w:t>
      </w:r>
      <w:r w:rsidRPr="007A4040">
        <w:t xml:space="preserve"> </w:t>
      </w:r>
      <w:r w:rsidR="00C71DA7" w:rsidRPr="007A4040">
        <w:t xml:space="preserve">eura </w:t>
      </w:r>
      <w:r w:rsidRPr="007A4040">
        <w:t xml:space="preserve">ili </w:t>
      </w:r>
      <w:r w:rsidR="00C71DA7" w:rsidRPr="007A4040">
        <w:t>4,5</w:t>
      </w:r>
      <w:r w:rsidRPr="007A4040">
        <w:rPr>
          <w:rFonts w:eastAsia="Times New Roman"/>
        </w:rPr>
        <w:t xml:space="preserve"> </w:t>
      </w:r>
      <w:r w:rsidRPr="007A4040">
        <w:t xml:space="preserve">posto, porezne olakšice u iznosu od </w:t>
      </w:r>
      <w:r w:rsidR="00C71DA7" w:rsidRPr="007A4040">
        <w:t>38</w:t>
      </w:r>
      <w:r w:rsidR="00503FDB" w:rsidRPr="007A4040">
        <w:t xml:space="preserve"> milijuna </w:t>
      </w:r>
      <w:r w:rsidR="00C71DA7" w:rsidRPr="007A4040">
        <w:t xml:space="preserve">eura </w:t>
      </w:r>
      <w:r w:rsidR="00503FDB" w:rsidRPr="007A4040">
        <w:t xml:space="preserve">ili 4,5 </w:t>
      </w:r>
      <w:r w:rsidRPr="007A4040">
        <w:t>posto</w:t>
      </w:r>
      <w:r w:rsidR="00C71DA7" w:rsidRPr="007A4040">
        <w:t xml:space="preserve"> te povoljni zajmovi u iznosu od 15,6 milijuna eura ili 1,8 posto</w:t>
      </w:r>
      <w:r w:rsidRPr="007A4040">
        <w:t>.</w:t>
      </w:r>
    </w:p>
    <w:p w14:paraId="615A9544" w14:textId="34631CB3" w:rsidR="00C71DA7" w:rsidRPr="007A4040" w:rsidRDefault="00C71DA7" w:rsidP="003E3F81">
      <w:pPr>
        <w:jc w:val="both"/>
        <w:rPr>
          <w:highlight w:val="red"/>
        </w:rPr>
      </w:pPr>
    </w:p>
    <w:p w14:paraId="7329A246" w14:textId="009781C8" w:rsidR="00C71DA7" w:rsidRPr="007A4040" w:rsidRDefault="00FE2D9A" w:rsidP="00C71DA7">
      <w:pPr>
        <w:jc w:val="both"/>
      </w:pPr>
      <w:r w:rsidRPr="00B9741D">
        <w:rPr>
          <w:u w:val="single"/>
        </w:rPr>
        <w:t>Regionalne potpore</w:t>
      </w:r>
      <w:r w:rsidRPr="007A4040">
        <w:t xml:space="preserve"> </w:t>
      </w:r>
      <w:r w:rsidR="00503FDB" w:rsidRPr="007A4040">
        <w:t xml:space="preserve">dodijeljene su </w:t>
      </w:r>
      <w:r w:rsidR="00F43A0B" w:rsidRPr="007A4040">
        <w:t>u 202</w:t>
      </w:r>
      <w:r w:rsidR="00C71DA7" w:rsidRPr="007A4040">
        <w:t>3</w:t>
      </w:r>
      <w:r w:rsidR="00F43A0B" w:rsidRPr="007A4040">
        <w:t xml:space="preserve">. godini u iznosu od </w:t>
      </w:r>
      <w:r w:rsidR="00C71DA7" w:rsidRPr="007A4040">
        <w:t xml:space="preserve">148,2 </w:t>
      </w:r>
      <w:r w:rsidRPr="007A4040">
        <w:t>milijun</w:t>
      </w:r>
      <w:r w:rsidR="00503FDB" w:rsidRPr="007A4040">
        <w:t>a</w:t>
      </w:r>
      <w:r w:rsidRPr="007A4040">
        <w:t xml:space="preserve"> </w:t>
      </w:r>
      <w:r w:rsidR="00C71DA7" w:rsidRPr="007A4040">
        <w:t>eura</w:t>
      </w:r>
      <w:r w:rsidRPr="007A4040">
        <w:t xml:space="preserve">, </w:t>
      </w:r>
      <w:r w:rsidR="00C71DA7" w:rsidRPr="007A4040">
        <w:t xml:space="preserve">i to </w:t>
      </w:r>
      <w:r w:rsidR="00F43A0B" w:rsidRPr="007A4040">
        <w:t xml:space="preserve">najvećem dijelom putem poreznih olakšica u iznosu od </w:t>
      </w:r>
      <w:r w:rsidR="00C71DA7" w:rsidRPr="007A4040">
        <w:t xml:space="preserve">117,4 </w:t>
      </w:r>
      <w:r w:rsidR="00F43A0B" w:rsidRPr="007A4040">
        <w:t xml:space="preserve">milijuna </w:t>
      </w:r>
      <w:r w:rsidR="00C71DA7" w:rsidRPr="007A4040">
        <w:t xml:space="preserve">eura </w:t>
      </w:r>
      <w:r w:rsidR="00F43A0B" w:rsidRPr="007A4040">
        <w:t xml:space="preserve">ili s udjelom od </w:t>
      </w:r>
      <w:r w:rsidR="00C71DA7" w:rsidRPr="007A4040">
        <w:t>79,3</w:t>
      </w:r>
      <w:r w:rsidR="00503FDB" w:rsidRPr="007A4040">
        <w:t xml:space="preserve"> </w:t>
      </w:r>
      <w:r w:rsidR="00F43A0B" w:rsidRPr="007A4040">
        <w:t>posto u regionalnim potporama,</w:t>
      </w:r>
      <w:r w:rsidR="004D3787" w:rsidRPr="007A4040">
        <w:t xml:space="preserve"> slijede </w:t>
      </w:r>
      <w:r w:rsidR="00503FDB" w:rsidRPr="007A4040">
        <w:t xml:space="preserve">povoljni zajmovi u iznosu od </w:t>
      </w:r>
      <w:r w:rsidR="00C71DA7" w:rsidRPr="007A4040">
        <w:t xml:space="preserve">20,8 </w:t>
      </w:r>
      <w:r w:rsidR="00503FDB" w:rsidRPr="007A4040">
        <w:t xml:space="preserve">milijuna </w:t>
      </w:r>
      <w:r w:rsidR="00C71DA7" w:rsidRPr="007A4040">
        <w:t xml:space="preserve">eura </w:t>
      </w:r>
      <w:r w:rsidR="00503FDB" w:rsidRPr="007A4040">
        <w:t xml:space="preserve">ili </w:t>
      </w:r>
      <w:r w:rsidR="00C71DA7" w:rsidRPr="007A4040">
        <w:t>14</w:t>
      </w:r>
      <w:r w:rsidR="00503FDB" w:rsidRPr="007A4040">
        <w:t xml:space="preserve"> posto</w:t>
      </w:r>
      <w:r w:rsidR="00C71DA7" w:rsidRPr="007A4040">
        <w:t xml:space="preserve">, </w:t>
      </w:r>
      <w:r w:rsidR="004D3787" w:rsidRPr="007A4040">
        <w:t>subvencij</w:t>
      </w:r>
      <w:r w:rsidR="00503FDB" w:rsidRPr="007A4040">
        <w:t>e</w:t>
      </w:r>
      <w:r w:rsidR="004D3787" w:rsidRPr="007A4040">
        <w:t xml:space="preserve"> u iznosu od </w:t>
      </w:r>
      <w:r w:rsidR="00C71DA7" w:rsidRPr="007A4040">
        <w:t>9,8</w:t>
      </w:r>
      <w:r w:rsidR="005B4A29" w:rsidRPr="007A4040">
        <w:t xml:space="preserve"> </w:t>
      </w:r>
      <w:r w:rsidRPr="007A4040">
        <w:t xml:space="preserve">milijuna </w:t>
      </w:r>
      <w:r w:rsidR="00C71DA7" w:rsidRPr="007A4040">
        <w:t xml:space="preserve">eura </w:t>
      </w:r>
      <w:r w:rsidR="004D3787" w:rsidRPr="007A4040">
        <w:t>ili</w:t>
      </w:r>
      <w:r w:rsidR="00693657" w:rsidRPr="007A4040">
        <w:t xml:space="preserve"> </w:t>
      </w:r>
      <w:r w:rsidR="00C71DA7" w:rsidRPr="007A4040">
        <w:t>6,6</w:t>
      </w:r>
      <w:r w:rsidRPr="007A4040">
        <w:rPr>
          <w:rFonts w:eastAsia="Times New Roman"/>
        </w:rPr>
        <w:t xml:space="preserve"> </w:t>
      </w:r>
      <w:r w:rsidRPr="007A4040">
        <w:t>posto</w:t>
      </w:r>
      <w:r w:rsidR="00C71DA7" w:rsidRPr="007A4040">
        <w:t xml:space="preserve"> te izdana jamstva u iznosu od 111.568,40 eura ili 0,1 posto.</w:t>
      </w:r>
    </w:p>
    <w:p w14:paraId="63963929" w14:textId="77777777" w:rsidR="00C71DA7" w:rsidRPr="007A4040" w:rsidRDefault="00C71DA7" w:rsidP="00C71DA7"/>
    <w:p w14:paraId="4CBADD7D" w14:textId="69D68FDF" w:rsidR="004D3787" w:rsidRPr="006227D2" w:rsidRDefault="00FE2D9A" w:rsidP="00BE487D">
      <w:pPr>
        <w:jc w:val="both"/>
      </w:pPr>
      <w:r w:rsidRPr="00B9741D">
        <w:rPr>
          <w:u w:val="single"/>
        </w:rPr>
        <w:t>Potpore na lokalnoj razini</w:t>
      </w:r>
      <w:r w:rsidR="004D3787" w:rsidRPr="00B9741D">
        <w:rPr>
          <w:u w:val="single"/>
        </w:rPr>
        <w:t>, dodijeljene</w:t>
      </w:r>
      <w:r w:rsidRPr="00B9741D">
        <w:rPr>
          <w:u w:val="single"/>
        </w:rPr>
        <w:t xml:space="preserve"> od strane jedinica lokalne i područne (regionalne) samouprave</w:t>
      </w:r>
      <w:r w:rsidRPr="006227D2">
        <w:t xml:space="preserve"> </w:t>
      </w:r>
      <w:r w:rsidR="00D50EB6" w:rsidRPr="006227D2">
        <w:t xml:space="preserve">dodijeljene su </w:t>
      </w:r>
      <w:r w:rsidR="004D3787" w:rsidRPr="006227D2">
        <w:t>u 202</w:t>
      </w:r>
      <w:r w:rsidR="006227D2" w:rsidRPr="006227D2">
        <w:t>3</w:t>
      </w:r>
      <w:r w:rsidR="004D3787" w:rsidRPr="006227D2">
        <w:t xml:space="preserve">. godini u iznosu od </w:t>
      </w:r>
      <w:r w:rsidR="006227D2" w:rsidRPr="006227D2">
        <w:t>146,4</w:t>
      </w:r>
      <w:r w:rsidR="00D50EB6" w:rsidRPr="006227D2">
        <w:t xml:space="preserve"> </w:t>
      </w:r>
      <w:r w:rsidR="004D3787" w:rsidRPr="006227D2">
        <w:t xml:space="preserve">milijuna </w:t>
      </w:r>
      <w:r w:rsidR="00C71DA7" w:rsidRPr="006227D2">
        <w:t xml:space="preserve">eura </w:t>
      </w:r>
      <w:r w:rsidR="00D50EB6" w:rsidRPr="006227D2">
        <w:t xml:space="preserve">isključivo putem </w:t>
      </w:r>
      <w:r w:rsidR="004D3787" w:rsidRPr="006227D2">
        <w:t>subvencija</w:t>
      </w:r>
      <w:r w:rsidR="001E1E97" w:rsidRPr="006227D2">
        <w:t>.</w:t>
      </w:r>
    </w:p>
    <w:p w14:paraId="3E047B0C" w14:textId="77777777" w:rsidR="006227D2" w:rsidRPr="006227D2" w:rsidRDefault="006227D2" w:rsidP="00BE487D">
      <w:pPr>
        <w:jc w:val="both"/>
        <w:rPr>
          <w:b/>
        </w:rPr>
      </w:pPr>
    </w:p>
    <w:p w14:paraId="3E6B3974" w14:textId="0B8D06A8" w:rsidR="00FE2D9A" w:rsidRPr="00B9741D" w:rsidRDefault="00FE2D9A" w:rsidP="00BE487D">
      <w:pPr>
        <w:jc w:val="both"/>
        <w:rPr>
          <w:spacing w:val="-2"/>
        </w:rPr>
      </w:pPr>
      <w:r w:rsidRPr="00B9741D">
        <w:rPr>
          <w:spacing w:val="-2"/>
          <w:u w:val="single"/>
        </w:rPr>
        <w:t xml:space="preserve">Potpore dodijeljene kao </w:t>
      </w:r>
      <w:r w:rsidRPr="00B9741D">
        <w:rPr>
          <w:rFonts w:eastAsia="Times New Roman"/>
          <w:bCs/>
          <w:iCs/>
          <w:spacing w:val="-2"/>
          <w:u w:val="single"/>
        </w:rPr>
        <w:t xml:space="preserve">podrška gospodarstvu u COVID-19 </w:t>
      </w:r>
      <w:proofErr w:type="spellStart"/>
      <w:r w:rsidRPr="00B9741D">
        <w:rPr>
          <w:rFonts w:eastAsia="Times New Roman"/>
          <w:bCs/>
          <w:iCs/>
          <w:spacing w:val="-2"/>
          <w:u w:val="single"/>
        </w:rPr>
        <w:t>pandemiji</w:t>
      </w:r>
      <w:proofErr w:type="spellEnd"/>
      <w:r w:rsidRPr="00B9741D">
        <w:rPr>
          <w:spacing w:val="-2"/>
          <w:u w:val="single"/>
        </w:rPr>
        <w:t xml:space="preserve"> </w:t>
      </w:r>
      <w:r w:rsidR="001E1E97" w:rsidRPr="00B9741D">
        <w:rPr>
          <w:bCs/>
          <w:spacing w:val="-2"/>
          <w:u w:val="single"/>
        </w:rPr>
        <w:t>i suzbijanja učinaka ruske agresije na Ukrajinu</w:t>
      </w:r>
      <w:r w:rsidR="001E1E97" w:rsidRPr="00B9741D">
        <w:rPr>
          <w:spacing w:val="-2"/>
        </w:rPr>
        <w:t xml:space="preserve"> </w:t>
      </w:r>
      <w:r w:rsidR="00D50EB6" w:rsidRPr="00B9741D">
        <w:rPr>
          <w:spacing w:val="-2"/>
        </w:rPr>
        <w:t xml:space="preserve">dodijeljene su </w:t>
      </w:r>
      <w:r w:rsidR="004D3787" w:rsidRPr="00B9741D">
        <w:rPr>
          <w:spacing w:val="-2"/>
        </w:rPr>
        <w:t>u 202</w:t>
      </w:r>
      <w:r w:rsidR="006227D2" w:rsidRPr="00B9741D">
        <w:rPr>
          <w:spacing w:val="-2"/>
        </w:rPr>
        <w:t>3</w:t>
      </w:r>
      <w:r w:rsidR="004D3787" w:rsidRPr="00B9741D">
        <w:rPr>
          <w:spacing w:val="-2"/>
        </w:rPr>
        <w:t xml:space="preserve">. godini u iznosu od </w:t>
      </w:r>
      <w:r w:rsidR="006227D2" w:rsidRPr="00B9741D">
        <w:rPr>
          <w:spacing w:val="-2"/>
        </w:rPr>
        <w:t xml:space="preserve">556,6 </w:t>
      </w:r>
      <w:r w:rsidRPr="00B9741D">
        <w:rPr>
          <w:spacing w:val="-2"/>
        </w:rPr>
        <w:t xml:space="preserve">milijuna </w:t>
      </w:r>
      <w:r w:rsidR="006227D2" w:rsidRPr="00B9741D">
        <w:rPr>
          <w:spacing w:val="-2"/>
        </w:rPr>
        <w:t>eura</w:t>
      </w:r>
      <w:r w:rsidRPr="00B9741D">
        <w:rPr>
          <w:spacing w:val="-2"/>
        </w:rPr>
        <w:t xml:space="preserve">, </w:t>
      </w:r>
      <w:r w:rsidR="006227D2" w:rsidRPr="00B9741D">
        <w:rPr>
          <w:spacing w:val="-2"/>
        </w:rPr>
        <w:t xml:space="preserve">i to </w:t>
      </w:r>
      <w:r w:rsidR="004D3787" w:rsidRPr="00B9741D">
        <w:rPr>
          <w:spacing w:val="-2"/>
        </w:rPr>
        <w:t xml:space="preserve">najvećem dijelom putem izdanih jamstava u iznosu od </w:t>
      </w:r>
      <w:r w:rsidR="006227D2" w:rsidRPr="00B9741D">
        <w:rPr>
          <w:spacing w:val="-2"/>
        </w:rPr>
        <w:t xml:space="preserve">392,5 </w:t>
      </w:r>
      <w:r w:rsidR="004D3787" w:rsidRPr="00B9741D">
        <w:rPr>
          <w:spacing w:val="-2"/>
        </w:rPr>
        <w:t xml:space="preserve">milijuna </w:t>
      </w:r>
      <w:r w:rsidR="006227D2" w:rsidRPr="00B9741D">
        <w:rPr>
          <w:spacing w:val="-2"/>
        </w:rPr>
        <w:t xml:space="preserve">eura </w:t>
      </w:r>
      <w:r w:rsidR="004D3787" w:rsidRPr="00B9741D">
        <w:rPr>
          <w:spacing w:val="-2"/>
        </w:rPr>
        <w:t xml:space="preserve">ili s udjelom od </w:t>
      </w:r>
      <w:r w:rsidR="006227D2" w:rsidRPr="00B9741D">
        <w:rPr>
          <w:spacing w:val="-2"/>
        </w:rPr>
        <w:t xml:space="preserve">70,5 </w:t>
      </w:r>
      <w:r w:rsidR="004D3787" w:rsidRPr="00B9741D">
        <w:rPr>
          <w:spacing w:val="-2"/>
        </w:rPr>
        <w:t>posto u potporama dodijeljenih kao podrška gospodarstvu, slijede povoljni</w:t>
      </w:r>
      <w:r w:rsidRPr="00B9741D">
        <w:rPr>
          <w:spacing w:val="-2"/>
        </w:rPr>
        <w:t xml:space="preserve"> zajmov</w:t>
      </w:r>
      <w:r w:rsidR="004D3787" w:rsidRPr="00B9741D">
        <w:rPr>
          <w:spacing w:val="-2"/>
        </w:rPr>
        <w:t xml:space="preserve">i u </w:t>
      </w:r>
      <w:r w:rsidRPr="00B9741D">
        <w:rPr>
          <w:spacing w:val="-2"/>
        </w:rPr>
        <w:t xml:space="preserve">iznosu od </w:t>
      </w:r>
      <w:r w:rsidR="006227D2" w:rsidRPr="00B9741D">
        <w:rPr>
          <w:spacing w:val="-2"/>
        </w:rPr>
        <w:t>127,4 m</w:t>
      </w:r>
      <w:r w:rsidRPr="00B9741D">
        <w:rPr>
          <w:spacing w:val="-2"/>
        </w:rPr>
        <w:t>ilijun</w:t>
      </w:r>
      <w:r w:rsidR="006227D2" w:rsidRPr="00B9741D">
        <w:rPr>
          <w:spacing w:val="-2"/>
        </w:rPr>
        <w:t>a</w:t>
      </w:r>
      <w:r w:rsidRPr="00B9741D">
        <w:rPr>
          <w:spacing w:val="-2"/>
        </w:rPr>
        <w:t xml:space="preserve"> </w:t>
      </w:r>
      <w:r w:rsidR="006227D2" w:rsidRPr="00B9741D">
        <w:rPr>
          <w:spacing w:val="-2"/>
        </w:rPr>
        <w:t xml:space="preserve">eura </w:t>
      </w:r>
      <w:r w:rsidR="004D3787" w:rsidRPr="00B9741D">
        <w:rPr>
          <w:spacing w:val="-2"/>
        </w:rPr>
        <w:t xml:space="preserve">ili </w:t>
      </w:r>
      <w:r w:rsidR="00D50EB6" w:rsidRPr="00B9741D">
        <w:rPr>
          <w:spacing w:val="-2"/>
        </w:rPr>
        <w:t>22,</w:t>
      </w:r>
      <w:r w:rsidR="006227D2" w:rsidRPr="00B9741D">
        <w:rPr>
          <w:spacing w:val="-2"/>
        </w:rPr>
        <w:t>9</w:t>
      </w:r>
      <w:r w:rsidR="004D3787" w:rsidRPr="00B9741D">
        <w:rPr>
          <w:spacing w:val="-2"/>
        </w:rPr>
        <w:t xml:space="preserve"> posto</w:t>
      </w:r>
      <w:r w:rsidR="009F11CF" w:rsidRPr="00B9741D">
        <w:rPr>
          <w:spacing w:val="-2"/>
        </w:rPr>
        <w:t xml:space="preserve">, </w:t>
      </w:r>
      <w:r w:rsidR="006227D2" w:rsidRPr="00B9741D">
        <w:rPr>
          <w:spacing w:val="-2"/>
        </w:rPr>
        <w:t>subvencije i neposredne subvencija kamata u iznosu od 22,4 milijuna eura ili s udjelom od 4</w:t>
      </w:r>
      <w:r w:rsidR="006227D2" w:rsidRPr="00B9741D">
        <w:rPr>
          <w:rFonts w:eastAsia="Times New Roman"/>
          <w:spacing w:val="-2"/>
        </w:rPr>
        <w:t xml:space="preserve"> </w:t>
      </w:r>
      <w:r w:rsidR="006227D2" w:rsidRPr="00B9741D">
        <w:rPr>
          <w:spacing w:val="-2"/>
        </w:rPr>
        <w:t xml:space="preserve">posto te porezne olakšice </w:t>
      </w:r>
      <w:r w:rsidR="009F11CF" w:rsidRPr="00B9741D">
        <w:rPr>
          <w:spacing w:val="-2"/>
        </w:rPr>
        <w:t xml:space="preserve">u iznosu od </w:t>
      </w:r>
      <w:r w:rsidR="006227D2" w:rsidRPr="00B9741D">
        <w:rPr>
          <w:spacing w:val="-2"/>
        </w:rPr>
        <w:t>14,3</w:t>
      </w:r>
      <w:r w:rsidR="009F11CF" w:rsidRPr="00B9741D">
        <w:rPr>
          <w:spacing w:val="-2"/>
        </w:rPr>
        <w:t xml:space="preserve"> milijuna </w:t>
      </w:r>
      <w:r w:rsidR="006227D2" w:rsidRPr="00B9741D">
        <w:rPr>
          <w:spacing w:val="-2"/>
        </w:rPr>
        <w:t xml:space="preserve">eura </w:t>
      </w:r>
      <w:r w:rsidR="009F11CF" w:rsidRPr="00B9741D">
        <w:rPr>
          <w:spacing w:val="-2"/>
        </w:rPr>
        <w:t xml:space="preserve">ili </w:t>
      </w:r>
      <w:r w:rsidR="006227D2" w:rsidRPr="00B9741D">
        <w:rPr>
          <w:spacing w:val="-2"/>
        </w:rPr>
        <w:t>2,6</w:t>
      </w:r>
      <w:r w:rsidR="009F11CF" w:rsidRPr="00B9741D">
        <w:rPr>
          <w:spacing w:val="-2"/>
        </w:rPr>
        <w:t xml:space="preserve"> posto</w:t>
      </w:r>
      <w:r w:rsidRPr="00B9741D">
        <w:rPr>
          <w:spacing w:val="-2"/>
        </w:rPr>
        <w:t xml:space="preserve">. </w:t>
      </w:r>
    </w:p>
    <w:p w14:paraId="3C450F55" w14:textId="648D9080" w:rsidR="006227D2" w:rsidRPr="006227D2" w:rsidRDefault="006227D2" w:rsidP="00BE487D">
      <w:pPr>
        <w:jc w:val="both"/>
      </w:pPr>
    </w:p>
    <w:p w14:paraId="251A9483" w14:textId="01637546" w:rsidR="00FE2D9A" w:rsidRPr="00B9741D" w:rsidRDefault="00FE2D9A" w:rsidP="00BE487D">
      <w:pPr>
        <w:jc w:val="both"/>
      </w:pPr>
      <w:r w:rsidRPr="00B9741D">
        <w:t xml:space="preserve">Tablica </w:t>
      </w:r>
      <w:r w:rsidR="004824D4" w:rsidRPr="00B9741D">
        <w:t>4</w:t>
      </w:r>
      <w:r w:rsidRPr="00B9741D">
        <w:t xml:space="preserve">. </w:t>
      </w:r>
      <w:r w:rsidR="004824D4" w:rsidRPr="00B9741D">
        <w:t>Ukupne p</w:t>
      </w:r>
      <w:r w:rsidRPr="00B9741D">
        <w:t xml:space="preserve">otpore prema instrumentima dodjele </w:t>
      </w:r>
      <w:r w:rsidR="006227D2" w:rsidRPr="00B9741D">
        <w:t>u</w:t>
      </w:r>
      <w:r w:rsidRPr="00B9741D">
        <w:t xml:space="preserve"> razdoblj</w:t>
      </w:r>
      <w:r w:rsidR="006227D2" w:rsidRPr="00B9741D">
        <w:t>u</w:t>
      </w:r>
      <w:r w:rsidRPr="00B9741D">
        <w:t xml:space="preserve"> od 20</w:t>
      </w:r>
      <w:r w:rsidR="005E2883" w:rsidRPr="00B9741D">
        <w:t>2</w:t>
      </w:r>
      <w:r w:rsidR="004824D4" w:rsidRPr="00B9741D">
        <w:t>1</w:t>
      </w:r>
      <w:r w:rsidRPr="00B9741D">
        <w:t>. do 202</w:t>
      </w:r>
      <w:r w:rsidR="004824D4" w:rsidRPr="00B9741D">
        <w:t>3</w:t>
      </w:r>
      <w:r w:rsidRPr="00B9741D">
        <w:t xml:space="preserve">. godine </w:t>
      </w:r>
    </w:p>
    <w:p w14:paraId="07C02834" w14:textId="77777777" w:rsidR="00FE2D9A" w:rsidRPr="004824D4" w:rsidRDefault="00FE2D9A" w:rsidP="00BE487D">
      <w:pPr>
        <w:contextualSpacing/>
        <w:jc w:val="both"/>
        <w:rPr>
          <w:sz w:val="20"/>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992"/>
        <w:gridCol w:w="1134"/>
        <w:gridCol w:w="992"/>
        <w:gridCol w:w="1134"/>
        <w:gridCol w:w="1134"/>
      </w:tblGrid>
      <w:tr w:rsidR="004824D4" w:rsidRPr="004824D4" w14:paraId="0620DABD" w14:textId="77777777" w:rsidTr="004824D4">
        <w:trPr>
          <w:trHeight w:val="38"/>
        </w:trPr>
        <w:tc>
          <w:tcPr>
            <w:tcW w:w="988" w:type="dxa"/>
            <w:vMerge w:val="restart"/>
            <w:shd w:val="clear" w:color="000000" w:fill="FFFF99"/>
            <w:noWrap/>
            <w:vAlign w:val="center"/>
            <w:hideMark/>
          </w:tcPr>
          <w:p w14:paraId="71D318B9" w14:textId="77777777" w:rsidR="004824D4" w:rsidRPr="004824D4" w:rsidRDefault="004824D4" w:rsidP="004824D4">
            <w:pPr>
              <w:jc w:val="both"/>
              <w:rPr>
                <w:b/>
                <w:bCs/>
                <w:sz w:val="20"/>
                <w:lang w:eastAsia="hr-HR"/>
              </w:rPr>
            </w:pPr>
          </w:p>
        </w:tc>
        <w:tc>
          <w:tcPr>
            <w:tcW w:w="2126" w:type="dxa"/>
            <w:gridSpan w:val="2"/>
            <w:shd w:val="clear" w:color="000000" w:fill="FFFF99"/>
            <w:noWrap/>
            <w:vAlign w:val="bottom"/>
            <w:hideMark/>
          </w:tcPr>
          <w:p w14:paraId="4A685623" w14:textId="4A00C32E" w:rsidR="004824D4" w:rsidRPr="004824D4" w:rsidRDefault="004824D4" w:rsidP="004824D4">
            <w:pPr>
              <w:jc w:val="center"/>
              <w:rPr>
                <w:rFonts w:eastAsia="Times New Roman"/>
                <w:b/>
                <w:bCs/>
                <w:sz w:val="20"/>
              </w:rPr>
            </w:pPr>
            <w:r w:rsidRPr="004824D4">
              <w:rPr>
                <w:rFonts w:eastAsia="Times New Roman"/>
                <w:b/>
                <w:bCs/>
                <w:sz w:val="20"/>
              </w:rPr>
              <w:t>2021.</w:t>
            </w:r>
          </w:p>
        </w:tc>
        <w:tc>
          <w:tcPr>
            <w:tcW w:w="2126" w:type="dxa"/>
            <w:gridSpan w:val="2"/>
            <w:shd w:val="clear" w:color="000000" w:fill="FFFF99"/>
            <w:vAlign w:val="bottom"/>
          </w:tcPr>
          <w:p w14:paraId="42370753" w14:textId="3F141E18" w:rsidR="004824D4" w:rsidRPr="004824D4" w:rsidRDefault="004824D4" w:rsidP="004824D4">
            <w:pPr>
              <w:jc w:val="center"/>
              <w:rPr>
                <w:rFonts w:eastAsia="Times New Roman"/>
                <w:b/>
                <w:bCs/>
                <w:sz w:val="20"/>
              </w:rPr>
            </w:pPr>
            <w:r w:rsidRPr="004824D4">
              <w:rPr>
                <w:b/>
                <w:sz w:val="20"/>
                <w:szCs w:val="20"/>
              </w:rPr>
              <w:t>2022.</w:t>
            </w:r>
          </w:p>
        </w:tc>
        <w:tc>
          <w:tcPr>
            <w:tcW w:w="2268" w:type="dxa"/>
            <w:gridSpan w:val="2"/>
            <w:shd w:val="clear" w:color="000000" w:fill="FFFF99"/>
            <w:vAlign w:val="bottom"/>
          </w:tcPr>
          <w:p w14:paraId="3B2DD73C" w14:textId="01D344DB" w:rsidR="004824D4" w:rsidRPr="004824D4" w:rsidRDefault="004824D4" w:rsidP="004824D4">
            <w:pPr>
              <w:jc w:val="center"/>
              <w:rPr>
                <w:rFonts w:eastAsia="Times New Roman"/>
                <w:b/>
                <w:bCs/>
                <w:sz w:val="20"/>
              </w:rPr>
            </w:pPr>
            <w:r w:rsidRPr="004824D4">
              <w:rPr>
                <w:b/>
                <w:sz w:val="20"/>
                <w:szCs w:val="20"/>
              </w:rPr>
              <w:t>2023.</w:t>
            </w:r>
          </w:p>
        </w:tc>
      </w:tr>
      <w:tr w:rsidR="004824D4" w:rsidRPr="004824D4" w14:paraId="70D1D821" w14:textId="77777777" w:rsidTr="004824D4">
        <w:trPr>
          <w:trHeight w:val="73"/>
        </w:trPr>
        <w:tc>
          <w:tcPr>
            <w:tcW w:w="988" w:type="dxa"/>
            <w:vMerge/>
            <w:vAlign w:val="center"/>
            <w:hideMark/>
          </w:tcPr>
          <w:p w14:paraId="35743A4F" w14:textId="77777777" w:rsidR="004824D4" w:rsidRPr="004824D4" w:rsidRDefault="004824D4" w:rsidP="004824D4">
            <w:pPr>
              <w:jc w:val="both"/>
              <w:rPr>
                <w:b/>
                <w:bCs/>
                <w:sz w:val="20"/>
                <w:lang w:eastAsia="hr-HR"/>
              </w:rPr>
            </w:pPr>
          </w:p>
        </w:tc>
        <w:tc>
          <w:tcPr>
            <w:tcW w:w="1134" w:type="dxa"/>
            <w:shd w:val="clear" w:color="000000" w:fill="FFFF99"/>
            <w:vAlign w:val="center"/>
            <w:hideMark/>
          </w:tcPr>
          <w:p w14:paraId="2A9D762F" w14:textId="2747BCFA" w:rsidR="004824D4" w:rsidRPr="004824D4" w:rsidRDefault="004824D4" w:rsidP="004824D4">
            <w:pPr>
              <w:jc w:val="center"/>
              <w:rPr>
                <w:b/>
                <w:bCs/>
                <w:sz w:val="18"/>
                <w:lang w:eastAsia="hr-HR"/>
              </w:rPr>
            </w:pPr>
            <w:r w:rsidRPr="004824D4">
              <w:rPr>
                <w:b/>
                <w:bCs/>
                <w:sz w:val="18"/>
                <w:lang w:eastAsia="hr-HR"/>
              </w:rPr>
              <w:t xml:space="preserve">u </w:t>
            </w:r>
            <w:proofErr w:type="spellStart"/>
            <w:r w:rsidRPr="004824D4">
              <w:rPr>
                <w:b/>
                <w:bCs/>
                <w:sz w:val="18"/>
                <w:lang w:eastAsia="hr-HR"/>
              </w:rPr>
              <w:t>mln</w:t>
            </w:r>
            <w:proofErr w:type="spellEnd"/>
            <w:r w:rsidRPr="004824D4">
              <w:rPr>
                <w:b/>
                <w:bCs/>
                <w:sz w:val="18"/>
                <w:lang w:eastAsia="hr-HR"/>
              </w:rPr>
              <w:t xml:space="preserve"> EUR</w:t>
            </w:r>
          </w:p>
        </w:tc>
        <w:tc>
          <w:tcPr>
            <w:tcW w:w="992" w:type="dxa"/>
            <w:shd w:val="clear" w:color="000000" w:fill="FFFF99"/>
            <w:vAlign w:val="center"/>
            <w:hideMark/>
          </w:tcPr>
          <w:p w14:paraId="718D35B1" w14:textId="77777777" w:rsidR="004824D4" w:rsidRPr="004824D4" w:rsidRDefault="004824D4" w:rsidP="004824D4">
            <w:pPr>
              <w:jc w:val="center"/>
              <w:rPr>
                <w:b/>
                <w:bCs/>
                <w:sz w:val="18"/>
                <w:lang w:eastAsia="hr-HR"/>
              </w:rPr>
            </w:pPr>
            <w:r w:rsidRPr="004824D4">
              <w:rPr>
                <w:b/>
                <w:bCs/>
                <w:sz w:val="18"/>
                <w:lang w:eastAsia="hr-HR"/>
              </w:rPr>
              <w:t>udio (%)</w:t>
            </w:r>
          </w:p>
        </w:tc>
        <w:tc>
          <w:tcPr>
            <w:tcW w:w="1134" w:type="dxa"/>
            <w:shd w:val="clear" w:color="000000" w:fill="FFFF99"/>
            <w:vAlign w:val="center"/>
          </w:tcPr>
          <w:p w14:paraId="5EC53DF7" w14:textId="68558D20" w:rsidR="004824D4" w:rsidRPr="004824D4" w:rsidRDefault="004824D4" w:rsidP="004824D4">
            <w:pPr>
              <w:jc w:val="center"/>
              <w:rPr>
                <w:b/>
                <w:bCs/>
                <w:sz w:val="18"/>
                <w:lang w:eastAsia="hr-HR"/>
              </w:rPr>
            </w:pPr>
            <w:r w:rsidRPr="004824D4">
              <w:rPr>
                <w:b/>
                <w:bCs/>
                <w:sz w:val="18"/>
                <w:lang w:eastAsia="hr-HR"/>
              </w:rPr>
              <w:t xml:space="preserve">u </w:t>
            </w:r>
            <w:proofErr w:type="spellStart"/>
            <w:r w:rsidRPr="004824D4">
              <w:rPr>
                <w:b/>
                <w:bCs/>
                <w:sz w:val="18"/>
                <w:lang w:eastAsia="hr-HR"/>
              </w:rPr>
              <w:t>mln</w:t>
            </w:r>
            <w:proofErr w:type="spellEnd"/>
            <w:r w:rsidRPr="004824D4">
              <w:rPr>
                <w:b/>
                <w:bCs/>
                <w:sz w:val="18"/>
                <w:lang w:eastAsia="hr-HR"/>
              </w:rPr>
              <w:t xml:space="preserve"> EUR</w:t>
            </w:r>
          </w:p>
        </w:tc>
        <w:tc>
          <w:tcPr>
            <w:tcW w:w="992" w:type="dxa"/>
            <w:shd w:val="clear" w:color="000000" w:fill="FFFF99"/>
            <w:vAlign w:val="center"/>
          </w:tcPr>
          <w:p w14:paraId="08A3BC74" w14:textId="33A3EB2C" w:rsidR="004824D4" w:rsidRPr="004824D4" w:rsidRDefault="004824D4" w:rsidP="004824D4">
            <w:pPr>
              <w:jc w:val="center"/>
              <w:rPr>
                <w:b/>
                <w:bCs/>
                <w:sz w:val="18"/>
                <w:lang w:eastAsia="hr-HR"/>
              </w:rPr>
            </w:pPr>
            <w:r w:rsidRPr="004824D4">
              <w:rPr>
                <w:b/>
                <w:bCs/>
                <w:sz w:val="18"/>
                <w:lang w:eastAsia="hr-HR"/>
              </w:rPr>
              <w:t>udio (%)</w:t>
            </w:r>
          </w:p>
        </w:tc>
        <w:tc>
          <w:tcPr>
            <w:tcW w:w="1134" w:type="dxa"/>
            <w:shd w:val="clear" w:color="000000" w:fill="FFFF99"/>
            <w:vAlign w:val="center"/>
          </w:tcPr>
          <w:p w14:paraId="7B993BCB" w14:textId="7E4C8EDD" w:rsidR="004824D4" w:rsidRPr="004824D4" w:rsidRDefault="004824D4" w:rsidP="004824D4">
            <w:pPr>
              <w:jc w:val="center"/>
              <w:rPr>
                <w:b/>
                <w:bCs/>
                <w:sz w:val="18"/>
                <w:lang w:eastAsia="hr-HR"/>
              </w:rPr>
            </w:pPr>
            <w:r w:rsidRPr="004824D4">
              <w:rPr>
                <w:b/>
                <w:bCs/>
                <w:sz w:val="18"/>
                <w:lang w:eastAsia="hr-HR"/>
              </w:rPr>
              <w:t xml:space="preserve">u </w:t>
            </w:r>
            <w:proofErr w:type="spellStart"/>
            <w:r w:rsidRPr="004824D4">
              <w:rPr>
                <w:b/>
                <w:bCs/>
                <w:sz w:val="18"/>
                <w:lang w:eastAsia="hr-HR"/>
              </w:rPr>
              <w:t>mln</w:t>
            </w:r>
            <w:proofErr w:type="spellEnd"/>
            <w:r w:rsidRPr="004824D4">
              <w:rPr>
                <w:b/>
                <w:bCs/>
                <w:sz w:val="18"/>
                <w:lang w:eastAsia="hr-HR"/>
              </w:rPr>
              <w:t xml:space="preserve"> EUR</w:t>
            </w:r>
          </w:p>
        </w:tc>
        <w:tc>
          <w:tcPr>
            <w:tcW w:w="1134" w:type="dxa"/>
            <w:shd w:val="clear" w:color="000000" w:fill="FFFF99"/>
            <w:vAlign w:val="center"/>
          </w:tcPr>
          <w:p w14:paraId="656FA323" w14:textId="0FD27A10" w:rsidR="004824D4" w:rsidRPr="004824D4" w:rsidRDefault="004824D4" w:rsidP="004824D4">
            <w:pPr>
              <w:jc w:val="center"/>
              <w:rPr>
                <w:b/>
                <w:bCs/>
                <w:sz w:val="18"/>
                <w:lang w:eastAsia="hr-HR"/>
              </w:rPr>
            </w:pPr>
            <w:r w:rsidRPr="004824D4">
              <w:rPr>
                <w:b/>
                <w:bCs/>
                <w:sz w:val="18"/>
                <w:lang w:eastAsia="hr-HR"/>
              </w:rPr>
              <w:t>udio (%)</w:t>
            </w:r>
          </w:p>
        </w:tc>
      </w:tr>
      <w:tr w:rsidR="004824D4" w:rsidRPr="004824D4" w14:paraId="136BF5AC" w14:textId="77777777" w:rsidTr="004824D4">
        <w:trPr>
          <w:trHeight w:val="107"/>
        </w:trPr>
        <w:tc>
          <w:tcPr>
            <w:tcW w:w="988" w:type="dxa"/>
            <w:shd w:val="clear" w:color="auto" w:fill="auto"/>
            <w:vAlign w:val="center"/>
            <w:hideMark/>
          </w:tcPr>
          <w:p w14:paraId="3D5D4E18" w14:textId="77777777" w:rsidR="004824D4" w:rsidRPr="004824D4" w:rsidRDefault="004824D4" w:rsidP="004824D4">
            <w:pPr>
              <w:jc w:val="center"/>
              <w:rPr>
                <w:b/>
                <w:sz w:val="20"/>
                <w:lang w:eastAsia="hr-HR"/>
              </w:rPr>
            </w:pPr>
            <w:r w:rsidRPr="004824D4">
              <w:rPr>
                <w:b/>
                <w:sz w:val="20"/>
                <w:lang w:eastAsia="hr-HR"/>
              </w:rPr>
              <w:t>A1</w:t>
            </w:r>
          </w:p>
        </w:tc>
        <w:tc>
          <w:tcPr>
            <w:tcW w:w="1134" w:type="dxa"/>
            <w:shd w:val="clear" w:color="auto" w:fill="auto"/>
            <w:noWrap/>
            <w:vAlign w:val="bottom"/>
            <w:hideMark/>
          </w:tcPr>
          <w:p w14:paraId="3F89BBF8" w14:textId="4F231D3F" w:rsidR="004824D4" w:rsidRPr="004824D4" w:rsidRDefault="004824D4" w:rsidP="004824D4">
            <w:pPr>
              <w:jc w:val="right"/>
              <w:rPr>
                <w:rFonts w:eastAsia="Times New Roman"/>
                <w:sz w:val="20"/>
                <w:szCs w:val="20"/>
                <w:lang w:eastAsia="hr-HR"/>
              </w:rPr>
            </w:pPr>
            <w:r w:rsidRPr="004824D4">
              <w:rPr>
                <w:sz w:val="20"/>
                <w:szCs w:val="20"/>
              </w:rPr>
              <w:t>2.018,0</w:t>
            </w:r>
          </w:p>
        </w:tc>
        <w:tc>
          <w:tcPr>
            <w:tcW w:w="992" w:type="dxa"/>
            <w:shd w:val="clear" w:color="auto" w:fill="auto"/>
            <w:noWrap/>
            <w:vAlign w:val="bottom"/>
            <w:hideMark/>
          </w:tcPr>
          <w:p w14:paraId="01901A86" w14:textId="7DEB6408" w:rsidR="004824D4" w:rsidRPr="004824D4" w:rsidRDefault="004824D4" w:rsidP="004824D4">
            <w:pPr>
              <w:jc w:val="right"/>
              <w:rPr>
                <w:rFonts w:eastAsia="Times New Roman"/>
                <w:sz w:val="20"/>
                <w:szCs w:val="20"/>
                <w:lang w:eastAsia="hr-HR"/>
              </w:rPr>
            </w:pPr>
            <w:r w:rsidRPr="004824D4">
              <w:rPr>
                <w:sz w:val="20"/>
                <w:szCs w:val="20"/>
              </w:rPr>
              <w:t>68,6</w:t>
            </w:r>
          </w:p>
        </w:tc>
        <w:tc>
          <w:tcPr>
            <w:tcW w:w="1134" w:type="dxa"/>
            <w:vAlign w:val="bottom"/>
          </w:tcPr>
          <w:p w14:paraId="6CCBA285" w14:textId="3F10572B" w:rsidR="004824D4" w:rsidRPr="004824D4" w:rsidRDefault="004824D4" w:rsidP="004824D4">
            <w:pPr>
              <w:jc w:val="right"/>
              <w:rPr>
                <w:rFonts w:eastAsia="Times New Roman"/>
                <w:sz w:val="20"/>
                <w:szCs w:val="20"/>
                <w:lang w:eastAsia="hr-HR"/>
              </w:rPr>
            </w:pPr>
            <w:r w:rsidRPr="004824D4">
              <w:rPr>
                <w:sz w:val="20"/>
                <w:szCs w:val="20"/>
              </w:rPr>
              <w:t>2.186,3</w:t>
            </w:r>
          </w:p>
        </w:tc>
        <w:tc>
          <w:tcPr>
            <w:tcW w:w="992" w:type="dxa"/>
            <w:vAlign w:val="bottom"/>
          </w:tcPr>
          <w:p w14:paraId="58B35147" w14:textId="59629521" w:rsidR="004824D4" w:rsidRPr="004824D4" w:rsidRDefault="004824D4" w:rsidP="004824D4">
            <w:pPr>
              <w:jc w:val="right"/>
              <w:rPr>
                <w:rFonts w:eastAsia="Times New Roman"/>
                <w:sz w:val="20"/>
                <w:szCs w:val="20"/>
                <w:lang w:eastAsia="hr-HR"/>
              </w:rPr>
            </w:pPr>
            <w:r w:rsidRPr="004824D4">
              <w:rPr>
                <w:sz w:val="20"/>
                <w:szCs w:val="20"/>
              </w:rPr>
              <w:t>72,5</w:t>
            </w:r>
          </w:p>
        </w:tc>
        <w:tc>
          <w:tcPr>
            <w:tcW w:w="1134" w:type="dxa"/>
            <w:vAlign w:val="bottom"/>
          </w:tcPr>
          <w:p w14:paraId="1939762C" w14:textId="1939FE4C" w:rsidR="004824D4" w:rsidRPr="004824D4" w:rsidRDefault="004824D4" w:rsidP="004824D4">
            <w:pPr>
              <w:jc w:val="right"/>
              <w:rPr>
                <w:rFonts w:eastAsia="Times New Roman"/>
                <w:sz w:val="20"/>
                <w:szCs w:val="20"/>
                <w:lang w:eastAsia="hr-HR"/>
              </w:rPr>
            </w:pPr>
            <w:r w:rsidRPr="004824D4">
              <w:rPr>
                <w:sz w:val="20"/>
                <w:szCs w:val="20"/>
              </w:rPr>
              <w:t>1.980,7</w:t>
            </w:r>
          </w:p>
        </w:tc>
        <w:tc>
          <w:tcPr>
            <w:tcW w:w="1134" w:type="dxa"/>
            <w:vAlign w:val="bottom"/>
          </w:tcPr>
          <w:p w14:paraId="51D4B79F" w14:textId="32A36440" w:rsidR="004824D4" w:rsidRPr="004824D4" w:rsidRDefault="004824D4" w:rsidP="004824D4">
            <w:pPr>
              <w:jc w:val="right"/>
              <w:rPr>
                <w:rFonts w:eastAsia="Times New Roman"/>
                <w:sz w:val="20"/>
                <w:szCs w:val="20"/>
                <w:lang w:eastAsia="hr-HR"/>
              </w:rPr>
            </w:pPr>
            <w:r w:rsidRPr="004824D4">
              <w:rPr>
                <w:sz w:val="20"/>
                <w:szCs w:val="20"/>
              </w:rPr>
              <w:t>65,2</w:t>
            </w:r>
          </w:p>
        </w:tc>
      </w:tr>
      <w:tr w:rsidR="004824D4" w:rsidRPr="004824D4" w14:paraId="2E86B64E" w14:textId="77777777" w:rsidTr="004824D4">
        <w:trPr>
          <w:trHeight w:val="60"/>
        </w:trPr>
        <w:tc>
          <w:tcPr>
            <w:tcW w:w="988" w:type="dxa"/>
            <w:shd w:val="clear" w:color="auto" w:fill="auto"/>
            <w:vAlign w:val="center"/>
            <w:hideMark/>
          </w:tcPr>
          <w:p w14:paraId="2FBC93EA" w14:textId="77777777" w:rsidR="004824D4" w:rsidRPr="004824D4" w:rsidRDefault="004824D4" w:rsidP="004824D4">
            <w:pPr>
              <w:jc w:val="center"/>
              <w:rPr>
                <w:b/>
                <w:sz w:val="20"/>
                <w:lang w:eastAsia="hr-HR"/>
              </w:rPr>
            </w:pPr>
            <w:r w:rsidRPr="004824D4">
              <w:rPr>
                <w:b/>
                <w:sz w:val="20"/>
                <w:lang w:eastAsia="hr-HR"/>
              </w:rPr>
              <w:t>A2</w:t>
            </w:r>
          </w:p>
        </w:tc>
        <w:tc>
          <w:tcPr>
            <w:tcW w:w="1134" w:type="dxa"/>
            <w:shd w:val="clear" w:color="auto" w:fill="auto"/>
            <w:noWrap/>
            <w:vAlign w:val="bottom"/>
            <w:hideMark/>
          </w:tcPr>
          <w:p w14:paraId="708335F9" w14:textId="7249C2F9" w:rsidR="004824D4" w:rsidRPr="004824D4" w:rsidRDefault="004824D4" w:rsidP="004824D4">
            <w:pPr>
              <w:jc w:val="right"/>
              <w:rPr>
                <w:rFonts w:eastAsia="Times New Roman"/>
                <w:sz w:val="20"/>
                <w:szCs w:val="20"/>
                <w:lang w:eastAsia="hr-HR"/>
              </w:rPr>
            </w:pPr>
            <w:r w:rsidRPr="004824D4">
              <w:rPr>
                <w:sz w:val="20"/>
                <w:szCs w:val="20"/>
              </w:rPr>
              <w:t>170,4</w:t>
            </w:r>
          </w:p>
        </w:tc>
        <w:tc>
          <w:tcPr>
            <w:tcW w:w="992" w:type="dxa"/>
            <w:shd w:val="clear" w:color="auto" w:fill="auto"/>
            <w:noWrap/>
            <w:vAlign w:val="bottom"/>
            <w:hideMark/>
          </w:tcPr>
          <w:p w14:paraId="2FF22614" w14:textId="4F7F1754" w:rsidR="004824D4" w:rsidRPr="004824D4" w:rsidRDefault="004824D4" w:rsidP="004824D4">
            <w:pPr>
              <w:jc w:val="right"/>
              <w:rPr>
                <w:rFonts w:eastAsia="Times New Roman"/>
                <w:sz w:val="20"/>
                <w:szCs w:val="20"/>
                <w:lang w:eastAsia="hr-HR"/>
              </w:rPr>
            </w:pPr>
            <w:r w:rsidRPr="004824D4">
              <w:rPr>
                <w:sz w:val="20"/>
                <w:szCs w:val="20"/>
              </w:rPr>
              <w:t>5,8</w:t>
            </w:r>
          </w:p>
        </w:tc>
        <w:tc>
          <w:tcPr>
            <w:tcW w:w="1134" w:type="dxa"/>
            <w:vAlign w:val="bottom"/>
          </w:tcPr>
          <w:p w14:paraId="76FC09AF" w14:textId="70ECE496" w:rsidR="004824D4" w:rsidRPr="004824D4" w:rsidRDefault="004824D4" w:rsidP="004824D4">
            <w:pPr>
              <w:jc w:val="right"/>
              <w:rPr>
                <w:rFonts w:eastAsia="Times New Roman"/>
                <w:sz w:val="20"/>
                <w:szCs w:val="20"/>
                <w:lang w:eastAsia="hr-HR"/>
              </w:rPr>
            </w:pPr>
            <w:r w:rsidRPr="004824D4">
              <w:rPr>
                <w:sz w:val="20"/>
                <w:szCs w:val="20"/>
              </w:rPr>
              <w:t>194,1</w:t>
            </w:r>
          </w:p>
        </w:tc>
        <w:tc>
          <w:tcPr>
            <w:tcW w:w="992" w:type="dxa"/>
            <w:vAlign w:val="bottom"/>
          </w:tcPr>
          <w:p w14:paraId="694E326E" w14:textId="35FFF0F3" w:rsidR="004824D4" w:rsidRPr="004824D4" w:rsidRDefault="004824D4" w:rsidP="004824D4">
            <w:pPr>
              <w:jc w:val="right"/>
              <w:rPr>
                <w:rFonts w:eastAsia="Times New Roman"/>
                <w:sz w:val="20"/>
                <w:szCs w:val="20"/>
                <w:lang w:eastAsia="hr-HR"/>
              </w:rPr>
            </w:pPr>
            <w:r w:rsidRPr="004824D4">
              <w:rPr>
                <w:sz w:val="20"/>
                <w:szCs w:val="20"/>
              </w:rPr>
              <w:t>6,4</w:t>
            </w:r>
          </w:p>
        </w:tc>
        <w:tc>
          <w:tcPr>
            <w:tcW w:w="1134" w:type="dxa"/>
            <w:vAlign w:val="bottom"/>
          </w:tcPr>
          <w:p w14:paraId="14C5EB4A" w14:textId="60DD7583" w:rsidR="004824D4" w:rsidRPr="004824D4" w:rsidRDefault="004824D4" w:rsidP="004824D4">
            <w:pPr>
              <w:jc w:val="right"/>
              <w:rPr>
                <w:rFonts w:eastAsia="Times New Roman"/>
                <w:sz w:val="20"/>
                <w:szCs w:val="20"/>
                <w:lang w:eastAsia="hr-HR"/>
              </w:rPr>
            </w:pPr>
            <w:r w:rsidRPr="004824D4">
              <w:rPr>
                <w:sz w:val="20"/>
                <w:szCs w:val="20"/>
              </w:rPr>
              <w:t>230,7</w:t>
            </w:r>
          </w:p>
        </w:tc>
        <w:tc>
          <w:tcPr>
            <w:tcW w:w="1134" w:type="dxa"/>
            <w:vAlign w:val="bottom"/>
          </w:tcPr>
          <w:p w14:paraId="3ECD3BE6" w14:textId="4149CAC9" w:rsidR="004824D4" w:rsidRPr="004824D4" w:rsidRDefault="004824D4" w:rsidP="004824D4">
            <w:pPr>
              <w:jc w:val="right"/>
              <w:rPr>
                <w:rFonts w:eastAsia="Times New Roman"/>
                <w:sz w:val="20"/>
                <w:szCs w:val="20"/>
                <w:lang w:eastAsia="hr-HR"/>
              </w:rPr>
            </w:pPr>
            <w:r w:rsidRPr="004824D4">
              <w:rPr>
                <w:sz w:val="20"/>
                <w:szCs w:val="20"/>
              </w:rPr>
              <w:t>7,6</w:t>
            </w:r>
          </w:p>
        </w:tc>
      </w:tr>
      <w:tr w:rsidR="004824D4" w:rsidRPr="004824D4" w14:paraId="5D6DA4A8" w14:textId="77777777" w:rsidTr="004824D4">
        <w:trPr>
          <w:trHeight w:val="80"/>
        </w:trPr>
        <w:tc>
          <w:tcPr>
            <w:tcW w:w="988" w:type="dxa"/>
            <w:shd w:val="clear" w:color="auto" w:fill="auto"/>
            <w:vAlign w:val="center"/>
            <w:hideMark/>
          </w:tcPr>
          <w:p w14:paraId="010C9898" w14:textId="77777777" w:rsidR="004824D4" w:rsidRPr="004824D4" w:rsidRDefault="004824D4" w:rsidP="004824D4">
            <w:pPr>
              <w:jc w:val="center"/>
              <w:rPr>
                <w:b/>
                <w:sz w:val="20"/>
                <w:lang w:eastAsia="hr-HR"/>
              </w:rPr>
            </w:pPr>
            <w:r w:rsidRPr="004824D4">
              <w:rPr>
                <w:b/>
                <w:sz w:val="20"/>
                <w:lang w:eastAsia="hr-HR"/>
              </w:rPr>
              <w:t>B</w:t>
            </w:r>
          </w:p>
        </w:tc>
        <w:tc>
          <w:tcPr>
            <w:tcW w:w="1134" w:type="dxa"/>
            <w:shd w:val="clear" w:color="auto" w:fill="auto"/>
            <w:noWrap/>
            <w:vAlign w:val="bottom"/>
            <w:hideMark/>
          </w:tcPr>
          <w:p w14:paraId="5B46B2EB" w14:textId="61E3AD8D" w:rsidR="004824D4" w:rsidRPr="004824D4" w:rsidRDefault="004824D4" w:rsidP="004824D4">
            <w:pPr>
              <w:jc w:val="right"/>
              <w:rPr>
                <w:rFonts w:eastAsia="Times New Roman"/>
                <w:sz w:val="20"/>
                <w:szCs w:val="20"/>
                <w:lang w:eastAsia="hr-HR"/>
              </w:rPr>
            </w:pPr>
            <w:r w:rsidRPr="004824D4">
              <w:rPr>
                <w:sz w:val="20"/>
                <w:szCs w:val="20"/>
              </w:rPr>
              <w:t>222,7</w:t>
            </w:r>
          </w:p>
        </w:tc>
        <w:tc>
          <w:tcPr>
            <w:tcW w:w="992" w:type="dxa"/>
            <w:shd w:val="clear" w:color="auto" w:fill="auto"/>
            <w:noWrap/>
            <w:vAlign w:val="bottom"/>
            <w:hideMark/>
          </w:tcPr>
          <w:p w14:paraId="49E58DC4" w14:textId="1FF8E809" w:rsidR="004824D4" w:rsidRPr="004824D4" w:rsidRDefault="004824D4" w:rsidP="004824D4">
            <w:pPr>
              <w:jc w:val="right"/>
              <w:rPr>
                <w:rFonts w:eastAsia="Times New Roman"/>
                <w:sz w:val="20"/>
                <w:szCs w:val="20"/>
                <w:lang w:eastAsia="hr-HR"/>
              </w:rPr>
            </w:pPr>
            <w:r w:rsidRPr="004824D4">
              <w:rPr>
                <w:sz w:val="20"/>
                <w:szCs w:val="20"/>
              </w:rPr>
              <w:t>7,6</w:t>
            </w:r>
          </w:p>
        </w:tc>
        <w:tc>
          <w:tcPr>
            <w:tcW w:w="1134" w:type="dxa"/>
            <w:vAlign w:val="bottom"/>
          </w:tcPr>
          <w:p w14:paraId="00FB0386" w14:textId="4B0A31C6" w:rsidR="004824D4" w:rsidRPr="004824D4" w:rsidRDefault="004824D4" w:rsidP="004824D4">
            <w:pPr>
              <w:jc w:val="right"/>
              <w:rPr>
                <w:rFonts w:eastAsia="Times New Roman"/>
                <w:sz w:val="20"/>
                <w:szCs w:val="20"/>
                <w:lang w:eastAsia="hr-HR"/>
              </w:rPr>
            </w:pPr>
            <w:r w:rsidRPr="004824D4">
              <w:rPr>
                <w:sz w:val="20"/>
                <w:szCs w:val="20"/>
              </w:rPr>
              <w:t>257,2</w:t>
            </w:r>
          </w:p>
        </w:tc>
        <w:tc>
          <w:tcPr>
            <w:tcW w:w="992" w:type="dxa"/>
            <w:vAlign w:val="bottom"/>
          </w:tcPr>
          <w:p w14:paraId="0AB47FA0" w14:textId="36CB6B93" w:rsidR="004824D4" w:rsidRPr="004824D4" w:rsidRDefault="004824D4" w:rsidP="004824D4">
            <w:pPr>
              <w:jc w:val="right"/>
              <w:rPr>
                <w:rFonts w:eastAsia="Times New Roman"/>
                <w:sz w:val="20"/>
                <w:szCs w:val="20"/>
                <w:lang w:eastAsia="hr-HR"/>
              </w:rPr>
            </w:pPr>
            <w:r w:rsidRPr="004824D4">
              <w:rPr>
                <w:sz w:val="20"/>
                <w:szCs w:val="20"/>
              </w:rPr>
              <w:t>8,5</w:t>
            </w:r>
          </w:p>
        </w:tc>
        <w:tc>
          <w:tcPr>
            <w:tcW w:w="1134" w:type="dxa"/>
            <w:vAlign w:val="bottom"/>
          </w:tcPr>
          <w:p w14:paraId="3EAAD411" w14:textId="2AF1FC81" w:rsidR="004824D4" w:rsidRPr="004824D4" w:rsidRDefault="004824D4" w:rsidP="004824D4">
            <w:pPr>
              <w:jc w:val="right"/>
              <w:rPr>
                <w:rFonts w:eastAsia="Times New Roman"/>
                <w:sz w:val="20"/>
                <w:szCs w:val="20"/>
                <w:lang w:eastAsia="hr-HR"/>
              </w:rPr>
            </w:pPr>
            <w:r w:rsidRPr="004824D4">
              <w:rPr>
                <w:sz w:val="20"/>
                <w:szCs w:val="20"/>
              </w:rPr>
              <w:t>203,2</w:t>
            </w:r>
          </w:p>
        </w:tc>
        <w:tc>
          <w:tcPr>
            <w:tcW w:w="1134" w:type="dxa"/>
            <w:vAlign w:val="bottom"/>
          </w:tcPr>
          <w:p w14:paraId="5B944263" w14:textId="46F54B33" w:rsidR="004824D4" w:rsidRPr="004824D4" w:rsidRDefault="004824D4" w:rsidP="004824D4">
            <w:pPr>
              <w:jc w:val="right"/>
              <w:rPr>
                <w:rFonts w:eastAsia="Times New Roman"/>
                <w:sz w:val="20"/>
                <w:szCs w:val="20"/>
                <w:lang w:eastAsia="hr-HR"/>
              </w:rPr>
            </w:pPr>
            <w:r w:rsidRPr="004824D4">
              <w:rPr>
                <w:sz w:val="20"/>
                <w:szCs w:val="20"/>
              </w:rPr>
              <w:t>6,7</w:t>
            </w:r>
          </w:p>
        </w:tc>
      </w:tr>
      <w:tr w:rsidR="004824D4" w:rsidRPr="004824D4" w14:paraId="13BED574" w14:textId="77777777" w:rsidTr="004824D4">
        <w:trPr>
          <w:trHeight w:val="60"/>
        </w:trPr>
        <w:tc>
          <w:tcPr>
            <w:tcW w:w="988" w:type="dxa"/>
            <w:shd w:val="clear" w:color="auto" w:fill="auto"/>
            <w:vAlign w:val="center"/>
            <w:hideMark/>
          </w:tcPr>
          <w:p w14:paraId="52529CAB" w14:textId="77777777" w:rsidR="004824D4" w:rsidRPr="004824D4" w:rsidRDefault="004824D4" w:rsidP="004824D4">
            <w:pPr>
              <w:jc w:val="center"/>
              <w:rPr>
                <w:b/>
                <w:sz w:val="20"/>
                <w:lang w:eastAsia="hr-HR"/>
              </w:rPr>
            </w:pPr>
            <w:r w:rsidRPr="004824D4">
              <w:rPr>
                <w:b/>
                <w:sz w:val="20"/>
                <w:lang w:eastAsia="hr-HR"/>
              </w:rPr>
              <w:t>C1</w:t>
            </w:r>
          </w:p>
        </w:tc>
        <w:tc>
          <w:tcPr>
            <w:tcW w:w="1134" w:type="dxa"/>
            <w:shd w:val="clear" w:color="auto" w:fill="auto"/>
            <w:noWrap/>
            <w:vAlign w:val="bottom"/>
            <w:hideMark/>
          </w:tcPr>
          <w:p w14:paraId="46512B94" w14:textId="0AAEB2C0" w:rsidR="004824D4" w:rsidRPr="004824D4" w:rsidRDefault="004824D4" w:rsidP="004824D4">
            <w:pPr>
              <w:jc w:val="right"/>
              <w:rPr>
                <w:rFonts w:eastAsia="Times New Roman"/>
                <w:sz w:val="20"/>
                <w:szCs w:val="20"/>
                <w:lang w:eastAsia="hr-HR"/>
              </w:rPr>
            </w:pPr>
            <w:r w:rsidRPr="004824D4">
              <w:rPr>
                <w:sz w:val="20"/>
                <w:szCs w:val="20"/>
              </w:rPr>
              <w:t>171,4</w:t>
            </w:r>
          </w:p>
        </w:tc>
        <w:tc>
          <w:tcPr>
            <w:tcW w:w="992" w:type="dxa"/>
            <w:shd w:val="clear" w:color="auto" w:fill="auto"/>
            <w:noWrap/>
            <w:vAlign w:val="bottom"/>
            <w:hideMark/>
          </w:tcPr>
          <w:p w14:paraId="63BCFED2" w14:textId="7FAA1C8A" w:rsidR="004824D4" w:rsidRPr="004824D4" w:rsidRDefault="004824D4" w:rsidP="004824D4">
            <w:pPr>
              <w:jc w:val="right"/>
              <w:rPr>
                <w:rFonts w:eastAsia="Times New Roman"/>
                <w:sz w:val="20"/>
                <w:szCs w:val="20"/>
                <w:lang w:eastAsia="hr-HR"/>
              </w:rPr>
            </w:pPr>
            <w:r w:rsidRPr="004824D4">
              <w:rPr>
                <w:sz w:val="20"/>
                <w:szCs w:val="20"/>
              </w:rPr>
              <w:t>5,8</w:t>
            </w:r>
          </w:p>
        </w:tc>
        <w:tc>
          <w:tcPr>
            <w:tcW w:w="1134" w:type="dxa"/>
            <w:vAlign w:val="bottom"/>
          </w:tcPr>
          <w:p w14:paraId="263CFB9D" w14:textId="61244654" w:rsidR="004824D4" w:rsidRPr="004824D4" w:rsidRDefault="004824D4" w:rsidP="004824D4">
            <w:pPr>
              <w:jc w:val="right"/>
              <w:rPr>
                <w:rFonts w:eastAsia="Times New Roman"/>
                <w:sz w:val="20"/>
                <w:szCs w:val="20"/>
                <w:lang w:eastAsia="hr-HR"/>
              </w:rPr>
            </w:pPr>
            <w:r w:rsidRPr="004824D4">
              <w:rPr>
                <w:sz w:val="20"/>
                <w:szCs w:val="20"/>
              </w:rPr>
              <w:t>107,6</w:t>
            </w:r>
          </w:p>
        </w:tc>
        <w:tc>
          <w:tcPr>
            <w:tcW w:w="992" w:type="dxa"/>
            <w:vAlign w:val="bottom"/>
          </w:tcPr>
          <w:p w14:paraId="54A7E9B8" w14:textId="34EAC350" w:rsidR="004824D4" w:rsidRPr="004824D4" w:rsidRDefault="004824D4" w:rsidP="004824D4">
            <w:pPr>
              <w:jc w:val="right"/>
              <w:rPr>
                <w:rFonts w:eastAsia="Times New Roman"/>
                <w:sz w:val="20"/>
                <w:szCs w:val="20"/>
                <w:lang w:eastAsia="hr-HR"/>
              </w:rPr>
            </w:pPr>
            <w:r w:rsidRPr="004824D4">
              <w:rPr>
                <w:sz w:val="20"/>
                <w:szCs w:val="20"/>
              </w:rPr>
              <w:t>3,6</w:t>
            </w:r>
          </w:p>
        </w:tc>
        <w:tc>
          <w:tcPr>
            <w:tcW w:w="1134" w:type="dxa"/>
            <w:vAlign w:val="bottom"/>
          </w:tcPr>
          <w:p w14:paraId="376B0D41" w14:textId="2070B981" w:rsidR="004824D4" w:rsidRPr="004824D4" w:rsidRDefault="004824D4" w:rsidP="004824D4">
            <w:pPr>
              <w:jc w:val="right"/>
              <w:rPr>
                <w:rFonts w:eastAsia="Times New Roman"/>
                <w:sz w:val="20"/>
                <w:szCs w:val="20"/>
                <w:lang w:eastAsia="hr-HR"/>
              </w:rPr>
            </w:pPr>
            <w:r w:rsidRPr="004824D4">
              <w:rPr>
                <w:sz w:val="20"/>
                <w:szCs w:val="20"/>
              </w:rPr>
              <w:t>188,0</w:t>
            </w:r>
          </w:p>
        </w:tc>
        <w:tc>
          <w:tcPr>
            <w:tcW w:w="1134" w:type="dxa"/>
            <w:vAlign w:val="bottom"/>
          </w:tcPr>
          <w:p w14:paraId="2AA971C2" w14:textId="4B52B69F" w:rsidR="004824D4" w:rsidRPr="004824D4" w:rsidRDefault="004824D4" w:rsidP="004824D4">
            <w:pPr>
              <w:jc w:val="right"/>
              <w:rPr>
                <w:rFonts w:eastAsia="Times New Roman"/>
                <w:sz w:val="20"/>
                <w:szCs w:val="20"/>
                <w:lang w:eastAsia="hr-HR"/>
              </w:rPr>
            </w:pPr>
            <w:r w:rsidRPr="004824D4">
              <w:rPr>
                <w:sz w:val="20"/>
                <w:szCs w:val="20"/>
              </w:rPr>
              <w:t>6,2</w:t>
            </w:r>
          </w:p>
        </w:tc>
      </w:tr>
      <w:tr w:rsidR="004824D4" w:rsidRPr="004824D4" w14:paraId="7A8D6847" w14:textId="77777777" w:rsidTr="004824D4">
        <w:trPr>
          <w:trHeight w:val="40"/>
        </w:trPr>
        <w:tc>
          <w:tcPr>
            <w:tcW w:w="988" w:type="dxa"/>
            <w:shd w:val="clear" w:color="auto" w:fill="auto"/>
            <w:vAlign w:val="center"/>
            <w:hideMark/>
          </w:tcPr>
          <w:p w14:paraId="1B0F7233" w14:textId="77777777" w:rsidR="004824D4" w:rsidRPr="004824D4" w:rsidRDefault="004824D4" w:rsidP="004824D4">
            <w:pPr>
              <w:jc w:val="center"/>
              <w:rPr>
                <w:b/>
                <w:sz w:val="20"/>
                <w:lang w:eastAsia="hr-HR"/>
              </w:rPr>
            </w:pPr>
            <w:r w:rsidRPr="004824D4">
              <w:rPr>
                <w:b/>
                <w:sz w:val="20"/>
                <w:lang w:eastAsia="hr-HR"/>
              </w:rPr>
              <w:t>D</w:t>
            </w:r>
          </w:p>
        </w:tc>
        <w:tc>
          <w:tcPr>
            <w:tcW w:w="1134" w:type="dxa"/>
            <w:shd w:val="clear" w:color="auto" w:fill="auto"/>
            <w:noWrap/>
            <w:vAlign w:val="bottom"/>
            <w:hideMark/>
          </w:tcPr>
          <w:p w14:paraId="3A9CC4B3" w14:textId="4C906FA7" w:rsidR="004824D4" w:rsidRPr="004824D4" w:rsidRDefault="004824D4" w:rsidP="004824D4">
            <w:pPr>
              <w:jc w:val="right"/>
              <w:rPr>
                <w:rFonts w:eastAsia="Times New Roman"/>
                <w:sz w:val="20"/>
                <w:szCs w:val="20"/>
                <w:lang w:eastAsia="hr-HR"/>
              </w:rPr>
            </w:pPr>
            <w:r w:rsidRPr="004824D4">
              <w:rPr>
                <w:sz w:val="20"/>
                <w:szCs w:val="20"/>
              </w:rPr>
              <w:t>357,2</w:t>
            </w:r>
          </w:p>
        </w:tc>
        <w:tc>
          <w:tcPr>
            <w:tcW w:w="992" w:type="dxa"/>
            <w:shd w:val="clear" w:color="auto" w:fill="auto"/>
            <w:noWrap/>
            <w:vAlign w:val="bottom"/>
            <w:hideMark/>
          </w:tcPr>
          <w:p w14:paraId="5BC980B9" w14:textId="2DA80417" w:rsidR="004824D4" w:rsidRPr="004824D4" w:rsidRDefault="004824D4" w:rsidP="004824D4">
            <w:pPr>
              <w:jc w:val="right"/>
              <w:rPr>
                <w:rFonts w:eastAsia="Times New Roman"/>
                <w:sz w:val="20"/>
                <w:szCs w:val="20"/>
                <w:lang w:eastAsia="hr-HR"/>
              </w:rPr>
            </w:pPr>
            <w:r w:rsidRPr="004824D4">
              <w:rPr>
                <w:sz w:val="20"/>
                <w:szCs w:val="20"/>
              </w:rPr>
              <w:t>12,2</w:t>
            </w:r>
          </w:p>
        </w:tc>
        <w:tc>
          <w:tcPr>
            <w:tcW w:w="1134" w:type="dxa"/>
            <w:vAlign w:val="bottom"/>
          </w:tcPr>
          <w:p w14:paraId="29A2466B" w14:textId="47AAF6B5" w:rsidR="004824D4" w:rsidRPr="004824D4" w:rsidRDefault="004824D4" w:rsidP="004824D4">
            <w:pPr>
              <w:jc w:val="right"/>
              <w:rPr>
                <w:rFonts w:eastAsia="Times New Roman"/>
                <w:sz w:val="20"/>
                <w:szCs w:val="20"/>
                <w:lang w:eastAsia="hr-HR"/>
              </w:rPr>
            </w:pPr>
            <w:r w:rsidRPr="004824D4">
              <w:rPr>
                <w:sz w:val="20"/>
                <w:szCs w:val="20"/>
              </w:rPr>
              <w:t>269,8</w:t>
            </w:r>
          </w:p>
        </w:tc>
        <w:tc>
          <w:tcPr>
            <w:tcW w:w="992" w:type="dxa"/>
            <w:vAlign w:val="bottom"/>
          </w:tcPr>
          <w:p w14:paraId="3F547143" w14:textId="2D53B6E5" w:rsidR="004824D4" w:rsidRPr="004824D4" w:rsidRDefault="004824D4" w:rsidP="004824D4">
            <w:pPr>
              <w:jc w:val="right"/>
              <w:rPr>
                <w:rFonts w:eastAsia="Times New Roman"/>
                <w:sz w:val="20"/>
                <w:szCs w:val="20"/>
                <w:lang w:eastAsia="hr-HR"/>
              </w:rPr>
            </w:pPr>
            <w:r w:rsidRPr="004824D4">
              <w:rPr>
                <w:sz w:val="20"/>
                <w:szCs w:val="20"/>
              </w:rPr>
              <w:t>8,9</w:t>
            </w:r>
          </w:p>
        </w:tc>
        <w:tc>
          <w:tcPr>
            <w:tcW w:w="1134" w:type="dxa"/>
            <w:vAlign w:val="bottom"/>
          </w:tcPr>
          <w:p w14:paraId="0BF01D7B" w14:textId="1F895F22" w:rsidR="004824D4" w:rsidRPr="004824D4" w:rsidRDefault="004824D4" w:rsidP="004824D4">
            <w:pPr>
              <w:jc w:val="right"/>
              <w:rPr>
                <w:rFonts w:eastAsia="Times New Roman"/>
                <w:sz w:val="20"/>
                <w:szCs w:val="20"/>
                <w:lang w:eastAsia="hr-HR"/>
              </w:rPr>
            </w:pPr>
            <w:r w:rsidRPr="004824D4">
              <w:rPr>
                <w:sz w:val="20"/>
                <w:szCs w:val="20"/>
              </w:rPr>
              <w:t>433,1</w:t>
            </w:r>
          </w:p>
        </w:tc>
        <w:tc>
          <w:tcPr>
            <w:tcW w:w="1134" w:type="dxa"/>
            <w:vAlign w:val="bottom"/>
          </w:tcPr>
          <w:p w14:paraId="18179282" w14:textId="3F34DC76" w:rsidR="004824D4" w:rsidRPr="004824D4" w:rsidRDefault="004824D4" w:rsidP="004824D4">
            <w:pPr>
              <w:jc w:val="right"/>
              <w:rPr>
                <w:rFonts w:eastAsia="Times New Roman"/>
                <w:sz w:val="20"/>
                <w:szCs w:val="20"/>
                <w:lang w:eastAsia="hr-HR"/>
              </w:rPr>
            </w:pPr>
            <w:r w:rsidRPr="004824D4">
              <w:rPr>
                <w:sz w:val="20"/>
                <w:szCs w:val="20"/>
              </w:rPr>
              <w:t>14,3</w:t>
            </w:r>
          </w:p>
        </w:tc>
      </w:tr>
      <w:tr w:rsidR="004824D4" w:rsidRPr="004824D4" w14:paraId="3E37AE04" w14:textId="77777777" w:rsidTr="004824D4">
        <w:trPr>
          <w:trHeight w:val="58"/>
        </w:trPr>
        <w:tc>
          <w:tcPr>
            <w:tcW w:w="988" w:type="dxa"/>
            <w:shd w:val="clear" w:color="auto" w:fill="FFFF99"/>
            <w:vAlign w:val="center"/>
            <w:hideMark/>
          </w:tcPr>
          <w:p w14:paraId="1DE65478" w14:textId="77777777" w:rsidR="004824D4" w:rsidRPr="004824D4" w:rsidRDefault="004824D4" w:rsidP="004824D4">
            <w:pPr>
              <w:jc w:val="both"/>
              <w:rPr>
                <w:b/>
                <w:bCs/>
                <w:sz w:val="20"/>
                <w:lang w:eastAsia="hr-HR"/>
              </w:rPr>
            </w:pPr>
          </w:p>
        </w:tc>
        <w:tc>
          <w:tcPr>
            <w:tcW w:w="1134" w:type="dxa"/>
            <w:shd w:val="clear" w:color="auto" w:fill="FFFF99"/>
            <w:noWrap/>
            <w:vAlign w:val="bottom"/>
            <w:hideMark/>
          </w:tcPr>
          <w:p w14:paraId="28434FFE" w14:textId="2AFDAB8D" w:rsidR="004824D4" w:rsidRPr="004824D4" w:rsidRDefault="004824D4" w:rsidP="004824D4">
            <w:pPr>
              <w:jc w:val="right"/>
              <w:rPr>
                <w:rFonts w:eastAsia="Times New Roman"/>
                <w:b/>
                <w:bCs/>
                <w:sz w:val="20"/>
                <w:szCs w:val="20"/>
                <w:lang w:eastAsia="hr-HR"/>
              </w:rPr>
            </w:pPr>
            <w:r w:rsidRPr="004824D4">
              <w:rPr>
                <w:b/>
                <w:sz w:val="20"/>
                <w:szCs w:val="20"/>
              </w:rPr>
              <w:t>2.939,7</w:t>
            </w:r>
          </w:p>
        </w:tc>
        <w:tc>
          <w:tcPr>
            <w:tcW w:w="992" w:type="dxa"/>
            <w:shd w:val="clear" w:color="auto" w:fill="FFFF99"/>
            <w:noWrap/>
            <w:vAlign w:val="bottom"/>
            <w:hideMark/>
          </w:tcPr>
          <w:p w14:paraId="49E599CD" w14:textId="3A77B7BA" w:rsidR="004824D4" w:rsidRPr="004824D4" w:rsidRDefault="004824D4" w:rsidP="004824D4">
            <w:pPr>
              <w:jc w:val="right"/>
              <w:rPr>
                <w:rFonts w:eastAsia="Times New Roman"/>
                <w:b/>
                <w:bCs/>
                <w:sz w:val="20"/>
                <w:szCs w:val="20"/>
                <w:lang w:eastAsia="hr-HR"/>
              </w:rPr>
            </w:pPr>
            <w:r w:rsidRPr="004824D4">
              <w:rPr>
                <w:b/>
                <w:sz w:val="20"/>
                <w:szCs w:val="20"/>
              </w:rPr>
              <w:t>100,0</w:t>
            </w:r>
          </w:p>
        </w:tc>
        <w:tc>
          <w:tcPr>
            <w:tcW w:w="1134" w:type="dxa"/>
            <w:shd w:val="clear" w:color="auto" w:fill="FFFF99"/>
            <w:vAlign w:val="bottom"/>
          </w:tcPr>
          <w:p w14:paraId="717ADF23" w14:textId="04C750B4" w:rsidR="004824D4" w:rsidRPr="004824D4" w:rsidRDefault="004824D4" w:rsidP="004824D4">
            <w:pPr>
              <w:jc w:val="right"/>
              <w:rPr>
                <w:rFonts w:eastAsia="Times New Roman"/>
                <w:b/>
                <w:bCs/>
                <w:sz w:val="20"/>
                <w:szCs w:val="20"/>
                <w:lang w:eastAsia="hr-HR"/>
              </w:rPr>
            </w:pPr>
            <w:r w:rsidRPr="004824D4">
              <w:rPr>
                <w:b/>
                <w:sz w:val="20"/>
                <w:szCs w:val="20"/>
              </w:rPr>
              <w:t>3.015,0</w:t>
            </w:r>
          </w:p>
        </w:tc>
        <w:tc>
          <w:tcPr>
            <w:tcW w:w="992" w:type="dxa"/>
            <w:shd w:val="clear" w:color="auto" w:fill="FFFF99"/>
            <w:vAlign w:val="bottom"/>
          </w:tcPr>
          <w:p w14:paraId="390A36F8" w14:textId="7F9C3911" w:rsidR="004824D4" w:rsidRPr="004824D4" w:rsidRDefault="004824D4" w:rsidP="004824D4">
            <w:pPr>
              <w:jc w:val="right"/>
              <w:rPr>
                <w:rFonts w:eastAsia="Times New Roman"/>
                <w:b/>
                <w:bCs/>
                <w:sz w:val="20"/>
                <w:szCs w:val="20"/>
                <w:lang w:eastAsia="hr-HR"/>
              </w:rPr>
            </w:pPr>
            <w:r w:rsidRPr="004824D4">
              <w:rPr>
                <w:b/>
                <w:sz w:val="20"/>
                <w:szCs w:val="20"/>
              </w:rPr>
              <w:t>100,0</w:t>
            </w:r>
          </w:p>
        </w:tc>
        <w:tc>
          <w:tcPr>
            <w:tcW w:w="1134" w:type="dxa"/>
            <w:shd w:val="clear" w:color="auto" w:fill="FFFF99"/>
            <w:vAlign w:val="bottom"/>
          </w:tcPr>
          <w:p w14:paraId="5AC8C7CD" w14:textId="741369F3" w:rsidR="004824D4" w:rsidRPr="004824D4" w:rsidRDefault="004824D4" w:rsidP="004824D4">
            <w:pPr>
              <w:jc w:val="right"/>
              <w:rPr>
                <w:rFonts w:eastAsia="Times New Roman"/>
                <w:b/>
                <w:bCs/>
                <w:sz w:val="20"/>
                <w:szCs w:val="20"/>
                <w:lang w:eastAsia="hr-HR"/>
              </w:rPr>
            </w:pPr>
            <w:r w:rsidRPr="004824D4">
              <w:rPr>
                <w:b/>
                <w:sz w:val="20"/>
                <w:szCs w:val="20"/>
              </w:rPr>
              <w:t>3.035,6</w:t>
            </w:r>
          </w:p>
        </w:tc>
        <w:tc>
          <w:tcPr>
            <w:tcW w:w="1134" w:type="dxa"/>
            <w:shd w:val="clear" w:color="auto" w:fill="FFFF99"/>
            <w:vAlign w:val="bottom"/>
          </w:tcPr>
          <w:p w14:paraId="7BCD0500" w14:textId="69FA6784" w:rsidR="004824D4" w:rsidRPr="004824D4" w:rsidRDefault="004824D4" w:rsidP="004824D4">
            <w:pPr>
              <w:jc w:val="right"/>
              <w:rPr>
                <w:rFonts w:eastAsia="Times New Roman"/>
                <w:b/>
                <w:bCs/>
                <w:sz w:val="20"/>
                <w:szCs w:val="20"/>
                <w:lang w:eastAsia="hr-HR"/>
              </w:rPr>
            </w:pPr>
            <w:r w:rsidRPr="004824D4">
              <w:rPr>
                <w:b/>
                <w:sz w:val="20"/>
                <w:szCs w:val="20"/>
              </w:rPr>
              <w:t>100,0</w:t>
            </w:r>
          </w:p>
        </w:tc>
      </w:tr>
    </w:tbl>
    <w:p w14:paraId="791B9788" w14:textId="77777777" w:rsidR="00FE2D9A" w:rsidRPr="004824D4" w:rsidRDefault="00FE2D9A" w:rsidP="00BE487D">
      <w:pPr>
        <w:contextualSpacing/>
        <w:jc w:val="both"/>
        <w:rPr>
          <w:i/>
          <w:sz w:val="20"/>
        </w:rPr>
      </w:pPr>
      <w:r w:rsidRPr="004824D4">
        <w:rPr>
          <w:i/>
          <w:sz w:val="20"/>
        </w:rPr>
        <w:t>Izvor: Ministarstvo financija i davatelji potpora; podaci obrađeni u Ministarstvu financija</w:t>
      </w:r>
    </w:p>
    <w:p w14:paraId="5227D8E4" w14:textId="77777777" w:rsidR="004824D4" w:rsidRPr="006227D2" w:rsidRDefault="004824D4" w:rsidP="00BE487D">
      <w:pPr>
        <w:jc w:val="both"/>
      </w:pPr>
    </w:p>
    <w:p w14:paraId="074DCFC1" w14:textId="2071FC54" w:rsidR="001704C3" w:rsidRPr="006227D2" w:rsidRDefault="001704C3" w:rsidP="00BE487D">
      <w:pPr>
        <w:jc w:val="both"/>
      </w:pPr>
      <w:r w:rsidRPr="006227D2">
        <w:t>Tablic</w:t>
      </w:r>
      <w:r w:rsidR="006227D2" w:rsidRPr="006227D2">
        <w:t>a</w:t>
      </w:r>
      <w:r w:rsidRPr="006227D2">
        <w:t xml:space="preserve"> </w:t>
      </w:r>
      <w:r w:rsidR="006227D2" w:rsidRPr="006227D2">
        <w:t>4</w:t>
      </w:r>
      <w:r w:rsidRPr="006227D2">
        <w:t>. prikaz</w:t>
      </w:r>
      <w:r w:rsidR="006227D2" w:rsidRPr="006227D2">
        <w:t>uje dodijeljene</w:t>
      </w:r>
      <w:r w:rsidRPr="006227D2">
        <w:t xml:space="preserve"> potpore putem različitih instrumenata u razdoblju od 20</w:t>
      </w:r>
      <w:r w:rsidR="009F11CF" w:rsidRPr="006227D2">
        <w:t>2</w:t>
      </w:r>
      <w:r w:rsidR="006227D2" w:rsidRPr="006227D2">
        <w:t>1</w:t>
      </w:r>
      <w:r w:rsidRPr="006227D2">
        <w:t>. do 202</w:t>
      </w:r>
      <w:r w:rsidR="006227D2" w:rsidRPr="006227D2">
        <w:t>3. godine u milijunima eura</w:t>
      </w:r>
      <w:r w:rsidRPr="006227D2">
        <w:t>, te udio navedenih instrumenata u postocima u ukupno dodijeljenim potporama.</w:t>
      </w:r>
    </w:p>
    <w:p w14:paraId="4F27C1E1" w14:textId="34AB8E2E" w:rsidR="001704C3" w:rsidRPr="00B9741D" w:rsidRDefault="001704C3" w:rsidP="00BE487D">
      <w:pPr>
        <w:jc w:val="both"/>
      </w:pPr>
    </w:p>
    <w:p w14:paraId="4345B95E" w14:textId="3AE41870" w:rsidR="00FE2D9A" w:rsidRPr="00B9741D" w:rsidRDefault="00FE2D9A" w:rsidP="00BE487D">
      <w:pPr>
        <w:jc w:val="both"/>
        <w:rPr>
          <w:spacing w:val="-2"/>
        </w:rPr>
      </w:pPr>
      <w:r w:rsidRPr="00B9741D">
        <w:rPr>
          <w:spacing w:val="-2"/>
        </w:rPr>
        <w:t xml:space="preserve">Slika </w:t>
      </w:r>
      <w:r w:rsidR="004824D4" w:rsidRPr="00B9741D">
        <w:rPr>
          <w:spacing w:val="-2"/>
        </w:rPr>
        <w:t>5</w:t>
      </w:r>
      <w:r w:rsidRPr="00B9741D">
        <w:rPr>
          <w:spacing w:val="-2"/>
        </w:rPr>
        <w:t>. Ukupne</w:t>
      </w:r>
      <w:r w:rsidR="00094CFC" w:rsidRPr="00B9741D">
        <w:rPr>
          <w:spacing w:val="-2"/>
        </w:rPr>
        <w:t xml:space="preserve"> dodijeljene </w:t>
      </w:r>
      <w:r w:rsidRPr="00B9741D">
        <w:rPr>
          <w:spacing w:val="-2"/>
        </w:rPr>
        <w:t xml:space="preserve">potpore prema instrumentima </w:t>
      </w:r>
      <w:r w:rsidR="00C04D37" w:rsidRPr="00B9741D">
        <w:rPr>
          <w:spacing w:val="-2"/>
        </w:rPr>
        <w:t>u</w:t>
      </w:r>
      <w:r w:rsidRPr="00B9741D">
        <w:rPr>
          <w:spacing w:val="-2"/>
        </w:rPr>
        <w:t xml:space="preserve"> razdoblj</w:t>
      </w:r>
      <w:r w:rsidR="00C04D37" w:rsidRPr="00B9741D">
        <w:rPr>
          <w:spacing w:val="-2"/>
        </w:rPr>
        <w:t>u</w:t>
      </w:r>
      <w:r w:rsidRPr="00B9741D">
        <w:rPr>
          <w:spacing w:val="-2"/>
        </w:rPr>
        <w:t xml:space="preserve"> od 20</w:t>
      </w:r>
      <w:r w:rsidR="007502C8" w:rsidRPr="00B9741D">
        <w:rPr>
          <w:spacing w:val="-2"/>
        </w:rPr>
        <w:t>2</w:t>
      </w:r>
      <w:r w:rsidR="004824D4" w:rsidRPr="00B9741D">
        <w:rPr>
          <w:spacing w:val="-2"/>
        </w:rPr>
        <w:t>1</w:t>
      </w:r>
      <w:r w:rsidRPr="00B9741D">
        <w:rPr>
          <w:spacing w:val="-2"/>
        </w:rPr>
        <w:t>. do 202</w:t>
      </w:r>
      <w:r w:rsidR="004824D4" w:rsidRPr="00B9741D">
        <w:rPr>
          <w:spacing w:val="-2"/>
        </w:rPr>
        <w:t>3</w:t>
      </w:r>
      <w:r w:rsidRPr="00B9741D">
        <w:rPr>
          <w:spacing w:val="-2"/>
        </w:rPr>
        <w:t>. godine</w:t>
      </w:r>
    </w:p>
    <w:p w14:paraId="64E522D0" w14:textId="77777777" w:rsidR="001D1859" w:rsidRPr="004824D4" w:rsidRDefault="001D1859" w:rsidP="00BE487D">
      <w:pPr>
        <w:jc w:val="both"/>
        <w:rPr>
          <w:sz w:val="20"/>
        </w:rPr>
      </w:pPr>
    </w:p>
    <w:p w14:paraId="6E6C11BE" w14:textId="608DB19A" w:rsidR="002C5ADC" w:rsidRPr="008149B5" w:rsidRDefault="002C5ADC" w:rsidP="0062599F">
      <w:pPr>
        <w:jc w:val="center"/>
        <w:rPr>
          <w:highlight w:val="red"/>
        </w:rPr>
      </w:pPr>
      <w:r w:rsidRPr="008149B5">
        <w:rPr>
          <w:noProof/>
          <w:sz w:val="16"/>
          <w:szCs w:val="16"/>
          <w:lang w:eastAsia="hr-HR"/>
        </w:rPr>
        <w:drawing>
          <wp:inline distT="0" distB="0" distL="0" distR="0" wp14:anchorId="36E33AEF" wp14:editId="552994B6">
            <wp:extent cx="5535295" cy="2882153"/>
            <wp:effectExtent l="0" t="0" r="0" b="8255"/>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26A618" w14:textId="77777777" w:rsidR="004824D4" w:rsidRPr="004824D4" w:rsidRDefault="004824D4" w:rsidP="004824D4">
      <w:pPr>
        <w:contextualSpacing/>
        <w:jc w:val="center"/>
        <w:rPr>
          <w:i/>
          <w:sz w:val="20"/>
        </w:rPr>
      </w:pPr>
      <w:r w:rsidRPr="004824D4">
        <w:rPr>
          <w:i/>
          <w:sz w:val="20"/>
        </w:rPr>
        <w:t>Izvor: Ministarstvo financija i davatelji potpora; podaci obrađeni u Ministarstvu financija</w:t>
      </w:r>
    </w:p>
    <w:p w14:paraId="11B5FA50" w14:textId="77777777" w:rsidR="004824D4" w:rsidRPr="000A51B9" w:rsidRDefault="004824D4" w:rsidP="00BE487D">
      <w:pPr>
        <w:jc w:val="both"/>
      </w:pPr>
    </w:p>
    <w:p w14:paraId="4730E68C" w14:textId="44081CF1" w:rsidR="008C2D7C" w:rsidRPr="000A51B9" w:rsidRDefault="008C2D7C" w:rsidP="008C2D7C">
      <w:pPr>
        <w:jc w:val="both"/>
      </w:pPr>
      <w:r w:rsidRPr="000A51B9">
        <w:t>Sli</w:t>
      </w:r>
      <w:r w:rsidR="009F11CF" w:rsidRPr="000A51B9">
        <w:t>ka</w:t>
      </w:r>
      <w:r w:rsidRPr="000A51B9">
        <w:t xml:space="preserve"> </w:t>
      </w:r>
      <w:r w:rsidR="000A51B9" w:rsidRPr="000A51B9">
        <w:t>5</w:t>
      </w:r>
      <w:r w:rsidRPr="000A51B9">
        <w:t>. prikaz</w:t>
      </w:r>
      <w:r w:rsidR="009F11CF" w:rsidRPr="000A51B9">
        <w:t>uje</w:t>
      </w:r>
      <w:r w:rsidR="001704C3" w:rsidRPr="000A51B9">
        <w:t xml:space="preserve"> </w:t>
      </w:r>
      <w:r w:rsidRPr="000A51B9">
        <w:t>udio ukupno dodijeljenih potpora</w:t>
      </w:r>
      <w:r w:rsidR="001704C3" w:rsidRPr="000A51B9">
        <w:t xml:space="preserve"> </w:t>
      </w:r>
      <w:r w:rsidR="009F11CF" w:rsidRPr="000A51B9">
        <w:t xml:space="preserve">u postocima </w:t>
      </w:r>
      <w:r w:rsidR="001704C3" w:rsidRPr="000A51B9">
        <w:t>u razdoblju od 20</w:t>
      </w:r>
      <w:r w:rsidR="009F11CF" w:rsidRPr="000A51B9">
        <w:t>2</w:t>
      </w:r>
      <w:r w:rsidR="000A51B9" w:rsidRPr="000A51B9">
        <w:t>1</w:t>
      </w:r>
      <w:r w:rsidR="001704C3" w:rsidRPr="000A51B9">
        <w:t>. do 202</w:t>
      </w:r>
      <w:r w:rsidR="000A51B9" w:rsidRPr="000A51B9">
        <w:t>3</w:t>
      </w:r>
      <w:r w:rsidR="001704C3" w:rsidRPr="000A51B9">
        <w:t xml:space="preserve">. godine </w:t>
      </w:r>
      <w:r w:rsidRPr="000A51B9">
        <w:t>prema ins</w:t>
      </w:r>
      <w:r w:rsidR="001704C3" w:rsidRPr="000A51B9">
        <w:t>trumentima dodijele</w:t>
      </w:r>
      <w:r w:rsidRPr="000A51B9">
        <w:t xml:space="preserve">. </w:t>
      </w:r>
    </w:p>
    <w:p w14:paraId="3A096AF1" w14:textId="7D89BAF1" w:rsidR="008C2D7C" w:rsidRPr="000A51B9" w:rsidRDefault="008C2D7C" w:rsidP="00BE487D">
      <w:pPr>
        <w:jc w:val="both"/>
      </w:pPr>
    </w:p>
    <w:p w14:paraId="27D5B7EC" w14:textId="77777777" w:rsidR="0074548D" w:rsidRPr="000A51B9" w:rsidRDefault="0074548D" w:rsidP="00BE487D">
      <w:pPr>
        <w:jc w:val="both"/>
      </w:pPr>
    </w:p>
    <w:p w14:paraId="75CB7766" w14:textId="77777777" w:rsidR="00CC2841" w:rsidRPr="00592D98" w:rsidRDefault="00CC2841" w:rsidP="00BE487D">
      <w:pPr>
        <w:pStyle w:val="Heading4"/>
        <w:spacing w:before="0"/>
        <w:jc w:val="both"/>
        <w:rPr>
          <w:rFonts w:ascii="Times New Roman" w:hAnsi="Times New Roman" w:cs="Times New Roman"/>
          <w:b/>
          <w:color w:val="auto"/>
        </w:rPr>
      </w:pPr>
      <w:r w:rsidRPr="00592D98">
        <w:rPr>
          <w:rFonts w:ascii="Times New Roman" w:hAnsi="Times New Roman" w:cs="Times New Roman"/>
          <w:b/>
          <w:color w:val="auto"/>
        </w:rPr>
        <w:t>Državna jamstva kao instrument potpore</w:t>
      </w:r>
      <w:r w:rsidRPr="00592D98">
        <w:rPr>
          <w:rStyle w:val="FootnoteReference"/>
          <w:rFonts w:ascii="Times New Roman" w:hAnsi="Times New Roman" w:cs="Times New Roman"/>
          <w:b/>
          <w:color w:val="auto"/>
        </w:rPr>
        <w:footnoteReference w:id="19"/>
      </w:r>
    </w:p>
    <w:p w14:paraId="19B0726D" w14:textId="77777777" w:rsidR="00CC2841" w:rsidRPr="00592D98" w:rsidRDefault="00CC2841" w:rsidP="00BE487D">
      <w:pPr>
        <w:jc w:val="both"/>
      </w:pPr>
    </w:p>
    <w:p w14:paraId="21228881" w14:textId="77777777" w:rsidR="00FE2D9A" w:rsidRPr="00592D98" w:rsidRDefault="00FE2D9A" w:rsidP="00BE487D">
      <w:pPr>
        <w:jc w:val="both"/>
      </w:pPr>
    </w:p>
    <w:p w14:paraId="0FF947A1" w14:textId="6B02ACD0" w:rsidR="00FE2D9A" w:rsidRPr="007A4040" w:rsidRDefault="00791EC6" w:rsidP="00BE487D">
      <w:pPr>
        <w:jc w:val="both"/>
      </w:pPr>
      <w:r w:rsidRPr="007A4040">
        <w:t xml:space="preserve">Potpore dodijeljene u obliku izdanih jamstva u </w:t>
      </w:r>
      <w:r w:rsidR="009F11CF" w:rsidRPr="007A4040">
        <w:t>202</w:t>
      </w:r>
      <w:r w:rsidRPr="007A4040">
        <w:t>3</w:t>
      </w:r>
      <w:r w:rsidR="009F11CF" w:rsidRPr="007A4040">
        <w:t>. godin</w:t>
      </w:r>
      <w:r w:rsidRPr="007A4040">
        <w:t>i</w:t>
      </w:r>
      <w:r w:rsidR="009F11CF" w:rsidRPr="007A4040">
        <w:t xml:space="preserve"> </w:t>
      </w:r>
      <w:r w:rsidR="00E75EDA" w:rsidRPr="007A4040">
        <w:t xml:space="preserve">iznose </w:t>
      </w:r>
      <w:r w:rsidRPr="007A4040">
        <w:t>433,1</w:t>
      </w:r>
      <w:r w:rsidR="009F11CF" w:rsidRPr="007A4040">
        <w:t xml:space="preserve"> </w:t>
      </w:r>
      <w:r w:rsidR="00981801" w:rsidRPr="007A4040">
        <w:t xml:space="preserve">milijun </w:t>
      </w:r>
      <w:r w:rsidRPr="007A4040">
        <w:t>eura</w:t>
      </w:r>
      <w:r w:rsidR="00822E54" w:rsidRPr="007A4040">
        <w:t xml:space="preserve">, što je </w:t>
      </w:r>
      <w:r w:rsidRPr="007A4040">
        <w:t>povećanje</w:t>
      </w:r>
      <w:r w:rsidR="00822E54" w:rsidRPr="007A4040">
        <w:t xml:space="preserve"> za </w:t>
      </w:r>
      <w:r w:rsidRPr="007A4040">
        <w:t>163,3</w:t>
      </w:r>
      <w:r w:rsidR="00E75EDA" w:rsidRPr="007A4040">
        <w:t xml:space="preserve"> milijuna </w:t>
      </w:r>
      <w:r w:rsidRPr="007A4040">
        <w:t>eura</w:t>
      </w:r>
      <w:r w:rsidR="00E75EDA" w:rsidRPr="007A4040">
        <w:t xml:space="preserve"> </w:t>
      </w:r>
      <w:r w:rsidR="00E56F1F" w:rsidRPr="007A4040">
        <w:t xml:space="preserve">odnosno </w:t>
      </w:r>
      <w:r w:rsidR="00D43B49" w:rsidRPr="007A4040">
        <w:t xml:space="preserve">za </w:t>
      </w:r>
      <w:r w:rsidRPr="007A4040">
        <w:t>60,5</w:t>
      </w:r>
      <w:r w:rsidR="00FE2D9A" w:rsidRPr="007A4040">
        <w:t xml:space="preserve"> posto u odnosu na 20</w:t>
      </w:r>
      <w:r w:rsidR="00E56F1F" w:rsidRPr="007A4040">
        <w:t>2</w:t>
      </w:r>
      <w:r w:rsidRPr="007A4040">
        <w:t>2</w:t>
      </w:r>
      <w:r w:rsidR="00FE2D9A" w:rsidRPr="007A4040">
        <w:t xml:space="preserve">. godinu kada su navedene potpore </w:t>
      </w:r>
      <w:r w:rsidR="00E56F1F" w:rsidRPr="007A4040">
        <w:t xml:space="preserve">dodijeljene u iznosu od </w:t>
      </w:r>
      <w:r w:rsidRPr="007A4040">
        <w:t xml:space="preserve">269,8 </w:t>
      </w:r>
      <w:r w:rsidR="00FE2D9A" w:rsidRPr="007A4040">
        <w:t xml:space="preserve">milijuna </w:t>
      </w:r>
      <w:r w:rsidRPr="007A4040">
        <w:t>eura</w:t>
      </w:r>
      <w:r w:rsidR="00E56F1F" w:rsidRPr="007A4040">
        <w:t xml:space="preserve">, te </w:t>
      </w:r>
      <w:r w:rsidR="00822E54" w:rsidRPr="007A4040">
        <w:t>je</w:t>
      </w:r>
      <w:r w:rsidR="00E56F1F" w:rsidRPr="007A4040">
        <w:t xml:space="preserve"> povećanje za </w:t>
      </w:r>
      <w:r w:rsidRPr="007A4040">
        <w:t>75,9</w:t>
      </w:r>
      <w:r w:rsidR="00E56F1F" w:rsidRPr="007A4040">
        <w:t xml:space="preserve"> milijuna </w:t>
      </w:r>
      <w:r w:rsidRPr="007A4040">
        <w:t xml:space="preserve">eura </w:t>
      </w:r>
      <w:r w:rsidR="00E56F1F" w:rsidRPr="007A4040">
        <w:t xml:space="preserve">odnosno </w:t>
      </w:r>
      <w:r w:rsidR="00D43B49" w:rsidRPr="007A4040">
        <w:t xml:space="preserve">za </w:t>
      </w:r>
      <w:r w:rsidRPr="007A4040">
        <w:t>21,2</w:t>
      </w:r>
      <w:r w:rsidR="00E56F1F" w:rsidRPr="007A4040">
        <w:t xml:space="preserve"> posto u odnosu na 20</w:t>
      </w:r>
      <w:r w:rsidRPr="007A4040">
        <w:t>21.</w:t>
      </w:r>
      <w:r w:rsidR="00E56F1F" w:rsidRPr="007A4040">
        <w:t xml:space="preserve"> godinu kada su potpore </w:t>
      </w:r>
      <w:r w:rsidR="00E75EDA" w:rsidRPr="007A4040">
        <w:t xml:space="preserve">u obliku </w:t>
      </w:r>
      <w:r w:rsidRPr="007A4040">
        <w:t xml:space="preserve">izdanih </w:t>
      </w:r>
      <w:r w:rsidR="00E75EDA" w:rsidRPr="007A4040">
        <w:t xml:space="preserve">jamstva </w:t>
      </w:r>
      <w:r w:rsidR="00E56F1F" w:rsidRPr="007A4040">
        <w:t xml:space="preserve">dodijeljene u iznosu od </w:t>
      </w:r>
      <w:r w:rsidRPr="007A4040">
        <w:t>357,2</w:t>
      </w:r>
      <w:r w:rsidR="00A1201A" w:rsidRPr="007A4040">
        <w:t xml:space="preserve"> </w:t>
      </w:r>
      <w:r w:rsidR="00E56F1F" w:rsidRPr="007A4040">
        <w:t>milijun</w:t>
      </w:r>
      <w:r w:rsidR="00A1201A" w:rsidRPr="007A4040">
        <w:t>a</w:t>
      </w:r>
      <w:r w:rsidR="00E56F1F" w:rsidRPr="007A4040">
        <w:t xml:space="preserve"> </w:t>
      </w:r>
      <w:r w:rsidRPr="007A4040">
        <w:t>eura</w:t>
      </w:r>
      <w:r w:rsidR="00E56F1F" w:rsidRPr="007A4040">
        <w:t>.</w:t>
      </w:r>
      <w:r w:rsidR="006A6F4B" w:rsidRPr="007A4040">
        <w:t xml:space="preserve"> </w:t>
      </w:r>
    </w:p>
    <w:p w14:paraId="202B2C3F" w14:textId="77777777" w:rsidR="00791EC6" w:rsidRPr="007A4040" w:rsidRDefault="00791EC6" w:rsidP="00BE487D">
      <w:pPr>
        <w:jc w:val="both"/>
      </w:pPr>
    </w:p>
    <w:p w14:paraId="5A7F6022" w14:textId="180AF2B8" w:rsidR="00791EC6" w:rsidRPr="007A4040" w:rsidRDefault="00791EC6" w:rsidP="00BE487D">
      <w:pPr>
        <w:jc w:val="both"/>
      </w:pPr>
      <w:r w:rsidRPr="007A4040">
        <w:t>Udio dodijeljenih potpora u obliku jamstva u BDP-u u 2023. godini iznosio je 14,3 posto.</w:t>
      </w:r>
    </w:p>
    <w:p w14:paraId="61078AA2" w14:textId="77777777" w:rsidR="00791EC6" w:rsidRPr="007A4040" w:rsidRDefault="00791EC6" w:rsidP="00BE487D">
      <w:pPr>
        <w:jc w:val="both"/>
      </w:pPr>
    </w:p>
    <w:p w14:paraId="749684AA" w14:textId="13672C76" w:rsidR="004F3FDC" w:rsidRPr="007A4040" w:rsidRDefault="004F3FDC" w:rsidP="00BE487D">
      <w:pPr>
        <w:jc w:val="both"/>
        <w:rPr>
          <w:rFonts w:eastAsia="Times New Roman"/>
          <w:lang w:eastAsia="hr-HR"/>
        </w:rPr>
      </w:pPr>
      <w:r w:rsidRPr="007A4040">
        <w:t>U 2023. godini d</w:t>
      </w:r>
      <w:r w:rsidR="006A6F4B" w:rsidRPr="007A4040">
        <w:t>avatelji potpora</w:t>
      </w:r>
      <w:r w:rsidR="00D268B5" w:rsidRPr="007A4040">
        <w:t xml:space="preserve"> </w:t>
      </w:r>
      <w:r w:rsidR="00A1201A" w:rsidRPr="007A4040">
        <w:t>putem izdanih jamstava</w:t>
      </w:r>
      <w:r w:rsidRPr="007A4040">
        <w:t xml:space="preserve">, koja su dodijeljena </w:t>
      </w:r>
      <w:r w:rsidR="00FE2D9A" w:rsidRPr="007A4040">
        <w:t xml:space="preserve">u iznosu od </w:t>
      </w:r>
      <w:r w:rsidRPr="007A4040">
        <w:t xml:space="preserve">433,1 milijun eura </w:t>
      </w:r>
      <w:r w:rsidR="00FE2D9A" w:rsidRPr="007A4040">
        <w:t xml:space="preserve">su: </w:t>
      </w:r>
      <w:r w:rsidR="00D268B5" w:rsidRPr="007A4040">
        <w:t xml:space="preserve">Hrvatska banka za obnovu i razvitak (u daljnjem tekstu: HBOR) u iznosu od </w:t>
      </w:r>
      <w:r w:rsidRPr="007A4040">
        <w:t xml:space="preserve">392,6 </w:t>
      </w:r>
      <w:r w:rsidR="00D268B5" w:rsidRPr="007A4040">
        <w:rPr>
          <w:rFonts w:eastAsia="Times New Roman"/>
          <w:lang w:eastAsia="hr-HR"/>
        </w:rPr>
        <w:t xml:space="preserve">milijuna </w:t>
      </w:r>
      <w:r w:rsidRPr="007A4040">
        <w:rPr>
          <w:rFonts w:eastAsia="Times New Roman"/>
          <w:lang w:eastAsia="hr-HR"/>
        </w:rPr>
        <w:t>eura</w:t>
      </w:r>
      <w:r w:rsidR="00D268B5" w:rsidRPr="007A4040">
        <w:rPr>
          <w:rFonts w:eastAsia="Times New Roman"/>
          <w:lang w:eastAsia="hr-HR"/>
        </w:rPr>
        <w:t xml:space="preserve">, </w:t>
      </w:r>
      <w:r w:rsidR="002B3E74" w:rsidRPr="007A4040">
        <w:t>Ministarstvo gospodarstva i održivog razvoja</w:t>
      </w:r>
      <w:r w:rsidR="00D268B5" w:rsidRPr="007A4040">
        <w:t xml:space="preserve"> </w:t>
      </w:r>
      <w:r w:rsidR="00FE2D9A" w:rsidRPr="007A4040">
        <w:t xml:space="preserve">u iznosu od </w:t>
      </w:r>
      <w:r w:rsidRPr="007A4040">
        <w:t>38,5</w:t>
      </w:r>
      <w:r w:rsidR="008A4EE2" w:rsidRPr="007A4040">
        <w:t xml:space="preserve"> </w:t>
      </w:r>
      <w:r w:rsidR="00FE2D9A" w:rsidRPr="007A4040">
        <w:rPr>
          <w:rFonts w:eastAsia="Times New Roman"/>
          <w:lang w:eastAsia="hr-HR"/>
        </w:rPr>
        <w:t>milijun</w:t>
      </w:r>
      <w:r w:rsidRPr="007A4040">
        <w:rPr>
          <w:rFonts w:eastAsia="Times New Roman"/>
          <w:lang w:eastAsia="hr-HR"/>
        </w:rPr>
        <w:t>a</w:t>
      </w:r>
      <w:r w:rsidR="00FE2D9A" w:rsidRPr="007A4040">
        <w:rPr>
          <w:rFonts w:eastAsia="Times New Roman"/>
          <w:lang w:eastAsia="hr-HR"/>
        </w:rPr>
        <w:t xml:space="preserve"> </w:t>
      </w:r>
      <w:r w:rsidRPr="007A4040">
        <w:rPr>
          <w:rFonts w:eastAsia="Times New Roman"/>
          <w:lang w:eastAsia="hr-HR"/>
        </w:rPr>
        <w:t>eura te</w:t>
      </w:r>
      <w:r w:rsidR="00FE2D9A" w:rsidRPr="007A4040">
        <w:rPr>
          <w:rFonts w:eastAsia="Times New Roman"/>
          <w:lang w:eastAsia="hr-HR"/>
        </w:rPr>
        <w:t xml:space="preserve"> </w:t>
      </w:r>
      <w:r w:rsidR="00263243" w:rsidRPr="007A4040">
        <w:t xml:space="preserve">Hrvatska agencija za malo gospodarstvo, inovacije i investicije </w:t>
      </w:r>
      <w:r w:rsidR="00D93481">
        <w:t>(</w:t>
      </w:r>
      <w:r w:rsidR="00D93481" w:rsidRPr="007A4040">
        <w:t>HAMAG</w:t>
      </w:r>
      <w:r w:rsidR="00D93481">
        <w:t xml:space="preserve"> – </w:t>
      </w:r>
      <w:r w:rsidR="00D93481" w:rsidRPr="007A4040">
        <w:t>BICRO</w:t>
      </w:r>
      <w:r w:rsidR="00D93481">
        <w:t xml:space="preserve">) </w:t>
      </w:r>
      <w:r w:rsidR="00263243" w:rsidRPr="007A4040">
        <w:t>(u daljnjem tekstu: HAMAG</w:t>
      </w:r>
      <w:r w:rsidR="005B3CF0">
        <w:t xml:space="preserve"> – </w:t>
      </w:r>
      <w:r w:rsidR="00263243" w:rsidRPr="007A4040">
        <w:t>BICRO)</w:t>
      </w:r>
      <w:r w:rsidR="00FE2D9A" w:rsidRPr="007A4040">
        <w:t xml:space="preserve"> u iznosu od </w:t>
      </w:r>
      <w:r w:rsidRPr="007A4040">
        <w:t>2</w:t>
      </w:r>
      <w:r w:rsidR="00D268B5" w:rsidRPr="007A4040">
        <w:t xml:space="preserve"> milijun</w:t>
      </w:r>
      <w:r w:rsidR="008A4EE2" w:rsidRPr="007A4040">
        <w:t>a</w:t>
      </w:r>
      <w:r w:rsidR="00FE2D9A" w:rsidRPr="007A4040">
        <w:t xml:space="preserve"> </w:t>
      </w:r>
      <w:r w:rsidRPr="007A4040">
        <w:rPr>
          <w:rFonts w:eastAsia="Times New Roman"/>
          <w:lang w:eastAsia="hr-HR"/>
        </w:rPr>
        <w:t>eura.</w:t>
      </w:r>
    </w:p>
    <w:p w14:paraId="0B511030" w14:textId="77777777" w:rsidR="00847F54" w:rsidRPr="007A4040" w:rsidRDefault="00847F54" w:rsidP="00BE487D">
      <w:pPr>
        <w:jc w:val="both"/>
        <w:rPr>
          <w:rFonts w:eastAsia="Times New Roman"/>
          <w:lang w:eastAsia="hr-HR"/>
        </w:rPr>
      </w:pPr>
    </w:p>
    <w:p w14:paraId="76DA24C7" w14:textId="6D2891AA" w:rsidR="00117DD1" w:rsidRPr="007A4040" w:rsidRDefault="0063713A" w:rsidP="00117DD1">
      <w:pPr>
        <w:jc w:val="both"/>
        <w:rPr>
          <w:spacing w:val="-2"/>
        </w:rPr>
      </w:pPr>
      <w:r w:rsidRPr="00B9741D">
        <w:rPr>
          <w:spacing w:val="-2"/>
          <w:u w:val="single"/>
        </w:rPr>
        <w:t>HBOR</w:t>
      </w:r>
      <w:r w:rsidRPr="007A4040">
        <w:rPr>
          <w:spacing w:val="-2"/>
        </w:rPr>
        <w:t xml:space="preserve"> je </w:t>
      </w:r>
      <w:r w:rsidR="008A4EE2" w:rsidRPr="007A4040">
        <w:rPr>
          <w:spacing w:val="-2"/>
        </w:rPr>
        <w:t xml:space="preserve">dodijelio </w:t>
      </w:r>
      <w:r w:rsidRPr="007A4040">
        <w:rPr>
          <w:spacing w:val="-2"/>
        </w:rPr>
        <w:t>u 202</w:t>
      </w:r>
      <w:r w:rsidR="00117DD1" w:rsidRPr="007A4040">
        <w:rPr>
          <w:spacing w:val="-2"/>
        </w:rPr>
        <w:t>3</w:t>
      </w:r>
      <w:r w:rsidRPr="007A4040">
        <w:rPr>
          <w:spacing w:val="-2"/>
        </w:rPr>
        <w:t xml:space="preserve">. godini potpore putem izdanih jamstava u </w:t>
      </w:r>
      <w:r w:rsidR="00117DD1" w:rsidRPr="007A4040">
        <w:rPr>
          <w:spacing w:val="-2"/>
        </w:rPr>
        <w:t xml:space="preserve">ukupnom </w:t>
      </w:r>
      <w:r w:rsidRPr="007A4040">
        <w:rPr>
          <w:spacing w:val="-2"/>
        </w:rPr>
        <w:t xml:space="preserve">iznosu od </w:t>
      </w:r>
      <w:r w:rsidR="00117DD1" w:rsidRPr="007A4040">
        <w:rPr>
          <w:spacing w:val="-2"/>
        </w:rPr>
        <w:t>392,6</w:t>
      </w:r>
      <w:r w:rsidR="008A4EE2" w:rsidRPr="007A4040">
        <w:rPr>
          <w:spacing w:val="-2"/>
        </w:rPr>
        <w:t xml:space="preserve"> </w:t>
      </w:r>
      <w:r w:rsidRPr="007A4040">
        <w:rPr>
          <w:spacing w:val="-2"/>
        </w:rPr>
        <w:t xml:space="preserve">milijuna </w:t>
      </w:r>
      <w:r w:rsidR="00117DD1" w:rsidRPr="007A4040">
        <w:rPr>
          <w:spacing w:val="-2"/>
        </w:rPr>
        <w:t xml:space="preserve">eura. Za </w:t>
      </w:r>
      <w:r w:rsidRPr="007A4040">
        <w:rPr>
          <w:spacing w:val="-2"/>
        </w:rPr>
        <w:t xml:space="preserve">otklanjanje ozbiljnih poteškoća u gospodarstvu kao podrška poduzetnicima u </w:t>
      </w:r>
      <w:proofErr w:type="spellStart"/>
      <w:r w:rsidRPr="007A4040">
        <w:rPr>
          <w:spacing w:val="-2"/>
        </w:rPr>
        <w:t>pandemiji</w:t>
      </w:r>
      <w:proofErr w:type="spellEnd"/>
      <w:r w:rsidRPr="007A4040">
        <w:rPr>
          <w:spacing w:val="-2"/>
        </w:rPr>
        <w:t xml:space="preserve"> COVID–19</w:t>
      </w:r>
      <w:r w:rsidR="008A5191" w:rsidRPr="007A4040">
        <w:rPr>
          <w:spacing w:val="-2"/>
        </w:rPr>
        <w:t xml:space="preserve"> i </w:t>
      </w:r>
      <w:r w:rsidR="008A5191" w:rsidRPr="007A4040">
        <w:rPr>
          <w:bCs/>
          <w:spacing w:val="-2"/>
        </w:rPr>
        <w:t>suzbijanja učinaka ruske agresije na Ukrajinu,</w:t>
      </w:r>
      <w:r w:rsidRPr="007A4040">
        <w:rPr>
          <w:spacing w:val="-2"/>
        </w:rPr>
        <w:t xml:space="preserve"> </w:t>
      </w:r>
      <w:r w:rsidR="00117DD1" w:rsidRPr="007A4040">
        <w:rPr>
          <w:spacing w:val="-2"/>
        </w:rPr>
        <w:t xml:space="preserve">dodijeljeno je 392,5 milijuna eura </w:t>
      </w:r>
      <w:r w:rsidRPr="007A4040">
        <w:rPr>
          <w:spacing w:val="-2"/>
        </w:rPr>
        <w:t xml:space="preserve">temeljem </w:t>
      </w:r>
      <w:r w:rsidR="00117DD1" w:rsidRPr="007A4040">
        <w:rPr>
          <w:spacing w:val="-2"/>
        </w:rPr>
        <w:t xml:space="preserve">Izmjene Programa pojedinačnog i </w:t>
      </w:r>
      <w:proofErr w:type="spellStart"/>
      <w:r w:rsidR="00117DD1" w:rsidRPr="007A4040">
        <w:rPr>
          <w:spacing w:val="-2"/>
        </w:rPr>
        <w:t>portfeljnog</w:t>
      </w:r>
      <w:proofErr w:type="spellEnd"/>
      <w:r w:rsidR="00117DD1" w:rsidRPr="007A4040">
        <w:rPr>
          <w:spacing w:val="-2"/>
        </w:rPr>
        <w:t xml:space="preserve"> osiguranja kredita za likvidnost i ulaganja izvoznika usklađenog s drugim izmjenama Privremenog kriznog okvira za Ukrajinu – produljenje do kraja 2023.</w:t>
      </w:r>
      <w:r w:rsidR="00D93481">
        <w:rPr>
          <w:spacing w:val="-2"/>
        </w:rPr>
        <w:t xml:space="preserve"> godine</w:t>
      </w:r>
      <w:r w:rsidR="00117DD1" w:rsidRPr="007A4040">
        <w:rPr>
          <w:spacing w:val="-2"/>
        </w:rPr>
        <w:t xml:space="preserve">, te </w:t>
      </w:r>
      <w:r w:rsidRPr="007A4040">
        <w:rPr>
          <w:rFonts w:eastAsia="Times New Roman"/>
          <w:spacing w:val="-2"/>
          <w:lang w:eastAsia="hr-HR"/>
        </w:rPr>
        <w:t>koje</w:t>
      </w:r>
      <w:r w:rsidR="00FA32FA" w:rsidRPr="007A4040">
        <w:rPr>
          <w:rFonts w:eastAsia="Times New Roman"/>
          <w:spacing w:val="-2"/>
          <w:lang w:eastAsia="hr-HR"/>
        </w:rPr>
        <w:t>g</w:t>
      </w:r>
      <w:r w:rsidRPr="007A4040">
        <w:rPr>
          <w:rFonts w:eastAsia="Times New Roman"/>
          <w:spacing w:val="-2"/>
          <w:lang w:eastAsia="hr-HR"/>
        </w:rPr>
        <w:t xml:space="preserve"> je Europska komisija odobrila pod brojem </w:t>
      </w:r>
      <w:r w:rsidR="00117DD1" w:rsidRPr="007A4040">
        <w:rPr>
          <w:spacing w:val="-2"/>
        </w:rPr>
        <w:t xml:space="preserve">SA.105227. Za </w:t>
      </w:r>
      <w:r w:rsidR="00B53058" w:rsidRPr="007A4040">
        <w:rPr>
          <w:spacing w:val="-2"/>
        </w:rPr>
        <w:t>regionalni</w:t>
      </w:r>
      <w:r w:rsidR="00117DD1" w:rsidRPr="007A4040">
        <w:rPr>
          <w:spacing w:val="-2"/>
        </w:rPr>
        <w:t xml:space="preserve"> razvoj, HBOR je izdao jamstava u iznosu od 111.568,40 eura temeljem Programa dodjele državnih potpora HBOR-a - dopune zbog uvođenja jamstva kao instrumenta, o kojem je Europska komisija oba</w:t>
      </w:r>
      <w:r w:rsidR="00FB7E5B">
        <w:rPr>
          <w:spacing w:val="-2"/>
        </w:rPr>
        <w:t>viještena pod brojem SA.109743.</w:t>
      </w:r>
    </w:p>
    <w:p w14:paraId="4C4C0DE6" w14:textId="6605ECA0" w:rsidR="004F3FDC" w:rsidRPr="007A4040" w:rsidRDefault="004F3FDC" w:rsidP="004F3FDC">
      <w:pPr>
        <w:jc w:val="both"/>
        <w:rPr>
          <w:rFonts w:eastAsia="Times New Roman"/>
          <w:highlight w:val="red"/>
          <w:lang w:eastAsia="hr-HR"/>
        </w:rPr>
      </w:pPr>
    </w:p>
    <w:p w14:paraId="2E0E7454" w14:textId="303326EC" w:rsidR="00FC044B" w:rsidRPr="007A4040" w:rsidRDefault="004F1692" w:rsidP="004F1692">
      <w:pPr>
        <w:jc w:val="both"/>
      </w:pPr>
      <w:r w:rsidRPr="00B9741D">
        <w:rPr>
          <w:u w:val="single"/>
        </w:rPr>
        <w:t>Ministarstvo gospodarstva i održivog razvoja</w:t>
      </w:r>
      <w:r w:rsidRPr="007A4040">
        <w:t xml:space="preserve"> </w:t>
      </w:r>
      <w:r w:rsidR="00FC044B" w:rsidRPr="007A4040">
        <w:t xml:space="preserve">dodijelilo </w:t>
      </w:r>
      <w:r w:rsidRPr="007A4040">
        <w:t>je u 202</w:t>
      </w:r>
      <w:r w:rsidR="00B53058" w:rsidRPr="007A4040">
        <w:t>3</w:t>
      </w:r>
      <w:r w:rsidRPr="007A4040">
        <w:t xml:space="preserve">. godini potpore putem izdanih jamstava </w:t>
      </w:r>
      <w:r w:rsidR="00B53058" w:rsidRPr="007A4040">
        <w:t>u ukupnom iznosu od 38,5</w:t>
      </w:r>
      <w:r w:rsidR="00073A9F" w:rsidRPr="007A4040">
        <w:t xml:space="preserve"> </w:t>
      </w:r>
      <w:r w:rsidRPr="007A4040">
        <w:t>milijun</w:t>
      </w:r>
      <w:r w:rsidR="00B53058" w:rsidRPr="007A4040">
        <w:t xml:space="preserve">a eura. Potpore u sektoru brodogradnje za razne programe dodijeljene su u iznosu od 29,5 milijuna eura dok je za Restrukturiranje trgovačkog društva "Đuro Đaković d.d." izdano 9 milijuna eura jamstava, koje je </w:t>
      </w:r>
      <w:r w:rsidR="00B53058" w:rsidRPr="007A4040">
        <w:rPr>
          <w:rFonts w:eastAsia="Times New Roman"/>
          <w:lang w:eastAsia="hr-HR"/>
        </w:rPr>
        <w:t xml:space="preserve">Europska komisija odobrila pod brojem </w:t>
      </w:r>
      <w:r w:rsidR="00B53058" w:rsidRPr="007A4040">
        <w:t>SA.58248.</w:t>
      </w:r>
    </w:p>
    <w:p w14:paraId="69FB0006" w14:textId="4D864E4D" w:rsidR="00B53058" w:rsidRDefault="00B53058" w:rsidP="004F1692">
      <w:pPr>
        <w:jc w:val="both"/>
        <w:rPr>
          <w:spacing w:val="-2"/>
        </w:rPr>
      </w:pPr>
    </w:p>
    <w:p w14:paraId="19A5B088" w14:textId="01DEC4C8" w:rsidR="0063713A" w:rsidRPr="00FB7E5B" w:rsidRDefault="0063713A" w:rsidP="0063713A">
      <w:pPr>
        <w:jc w:val="both"/>
      </w:pPr>
      <w:r w:rsidRPr="00B9741D">
        <w:rPr>
          <w:u w:val="single"/>
        </w:rPr>
        <w:t>HAMAG</w:t>
      </w:r>
      <w:r w:rsidR="005B3CF0">
        <w:rPr>
          <w:u w:val="single"/>
        </w:rPr>
        <w:t xml:space="preserve"> – </w:t>
      </w:r>
      <w:r w:rsidRPr="00B9741D">
        <w:rPr>
          <w:u w:val="single"/>
        </w:rPr>
        <w:t>BICRO</w:t>
      </w:r>
      <w:r w:rsidRPr="00FB7E5B">
        <w:t xml:space="preserve"> </w:t>
      </w:r>
      <w:r w:rsidR="00592F1B" w:rsidRPr="00FB7E5B">
        <w:t xml:space="preserve">dodijelio </w:t>
      </w:r>
      <w:r w:rsidRPr="00FB7E5B">
        <w:t>je u 202</w:t>
      </w:r>
      <w:r w:rsidR="00117DD1" w:rsidRPr="00FB7E5B">
        <w:t>3</w:t>
      </w:r>
      <w:r w:rsidRPr="00FB7E5B">
        <w:t xml:space="preserve">. godini potpore putem izdanih jamstava u iznosu od </w:t>
      </w:r>
      <w:r w:rsidR="00117DD1" w:rsidRPr="00FB7E5B">
        <w:rPr>
          <w:rFonts w:eastAsia="Times New Roman"/>
          <w:lang w:eastAsia="hr-HR"/>
        </w:rPr>
        <w:t>2</w:t>
      </w:r>
      <w:r w:rsidRPr="00FB7E5B">
        <w:rPr>
          <w:rFonts w:eastAsia="Times New Roman"/>
          <w:lang w:eastAsia="hr-HR"/>
        </w:rPr>
        <w:t xml:space="preserve"> </w:t>
      </w:r>
      <w:r w:rsidRPr="00FB7E5B">
        <w:t>milijun</w:t>
      </w:r>
      <w:r w:rsidR="00592F1B" w:rsidRPr="00FB7E5B">
        <w:t>a</w:t>
      </w:r>
      <w:r w:rsidRPr="00FB7E5B">
        <w:t xml:space="preserve"> </w:t>
      </w:r>
      <w:r w:rsidR="00117DD1" w:rsidRPr="00FB7E5B">
        <w:t>eura</w:t>
      </w:r>
      <w:r w:rsidRPr="00FB7E5B">
        <w:t xml:space="preserve"> malim i srednjim poduzetnicima temeljem Programa dodjele državnih potpora Hrvatske agencije za malo gospodarstvo, inovacije i investicije</w:t>
      </w:r>
      <w:r w:rsidR="00117DD1" w:rsidRPr="00FB7E5B">
        <w:t xml:space="preserve"> – izmjeni programa</w:t>
      </w:r>
      <w:r w:rsidRPr="00FB7E5B">
        <w:t>, o kojem je Europska komisija ob</w:t>
      </w:r>
      <w:r w:rsidR="00FB7E5B" w:rsidRPr="00FB7E5B">
        <w:t>aviještena pod brojem SA.60617</w:t>
      </w:r>
      <w:r w:rsidRPr="00FB7E5B">
        <w:t>.</w:t>
      </w:r>
    </w:p>
    <w:p w14:paraId="0472197E" w14:textId="77777777" w:rsidR="008A4EE2" w:rsidRPr="00FB7E5B" w:rsidRDefault="008A4EE2" w:rsidP="00BE487D"/>
    <w:p w14:paraId="29780BC7" w14:textId="77777777" w:rsidR="00DB0C30" w:rsidRPr="00FB7E5B" w:rsidRDefault="00DB0C30" w:rsidP="00DB0C30">
      <w:pPr>
        <w:jc w:val="both"/>
      </w:pPr>
    </w:p>
    <w:p w14:paraId="7D6893AD" w14:textId="77777777" w:rsidR="00CC2841" w:rsidRPr="008149B5" w:rsidRDefault="00CC2841" w:rsidP="00BE487D">
      <w:pPr>
        <w:jc w:val="both"/>
        <w:rPr>
          <w:b/>
          <w:highlight w:val="red"/>
        </w:rPr>
      </w:pPr>
      <w:r w:rsidRPr="008149B5">
        <w:rPr>
          <w:b/>
          <w:highlight w:val="red"/>
        </w:rPr>
        <w:br w:type="page"/>
      </w:r>
    </w:p>
    <w:p w14:paraId="2FF65181" w14:textId="4B6E287F" w:rsidR="00BE0817" w:rsidRPr="00D818D2" w:rsidRDefault="00CC2841" w:rsidP="00BE487D">
      <w:pPr>
        <w:pStyle w:val="Heading1"/>
        <w:numPr>
          <w:ilvl w:val="0"/>
          <w:numId w:val="1"/>
        </w:numPr>
        <w:spacing w:before="0"/>
        <w:jc w:val="both"/>
        <w:rPr>
          <w:rFonts w:ascii="Times New Roman" w:hAnsi="Times New Roman" w:cs="Times New Roman"/>
          <w:b/>
          <w:color w:val="auto"/>
          <w:sz w:val="24"/>
          <w:szCs w:val="24"/>
        </w:rPr>
      </w:pPr>
      <w:bookmarkStart w:id="9" w:name="_Toc184635840"/>
      <w:r w:rsidRPr="00D818D2">
        <w:rPr>
          <w:rFonts w:ascii="Times New Roman" w:hAnsi="Times New Roman" w:cs="Times New Roman"/>
          <w:b/>
          <w:color w:val="auto"/>
          <w:sz w:val="24"/>
          <w:szCs w:val="24"/>
        </w:rPr>
        <w:lastRenderedPageBreak/>
        <w:t xml:space="preserve">POTPORE </w:t>
      </w:r>
      <w:r w:rsidR="00B20C9B" w:rsidRPr="00D818D2">
        <w:rPr>
          <w:rFonts w:ascii="Times New Roman" w:hAnsi="Times New Roman" w:cs="Times New Roman"/>
          <w:b/>
          <w:color w:val="auto"/>
          <w:sz w:val="24"/>
          <w:szCs w:val="24"/>
        </w:rPr>
        <w:t xml:space="preserve">U </w:t>
      </w:r>
      <w:r w:rsidRPr="00D818D2">
        <w:rPr>
          <w:rFonts w:ascii="Times New Roman" w:hAnsi="Times New Roman" w:cs="Times New Roman"/>
          <w:b/>
          <w:color w:val="auto"/>
          <w:sz w:val="24"/>
          <w:szCs w:val="24"/>
        </w:rPr>
        <w:t>POLJOPRIVREDI I RIBARSTVU</w:t>
      </w:r>
      <w:bookmarkEnd w:id="9"/>
    </w:p>
    <w:p w14:paraId="17A18CDF" w14:textId="77777777" w:rsidR="00BE0817" w:rsidRPr="00D818D2" w:rsidRDefault="00BE0817" w:rsidP="00BE487D">
      <w:pPr>
        <w:jc w:val="both"/>
        <w:rPr>
          <w:b/>
        </w:rPr>
      </w:pPr>
    </w:p>
    <w:p w14:paraId="2BA5F3AC" w14:textId="77777777" w:rsidR="00CC2841" w:rsidRPr="00D818D2" w:rsidRDefault="00CC2841" w:rsidP="00BE487D">
      <w:pPr>
        <w:jc w:val="both"/>
        <w:rPr>
          <w:b/>
        </w:rPr>
      </w:pPr>
    </w:p>
    <w:p w14:paraId="1881CADA" w14:textId="492372FA" w:rsidR="006842B8" w:rsidRPr="00B53058" w:rsidRDefault="00B53058" w:rsidP="00BE487D">
      <w:pPr>
        <w:jc w:val="both"/>
      </w:pPr>
      <w:r w:rsidRPr="00B53058">
        <w:t>U 2023. godini p</w:t>
      </w:r>
      <w:r w:rsidR="00FE0491" w:rsidRPr="00B53058">
        <w:t xml:space="preserve">otpore u sektoru poljoprivrede i ribarstva dodijeljene su u </w:t>
      </w:r>
      <w:r w:rsidR="006842B8" w:rsidRPr="00B53058">
        <w:t xml:space="preserve">iznosu od </w:t>
      </w:r>
      <w:r w:rsidRPr="00B53058">
        <w:t xml:space="preserve">1.068 </w:t>
      </w:r>
      <w:r w:rsidR="006842B8" w:rsidRPr="00B53058">
        <w:t xml:space="preserve">milijuna </w:t>
      </w:r>
      <w:r w:rsidRPr="00B53058">
        <w:t>eura</w:t>
      </w:r>
      <w:r w:rsidR="006842B8" w:rsidRPr="00B53058">
        <w:t xml:space="preserve">, što </w:t>
      </w:r>
      <w:r w:rsidR="00FE0491" w:rsidRPr="00B53058">
        <w:t>je</w:t>
      </w:r>
      <w:r w:rsidR="008F221A" w:rsidRPr="00B53058">
        <w:t xml:space="preserve"> </w:t>
      </w:r>
      <w:r w:rsidRPr="00B53058">
        <w:t>povećanje</w:t>
      </w:r>
      <w:r w:rsidR="008F221A" w:rsidRPr="00B53058">
        <w:t xml:space="preserve"> </w:t>
      </w:r>
      <w:r w:rsidR="006842B8" w:rsidRPr="00B53058">
        <w:t xml:space="preserve">za </w:t>
      </w:r>
      <w:r w:rsidRPr="00B53058">
        <w:t>94,7</w:t>
      </w:r>
      <w:r w:rsidR="00FE0491" w:rsidRPr="00B53058">
        <w:t xml:space="preserve"> </w:t>
      </w:r>
      <w:r w:rsidR="006842B8" w:rsidRPr="00B53058">
        <w:t xml:space="preserve">milijuna </w:t>
      </w:r>
      <w:r w:rsidRPr="00B53058">
        <w:t xml:space="preserve">eura </w:t>
      </w:r>
      <w:r w:rsidR="006842B8" w:rsidRPr="00B53058">
        <w:t xml:space="preserve">ili </w:t>
      </w:r>
      <w:r w:rsidR="00D43B49" w:rsidRPr="00B53058">
        <w:t xml:space="preserve">za </w:t>
      </w:r>
      <w:r w:rsidRPr="00B53058">
        <w:rPr>
          <w:rFonts w:eastAsia="Times New Roman"/>
        </w:rPr>
        <w:t>9,7</w:t>
      </w:r>
      <w:r w:rsidR="006842B8" w:rsidRPr="00B53058">
        <w:rPr>
          <w:rFonts w:eastAsia="Times New Roman"/>
        </w:rPr>
        <w:t xml:space="preserve"> </w:t>
      </w:r>
      <w:r w:rsidR="006842B8" w:rsidRPr="00B53058">
        <w:t>posto u odnosu na 20</w:t>
      </w:r>
      <w:r w:rsidR="008F221A" w:rsidRPr="00B53058">
        <w:t>2</w:t>
      </w:r>
      <w:r w:rsidRPr="00B53058">
        <w:t>2</w:t>
      </w:r>
      <w:r w:rsidR="006842B8" w:rsidRPr="00B53058">
        <w:t xml:space="preserve">. godinu </w:t>
      </w:r>
      <w:r w:rsidR="008F221A" w:rsidRPr="00B53058">
        <w:t xml:space="preserve">kada su </w:t>
      </w:r>
      <w:r w:rsidRPr="00B53058">
        <w:t xml:space="preserve">navedene </w:t>
      </w:r>
      <w:r w:rsidR="008F221A" w:rsidRPr="00B53058">
        <w:t xml:space="preserve">potpore dodijeljene u iznosu od </w:t>
      </w:r>
      <w:r w:rsidRPr="00B53058">
        <w:t>973,3</w:t>
      </w:r>
      <w:r w:rsidR="00FE0491" w:rsidRPr="00B53058">
        <w:t xml:space="preserve"> </w:t>
      </w:r>
      <w:r w:rsidR="006842B8" w:rsidRPr="00B53058">
        <w:t>milijun</w:t>
      </w:r>
      <w:r w:rsidR="008F221A" w:rsidRPr="00B53058">
        <w:t>a</w:t>
      </w:r>
      <w:r w:rsidR="006842B8" w:rsidRPr="00B53058">
        <w:t xml:space="preserve"> </w:t>
      </w:r>
      <w:r w:rsidRPr="00B53058">
        <w:t>eura</w:t>
      </w:r>
      <w:r w:rsidR="006842B8" w:rsidRPr="00B53058">
        <w:t xml:space="preserve">, </w:t>
      </w:r>
      <w:r w:rsidR="008F221A" w:rsidRPr="00B53058">
        <w:t>te</w:t>
      </w:r>
      <w:r w:rsidR="00B83238" w:rsidRPr="00B53058">
        <w:t xml:space="preserve"> </w:t>
      </w:r>
      <w:r w:rsidR="00FE0491" w:rsidRPr="00B53058">
        <w:t>je</w:t>
      </w:r>
      <w:r w:rsidR="006842B8" w:rsidRPr="00B53058">
        <w:t xml:space="preserve"> </w:t>
      </w:r>
      <w:r w:rsidRPr="00B53058">
        <w:t>povećanje</w:t>
      </w:r>
      <w:r w:rsidR="00FE0491" w:rsidRPr="00B53058">
        <w:t xml:space="preserve"> z</w:t>
      </w:r>
      <w:r w:rsidR="006842B8" w:rsidRPr="00B53058">
        <w:t xml:space="preserve">a </w:t>
      </w:r>
      <w:r w:rsidRPr="00B53058">
        <w:t xml:space="preserve">62,6 </w:t>
      </w:r>
      <w:r w:rsidR="006842B8" w:rsidRPr="00B53058">
        <w:t xml:space="preserve">milijuna </w:t>
      </w:r>
      <w:r w:rsidRPr="00B53058">
        <w:t xml:space="preserve">eura </w:t>
      </w:r>
      <w:r w:rsidR="006842B8" w:rsidRPr="00B53058">
        <w:t xml:space="preserve">ili </w:t>
      </w:r>
      <w:r w:rsidR="00D43B49" w:rsidRPr="00B53058">
        <w:t xml:space="preserve">za </w:t>
      </w:r>
      <w:r w:rsidRPr="00B53058">
        <w:rPr>
          <w:rFonts w:eastAsia="Times New Roman"/>
        </w:rPr>
        <w:t>6,2</w:t>
      </w:r>
      <w:r w:rsidR="006842B8" w:rsidRPr="00B53058">
        <w:rPr>
          <w:rFonts w:eastAsia="Times New Roman"/>
        </w:rPr>
        <w:t xml:space="preserve"> </w:t>
      </w:r>
      <w:r w:rsidR="006842B8" w:rsidRPr="00B53058">
        <w:t xml:space="preserve">posto u odnosu </w:t>
      </w:r>
      <w:r w:rsidR="008F221A" w:rsidRPr="00B53058">
        <w:t>na 20</w:t>
      </w:r>
      <w:r w:rsidR="00FE0491" w:rsidRPr="00B53058">
        <w:t>2</w:t>
      </w:r>
      <w:r w:rsidRPr="00B53058">
        <w:t>1</w:t>
      </w:r>
      <w:r w:rsidR="008F221A" w:rsidRPr="00B53058">
        <w:t>. godinu kada su potpore</w:t>
      </w:r>
      <w:r w:rsidRPr="00B53058">
        <w:t xml:space="preserve"> u sektoru poljoprivrede i ribarstva</w:t>
      </w:r>
      <w:r w:rsidR="008F221A" w:rsidRPr="00B53058">
        <w:t xml:space="preserve"> dodijeljene u iznosu od </w:t>
      </w:r>
      <w:r w:rsidRPr="00B53058">
        <w:t xml:space="preserve">1.005,4 </w:t>
      </w:r>
      <w:r w:rsidR="006842B8" w:rsidRPr="00B53058">
        <w:t>milijun</w:t>
      </w:r>
      <w:r w:rsidR="00FE0491" w:rsidRPr="00B53058">
        <w:t>a</w:t>
      </w:r>
      <w:r w:rsidR="006842B8" w:rsidRPr="00B53058">
        <w:t xml:space="preserve"> </w:t>
      </w:r>
      <w:r w:rsidRPr="00B53058">
        <w:t>eura</w:t>
      </w:r>
      <w:r w:rsidR="006842B8" w:rsidRPr="00B53058">
        <w:t>.</w:t>
      </w:r>
    </w:p>
    <w:p w14:paraId="6FFED003" w14:textId="022C7148" w:rsidR="00B53058" w:rsidRPr="00B53058" w:rsidRDefault="00B53058" w:rsidP="00BE487D">
      <w:pPr>
        <w:jc w:val="both"/>
      </w:pPr>
    </w:p>
    <w:p w14:paraId="01034598" w14:textId="2B99E1B3" w:rsidR="006842B8" w:rsidRPr="00C12460" w:rsidRDefault="006842B8" w:rsidP="00BE487D">
      <w:pPr>
        <w:jc w:val="both"/>
      </w:pPr>
      <w:r w:rsidRPr="00B9741D">
        <w:t xml:space="preserve">Tablica </w:t>
      </w:r>
      <w:r w:rsidR="00C12460" w:rsidRPr="00B9741D">
        <w:t>5</w:t>
      </w:r>
      <w:r w:rsidRPr="00B9741D">
        <w:t xml:space="preserve">. Ukupne potpore i potpore </w:t>
      </w:r>
      <w:r w:rsidR="00071039" w:rsidRPr="00B9741D">
        <w:t xml:space="preserve">dodijeljene </w:t>
      </w:r>
      <w:r w:rsidR="00D818D2" w:rsidRPr="00B9741D">
        <w:t xml:space="preserve">u </w:t>
      </w:r>
      <w:r w:rsidRPr="00B9741D">
        <w:t xml:space="preserve">poljoprivredi i ribarstvu </w:t>
      </w:r>
      <w:r w:rsidR="00C04D37" w:rsidRPr="00B9741D">
        <w:t>u</w:t>
      </w:r>
      <w:r w:rsidRPr="00B9741D">
        <w:t xml:space="preserve"> razdoblj</w:t>
      </w:r>
      <w:r w:rsidR="00C04D37" w:rsidRPr="00B9741D">
        <w:t>u</w:t>
      </w:r>
      <w:r w:rsidRPr="00B9741D">
        <w:t xml:space="preserve"> od 20</w:t>
      </w:r>
      <w:r w:rsidR="0037799D" w:rsidRPr="00B9741D">
        <w:t>2</w:t>
      </w:r>
      <w:r w:rsidR="00C12460" w:rsidRPr="00B9741D">
        <w:t>1</w:t>
      </w:r>
      <w:r w:rsidRPr="00B9741D">
        <w:t>.</w:t>
      </w:r>
      <w:r w:rsidRPr="00C12460">
        <w:t xml:space="preserve"> do 202</w:t>
      </w:r>
      <w:r w:rsidR="00C12460">
        <w:t>3</w:t>
      </w:r>
      <w:r w:rsidRPr="00C12460">
        <w:t>. godine</w:t>
      </w:r>
    </w:p>
    <w:p w14:paraId="75918B2B" w14:textId="77777777" w:rsidR="006842B8" w:rsidRPr="00C12460" w:rsidRDefault="006842B8" w:rsidP="00BE487D">
      <w:pPr>
        <w:contextualSpacing/>
        <w:jc w:val="both"/>
        <w:rPr>
          <w:sz w:val="20"/>
        </w:rPr>
      </w:pPr>
    </w:p>
    <w:tbl>
      <w:tblPr>
        <w:tblW w:w="7366" w:type="dxa"/>
        <w:tblLayout w:type="fixed"/>
        <w:tblLook w:val="04A0" w:firstRow="1" w:lastRow="0" w:firstColumn="1" w:lastColumn="0" w:noHBand="0" w:noVBand="1"/>
      </w:tblPr>
      <w:tblGrid>
        <w:gridCol w:w="3222"/>
        <w:gridCol w:w="1309"/>
        <w:gridCol w:w="1418"/>
        <w:gridCol w:w="1417"/>
      </w:tblGrid>
      <w:tr w:rsidR="00D818D2" w:rsidRPr="00D818D2" w14:paraId="2F5C25C5" w14:textId="77777777" w:rsidTr="00D818D2">
        <w:trPr>
          <w:trHeight w:val="47"/>
        </w:trPr>
        <w:tc>
          <w:tcPr>
            <w:tcW w:w="3222"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B94DE3D" w14:textId="77777777" w:rsidR="00D818D2" w:rsidRPr="00D818D2" w:rsidRDefault="00D818D2" w:rsidP="00D818D2">
            <w:pPr>
              <w:jc w:val="both"/>
              <w:rPr>
                <w:b/>
                <w:bCs/>
                <w:sz w:val="20"/>
              </w:rPr>
            </w:pPr>
            <w:r w:rsidRPr="00D818D2">
              <w:rPr>
                <w:b/>
                <w:bCs/>
                <w:sz w:val="20"/>
              </w:rPr>
              <w:t>Poljoprivreda i ribarstvo</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14:paraId="491ECC03" w14:textId="3D1C7CDD" w:rsidR="00D818D2" w:rsidRPr="00D818D2" w:rsidRDefault="00D818D2" w:rsidP="00D818D2">
            <w:pPr>
              <w:jc w:val="center"/>
              <w:rPr>
                <w:rFonts w:eastAsia="Times New Roman"/>
                <w:b/>
                <w:bCs/>
                <w:sz w:val="20"/>
              </w:rPr>
            </w:pPr>
            <w:r w:rsidRPr="00D818D2">
              <w:rPr>
                <w:rFonts w:eastAsia="Times New Roman"/>
                <w:b/>
                <w:bCs/>
                <w:sz w:val="20"/>
                <w:szCs w:val="20"/>
                <w:lang w:eastAsia="hr-HR"/>
              </w:rPr>
              <w:t>2021.</w:t>
            </w:r>
          </w:p>
        </w:tc>
        <w:tc>
          <w:tcPr>
            <w:tcW w:w="1418" w:type="dxa"/>
            <w:tcBorders>
              <w:top w:val="single" w:sz="4" w:space="0" w:color="auto"/>
              <w:left w:val="nil"/>
              <w:bottom w:val="single" w:sz="4" w:space="0" w:color="auto"/>
              <w:right w:val="single" w:sz="4" w:space="0" w:color="auto"/>
            </w:tcBorders>
            <w:shd w:val="clear" w:color="000000" w:fill="FFFF99"/>
            <w:noWrap/>
            <w:vAlign w:val="center"/>
            <w:hideMark/>
          </w:tcPr>
          <w:p w14:paraId="3D8560B0" w14:textId="52984727" w:rsidR="00D818D2" w:rsidRPr="00D818D2" w:rsidRDefault="00D818D2" w:rsidP="00D818D2">
            <w:pPr>
              <w:jc w:val="center"/>
              <w:rPr>
                <w:rFonts w:eastAsia="Times New Roman"/>
                <w:b/>
                <w:bCs/>
                <w:sz w:val="20"/>
              </w:rPr>
            </w:pPr>
            <w:r w:rsidRPr="00D818D2">
              <w:rPr>
                <w:rFonts w:eastAsia="Times New Roman"/>
                <w:b/>
                <w:bCs/>
                <w:sz w:val="20"/>
                <w:szCs w:val="20"/>
                <w:lang w:eastAsia="hr-HR"/>
              </w:rPr>
              <w:t>2022.</w:t>
            </w:r>
          </w:p>
        </w:tc>
        <w:tc>
          <w:tcPr>
            <w:tcW w:w="1417" w:type="dxa"/>
            <w:tcBorders>
              <w:top w:val="single" w:sz="4" w:space="0" w:color="auto"/>
              <w:left w:val="nil"/>
              <w:bottom w:val="single" w:sz="4" w:space="0" w:color="auto"/>
              <w:right w:val="single" w:sz="4" w:space="0" w:color="auto"/>
            </w:tcBorders>
            <w:shd w:val="clear" w:color="000000" w:fill="FFFF99"/>
            <w:noWrap/>
            <w:vAlign w:val="center"/>
            <w:hideMark/>
          </w:tcPr>
          <w:p w14:paraId="40DB125C" w14:textId="77105DF4" w:rsidR="00D818D2" w:rsidRPr="00D818D2" w:rsidRDefault="00D818D2" w:rsidP="00D818D2">
            <w:pPr>
              <w:jc w:val="center"/>
              <w:rPr>
                <w:rFonts w:eastAsia="Times New Roman"/>
                <w:b/>
                <w:bCs/>
                <w:sz w:val="20"/>
              </w:rPr>
            </w:pPr>
            <w:r w:rsidRPr="00D818D2">
              <w:rPr>
                <w:rFonts w:eastAsia="Times New Roman"/>
                <w:b/>
                <w:bCs/>
                <w:sz w:val="20"/>
                <w:szCs w:val="20"/>
                <w:lang w:eastAsia="hr-HR"/>
              </w:rPr>
              <w:t>2023.</w:t>
            </w:r>
          </w:p>
        </w:tc>
      </w:tr>
      <w:tr w:rsidR="00D818D2" w:rsidRPr="00D818D2" w14:paraId="0AC1AC3E" w14:textId="77777777" w:rsidTr="00D818D2">
        <w:trPr>
          <w:trHeight w:val="112"/>
        </w:trPr>
        <w:tc>
          <w:tcPr>
            <w:tcW w:w="3222" w:type="dxa"/>
            <w:vMerge/>
            <w:tcBorders>
              <w:top w:val="single" w:sz="4" w:space="0" w:color="auto"/>
              <w:left w:val="single" w:sz="4" w:space="0" w:color="auto"/>
              <w:bottom w:val="single" w:sz="4" w:space="0" w:color="auto"/>
              <w:right w:val="single" w:sz="4" w:space="0" w:color="auto"/>
            </w:tcBorders>
            <w:vAlign w:val="center"/>
            <w:hideMark/>
          </w:tcPr>
          <w:p w14:paraId="7D21C1F1" w14:textId="77777777" w:rsidR="00D818D2" w:rsidRPr="00D818D2" w:rsidRDefault="00D818D2" w:rsidP="00D818D2">
            <w:pPr>
              <w:jc w:val="both"/>
              <w:rPr>
                <w:b/>
                <w:bCs/>
                <w:sz w:val="20"/>
              </w:rPr>
            </w:pPr>
          </w:p>
        </w:tc>
        <w:tc>
          <w:tcPr>
            <w:tcW w:w="1309" w:type="dxa"/>
            <w:tcBorders>
              <w:top w:val="single" w:sz="4" w:space="0" w:color="auto"/>
              <w:left w:val="nil"/>
              <w:bottom w:val="single" w:sz="4" w:space="0" w:color="auto"/>
              <w:right w:val="single" w:sz="4" w:space="0" w:color="auto"/>
            </w:tcBorders>
            <w:shd w:val="clear" w:color="000000" w:fill="FFFF99"/>
            <w:vAlign w:val="center"/>
            <w:hideMark/>
          </w:tcPr>
          <w:p w14:paraId="53CD5747" w14:textId="7F0CA553" w:rsidR="00D818D2" w:rsidRPr="00D818D2" w:rsidRDefault="00D818D2" w:rsidP="00D818D2">
            <w:pPr>
              <w:jc w:val="center"/>
              <w:rPr>
                <w:b/>
                <w:bCs/>
                <w:sz w:val="18"/>
              </w:rPr>
            </w:pPr>
            <w:r w:rsidRPr="00D818D2">
              <w:rPr>
                <w:b/>
                <w:bCs/>
                <w:sz w:val="18"/>
              </w:rPr>
              <w:t xml:space="preserve">u </w:t>
            </w:r>
            <w:proofErr w:type="spellStart"/>
            <w:r w:rsidRPr="00D818D2">
              <w:rPr>
                <w:b/>
                <w:bCs/>
                <w:sz w:val="18"/>
              </w:rPr>
              <w:t>mln</w:t>
            </w:r>
            <w:proofErr w:type="spellEnd"/>
            <w:r w:rsidRPr="00D818D2">
              <w:rPr>
                <w:b/>
                <w:bCs/>
                <w:sz w:val="18"/>
              </w:rPr>
              <w:t xml:space="preserve"> EUR</w:t>
            </w:r>
          </w:p>
        </w:tc>
        <w:tc>
          <w:tcPr>
            <w:tcW w:w="1418" w:type="dxa"/>
            <w:tcBorders>
              <w:top w:val="single" w:sz="4" w:space="0" w:color="auto"/>
              <w:left w:val="nil"/>
              <w:bottom w:val="single" w:sz="4" w:space="0" w:color="auto"/>
              <w:right w:val="single" w:sz="4" w:space="0" w:color="auto"/>
            </w:tcBorders>
            <w:shd w:val="clear" w:color="000000" w:fill="FFFF99"/>
          </w:tcPr>
          <w:p w14:paraId="515A1701" w14:textId="2E71AF8D" w:rsidR="00D818D2" w:rsidRPr="00D818D2" w:rsidRDefault="00D818D2" w:rsidP="00D818D2">
            <w:pPr>
              <w:jc w:val="center"/>
              <w:rPr>
                <w:b/>
                <w:bCs/>
                <w:sz w:val="18"/>
              </w:rPr>
            </w:pPr>
            <w:r w:rsidRPr="00D818D2">
              <w:rPr>
                <w:b/>
                <w:bCs/>
                <w:sz w:val="18"/>
              </w:rPr>
              <w:t xml:space="preserve">u </w:t>
            </w:r>
            <w:proofErr w:type="spellStart"/>
            <w:r w:rsidRPr="00D818D2">
              <w:rPr>
                <w:b/>
                <w:bCs/>
                <w:sz w:val="18"/>
              </w:rPr>
              <w:t>mln</w:t>
            </w:r>
            <w:proofErr w:type="spellEnd"/>
            <w:r w:rsidRPr="00D818D2">
              <w:rPr>
                <w:b/>
                <w:bCs/>
                <w:sz w:val="18"/>
              </w:rPr>
              <w:t xml:space="preserve"> EUR</w:t>
            </w:r>
          </w:p>
        </w:tc>
        <w:tc>
          <w:tcPr>
            <w:tcW w:w="1417" w:type="dxa"/>
            <w:tcBorders>
              <w:top w:val="single" w:sz="4" w:space="0" w:color="auto"/>
              <w:left w:val="nil"/>
              <w:bottom w:val="single" w:sz="4" w:space="0" w:color="auto"/>
              <w:right w:val="single" w:sz="4" w:space="0" w:color="auto"/>
            </w:tcBorders>
            <w:shd w:val="clear" w:color="000000" w:fill="FFFF99"/>
          </w:tcPr>
          <w:p w14:paraId="68EA9777" w14:textId="742DDAE0" w:rsidR="00D818D2" w:rsidRPr="00D818D2" w:rsidRDefault="00D818D2" w:rsidP="00D818D2">
            <w:pPr>
              <w:jc w:val="center"/>
              <w:rPr>
                <w:b/>
                <w:bCs/>
                <w:sz w:val="18"/>
              </w:rPr>
            </w:pPr>
            <w:r w:rsidRPr="00D818D2">
              <w:rPr>
                <w:b/>
                <w:bCs/>
                <w:sz w:val="18"/>
              </w:rPr>
              <w:t xml:space="preserve">u </w:t>
            </w:r>
            <w:proofErr w:type="spellStart"/>
            <w:r w:rsidRPr="00D818D2">
              <w:rPr>
                <w:b/>
                <w:bCs/>
                <w:sz w:val="18"/>
              </w:rPr>
              <w:t>mln</w:t>
            </w:r>
            <w:proofErr w:type="spellEnd"/>
            <w:r w:rsidRPr="00D818D2">
              <w:rPr>
                <w:b/>
                <w:bCs/>
                <w:sz w:val="18"/>
              </w:rPr>
              <w:t xml:space="preserve"> EUR</w:t>
            </w:r>
          </w:p>
        </w:tc>
      </w:tr>
      <w:tr w:rsidR="00D818D2" w:rsidRPr="00D818D2" w14:paraId="11FD1D8F" w14:textId="77777777" w:rsidTr="00891D3A">
        <w:trPr>
          <w:trHeight w:val="50"/>
        </w:trPr>
        <w:tc>
          <w:tcPr>
            <w:tcW w:w="3222" w:type="dxa"/>
            <w:tcBorders>
              <w:top w:val="nil"/>
              <w:left w:val="single" w:sz="4" w:space="0" w:color="auto"/>
              <w:bottom w:val="single" w:sz="4" w:space="0" w:color="auto"/>
              <w:right w:val="single" w:sz="4" w:space="0" w:color="auto"/>
            </w:tcBorders>
            <w:shd w:val="clear" w:color="auto" w:fill="auto"/>
            <w:vAlign w:val="center"/>
            <w:hideMark/>
          </w:tcPr>
          <w:p w14:paraId="42F96B3D" w14:textId="77777777" w:rsidR="00D818D2" w:rsidRPr="00D818D2" w:rsidRDefault="00D818D2" w:rsidP="00D818D2">
            <w:pPr>
              <w:jc w:val="both"/>
              <w:rPr>
                <w:sz w:val="20"/>
              </w:rPr>
            </w:pPr>
            <w:r w:rsidRPr="00D818D2">
              <w:rPr>
                <w:sz w:val="20"/>
              </w:rPr>
              <w:t>Ukupne potpore</w:t>
            </w:r>
          </w:p>
        </w:tc>
        <w:tc>
          <w:tcPr>
            <w:tcW w:w="1309" w:type="dxa"/>
            <w:tcBorders>
              <w:top w:val="single" w:sz="4" w:space="0" w:color="auto"/>
              <w:left w:val="nil"/>
              <w:bottom w:val="single" w:sz="4" w:space="0" w:color="auto"/>
              <w:right w:val="single" w:sz="4" w:space="0" w:color="auto"/>
            </w:tcBorders>
            <w:shd w:val="clear" w:color="auto" w:fill="auto"/>
            <w:noWrap/>
            <w:hideMark/>
          </w:tcPr>
          <w:p w14:paraId="4497DA6A" w14:textId="2E1665CE"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2.939,7</w:t>
            </w:r>
          </w:p>
        </w:tc>
        <w:tc>
          <w:tcPr>
            <w:tcW w:w="1418" w:type="dxa"/>
            <w:tcBorders>
              <w:top w:val="single" w:sz="4" w:space="0" w:color="auto"/>
              <w:left w:val="nil"/>
              <w:bottom w:val="single" w:sz="4" w:space="0" w:color="auto"/>
              <w:right w:val="single" w:sz="4" w:space="0" w:color="auto"/>
            </w:tcBorders>
            <w:shd w:val="clear" w:color="auto" w:fill="auto"/>
            <w:noWrap/>
            <w:hideMark/>
          </w:tcPr>
          <w:p w14:paraId="54512D01" w14:textId="2722D51A"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3.015,0</w:t>
            </w:r>
          </w:p>
        </w:tc>
        <w:tc>
          <w:tcPr>
            <w:tcW w:w="1417" w:type="dxa"/>
            <w:tcBorders>
              <w:top w:val="single" w:sz="4" w:space="0" w:color="auto"/>
              <w:left w:val="nil"/>
              <w:bottom w:val="single" w:sz="4" w:space="0" w:color="auto"/>
              <w:right w:val="single" w:sz="4" w:space="0" w:color="auto"/>
            </w:tcBorders>
            <w:shd w:val="clear" w:color="auto" w:fill="auto"/>
            <w:noWrap/>
            <w:hideMark/>
          </w:tcPr>
          <w:p w14:paraId="145813D2" w14:textId="28138142"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3.035,6</w:t>
            </w:r>
          </w:p>
        </w:tc>
      </w:tr>
      <w:tr w:rsidR="00D818D2" w:rsidRPr="00D818D2" w14:paraId="18FB085C" w14:textId="77777777" w:rsidTr="00D818D2">
        <w:trPr>
          <w:trHeight w:val="53"/>
        </w:trPr>
        <w:tc>
          <w:tcPr>
            <w:tcW w:w="3222" w:type="dxa"/>
            <w:tcBorders>
              <w:top w:val="nil"/>
              <w:left w:val="single" w:sz="4" w:space="0" w:color="auto"/>
              <w:bottom w:val="single" w:sz="4" w:space="0" w:color="auto"/>
              <w:right w:val="single" w:sz="4" w:space="0" w:color="auto"/>
            </w:tcBorders>
            <w:shd w:val="clear" w:color="auto" w:fill="auto"/>
            <w:vAlign w:val="center"/>
            <w:hideMark/>
          </w:tcPr>
          <w:p w14:paraId="3663A841" w14:textId="77777777" w:rsidR="00D818D2" w:rsidRPr="00D818D2" w:rsidRDefault="00D818D2" w:rsidP="00D818D2">
            <w:pPr>
              <w:jc w:val="both"/>
              <w:rPr>
                <w:sz w:val="20"/>
              </w:rPr>
            </w:pPr>
            <w:r w:rsidRPr="00D818D2">
              <w:rPr>
                <w:sz w:val="20"/>
              </w:rPr>
              <w:t xml:space="preserve">Potpore bez poljoprivrede i ribarstva </w:t>
            </w:r>
          </w:p>
        </w:tc>
        <w:tc>
          <w:tcPr>
            <w:tcW w:w="1309" w:type="dxa"/>
            <w:tcBorders>
              <w:top w:val="nil"/>
              <w:left w:val="nil"/>
              <w:bottom w:val="single" w:sz="4" w:space="0" w:color="auto"/>
              <w:right w:val="single" w:sz="4" w:space="0" w:color="auto"/>
            </w:tcBorders>
            <w:shd w:val="clear" w:color="auto" w:fill="auto"/>
            <w:vAlign w:val="center"/>
            <w:hideMark/>
          </w:tcPr>
          <w:p w14:paraId="6940D6A0" w14:textId="0B0BBD30"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1.934,3</w:t>
            </w:r>
          </w:p>
        </w:tc>
        <w:tc>
          <w:tcPr>
            <w:tcW w:w="1418" w:type="dxa"/>
            <w:tcBorders>
              <w:top w:val="nil"/>
              <w:left w:val="nil"/>
              <w:bottom w:val="single" w:sz="4" w:space="0" w:color="auto"/>
              <w:right w:val="single" w:sz="4" w:space="0" w:color="auto"/>
            </w:tcBorders>
            <w:shd w:val="clear" w:color="auto" w:fill="auto"/>
            <w:noWrap/>
            <w:vAlign w:val="center"/>
            <w:hideMark/>
          </w:tcPr>
          <w:p w14:paraId="1D2BE6FD" w14:textId="43A0E190"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2.041,7</w:t>
            </w:r>
          </w:p>
        </w:tc>
        <w:tc>
          <w:tcPr>
            <w:tcW w:w="1417" w:type="dxa"/>
            <w:tcBorders>
              <w:top w:val="nil"/>
              <w:left w:val="nil"/>
              <w:bottom w:val="single" w:sz="4" w:space="0" w:color="auto"/>
              <w:right w:val="single" w:sz="4" w:space="0" w:color="auto"/>
            </w:tcBorders>
            <w:shd w:val="clear" w:color="auto" w:fill="auto"/>
            <w:noWrap/>
            <w:vAlign w:val="center"/>
            <w:hideMark/>
          </w:tcPr>
          <w:p w14:paraId="6B543826" w14:textId="6B1EE2BB" w:rsidR="00D818D2" w:rsidRPr="00D818D2" w:rsidRDefault="00D818D2" w:rsidP="00D818D2">
            <w:pPr>
              <w:jc w:val="right"/>
              <w:rPr>
                <w:rFonts w:eastAsia="Times New Roman"/>
                <w:sz w:val="20"/>
                <w:szCs w:val="20"/>
                <w:lang w:eastAsia="hr-HR"/>
              </w:rPr>
            </w:pPr>
            <w:r w:rsidRPr="00D818D2">
              <w:rPr>
                <w:rFonts w:eastAsia="Times New Roman"/>
                <w:sz w:val="20"/>
                <w:szCs w:val="20"/>
                <w:lang w:eastAsia="hr-HR"/>
              </w:rPr>
              <w:t>1.967,7</w:t>
            </w:r>
          </w:p>
        </w:tc>
      </w:tr>
      <w:tr w:rsidR="00D818D2" w:rsidRPr="00D818D2" w14:paraId="66C20D33" w14:textId="77777777" w:rsidTr="00D818D2">
        <w:trPr>
          <w:trHeight w:val="53"/>
        </w:trPr>
        <w:tc>
          <w:tcPr>
            <w:tcW w:w="3222" w:type="dxa"/>
            <w:tcBorders>
              <w:top w:val="nil"/>
              <w:left w:val="single" w:sz="4" w:space="0" w:color="auto"/>
              <w:bottom w:val="single" w:sz="4" w:space="0" w:color="auto"/>
              <w:right w:val="single" w:sz="4" w:space="0" w:color="auto"/>
            </w:tcBorders>
            <w:shd w:val="clear" w:color="auto" w:fill="FFFFCC"/>
            <w:vAlign w:val="center"/>
            <w:hideMark/>
          </w:tcPr>
          <w:p w14:paraId="717C8351" w14:textId="77777777" w:rsidR="00D818D2" w:rsidRPr="00D818D2" w:rsidRDefault="00D818D2" w:rsidP="00D818D2">
            <w:pPr>
              <w:jc w:val="both"/>
              <w:rPr>
                <w:b/>
                <w:sz w:val="20"/>
              </w:rPr>
            </w:pPr>
            <w:r w:rsidRPr="00D818D2">
              <w:rPr>
                <w:b/>
                <w:sz w:val="20"/>
              </w:rPr>
              <w:t>Potpore poljoprivredi i ribarstvu</w:t>
            </w:r>
          </w:p>
        </w:tc>
        <w:tc>
          <w:tcPr>
            <w:tcW w:w="1309" w:type="dxa"/>
            <w:tcBorders>
              <w:top w:val="nil"/>
              <w:left w:val="nil"/>
              <w:bottom w:val="single" w:sz="4" w:space="0" w:color="auto"/>
              <w:right w:val="single" w:sz="4" w:space="0" w:color="auto"/>
            </w:tcBorders>
            <w:shd w:val="clear" w:color="auto" w:fill="FFFFCC"/>
            <w:vAlign w:val="center"/>
            <w:hideMark/>
          </w:tcPr>
          <w:p w14:paraId="70438311" w14:textId="3D6CCDEA" w:rsidR="00D818D2" w:rsidRPr="00D818D2" w:rsidRDefault="00D818D2" w:rsidP="00D818D2">
            <w:pPr>
              <w:jc w:val="right"/>
              <w:rPr>
                <w:rFonts w:eastAsia="Times New Roman"/>
                <w:b/>
                <w:sz w:val="20"/>
                <w:szCs w:val="20"/>
                <w:lang w:eastAsia="hr-HR"/>
              </w:rPr>
            </w:pPr>
            <w:r w:rsidRPr="00D818D2">
              <w:rPr>
                <w:rFonts w:eastAsia="Times New Roman"/>
                <w:b/>
                <w:bCs/>
                <w:sz w:val="20"/>
                <w:szCs w:val="20"/>
                <w:lang w:eastAsia="hr-HR"/>
              </w:rPr>
              <w:t>1.005,4</w:t>
            </w:r>
          </w:p>
        </w:tc>
        <w:tc>
          <w:tcPr>
            <w:tcW w:w="1418" w:type="dxa"/>
            <w:tcBorders>
              <w:top w:val="nil"/>
              <w:left w:val="nil"/>
              <w:bottom w:val="single" w:sz="4" w:space="0" w:color="auto"/>
              <w:right w:val="single" w:sz="4" w:space="0" w:color="auto"/>
            </w:tcBorders>
            <w:shd w:val="clear" w:color="auto" w:fill="FFFFCC"/>
            <w:noWrap/>
            <w:vAlign w:val="center"/>
            <w:hideMark/>
          </w:tcPr>
          <w:p w14:paraId="7650C86E" w14:textId="4F2E61AB" w:rsidR="00D818D2" w:rsidRPr="00D818D2" w:rsidRDefault="00D818D2" w:rsidP="00D818D2">
            <w:pPr>
              <w:jc w:val="right"/>
              <w:rPr>
                <w:rFonts w:eastAsia="Times New Roman"/>
                <w:b/>
                <w:sz w:val="20"/>
                <w:szCs w:val="20"/>
                <w:lang w:eastAsia="hr-HR"/>
              </w:rPr>
            </w:pPr>
            <w:r w:rsidRPr="00D818D2">
              <w:rPr>
                <w:rFonts w:eastAsia="Times New Roman"/>
                <w:b/>
                <w:bCs/>
                <w:sz w:val="20"/>
                <w:szCs w:val="20"/>
                <w:lang w:eastAsia="hr-HR"/>
              </w:rPr>
              <w:t>973,3</w:t>
            </w:r>
          </w:p>
        </w:tc>
        <w:tc>
          <w:tcPr>
            <w:tcW w:w="1417" w:type="dxa"/>
            <w:tcBorders>
              <w:top w:val="nil"/>
              <w:left w:val="nil"/>
              <w:bottom w:val="single" w:sz="4" w:space="0" w:color="auto"/>
              <w:right w:val="single" w:sz="4" w:space="0" w:color="auto"/>
            </w:tcBorders>
            <w:shd w:val="clear" w:color="auto" w:fill="FFFFCC"/>
            <w:noWrap/>
            <w:vAlign w:val="center"/>
            <w:hideMark/>
          </w:tcPr>
          <w:p w14:paraId="15E7555A" w14:textId="12F732EB" w:rsidR="00D818D2" w:rsidRPr="00D818D2" w:rsidRDefault="00D818D2" w:rsidP="00D818D2">
            <w:pPr>
              <w:jc w:val="right"/>
              <w:rPr>
                <w:rFonts w:eastAsia="Times New Roman"/>
                <w:b/>
                <w:sz w:val="20"/>
                <w:szCs w:val="20"/>
                <w:lang w:eastAsia="hr-HR"/>
              </w:rPr>
            </w:pPr>
            <w:r w:rsidRPr="00D818D2">
              <w:rPr>
                <w:rFonts w:eastAsia="Times New Roman"/>
                <w:b/>
                <w:bCs/>
                <w:sz w:val="20"/>
                <w:szCs w:val="20"/>
                <w:lang w:eastAsia="hr-HR"/>
              </w:rPr>
              <w:t>1.068,0</w:t>
            </w:r>
          </w:p>
        </w:tc>
      </w:tr>
      <w:tr w:rsidR="00D818D2" w:rsidRPr="00D818D2" w14:paraId="5E5E50D9" w14:textId="77777777" w:rsidTr="00D818D2">
        <w:trPr>
          <w:trHeight w:val="60"/>
        </w:trPr>
        <w:tc>
          <w:tcPr>
            <w:tcW w:w="3222" w:type="dxa"/>
            <w:tcBorders>
              <w:top w:val="nil"/>
              <w:left w:val="single" w:sz="4" w:space="0" w:color="auto"/>
              <w:bottom w:val="single" w:sz="4" w:space="0" w:color="auto"/>
              <w:right w:val="single" w:sz="4" w:space="0" w:color="auto"/>
            </w:tcBorders>
            <w:shd w:val="clear" w:color="auto" w:fill="auto"/>
            <w:vAlign w:val="center"/>
            <w:hideMark/>
          </w:tcPr>
          <w:p w14:paraId="3D813D83" w14:textId="77777777" w:rsidR="00D818D2" w:rsidRPr="00D818D2" w:rsidRDefault="00D818D2" w:rsidP="00D818D2">
            <w:pPr>
              <w:jc w:val="both"/>
              <w:rPr>
                <w:sz w:val="20"/>
              </w:rPr>
            </w:pPr>
            <w:r w:rsidRPr="00D818D2">
              <w:rPr>
                <w:sz w:val="20"/>
              </w:rPr>
              <w:t>udio (%) u ukupnim potporama</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2219838" w14:textId="145CDFB3"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34,20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D956B6" w14:textId="77F5303E"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32,28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E07111" w14:textId="23EE8439"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35,18</w:t>
            </w:r>
          </w:p>
        </w:tc>
      </w:tr>
      <w:tr w:rsidR="00D818D2" w:rsidRPr="00D818D2" w14:paraId="51D4325F" w14:textId="77777777" w:rsidTr="00D818D2">
        <w:trPr>
          <w:trHeight w:val="40"/>
        </w:trPr>
        <w:tc>
          <w:tcPr>
            <w:tcW w:w="3222" w:type="dxa"/>
            <w:tcBorders>
              <w:top w:val="nil"/>
              <w:left w:val="single" w:sz="4" w:space="0" w:color="auto"/>
              <w:bottom w:val="single" w:sz="4" w:space="0" w:color="auto"/>
              <w:right w:val="single" w:sz="4" w:space="0" w:color="auto"/>
            </w:tcBorders>
            <w:shd w:val="clear" w:color="auto" w:fill="auto"/>
            <w:vAlign w:val="center"/>
            <w:hideMark/>
          </w:tcPr>
          <w:p w14:paraId="63506D19" w14:textId="77777777" w:rsidR="00D818D2" w:rsidRPr="00D818D2" w:rsidRDefault="00D818D2" w:rsidP="00D818D2">
            <w:pPr>
              <w:jc w:val="both"/>
              <w:rPr>
                <w:sz w:val="20"/>
              </w:rPr>
            </w:pPr>
            <w:r w:rsidRPr="00D818D2">
              <w:rPr>
                <w:sz w:val="20"/>
              </w:rPr>
              <w:t>udio (%) u BDP-u</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1F7630E0" w14:textId="6B4C9063"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1,71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3DBE38" w14:textId="6C666BCC"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1,42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B730B4" w14:textId="05A0D96B" w:rsidR="00D818D2" w:rsidRPr="00D818D2" w:rsidRDefault="00D818D2" w:rsidP="00D818D2">
            <w:pPr>
              <w:jc w:val="center"/>
              <w:rPr>
                <w:rFonts w:eastAsia="Times New Roman"/>
                <w:sz w:val="20"/>
                <w:szCs w:val="20"/>
                <w:lang w:eastAsia="hr-HR"/>
              </w:rPr>
            </w:pPr>
            <w:r w:rsidRPr="00D818D2">
              <w:rPr>
                <w:rFonts w:eastAsia="Times New Roman"/>
                <w:sz w:val="20"/>
                <w:szCs w:val="20"/>
                <w:lang w:eastAsia="hr-HR"/>
              </w:rPr>
              <w:t>1,40</w:t>
            </w:r>
          </w:p>
        </w:tc>
      </w:tr>
    </w:tbl>
    <w:p w14:paraId="549D3D34" w14:textId="77777777" w:rsidR="006842B8" w:rsidRPr="00D818D2" w:rsidRDefault="006842B8" w:rsidP="00BE487D">
      <w:pPr>
        <w:contextualSpacing/>
        <w:jc w:val="both"/>
        <w:rPr>
          <w:i/>
          <w:sz w:val="20"/>
        </w:rPr>
      </w:pPr>
      <w:r w:rsidRPr="00D818D2">
        <w:rPr>
          <w:i/>
          <w:sz w:val="20"/>
        </w:rPr>
        <w:t>Izvor: Ministarstvo financija, Ministarstvo poljoprivrede; podaci obrađeni u Ministarstvu financija</w:t>
      </w:r>
    </w:p>
    <w:p w14:paraId="1B29B242" w14:textId="77777777" w:rsidR="00DA4EAA" w:rsidRPr="00CE40C1" w:rsidRDefault="00DA4EAA" w:rsidP="00BE487D">
      <w:pPr>
        <w:contextualSpacing/>
        <w:jc w:val="both"/>
      </w:pPr>
    </w:p>
    <w:p w14:paraId="0B672622" w14:textId="1C148ACA" w:rsidR="006842B8" w:rsidRPr="00896EB7" w:rsidRDefault="00FE0491" w:rsidP="00BE487D">
      <w:pPr>
        <w:jc w:val="both"/>
      </w:pPr>
      <w:r w:rsidRPr="00896EB7">
        <w:t>U</w:t>
      </w:r>
      <w:r w:rsidR="006842B8" w:rsidRPr="00896EB7">
        <w:t>dio</w:t>
      </w:r>
      <w:r w:rsidRPr="00896EB7">
        <w:t xml:space="preserve"> </w:t>
      </w:r>
      <w:r w:rsidR="006842B8" w:rsidRPr="00896EB7">
        <w:t xml:space="preserve">potpora </w:t>
      </w:r>
      <w:r w:rsidR="00CE40C1" w:rsidRPr="00896EB7">
        <w:t xml:space="preserve">u </w:t>
      </w:r>
      <w:r w:rsidR="006842B8" w:rsidRPr="00896EB7">
        <w:t>sektoru poljoprivrede i ribarstva u ukupn</w:t>
      </w:r>
      <w:r w:rsidR="00CE40C1" w:rsidRPr="00896EB7">
        <w:t xml:space="preserve">o dodijeljenim </w:t>
      </w:r>
      <w:r w:rsidR="006842B8" w:rsidRPr="00896EB7">
        <w:t xml:space="preserve">potporama </w:t>
      </w:r>
      <w:r w:rsidRPr="00896EB7">
        <w:t>u 202</w:t>
      </w:r>
      <w:r w:rsidR="00CE40C1" w:rsidRPr="00896EB7">
        <w:t>3</w:t>
      </w:r>
      <w:r w:rsidRPr="00896EB7">
        <w:t xml:space="preserve">. godini </w:t>
      </w:r>
      <w:r w:rsidR="006842B8" w:rsidRPr="00896EB7">
        <w:t xml:space="preserve">iznosio </w:t>
      </w:r>
      <w:r w:rsidRPr="00896EB7">
        <w:t xml:space="preserve">je </w:t>
      </w:r>
      <w:r w:rsidR="00CE40C1" w:rsidRPr="00896EB7">
        <w:t xml:space="preserve">35,2 </w:t>
      </w:r>
      <w:r w:rsidR="006842B8" w:rsidRPr="00896EB7">
        <w:t xml:space="preserve">posto, </w:t>
      </w:r>
      <w:r w:rsidR="009D791C" w:rsidRPr="00896EB7">
        <w:t>u 202</w:t>
      </w:r>
      <w:r w:rsidR="00CE40C1" w:rsidRPr="00896EB7">
        <w:t>2</w:t>
      </w:r>
      <w:r w:rsidR="009D791C" w:rsidRPr="00896EB7">
        <w:t xml:space="preserve">. godini iznosio </w:t>
      </w:r>
      <w:r w:rsidRPr="00896EB7">
        <w:t xml:space="preserve">je </w:t>
      </w:r>
      <w:r w:rsidR="00CE40C1" w:rsidRPr="00896EB7">
        <w:t xml:space="preserve">32,3 </w:t>
      </w:r>
      <w:r w:rsidR="009D791C" w:rsidRPr="00896EB7">
        <w:t xml:space="preserve">posto te </w:t>
      </w:r>
      <w:r w:rsidR="00CE40C1" w:rsidRPr="00896EB7">
        <w:t xml:space="preserve">je </w:t>
      </w:r>
      <w:r w:rsidR="009D791C" w:rsidRPr="00896EB7">
        <w:t>u 20</w:t>
      </w:r>
      <w:r w:rsidR="006D5AC6" w:rsidRPr="00896EB7">
        <w:t>2</w:t>
      </w:r>
      <w:r w:rsidR="00CE40C1" w:rsidRPr="00896EB7">
        <w:t>1</w:t>
      </w:r>
      <w:r w:rsidR="009D791C" w:rsidRPr="00896EB7">
        <w:t xml:space="preserve">. godini </w:t>
      </w:r>
      <w:r w:rsidR="00CE40C1" w:rsidRPr="00896EB7">
        <w:t>iznosio 34,2</w:t>
      </w:r>
      <w:r w:rsidR="009D791C" w:rsidRPr="00896EB7">
        <w:t xml:space="preserve"> posto. </w:t>
      </w:r>
      <w:r w:rsidR="003452E1" w:rsidRPr="00896EB7">
        <w:t xml:space="preserve">Udio </w:t>
      </w:r>
      <w:r w:rsidR="009D791C" w:rsidRPr="00896EB7">
        <w:t xml:space="preserve">potpora </w:t>
      </w:r>
      <w:r w:rsidR="00CE40C1" w:rsidRPr="00896EB7">
        <w:t xml:space="preserve">u </w:t>
      </w:r>
      <w:r w:rsidR="009D791C" w:rsidRPr="00896EB7">
        <w:t xml:space="preserve">sektoru poljoprivrede i ribarstva </w:t>
      </w:r>
      <w:r w:rsidR="006842B8" w:rsidRPr="00896EB7">
        <w:t>u BDP-u</w:t>
      </w:r>
      <w:r w:rsidR="009D791C" w:rsidRPr="00896EB7">
        <w:t xml:space="preserve"> je u </w:t>
      </w:r>
      <w:r w:rsidR="006842B8" w:rsidRPr="00896EB7">
        <w:t>202</w:t>
      </w:r>
      <w:r w:rsidR="00CE40C1" w:rsidRPr="00896EB7">
        <w:t>3</w:t>
      </w:r>
      <w:r w:rsidR="006842B8" w:rsidRPr="00896EB7">
        <w:t xml:space="preserve">. godini iznosio </w:t>
      </w:r>
      <w:r w:rsidR="009D791C" w:rsidRPr="00896EB7">
        <w:t>1,</w:t>
      </w:r>
      <w:r w:rsidR="006D5AC6" w:rsidRPr="00896EB7">
        <w:t>4</w:t>
      </w:r>
      <w:r w:rsidR="00CE40C1" w:rsidRPr="00896EB7">
        <w:t>0</w:t>
      </w:r>
      <w:r w:rsidR="006842B8" w:rsidRPr="00896EB7">
        <w:rPr>
          <w:rFonts w:eastAsia="Times New Roman"/>
        </w:rPr>
        <w:t xml:space="preserve"> </w:t>
      </w:r>
      <w:r w:rsidR="006842B8" w:rsidRPr="00896EB7">
        <w:t>posto, u 20</w:t>
      </w:r>
      <w:r w:rsidR="009D791C" w:rsidRPr="00896EB7">
        <w:t>2</w:t>
      </w:r>
      <w:r w:rsidR="00CE40C1" w:rsidRPr="00896EB7">
        <w:t>2</w:t>
      </w:r>
      <w:r w:rsidR="006842B8" w:rsidRPr="00896EB7">
        <w:t xml:space="preserve">. godini </w:t>
      </w:r>
      <w:r w:rsidR="009D791C" w:rsidRPr="00896EB7">
        <w:t xml:space="preserve">iznosio je </w:t>
      </w:r>
      <w:r w:rsidR="006D5AC6" w:rsidRPr="00896EB7">
        <w:t>1,</w:t>
      </w:r>
      <w:r w:rsidR="00CE40C1" w:rsidRPr="00896EB7">
        <w:t>42</w:t>
      </w:r>
      <w:r w:rsidR="006842B8" w:rsidRPr="00896EB7">
        <w:t xml:space="preserve"> posto</w:t>
      </w:r>
      <w:r w:rsidR="003452E1" w:rsidRPr="00896EB7">
        <w:t>,</w:t>
      </w:r>
      <w:r w:rsidR="006842B8" w:rsidRPr="00896EB7">
        <w:t xml:space="preserve"> </w:t>
      </w:r>
      <w:r w:rsidR="009D791C" w:rsidRPr="00896EB7">
        <w:t xml:space="preserve">dok je u </w:t>
      </w:r>
      <w:r w:rsidR="006842B8" w:rsidRPr="00896EB7">
        <w:t>20</w:t>
      </w:r>
      <w:r w:rsidR="006D5AC6" w:rsidRPr="00896EB7">
        <w:t>2</w:t>
      </w:r>
      <w:r w:rsidR="00CE40C1" w:rsidRPr="00896EB7">
        <w:t>1</w:t>
      </w:r>
      <w:r w:rsidR="006842B8" w:rsidRPr="00896EB7">
        <w:t xml:space="preserve">. godini iznosio </w:t>
      </w:r>
      <w:r w:rsidR="00CE40C1" w:rsidRPr="00896EB7">
        <w:t>1,71</w:t>
      </w:r>
      <w:r w:rsidR="006842B8" w:rsidRPr="00896EB7">
        <w:t xml:space="preserve"> posto.</w:t>
      </w:r>
    </w:p>
    <w:p w14:paraId="7ECD697A" w14:textId="77777777" w:rsidR="00CE40C1" w:rsidRPr="00896EB7" w:rsidRDefault="00CE40C1" w:rsidP="00BE487D">
      <w:pPr>
        <w:jc w:val="both"/>
      </w:pPr>
    </w:p>
    <w:p w14:paraId="394DD0A9" w14:textId="7B3F2EF6" w:rsidR="00CE40C1" w:rsidRPr="00896EB7" w:rsidRDefault="00CE40C1" w:rsidP="00CE40C1">
      <w:pPr>
        <w:jc w:val="both"/>
      </w:pPr>
      <w:r w:rsidRPr="00896EB7">
        <w:t xml:space="preserve">Iako sukladno Zakonu, Ministarstvo financija nije nadležno za potpore u sektoru poljoprivrede i ribarstva, uključujući prehrambenu industriju, industriju pića i duhansku industriju, u ovom Izvješću su prikazani i podaci o svim dodijeljenim </w:t>
      </w:r>
      <w:r w:rsidR="006D5AC6" w:rsidRPr="00896EB7">
        <w:t xml:space="preserve">potporama </w:t>
      </w:r>
      <w:r w:rsidRPr="00896EB7">
        <w:t xml:space="preserve">u </w:t>
      </w:r>
      <w:r w:rsidR="006D5AC6" w:rsidRPr="00896EB7">
        <w:t>sektoru poljoprivrede i ribarstva</w:t>
      </w:r>
      <w:r w:rsidRPr="00896EB7">
        <w:t>. Dio navedenih podataka Ministarstvo financija je preuzelo iz Registra dok je dio podataka Ministarstvo poljoprivrede</w:t>
      </w:r>
      <w:r w:rsidR="00F64327">
        <w:t xml:space="preserve"> </w:t>
      </w:r>
      <w:r w:rsidRPr="00896EB7">
        <w:t>dostavilo Ministarstvu financija isključivo</w:t>
      </w:r>
      <w:r w:rsidR="00A44C81" w:rsidRPr="00896EB7">
        <w:t xml:space="preserve"> u svrhu izrade Izvješća</w:t>
      </w:r>
      <w:r w:rsidRPr="00896EB7">
        <w:t xml:space="preserve">, s obzirom da </w:t>
      </w:r>
      <w:r w:rsidR="006D5AC6" w:rsidRPr="00896EB7">
        <w:t>Ministarstvo financija</w:t>
      </w:r>
      <w:r w:rsidRPr="00896EB7">
        <w:t xml:space="preserve"> ima obvezu</w:t>
      </w:r>
      <w:r w:rsidR="006D5AC6" w:rsidRPr="00896EB7">
        <w:t xml:space="preserve"> objavljivanja </w:t>
      </w:r>
      <w:r w:rsidRPr="00896EB7">
        <w:t xml:space="preserve">u Godišnjem izvješću o dodijeljenim potporama </w:t>
      </w:r>
      <w:r w:rsidR="006D5AC6" w:rsidRPr="00896EB7">
        <w:t xml:space="preserve">svih podataka o </w:t>
      </w:r>
      <w:r w:rsidRPr="00896EB7">
        <w:t xml:space="preserve">ukupno </w:t>
      </w:r>
      <w:r w:rsidR="006D5AC6" w:rsidRPr="00896EB7">
        <w:t>dodijeljenim potporama</w:t>
      </w:r>
      <w:r w:rsidRPr="00896EB7">
        <w:t xml:space="preserve"> i potporama male vrijednosti, kako u sektoru industrije i usluga tako i u </w:t>
      </w:r>
      <w:r w:rsidR="006D5AC6" w:rsidRPr="00896EB7">
        <w:t>sektoru poljoprivrede i ribarstva</w:t>
      </w:r>
      <w:r w:rsidRPr="00896EB7">
        <w:t>.</w:t>
      </w:r>
    </w:p>
    <w:p w14:paraId="6497A641" w14:textId="77777777" w:rsidR="008F221A" w:rsidRPr="00896EB7" w:rsidRDefault="008F221A" w:rsidP="00BE487D">
      <w:pPr>
        <w:jc w:val="both"/>
      </w:pPr>
    </w:p>
    <w:p w14:paraId="28D1EA8D" w14:textId="38A19A9D" w:rsidR="00D3093D" w:rsidRPr="00896EB7" w:rsidRDefault="00CE40C1" w:rsidP="00D3093D">
      <w:pPr>
        <w:jc w:val="both"/>
      </w:pPr>
      <w:r w:rsidRPr="00896EB7">
        <w:t>U 2023. godini, p</w:t>
      </w:r>
      <w:r w:rsidR="00D3093D" w:rsidRPr="00896EB7">
        <w:t xml:space="preserve">otpore </w:t>
      </w:r>
      <w:r w:rsidRPr="00896EB7">
        <w:t xml:space="preserve">dodijeljene u </w:t>
      </w:r>
      <w:r w:rsidR="00D3093D" w:rsidRPr="00896EB7">
        <w:t xml:space="preserve">sektoru poljoprivrede i ribarstva u </w:t>
      </w:r>
      <w:r w:rsidRPr="00896EB7">
        <w:t xml:space="preserve">ukupnom </w:t>
      </w:r>
      <w:r w:rsidR="00D3093D" w:rsidRPr="00896EB7">
        <w:t>iznosu od</w:t>
      </w:r>
      <w:r w:rsidRPr="00896EB7">
        <w:t xml:space="preserve"> 1.068 milijuna eura, </w:t>
      </w:r>
      <w:r w:rsidR="00D3093D" w:rsidRPr="00896EB7">
        <w:t xml:space="preserve">najvećem dijelom su dodijeljene putem subvencija u iznosu od </w:t>
      </w:r>
      <w:r w:rsidRPr="00896EB7">
        <w:t xml:space="preserve">780,7 </w:t>
      </w:r>
      <w:r w:rsidR="00D3093D" w:rsidRPr="00896EB7">
        <w:t xml:space="preserve">milijuna </w:t>
      </w:r>
      <w:r w:rsidRPr="00896EB7">
        <w:t xml:space="preserve">eura </w:t>
      </w:r>
      <w:r w:rsidR="00D3093D" w:rsidRPr="00896EB7">
        <w:t xml:space="preserve">ili s udjelom od </w:t>
      </w:r>
      <w:r w:rsidRPr="00896EB7">
        <w:t>73,1</w:t>
      </w:r>
      <w:r w:rsidR="00D3093D" w:rsidRPr="00896EB7">
        <w:t xml:space="preserve"> posto u potporama poljoprivredi i ribarstvu, slijede kapitaln</w:t>
      </w:r>
      <w:r w:rsidR="0092285D" w:rsidRPr="00896EB7">
        <w:t>a</w:t>
      </w:r>
      <w:r w:rsidR="00D3093D" w:rsidRPr="00896EB7">
        <w:t xml:space="preserve"> ulaganja u iznosu od </w:t>
      </w:r>
      <w:r w:rsidR="0085182C" w:rsidRPr="00896EB7">
        <w:t xml:space="preserve">203,2 </w:t>
      </w:r>
      <w:r w:rsidR="00D3093D" w:rsidRPr="00896EB7">
        <w:t xml:space="preserve">milijuna </w:t>
      </w:r>
      <w:r w:rsidRPr="00896EB7">
        <w:t xml:space="preserve">eura </w:t>
      </w:r>
      <w:r w:rsidR="00D3093D" w:rsidRPr="00896EB7">
        <w:t xml:space="preserve">ili </w:t>
      </w:r>
      <w:r w:rsidR="0085182C" w:rsidRPr="00896EB7">
        <w:t>19</w:t>
      </w:r>
      <w:r w:rsidR="00D3093D" w:rsidRPr="00896EB7">
        <w:t xml:space="preserve"> posto, porezne olakšice u iznosu od </w:t>
      </w:r>
      <w:r w:rsidR="0085182C" w:rsidRPr="00896EB7">
        <w:t xml:space="preserve">61 </w:t>
      </w:r>
      <w:r w:rsidR="00D3093D" w:rsidRPr="00896EB7">
        <w:t xml:space="preserve">milijun </w:t>
      </w:r>
      <w:r w:rsidRPr="00896EB7">
        <w:t xml:space="preserve">eura </w:t>
      </w:r>
      <w:r w:rsidR="00D3093D" w:rsidRPr="00896EB7">
        <w:t xml:space="preserve">ili </w:t>
      </w:r>
      <w:r w:rsidR="0085182C" w:rsidRPr="00896EB7">
        <w:t>5,7</w:t>
      </w:r>
      <w:r w:rsidR="00D3093D" w:rsidRPr="00896EB7">
        <w:t xml:space="preserve"> posto te povoljni zajmovi u iznosu od </w:t>
      </w:r>
      <w:r w:rsidR="0085182C" w:rsidRPr="00896EB7">
        <w:t>23,1</w:t>
      </w:r>
      <w:r w:rsidR="006D5AC6" w:rsidRPr="00896EB7">
        <w:t xml:space="preserve"> </w:t>
      </w:r>
      <w:r w:rsidR="00D3093D" w:rsidRPr="00896EB7">
        <w:t xml:space="preserve">milijun </w:t>
      </w:r>
      <w:r w:rsidRPr="00896EB7">
        <w:t xml:space="preserve">eura </w:t>
      </w:r>
      <w:r w:rsidR="00D3093D" w:rsidRPr="00896EB7">
        <w:t xml:space="preserve">ili </w:t>
      </w:r>
      <w:r w:rsidR="006D5AC6" w:rsidRPr="00896EB7">
        <w:t>2</w:t>
      </w:r>
      <w:r w:rsidR="0085182C" w:rsidRPr="00896EB7">
        <w:t>,2</w:t>
      </w:r>
      <w:r w:rsidR="00D3093D" w:rsidRPr="00896EB7">
        <w:t xml:space="preserve"> posto. </w:t>
      </w:r>
    </w:p>
    <w:p w14:paraId="3B342D37" w14:textId="77777777" w:rsidR="00CE40C1" w:rsidRPr="00896EB7" w:rsidRDefault="00CE40C1" w:rsidP="00D3093D">
      <w:pPr>
        <w:jc w:val="both"/>
      </w:pPr>
    </w:p>
    <w:p w14:paraId="19487985" w14:textId="27350668" w:rsidR="006842B8" w:rsidRPr="00896EB7" w:rsidRDefault="0085182C" w:rsidP="00BE487D">
      <w:pPr>
        <w:jc w:val="both"/>
      </w:pPr>
      <w:r w:rsidRPr="00896EB7">
        <w:t>U 2023. godini, u</w:t>
      </w:r>
      <w:r w:rsidR="00A3381D" w:rsidRPr="00896EB7">
        <w:t>nutar</w:t>
      </w:r>
      <w:r w:rsidR="00A3381D" w:rsidRPr="00896EB7">
        <w:rPr>
          <w:b/>
        </w:rPr>
        <w:t xml:space="preserve"> </w:t>
      </w:r>
      <w:r w:rsidRPr="00896EB7">
        <w:t xml:space="preserve">dodijeljenih </w:t>
      </w:r>
      <w:r w:rsidR="00A3381D" w:rsidRPr="00B9741D">
        <w:rPr>
          <w:u w:val="single"/>
        </w:rPr>
        <w:t>p</w:t>
      </w:r>
      <w:r w:rsidR="006842B8" w:rsidRPr="00B9741D">
        <w:rPr>
          <w:u w:val="single"/>
        </w:rPr>
        <w:t>otpor</w:t>
      </w:r>
      <w:r w:rsidR="00A3381D" w:rsidRPr="00B9741D">
        <w:rPr>
          <w:u w:val="single"/>
        </w:rPr>
        <w:t>a</w:t>
      </w:r>
      <w:r w:rsidR="006842B8" w:rsidRPr="00B9741D">
        <w:rPr>
          <w:u w:val="single"/>
        </w:rPr>
        <w:t xml:space="preserve"> u sektoru poljoprivrede i ribarstva</w:t>
      </w:r>
      <w:r w:rsidR="006842B8" w:rsidRPr="00896EB7">
        <w:t xml:space="preserve"> </w:t>
      </w:r>
      <w:r w:rsidR="00A3381D" w:rsidRPr="00896EB7">
        <w:t xml:space="preserve">u iznosu od </w:t>
      </w:r>
      <w:r w:rsidRPr="00896EB7">
        <w:t xml:space="preserve">1.068 </w:t>
      </w:r>
      <w:r w:rsidR="00A3381D" w:rsidRPr="00896EB7">
        <w:t>milijuna</w:t>
      </w:r>
      <w:r w:rsidR="004B3800" w:rsidRPr="00896EB7">
        <w:t xml:space="preserve"> </w:t>
      </w:r>
      <w:r w:rsidRPr="00896EB7">
        <w:t>eura</w:t>
      </w:r>
      <w:r w:rsidR="00A3381D" w:rsidRPr="00896EB7">
        <w:t xml:space="preserve">, potpore u sektoru poljoprivrede </w:t>
      </w:r>
      <w:r w:rsidR="007E7241" w:rsidRPr="00896EB7">
        <w:t xml:space="preserve">dodijeljene su </w:t>
      </w:r>
      <w:r w:rsidR="00A3381D" w:rsidRPr="00896EB7">
        <w:t xml:space="preserve">u iznosu od </w:t>
      </w:r>
      <w:r w:rsidR="00696114" w:rsidRPr="00896EB7">
        <w:t xml:space="preserve">995,6 </w:t>
      </w:r>
      <w:r w:rsidR="00A3381D" w:rsidRPr="00896EB7">
        <w:t xml:space="preserve">milijuna </w:t>
      </w:r>
      <w:r w:rsidRPr="00896EB7">
        <w:t xml:space="preserve">eura </w:t>
      </w:r>
      <w:r w:rsidR="00A3381D" w:rsidRPr="00896EB7">
        <w:t>ili s udjelom od 9</w:t>
      </w:r>
      <w:r w:rsidR="00696114" w:rsidRPr="00896EB7">
        <w:t>3,2</w:t>
      </w:r>
      <w:r w:rsidR="00A3381D" w:rsidRPr="00896EB7">
        <w:t xml:space="preserve"> posto u </w:t>
      </w:r>
      <w:r w:rsidR="00696114" w:rsidRPr="00896EB7">
        <w:t xml:space="preserve">ukupnim </w:t>
      </w:r>
      <w:r w:rsidR="00A3381D" w:rsidRPr="00896EB7">
        <w:t xml:space="preserve">potporama </w:t>
      </w:r>
      <w:r w:rsidR="00696114" w:rsidRPr="00896EB7">
        <w:t xml:space="preserve">u </w:t>
      </w:r>
      <w:r w:rsidR="00A3381D" w:rsidRPr="00896EB7">
        <w:t xml:space="preserve">sektoru poljoprivrede i ribarstva, dok su </w:t>
      </w:r>
      <w:r w:rsidR="007E7241" w:rsidRPr="00896EB7">
        <w:t xml:space="preserve">potpore </w:t>
      </w:r>
      <w:r w:rsidR="00A3381D" w:rsidRPr="00896EB7">
        <w:t>u sektoru ribarstva dodijeljene u iznosu od</w:t>
      </w:r>
      <w:r w:rsidR="00A3381D" w:rsidRPr="00896EB7">
        <w:rPr>
          <w:b/>
        </w:rPr>
        <w:t xml:space="preserve"> </w:t>
      </w:r>
      <w:r w:rsidR="00696114" w:rsidRPr="00896EB7">
        <w:t>72,3</w:t>
      </w:r>
      <w:r w:rsidR="007E7241" w:rsidRPr="00896EB7">
        <w:t xml:space="preserve"> </w:t>
      </w:r>
      <w:r w:rsidR="00A3381D" w:rsidRPr="00896EB7">
        <w:t xml:space="preserve">milijuna </w:t>
      </w:r>
      <w:r w:rsidRPr="00896EB7">
        <w:t xml:space="preserve">eura </w:t>
      </w:r>
      <w:r w:rsidR="00A3381D" w:rsidRPr="00896EB7">
        <w:t xml:space="preserve">ili </w:t>
      </w:r>
      <w:r w:rsidR="008A5191" w:rsidRPr="00896EB7">
        <w:t xml:space="preserve">s </w:t>
      </w:r>
      <w:r w:rsidR="00696114" w:rsidRPr="00896EB7">
        <w:t>6,8</w:t>
      </w:r>
      <w:r w:rsidR="00A3381D" w:rsidRPr="00896EB7">
        <w:t xml:space="preserve"> posto. </w:t>
      </w:r>
      <w:r w:rsidR="006842B8" w:rsidRPr="00896EB7">
        <w:t xml:space="preserve">Unutar potpora </w:t>
      </w:r>
      <w:r w:rsidR="00A3381D" w:rsidRPr="00896EB7">
        <w:t xml:space="preserve">u sektoru </w:t>
      </w:r>
      <w:r w:rsidR="006842B8" w:rsidRPr="00896EB7">
        <w:t>poljoprivred</w:t>
      </w:r>
      <w:r w:rsidR="00A3381D" w:rsidRPr="00896EB7">
        <w:t>e u iznosu</w:t>
      </w:r>
      <w:r w:rsidR="006842B8" w:rsidRPr="00896EB7">
        <w:t xml:space="preserve"> od </w:t>
      </w:r>
      <w:r w:rsidR="00696114" w:rsidRPr="00896EB7">
        <w:t>995,6</w:t>
      </w:r>
      <w:r w:rsidR="007E7241" w:rsidRPr="00896EB7">
        <w:t xml:space="preserve"> </w:t>
      </w:r>
      <w:r w:rsidR="006842B8" w:rsidRPr="00896EB7">
        <w:t xml:space="preserve">milijuna </w:t>
      </w:r>
      <w:r w:rsidRPr="00896EB7">
        <w:t>eura</w:t>
      </w:r>
      <w:r w:rsidR="006842B8" w:rsidRPr="00896EB7">
        <w:t xml:space="preserve">, </w:t>
      </w:r>
      <w:r w:rsidR="007E7241" w:rsidRPr="00896EB7">
        <w:t>potpore za</w:t>
      </w:r>
      <w:r w:rsidR="006842B8" w:rsidRPr="00896EB7">
        <w:t xml:space="preserve"> poljoprivredu, lov i šumarstvo </w:t>
      </w:r>
      <w:r w:rsidR="007E7241" w:rsidRPr="00896EB7">
        <w:t>dodijeljene su u iznosu od</w:t>
      </w:r>
      <w:r w:rsidR="006842B8" w:rsidRPr="00896EB7">
        <w:t xml:space="preserve"> </w:t>
      </w:r>
      <w:r w:rsidR="00696114" w:rsidRPr="00896EB7">
        <w:t>549,1</w:t>
      </w:r>
      <w:r w:rsidR="007E7241" w:rsidRPr="00896EB7">
        <w:t xml:space="preserve"> </w:t>
      </w:r>
      <w:r w:rsidR="006842B8" w:rsidRPr="00896EB7">
        <w:t xml:space="preserve">milijun </w:t>
      </w:r>
      <w:r w:rsidRPr="00896EB7">
        <w:t xml:space="preserve">eura </w:t>
      </w:r>
      <w:r w:rsidR="00681D9B" w:rsidRPr="00896EB7">
        <w:t xml:space="preserve">ili </w:t>
      </w:r>
      <w:r w:rsidR="00696114" w:rsidRPr="00896EB7">
        <w:t>55,1</w:t>
      </w:r>
      <w:r w:rsidR="00681D9B" w:rsidRPr="00896EB7">
        <w:t xml:space="preserve"> posto </w:t>
      </w:r>
      <w:r w:rsidR="006842B8" w:rsidRPr="00896EB7">
        <w:t xml:space="preserve">dok </w:t>
      </w:r>
      <w:r w:rsidR="007E7241" w:rsidRPr="00896EB7">
        <w:t xml:space="preserve">je </w:t>
      </w:r>
      <w:r w:rsidR="006842B8" w:rsidRPr="00896EB7">
        <w:t>ruraln</w:t>
      </w:r>
      <w:r w:rsidR="007E7241" w:rsidRPr="00896EB7">
        <w:t>om</w:t>
      </w:r>
      <w:r w:rsidR="006842B8" w:rsidRPr="00896EB7">
        <w:t xml:space="preserve"> </w:t>
      </w:r>
      <w:r w:rsidR="00681D9B" w:rsidRPr="00896EB7">
        <w:t>odnosno regionaln</w:t>
      </w:r>
      <w:r w:rsidR="007E7241" w:rsidRPr="00896EB7">
        <w:t>om</w:t>
      </w:r>
      <w:r w:rsidR="00681D9B" w:rsidRPr="00896EB7">
        <w:t xml:space="preserve"> </w:t>
      </w:r>
      <w:r w:rsidR="006842B8" w:rsidRPr="00896EB7">
        <w:t>razvoj</w:t>
      </w:r>
      <w:r w:rsidR="007E7241" w:rsidRPr="00896EB7">
        <w:t xml:space="preserve">u dodijeljeno </w:t>
      </w:r>
      <w:r w:rsidR="00696114" w:rsidRPr="00896EB7">
        <w:t>446,6</w:t>
      </w:r>
      <w:r w:rsidR="007E7241" w:rsidRPr="00896EB7">
        <w:t xml:space="preserve"> </w:t>
      </w:r>
      <w:r w:rsidR="006842B8" w:rsidRPr="00896EB7">
        <w:t xml:space="preserve">milijuna </w:t>
      </w:r>
      <w:r w:rsidRPr="00896EB7">
        <w:t xml:space="preserve">eura </w:t>
      </w:r>
      <w:r w:rsidR="00681D9B" w:rsidRPr="00896EB7">
        <w:t xml:space="preserve">ili </w:t>
      </w:r>
      <w:r w:rsidR="00696114" w:rsidRPr="00896EB7">
        <w:t>44,9</w:t>
      </w:r>
      <w:r w:rsidR="00681D9B" w:rsidRPr="00896EB7">
        <w:t xml:space="preserve"> posto</w:t>
      </w:r>
      <w:r w:rsidR="007E7241" w:rsidRPr="00896EB7">
        <w:t xml:space="preserve"> potpora</w:t>
      </w:r>
      <w:r w:rsidR="006842B8" w:rsidRPr="00896EB7">
        <w:t xml:space="preserve">. </w:t>
      </w:r>
    </w:p>
    <w:p w14:paraId="467A0652" w14:textId="338FFF74" w:rsidR="00B37728" w:rsidRPr="00896EB7" w:rsidRDefault="00B37728" w:rsidP="00BE487D">
      <w:pPr>
        <w:jc w:val="both"/>
      </w:pPr>
    </w:p>
    <w:p w14:paraId="723B837D" w14:textId="5E3D01B4" w:rsidR="00681D9B" w:rsidRPr="007A4040" w:rsidRDefault="006842B8" w:rsidP="00BE487D">
      <w:pPr>
        <w:jc w:val="both"/>
        <w:rPr>
          <w:spacing w:val="-2"/>
        </w:rPr>
      </w:pPr>
      <w:r w:rsidRPr="00B9741D">
        <w:rPr>
          <w:spacing w:val="-2"/>
          <w:u w:val="single"/>
        </w:rPr>
        <w:lastRenderedPageBreak/>
        <w:t>Potpore za poljoprivredu, lov i šumarstvo</w:t>
      </w:r>
      <w:r w:rsidRPr="007A4040">
        <w:rPr>
          <w:spacing w:val="-2"/>
        </w:rPr>
        <w:t xml:space="preserve"> </w:t>
      </w:r>
      <w:r w:rsidR="007E7241" w:rsidRPr="007A4040">
        <w:rPr>
          <w:spacing w:val="-2"/>
        </w:rPr>
        <w:t xml:space="preserve">dodijeljene </w:t>
      </w:r>
      <w:r w:rsidR="00696114" w:rsidRPr="007A4040">
        <w:rPr>
          <w:spacing w:val="-2"/>
        </w:rPr>
        <w:t xml:space="preserve">su </w:t>
      </w:r>
      <w:r w:rsidR="00681D9B" w:rsidRPr="007A4040">
        <w:rPr>
          <w:spacing w:val="-2"/>
        </w:rPr>
        <w:t>u 202</w:t>
      </w:r>
      <w:r w:rsidR="00696114" w:rsidRPr="007A4040">
        <w:rPr>
          <w:spacing w:val="-2"/>
        </w:rPr>
        <w:t>3</w:t>
      </w:r>
      <w:r w:rsidR="007E7241" w:rsidRPr="007A4040">
        <w:rPr>
          <w:spacing w:val="-2"/>
        </w:rPr>
        <w:t>. godini</w:t>
      </w:r>
      <w:r w:rsidR="00681D9B" w:rsidRPr="007A4040">
        <w:rPr>
          <w:spacing w:val="-2"/>
        </w:rPr>
        <w:t xml:space="preserve"> </w:t>
      </w:r>
      <w:r w:rsidRPr="007A4040">
        <w:rPr>
          <w:spacing w:val="-2"/>
        </w:rPr>
        <w:t xml:space="preserve">u iznosu od </w:t>
      </w:r>
      <w:r w:rsidR="00696114" w:rsidRPr="007A4040">
        <w:rPr>
          <w:spacing w:val="-2"/>
        </w:rPr>
        <w:t>549,1</w:t>
      </w:r>
      <w:r w:rsidR="007E7241" w:rsidRPr="007A4040">
        <w:rPr>
          <w:spacing w:val="-2"/>
        </w:rPr>
        <w:t xml:space="preserve"> </w:t>
      </w:r>
      <w:r w:rsidR="00696114" w:rsidRPr="007A4040">
        <w:rPr>
          <w:spacing w:val="-2"/>
        </w:rPr>
        <w:t>milijun eura</w:t>
      </w:r>
      <w:r w:rsidRPr="007A4040">
        <w:rPr>
          <w:spacing w:val="-2"/>
        </w:rPr>
        <w:t>,</w:t>
      </w:r>
      <w:r w:rsidR="00696114" w:rsidRPr="007A4040">
        <w:rPr>
          <w:spacing w:val="-2"/>
        </w:rPr>
        <w:t xml:space="preserve"> i to</w:t>
      </w:r>
      <w:r w:rsidRPr="007A4040">
        <w:rPr>
          <w:spacing w:val="-2"/>
        </w:rPr>
        <w:t xml:space="preserve"> </w:t>
      </w:r>
      <w:r w:rsidR="00681D9B" w:rsidRPr="007A4040">
        <w:rPr>
          <w:spacing w:val="-2"/>
        </w:rPr>
        <w:t xml:space="preserve">najvećim dijelom putem </w:t>
      </w:r>
      <w:r w:rsidRPr="007A4040">
        <w:rPr>
          <w:spacing w:val="-2"/>
        </w:rPr>
        <w:t xml:space="preserve">subvencija </w:t>
      </w:r>
      <w:r w:rsidR="00681D9B" w:rsidRPr="007A4040">
        <w:rPr>
          <w:spacing w:val="-2"/>
        </w:rPr>
        <w:t xml:space="preserve">u iznosu od </w:t>
      </w:r>
      <w:r w:rsidR="00696114" w:rsidRPr="007A4040">
        <w:rPr>
          <w:spacing w:val="-2"/>
        </w:rPr>
        <w:t xml:space="preserve">495,1 </w:t>
      </w:r>
      <w:r w:rsidR="00681D9B" w:rsidRPr="007A4040">
        <w:rPr>
          <w:spacing w:val="-2"/>
        </w:rPr>
        <w:t xml:space="preserve">milijun </w:t>
      </w:r>
      <w:r w:rsidR="00696114" w:rsidRPr="007A4040">
        <w:rPr>
          <w:spacing w:val="-2"/>
        </w:rPr>
        <w:t xml:space="preserve">eura </w:t>
      </w:r>
      <w:r w:rsidR="007E7241" w:rsidRPr="007A4040">
        <w:rPr>
          <w:spacing w:val="-2"/>
        </w:rPr>
        <w:t xml:space="preserve">ili s udjelom od </w:t>
      </w:r>
      <w:r w:rsidR="00696114" w:rsidRPr="007A4040">
        <w:rPr>
          <w:spacing w:val="-2"/>
        </w:rPr>
        <w:t>90,2</w:t>
      </w:r>
      <w:r w:rsidR="007E7241" w:rsidRPr="007A4040">
        <w:rPr>
          <w:spacing w:val="-2"/>
        </w:rPr>
        <w:t xml:space="preserve"> posto</w:t>
      </w:r>
      <w:r w:rsidR="00C01BC3" w:rsidRPr="007A4040">
        <w:rPr>
          <w:spacing w:val="-2"/>
        </w:rPr>
        <w:t>,</w:t>
      </w:r>
      <w:r w:rsidR="00681D9B" w:rsidRPr="007A4040">
        <w:rPr>
          <w:spacing w:val="-2"/>
        </w:rPr>
        <w:t xml:space="preserve"> dok je </w:t>
      </w:r>
      <w:r w:rsidR="007E7241" w:rsidRPr="007A4040">
        <w:rPr>
          <w:spacing w:val="-2"/>
        </w:rPr>
        <w:t>putem</w:t>
      </w:r>
      <w:r w:rsidR="00681D9B" w:rsidRPr="007A4040">
        <w:rPr>
          <w:spacing w:val="-2"/>
        </w:rPr>
        <w:t xml:space="preserve"> </w:t>
      </w:r>
      <w:r w:rsidRPr="007A4040">
        <w:rPr>
          <w:spacing w:val="-2"/>
        </w:rPr>
        <w:t>porezn</w:t>
      </w:r>
      <w:r w:rsidR="007E7241" w:rsidRPr="007A4040">
        <w:rPr>
          <w:spacing w:val="-2"/>
        </w:rPr>
        <w:t>ih</w:t>
      </w:r>
      <w:r w:rsidR="00681D9B" w:rsidRPr="007A4040">
        <w:rPr>
          <w:spacing w:val="-2"/>
        </w:rPr>
        <w:t xml:space="preserve"> olakšic</w:t>
      </w:r>
      <w:r w:rsidR="007E7241" w:rsidRPr="007A4040">
        <w:rPr>
          <w:spacing w:val="-2"/>
        </w:rPr>
        <w:t>a</w:t>
      </w:r>
      <w:r w:rsidR="00681D9B" w:rsidRPr="007A4040">
        <w:rPr>
          <w:spacing w:val="-2"/>
        </w:rPr>
        <w:t xml:space="preserve"> dodijeljen</w:t>
      </w:r>
      <w:r w:rsidR="007E7241" w:rsidRPr="007A4040">
        <w:rPr>
          <w:spacing w:val="-2"/>
        </w:rPr>
        <w:t>o</w:t>
      </w:r>
      <w:r w:rsidR="00681D9B" w:rsidRPr="007A4040">
        <w:rPr>
          <w:spacing w:val="-2"/>
        </w:rPr>
        <w:t xml:space="preserve"> </w:t>
      </w:r>
      <w:r w:rsidR="00696114" w:rsidRPr="007A4040">
        <w:rPr>
          <w:spacing w:val="-2"/>
        </w:rPr>
        <w:t>54</w:t>
      </w:r>
      <w:r w:rsidRPr="007A4040">
        <w:rPr>
          <w:rFonts w:eastAsia="Times New Roman"/>
          <w:color w:val="000000"/>
          <w:spacing w:val="-2"/>
        </w:rPr>
        <w:t xml:space="preserve"> </w:t>
      </w:r>
      <w:r w:rsidRPr="007A4040">
        <w:rPr>
          <w:spacing w:val="-2"/>
        </w:rPr>
        <w:t>milijun</w:t>
      </w:r>
      <w:r w:rsidR="00696114" w:rsidRPr="007A4040">
        <w:rPr>
          <w:spacing w:val="-2"/>
        </w:rPr>
        <w:t>a</w:t>
      </w:r>
      <w:r w:rsidRPr="007A4040">
        <w:rPr>
          <w:spacing w:val="-2"/>
        </w:rPr>
        <w:t xml:space="preserve"> </w:t>
      </w:r>
      <w:r w:rsidR="00696114" w:rsidRPr="007A4040">
        <w:rPr>
          <w:spacing w:val="-2"/>
        </w:rPr>
        <w:t xml:space="preserve">eura </w:t>
      </w:r>
      <w:r w:rsidR="007E7241" w:rsidRPr="007A4040">
        <w:rPr>
          <w:spacing w:val="-2"/>
        </w:rPr>
        <w:t xml:space="preserve">ili </w:t>
      </w:r>
      <w:r w:rsidR="00696114" w:rsidRPr="007A4040">
        <w:rPr>
          <w:spacing w:val="-2"/>
        </w:rPr>
        <w:t>9,8</w:t>
      </w:r>
      <w:r w:rsidR="007E7241" w:rsidRPr="007A4040">
        <w:rPr>
          <w:spacing w:val="-2"/>
        </w:rPr>
        <w:t xml:space="preserve"> posto</w:t>
      </w:r>
      <w:r w:rsidRPr="007A4040">
        <w:rPr>
          <w:spacing w:val="-2"/>
        </w:rPr>
        <w:t xml:space="preserve">. </w:t>
      </w:r>
    </w:p>
    <w:p w14:paraId="3E7B1430" w14:textId="77777777" w:rsidR="00B37728" w:rsidRPr="007A4040" w:rsidRDefault="00B37728" w:rsidP="00BE487D">
      <w:pPr>
        <w:jc w:val="both"/>
      </w:pPr>
    </w:p>
    <w:p w14:paraId="0987BB3B" w14:textId="36A14645" w:rsidR="00622C88" w:rsidRPr="007A4040" w:rsidRDefault="00622C88" w:rsidP="00622C88">
      <w:pPr>
        <w:jc w:val="both"/>
      </w:pPr>
      <w:r w:rsidRPr="007A4040">
        <w:t xml:space="preserve">Potpore za poljoprivredu, lov i šumarstvo </w:t>
      </w:r>
      <w:r w:rsidR="00696114" w:rsidRPr="007A4040">
        <w:t xml:space="preserve">koje su dodijeljene </w:t>
      </w:r>
      <w:r w:rsidRPr="007A4040">
        <w:t xml:space="preserve">kroz porezne olakšice u iznosu od </w:t>
      </w:r>
      <w:r w:rsidR="006A6253" w:rsidRPr="007A4040">
        <w:t>54</w:t>
      </w:r>
      <w:r w:rsidRPr="007A4040">
        <w:t xml:space="preserve"> milijun</w:t>
      </w:r>
      <w:r w:rsidR="006A6253" w:rsidRPr="007A4040">
        <w:t>a eura</w:t>
      </w:r>
      <w:r w:rsidRPr="007A4040">
        <w:t xml:space="preserve">, odnose se na Subvencioniranje potrošnje „plavog </w:t>
      </w:r>
      <w:proofErr w:type="spellStart"/>
      <w:r w:rsidRPr="007A4040">
        <w:t>diesela</w:t>
      </w:r>
      <w:proofErr w:type="spellEnd"/>
      <w:r w:rsidRPr="007A4040">
        <w:t xml:space="preserve">“ – Plavi </w:t>
      </w:r>
      <w:proofErr w:type="spellStart"/>
      <w:r w:rsidRPr="007A4040">
        <w:t>diesel</w:t>
      </w:r>
      <w:proofErr w:type="spellEnd"/>
      <w:r w:rsidRPr="007A4040">
        <w:t xml:space="preserve"> u poljoprivredi, i to za </w:t>
      </w:r>
      <w:r w:rsidR="006A6253" w:rsidRPr="007A4040">
        <w:t xml:space="preserve">144.182.166,90 </w:t>
      </w:r>
      <w:r w:rsidRPr="007A4040">
        <w:t xml:space="preserve">litara isporučene količine za </w:t>
      </w:r>
      <w:r w:rsidR="006A6253" w:rsidRPr="007A4040">
        <w:t xml:space="preserve">104.292 </w:t>
      </w:r>
      <w:r w:rsidRPr="007A4040">
        <w:t>korisnika.</w:t>
      </w:r>
    </w:p>
    <w:p w14:paraId="37267A82" w14:textId="64E14AAC" w:rsidR="00622C88" w:rsidRPr="00896EB7" w:rsidRDefault="00622C88" w:rsidP="00BE487D">
      <w:pPr>
        <w:jc w:val="both"/>
      </w:pPr>
    </w:p>
    <w:p w14:paraId="58A6C8FC" w14:textId="73650443" w:rsidR="00C5336B" w:rsidRPr="00896EB7" w:rsidRDefault="00681D9B" w:rsidP="00C5336B">
      <w:pPr>
        <w:jc w:val="both"/>
      </w:pPr>
      <w:r w:rsidRPr="00896EB7">
        <w:t>P</w:t>
      </w:r>
      <w:r w:rsidR="006842B8" w:rsidRPr="00896EB7">
        <w:t>otpore</w:t>
      </w:r>
      <w:r w:rsidRPr="00896EB7">
        <w:t xml:space="preserve"> za poljoprivredu, lov i šumarstvo </w:t>
      </w:r>
      <w:r w:rsidR="006A6253" w:rsidRPr="00896EB7">
        <w:t xml:space="preserve">koje su </w:t>
      </w:r>
      <w:r w:rsidRPr="00896EB7">
        <w:t xml:space="preserve">dodijeljene </w:t>
      </w:r>
      <w:r w:rsidR="00622C88" w:rsidRPr="00896EB7">
        <w:t xml:space="preserve">putem subvencija </w:t>
      </w:r>
      <w:r w:rsidR="007E7241" w:rsidRPr="00896EB7">
        <w:t xml:space="preserve">u iznosu od </w:t>
      </w:r>
      <w:r w:rsidR="006A6253" w:rsidRPr="00896EB7">
        <w:t>495,1</w:t>
      </w:r>
      <w:r w:rsidR="007E7241" w:rsidRPr="00896EB7">
        <w:t xml:space="preserve"> milijun </w:t>
      </w:r>
      <w:r w:rsidR="006A6253" w:rsidRPr="00896EB7">
        <w:t>eura</w:t>
      </w:r>
      <w:r w:rsidRPr="00896EB7">
        <w:t>,</w:t>
      </w:r>
      <w:r w:rsidR="006842B8" w:rsidRPr="00896EB7">
        <w:t xml:space="preserve"> odnose se na sljedeće programe i ciljeve</w:t>
      </w:r>
      <w:r w:rsidR="00C01BC3" w:rsidRPr="00896EB7">
        <w:t xml:space="preserve">, prikazane po </w:t>
      </w:r>
      <w:r w:rsidR="00F5662D" w:rsidRPr="00896EB7">
        <w:t xml:space="preserve">visini </w:t>
      </w:r>
      <w:r w:rsidR="00C01BC3" w:rsidRPr="00896EB7">
        <w:t>iznosa dodjele</w:t>
      </w:r>
      <w:r w:rsidR="006842B8" w:rsidRPr="00896EB7">
        <w:t xml:space="preserve">: </w:t>
      </w:r>
      <w:r w:rsidR="00BA6A91" w:rsidRPr="00896EB7">
        <w:t>209,</w:t>
      </w:r>
      <w:r w:rsidR="00541170" w:rsidRPr="00896EB7">
        <w:t>7</w:t>
      </w:r>
      <w:r w:rsidR="00BA6A91" w:rsidRPr="00896EB7">
        <w:t xml:space="preserve"> milijuna eura za Zajedničku poljoprivrednu politiku (u daljnjem tekstu: ZPP) – Izravna plaćanja poljoprivrednim proizvođačima Strateški plan 2023. – 2027., 179,</w:t>
      </w:r>
      <w:r w:rsidR="00C5336B" w:rsidRPr="00896EB7">
        <w:t>9</w:t>
      </w:r>
      <w:r w:rsidR="00BA6A91" w:rsidRPr="00896EB7">
        <w:t xml:space="preserve"> milijuna eura za ZPP – Izravna plaćanja poljoprivrednim proizvođačima</w:t>
      </w:r>
      <w:r w:rsidR="00C5336B" w:rsidRPr="00896EB7">
        <w:t xml:space="preserve">, </w:t>
      </w:r>
      <w:r w:rsidR="00BA6A91" w:rsidRPr="00896EB7">
        <w:t>27,5 milijuna eura za Izvanrednu pomoć proizvođačima zbog elementarnih nepogoda i nepovoljnih događaja</w:t>
      </w:r>
      <w:r w:rsidR="00C5336B" w:rsidRPr="00896EB7">
        <w:t>, 21</w:t>
      </w:r>
      <w:r w:rsidR="00BA6A91" w:rsidRPr="00896EB7">
        <w:t xml:space="preserve"> milijun eura za Izvanredne mjere pomoći u poljoprivredi</w:t>
      </w:r>
      <w:r w:rsidR="00C5336B" w:rsidRPr="00896EB7">
        <w:t xml:space="preserve">, </w:t>
      </w:r>
      <w:r w:rsidR="00BA6A91" w:rsidRPr="00896EB7">
        <w:t>14,2 milijuna eura za Izravna plaćanja u poljoprivredi</w:t>
      </w:r>
      <w:r w:rsidR="00C5336B" w:rsidRPr="00896EB7">
        <w:t xml:space="preserve">, 12,8 milijuna eura za ZPP – Mjere uređenja tržišta poljoprivrednih proizvoda, </w:t>
      </w:r>
      <w:r w:rsidR="00BA6A91" w:rsidRPr="00896EB7">
        <w:t>12,3 milijuna eura za Program potpore sektoru svinjogojstva zbog onemogućene aktivnosti uslijed pojave afričke svinjske kuge</w:t>
      </w:r>
      <w:r w:rsidR="00C5336B" w:rsidRPr="00896EB7">
        <w:t xml:space="preserve">, </w:t>
      </w:r>
      <w:r w:rsidR="00BA6A91" w:rsidRPr="00896EB7">
        <w:t>8,7 milijuna eura za Program potpore za kompenzaciju rasta cijena energenata u sektorima prerade poljoprivrednih proizvoda</w:t>
      </w:r>
      <w:r w:rsidR="00C5336B" w:rsidRPr="00896EB7">
        <w:t xml:space="preserve">, </w:t>
      </w:r>
      <w:r w:rsidR="00BA6A91" w:rsidRPr="00896EB7">
        <w:t>3,</w:t>
      </w:r>
      <w:r w:rsidR="00C5336B" w:rsidRPr="00896EB7">
        <w:t xml:space="preserve">8 </w:t>
      </w:r>
      <w:r w:rsidR="00BA6A91" w:rsidRPr="00896EB7">
        <w:t>milijuna eura za ZPP – Mjere uređenja tržišta poljoprivrednih proizvoda Strateški plan 2023. – 2027.</w:t>
      </w:r>
      <w:r w:rsidR="00C5336B" w:rsidRPr="00896EB7">
        <w:t xml:space="preserve">, 3,6 milijuna eura za Program državnih i de minimis potpora i sufinanciranje infrastrukture za razvoj poljoprivrede, 662.079,31 eura za Potpore za zbrinjavanje nusproizvoda životinjskog porijekla, 363.484,22 eura za Nacionalni program potpore proizvođačima u sektoru stočarstva, 191.143,16 eura za Uspostavu regionalnih organizacija vinograda i vinara, 149.015,20 eura za Nacionalni program potpora provedbe uzgojnih programa za toplokrvne pasmine, 140.530,00 eura za Program potpore pčelarima za saniranje šteta uzrokovanih pomorom pčelinjih zajednica, 138.997,00 eura za Školski medni dan, 2.569,05 eura za Program izvanredne potpore za prilagodbu proizvođačima u sektorima mliječnog govedarstva, svinjogojstva i peradarstva, 407,28 eura za Program potpore primarnim poljoprivrednim proizvođačima u stočarstvu zbog otežanih uvjeta poslovanja uzrokovanih </w:t>
      </w:r>
      <w:proofErr w:type="spellStart"/>
      <w:r w:rsidR="00C5336B" w:rsidRPr="00896EB7">
        <w:t>pandemijom</w:t>
      </w:r>
      <w:proofErr w:type="spellEnd"/>
      <w:r w:rsidR="00C5336B" w:rsidRPr="00896EB7">
        <w:t xml:space="preserve"> COVID-19 i 16,76 eura za Privremenu izvanrednu pomoć za proizvođače tovne junadi, tovnih svinja i janjadi </w:t>
      </w:r>
      <w:r w:rsidR="00CF5902">
        <w:t>–</w:t>
      </w:r>
      <w:r w:rsidR="00C5336B" w:rsidRPr="00896EB7">
        <w:t xml:space="preserve"> COVID-19.</w:t>
      </w:r>
    </w:p>
    <w:p w14:paraId="1E020946" w14:textId="77777777" w:rsidR="00BA6A91" w:rsidRPr="00896EB7" w:rsidRDefault="00BA6A91" w:rsidP="002F183A">
      <w:pPr>
        <w:jc w:val="both"/>
      </w:pPr>
    </w:p>
    <w:p w14:paraId="7A9926C5" w14:textId="23D36973" w:rsidR="002F183A" w:rsidRPr="00896EB7" w:rsidRDefault="00D05152" w:rsidP="00D05152">
      <w:pPr>
        <w:jc w:val="both"/>
      </w:pPr>
      <w:r w:rsidRPr="00B9741D">
        <w:rPr>
          <w:u w:val="single"/>
        </w:rPr>
        <w:t>Potpore za ruralni odnosno regionalni razvoj</w:t>
      </w:r>
      <w:r w:rsidRPr="00896EB7">
        <w:t xml:space="preserve"> </w:t>
      </w:r>
      <w:r w:rsidR="001B5A96" w:rsidRPr="00896EB7">
        <w:t>dodijeljene su u 2023. godini u iznosu od 446,6 milijuna eura,</w:t>
      </w:r>
      <w:r w:rsidR="006316E3" w:rsidRPr="00896EB7">
        <w:t xml:space="preserve"> </w:t>
      </w:r>
      <w:r w:rsidR="001B5A96" w:rsidRPr="00896EB7">
        <w:t xml:space="preserve">i to najvećim dijelom putem </w:t>
      </w:r>
      <w:r w:rsidR="006316E3" w:rsidRPr="00896EB7">
        <w:t>subvencij</w:t>
      </w:r>
      <w:r w:rsidR="002F183A" w:rsidRPr="00896EB7">
        <w:t xml:space="preserve">a u iznosu od </w:t>
      </w:r>
      <w:r w:rsidR="001B5A96" w:rsidRPr="00896EB7">
        <w:t xml:space="preserve">275 </w:t>
      </w:r>
      <w:r w:rsidR="002F183A" w:rsidRPr="00896EB7">
        <w:t xml:space="preserve">milijuna </w:t>
      </w:r>
      <w:r w:rsidR="001B5A96" w:rsidRPr="00896EB7">
        <w:t>eura</w:t>
      </w:r>
      <w:r w:rsidR="002F183A" w:rsidRPr="00896EB7">
        <w:t xml:space="preserve"> ili </w:t>
      </w:r>
      <w:r w:rsidR="001B5A96" w:rsidRPr="00896EB7">
        <w:t>61,6</w:t>
      </w:r>
      <w:r w:rsidR="002F183A" w:rsidRPr="00896EB7">
        <w:t xml:space="preserve"> posto u navedenim potporama, </w:t>
      </w:r>
      <w:r w:rsidR="009A6E91" w:rsidRPr="00896EB7">
        <w:t>kroz</w:t>
      </w:r>
      <w:r w:rsidR="002F183A" w:rsidRPr="00896EB7">
        <w:t xml:space="preserve"> kapitalna ulaganja</w:t>
      </w:r>
      <w:r w:rsidR="009A6E91" w:rsidRPr="00896EB7">
        <w:t xml:space="preserve"> </w:t>
      </w:r>
      <w:r w:rsidR="001B5A96" w:rsidRPr="00896EB7">
        <w:t xml:space="preserve">dodijeljen je </w:t>
      </w:r>
      <w:r w:rsidR="002F183A" w:rsidRPr="00896EB7">
        <w:t xml:space="preserve">iznos od </w:t>
      </w:r>
      <w:r w:rsidR="001B5A96" w:rsidRPr="00896EB7">
        <w:t>148,5</w:t>
      </w:r>
      <w:r w:rsidR="002F183A" w:rsidRPr="00896EB7">
        <w:t xml:space="preserve"> milijuna </w:t>
      </w:r>
      <w:r w:rsidR="001B5A96" w:rsidRPr="00896EB7">
        <w:t xml:space="preserve">eura </w:t>
      </w:r>
      <w:r w:rsidR="002F183A" w:rsidRPr="00896EB7">
        <w:t xml:space="preserve">ili </w:t>
      </w:r>
      <w:r w:rsidR="001B5A96" w:rsidRPr="00896EB7">
        <w:t>33,2</w:t>
      </w:r>
      <w:r w:rsidR="002F183A" w:rsidRPr="00896EB7">
        <w:t xml:space="preserve"> posto te </w:t>
      </w:r>
      <w:r w:rsidR="009A6E91" w:rsidRPr="00896EB7">
        <w:t>kroz</w:t>
      </w:r>
      <w:r w:rsidR="002F183A" w:rsidRPr="00896EB7">
        <w:t xml:space="preserve"> pov</w:t>
      </w:r>
      <w:r w:rsidR="009A6E91" w:rsidRPr="00896EB7">
        <w:t>o</w:t>
      </w:r>
      <w:r w:rsidR="002F183A" w:rsidRPr="00896EB7">
        <w:t xml:space="preserve">ljne </w:t>
      </w:r>
      <w:r w:rsidR="009A6E91" w:rsidRPr="00896EB7">
        <w:t>zajmove</w:t>
      </w:r>
      <w:r w:rsidR="002F183A" w:rsidRPr="00896EB7">
        <w:t xml:space="preserve"> iznos od </w:t>
      </w:r>
      <w:r w:rsidR="001B5A96" w:rsidRPr="00896EB7">
        <w:t xml:space="preserve">23,1 </w:t>
      </w:r>
      <w:r w:rsidR="002F183A" w:rsidRPr="00896EB7">
        <w:t xml:space="preserve">milijun </w:t>
      </w:r>
      <w:r w:rsidR="001B5A96" w:rsidRPr="00896EB7">
        <w:t xml:space="preserve">eura </w:t>
      </w:r>
      <w:r w:rsidR="009A6E91" w:rsidRPr="00896EB7">
        <w:t>ili</w:t>
      </w:r>
      <w:r w:rsidR="002F183A" w:rsidRPr="00896EB7">
        <w:t xml:space="preserve"> </w:t>
      </w:r>
      <w:r w:rsidR="001B5A96" w:rsidRPr="00896EB7">
        <w:t>5,2</w:t>
      </w:r>
      <w:r w:rsidR="002F183A" w:rsidRPr="00896EB7">
        <w:t xml:space="preserve"> posto.</w:t>
      </w:r>
    </w:p>
    <w:p w14:paraId="0E04F428" w14:textId="77777777" w:rsidR="00A46B32" w:rsidRPr="00896EB7" w:rsidRDefault="00A46B32" w:rsidP="00D05152">
      <w:pPr>
        <w:jc w:val="both"/>
      </w:pPr>
    </w:p>
    <w:p w14:paraId="4A630C07" w14:textId="606F5050" w:rsidR="00DF067C" w:rsidRPr="00896EB7" w:rsidRDefault="009A6E91" w:rsidP="00DF067C">
      <w:pPr>
        <w:jc w:val="both"/>
      </w:pPr>
      <w:r w:rsidRPr="00896EB7">
        <w:t xml:space="preserve">Potpore </w:t>
      </w:r>
      <w:r w:rsidR="001B5A96" w:rsidRPr="00896EB7">
        <w:t xml:space="preserve">dodijeljene </w:t>
      </w:r>
      <w:r w:rsidRPr="00896EB7">
        <w:t xml:space="preserve">za </w:t>
      </w:r>
      <w:r w:rsidR="001B5A96" w:rsidRPr="00896EB7">
        <w:t>ruralni odnosno regionalni</w:t>
      </w:r>
      <w:r w:rsidR="001B5A96" w:rsidRPr="00896EB7">
        <w:rPr>
          <w:b/>
        </w:rPr>
        <w:t xml:space="preserve"> </w:t>
      </w:r>
      <w:r w:rsidRPr="00896EB7">
        <w:t>razvoj</w:t>
      </w:r>
      <w:r w:rsidR="006316E3" w:rsidRPr="00896EB7">
        <w:t xml:space="preserve"> </w:t>
      </w:r>
      <w:r w:rsidRPr="00896EB7">
        <w:t xml:space="preserve">u iznosu od </w:t>
      </w:r>
      <w:r w:rsidR="001B5A96" w:rsidRPr="00896EB7">
        <w:t>446,6 milijuna eura</w:t>
      </w:r>
      <w:r w:rsidRPr="00896EB7">
        <w:t xml:space="preserve">, </w:t>
      </w:r>
      <w:r w:rsidR="001B5A96" w:rsidRPr="00896EB7">
        <w:t xml:space="preserve">odnose se na sljedeće programe i ciljeve, prikazane po visini iznosa dodjele: </w:t>
      </w:r>
      <w:r w:rsidR="00DF067C" w:rsidRPr="00896EB7">
        <w:t>85,9 milijuna eura za ZPP – mjere ruralnog razvoja – Mjera 4</w:t>
      </w:r>
      <w:r w:rsidR="00896EB7" w:rsidRPr="00896EB7">
        <w:t xml:space="preserve">, </w:t>
      </w:r>
      <w:r w:rsidR="00DF067C" w:rsidRPr="00896EB7">
        <w:t>56,8 milijuna eura za ZPP – mjere ruralnog razvoja – Mjera 13</w:t>
      </w:r>
      <w:r w:rsidR="00896EB7" w:rsidRPr="00896EB7">
        <w:t xml:space="preserve">, </w:t>
      </w:r>
      <w:r w:rsidR="00DF067C" w:rsidRPr="00896EB7">
        <w:t>55,1 milijun eura za ZPP – mjere ruralnog razvoja – Mjera 10</w:t>
      </w:r>
      <w:r w:rsidR="00896EB7" w:rsidRPr="00896EB7">
        <w:t xml:space="preserve">, </w:t>
      </w:r>
      <w:r w:rsidR="00DF067C" w:rsidRPr="00896EB7">
        <w:t>32,2 milijuna eura za ZPP – mjere ruralnog razvoja – Mjera 17</w:t>
      </w:r>
      <w:r w:rsidR="00896EB7" w:rsidRPr="00896EB7">
        <w:t xml:space="preserve">, </w:t>
      </w:r>
      <w:r w:rsidR="00DF067C" w:rsidRPr="00896EB7">
        <w:t>31,7 milijuna eura za ZPP – mjere ruralnog razvoja – Mjera 22</w:t>
      </w:r>
      <w:r w:rsidR="00896EB7" w:rsidRPr="00896EB7">
        <w:t xml:space="preserve">, </w:t>
      </w:r>
      <w:r w:rsidR="00DF067C" w:rsidRPr="00896EB7">
        <w:t>29,8 milijuna eura za ZPP – mjere ruralnog razvoja – Mjera 7</w:t>
      </w:r>
      <w:r w:rsidR="00896EB7" w:rsidRPr="00896EB7">
        <w:t xml:space="preserve">, </w:t>
      </w:r>
      <w:r w:rsidR="00DF067C" w:rsidRPr="00896EB7">
        <w:t>27,1 milijun eura za ZPP – mjere ruralnog razvoja – Mjera 11</w:t>
      </w:r>
      <w:r w:rsidR="00896EB7" w:rsidRPr="00896EB7">
        <w:t xml:space="preserve">, </w:t>
      </w:r>
      <w:r w:rsidR="00DF067C" w:rsidRPr="00896EB7">
        <w:t>23,9 milijuna eura za M 71.01. Strateški plan 2023.-2027.</w:t>
      </w:r>
      <w:r w:rsidR="00896EB7" w:rsidRPr="00896EB7">
        <w:t xml:space="preserve">, </w:t>
      </w:r>
      <w:r w:rsidR="00DF067C" w:rsidRPr="00896EB7">
        <w:t>20,1 milijun eura za ZPP - M 14, Instrument Europske unije za oporavak</w:t>
      </w:r>
      <w:r w:rsidR="00896EB7" w:rsidRPr="00896EB7">
        <w:t xml:space="preserve">, </w:t>
      </w:r>
      <w:r w:rsidR="00DF067C" w:rsidRPr="00896EB7">
        <w:t>16,1 milijun eura za ZPP – mjere ruralnog razvoja – Mjera 19</w:t>
      </w:r>
      <w:r w:rsidR="00896EB7" w:rsidRPr="00896EB7">
        <w:t xml:space="preserve">, </w:t>
      </w:r>
      <w:r w:rsidR="00DF067C" w:rsidRPr="00896EB7">
        <w:t>15,8 milijuna eura za ZPP – mjere ruralnog razvoja – Mjera 6</w:t>
      </w:r>
      <w:r w:rsidR="00896EB7" w:rsidRPr="00896EB7">
        <w:t xml:space="preserve">, </w:t>
      </w:r>
      <w:r w:rsidR="00DF067C" w:rsidRPr="00896EB7">
        <w:t>11 milijuna eura za ZPP – M 11, Instrument Europske unije za oporavak (EURI)</w:t>
      </w:r>
      <w:r w:rsidR="00896EB7" w:rsidRPr="00896EB7">
        <w:t xml:space="preserve">, </w:t>
      </w:r>
      <w:r w:rsidR="00DF067C" w:rsidRPr="00896EB7">
        <w:t>9,8 milijuna eura za ZPP – M 6, Instrument Europske unije za oporavak (EURI)</w:t>
      </w:r>
      <w:r w:rsidR="00896EB7" w:rsidRPr="00896EB7">
        <w:t xml:space="preserve">, </w:t>
      </w:r>
      <w:r w:rsidR="00DF067C" w:rsidRPr="00896EB7">
        <w:t>9,4 milijuna eura za ZPP – mjere ruralnog razvoja – Mjera 8</w:t>
      </w:r>
      <w:r w:rsidR="00896EB7" w:rsidRPr="00896EB7">
        <w:t xml:space="preserve">, </w:t>
      </w:r>
      <w:r w:rsidR="00DF067C" w:rsidRPr="00896EB7">
        <w:t>8,3 milijuna eura za ZPP – mjere ruralnog razvoja – Mjera 14</w:t>
      </w:r>
      <w:r w:rsidR="00896EB7" w:rsidRPr="00896EB7">
        <w:t xml:space="preserve">, </w:t>
      </w:r>
      <w:r w:rsidR="00DF067C" w:rsidRPr="00896EB7">
        <w:t xml:space="preserve">4,3 milijuna eura za ZPP – M 4, Instrument Europske unije za </w:t>
      </w:r>
      <w:r w:rsidR="00DF067C" w:rsidRPr="00896EB7">
        <w:lastRenderedPageBreak/>
        <w:t>oporavak (EURI)</w:t>
      </w:r>
      <w:r w:rsidR="00896EB7" w:rsidRPr="00896EB7">
        <w:t xml:space="preserve">, </w:t>
      </w:r>
      <w:r w:rsidR="00DF067C" w:rsidRPr="00896EB7">
        <w:t>3,8 milijuna eura za ZPP – mjere ruralnog razvoja – Mjera 5</w:t>
      </w:r>
      <w:r w:rsidR="00896EB7" w:rsidRPr="00896EB7">
        <w:t xml:space="preserve">, </w:t>
      </w:r>
      <w:r w:rsidR="00DF067C" w:rsidRPr="00896EB7">
        <w:t>2,8 milijuna eura za ZPP – mjere ruralnog razvoja – Mjera 20 (TP)</w:t>
      </w:r>
      <w:r w:rsidR="00896EB7" w:rsidRPr="00896EB7">
        <w:t xml:space="preserve">, </w:t>
      </w:r>
      <w:r w:rsidR="00DF067C" w:rsidRPr="00896EB7">
        <w:t>767.733,08 eura za ZPP – mjere ruralnog razvoja – Mjera 1</w:t>
      </w:r>
      <w:r w:rsidR="00896EB7" w:rsidRPr="00896EB7">
        <w:t xml:space="preserve">, </w:t>
      </w:r>
      <w:r w:rsidR="00DF067C" w:rsidRPr="00896EB7">
        <w:t>612.815,98 eura za ZPP – mjere ruralnog razvoja – Mjera 16</w:t>
      </w:r>
      <w:r w:rsidR="00896EB7" w:rsidRPr="00896EB7">
        <w:t xml:space="preserve">, </w:t>
      </w:r>
      <w:r w:rsidR="00DF067C" w:rsidRPr="00896EB7">
        <w:t>371.732,27 eura za ZPP – mjere ruralnog razvoja – Mjera 9</w:t>
      </w:r>
      <w:r w:rsidR="00896EB7" w:rsidRPr="00896EB7">
        <w:t xml:space="preserve">, </w:t>
      </w:r>
      <w:r w:rsidR="00DF067C" w:rsidRPr="00896EB7">
        <w:t xml:space="preserve">360.754,33 eura za Očuvanje izvornih i zaštićenih vrsta </w:t>
      </w:r>
      <w:proofErr w:type="spellStart"/>
      <w:r w:rsidR="00DF067C" w:rsidRPr="00896EB7">
        <w:t>kultivara</w:t>
      </w:r>
      <w:proofErr w:type="spellEnd"/>
      <w:r w:rsidR="00DF067C" w:rsidRPr="00896EB7">
        <w:t xml:space="preserve"> poljoprivrednog bilja</w:t>
      </w:r>
      <w:r w:rsidR="00896EB7" w:rsidRPr="00896EB7">
        <w:t xml:space="preserve">, </w:t>
      </w:r>
      <w:r w:rsidR="00DF067C" w:rsidRPr="00896EB7">
        <w:t>331.099,07 eura za</w:t>
      </w:r>
      <w:r w:rsidR="00896EB7" w:rsidRPr="00896EB7">
        <w:t xml:space="preserve"> ZPP – mjere ruralnog razvoja – Mjera 2, </w:t>
      </w:r>
      <w:r w:rsidR="00DF067C" w:rsidRPr="00896EB7">
        <w:t xml:space="preserve">258.556,18 eura za </w:t>
      </w:r>
      <w:r w:rsidR="00896EB7" w:rsidRPr="00896EB7">
        <w:t xml:space="preserve">ZPP – M 8, Instrument Europske unije za oporavak (EURI), </w:t>
      </w:r>
      <w:r w:rsidR="00DF067C" w:rsidRPr="00896EB7">
        <w:t xml:space="preserve">76.836,93 eura za </w:t>
      </w:r>
      <w:r w:rsidR="00896EB7" w:rsidRPr="00896EB7">
        <w:t xml:space="preserve">ZPP – mjere ruralnog razvoja – Mjera 3 i </w:t>
      </w:r>
      <w:r w:rsidR="00DF067C" w:rsidRPr="00896EB7">
        <w:t xml:space="preserve">1.172,94 eura za </w:t>
      </w:r>
      <w:r w:rsidR="00896EB7" w:rsidRPr="00896EB7">
        <w:t>ZPP – mjere ruralnog razvoja – Mjera 21.</w:t>
      </w:r>
    </w:p>
    <w:p w14:paraId="7099A959" w14:textId="77777777" w:rsidR="002C5185" w:rsidRPr="00896EB7" w:rsidRDefault="002C5185" w:rsidP="00BE487D">
      <w:pPr>
        <w:jc w:val="both"/>
      </w:pPr>
    </w:p>
    <w:p w14:paraId="4BFAE5F2" w14:textId="71F8B454" w:rsidR="00BB6350" w:rsidRPr="007A4040" w:rsidRDefault="006842B8" w:rsidP="00BE487D">
      <w:pPr>
        <w:jc w:val="both"/>
      </w:pPr>
      <w:r w:rsidRPr="00B9741D">
        <w:rPr>
          <w:u w:val="single"/>
        </w:rPr>
        <w:t>Potpore za ribarstvo</w:t>
      </w:r>
      <w:r w:rsidRPr="007A4040">
        <w:t xml:space="preserve"> </w:t>
      </w:r>
      <w:r w:rsidR="00896EB7" w:rsidRPr="007A4040">
        <w:t>dodijeljene su u 2023. godini u iznosu od 72,3 milijuna eura</w:t>
      </w:r>
      <w:r w:rsidR="00BB6350" w:rsidRPr="007A4040">
        <w:t xml:space="preserve">, </w:t>
      </w:r>
      <w:r w:rsidR="00F33933" w:rsidRPr="007A4040">
        <w:t xml:space="preserve">i to </w:t>
      </w:r>
      <w:r w:rsidR="00896EB7" w:rsidRPr="007A4040">
        <w:t xml:space="preserve">najvećim dijelom kroz kapitalna ulaganja u iznosu od 54,7 milijuna eura ili 75,6 posto u navedenim potporama, putem </w:t>
      </w:r>
      <w:r w:rsidR="00BB6350" w:rsidRPr="007A4040">
        <w:t xml:space="preserve">subvencija u iznosu od </w:t>
      </w:r>
      <w:r w:rsidR="00896EB7" w:rsidRPr="007A4040">
        <w:t xml:space="preserve">10,6 </w:t>
      </w:r>
      <w:r w:rsidR="00BB6350" w:rsidRPr="007A4040">
        <w:t xml:space="preserve">milijuna </w:t>
      </w:r>
      <w:r w:rsidR="00896EB7" w:rsidRPr="007A4040">
        <w:t xml:space="preserve">eura </w:t>
      </w:r>
      <w:r w:rsidR="00F33933" w:rsidRPr="007A4040">
        <w:t xml:space="preserve">ili s udjelom od </w:t>
      </w:r>
      <w:r w:rsidR="00896EB7" w:rsidRPr="007A4040">
        <w:t>14,7</w:t>
      </w:r>
      <w:r w:rsidR="00F33933" w:rsidRPr="007A4040">
        <w:t xml:space="preserve"> posto</w:t>
      </w:r>
      <w:r w:rsidRPr="007A4040">
        <w:t xml:space="preserve">, </w:t>
      </w:r>
      <w:r w:rsidR="00F33933" w:rsidRPr="007A4040">
        <w:t xml:space="preserve">te putem </w:t>
      </w:r>
      <w:r w:rsidRPr="007A4040">
        <w:t>porezn</w:t>
      </w:r>
      <w:r w:rsidR="00BB6350" w:rsidRPr="007A4040">
        <w:t>ih</w:t>
      </w:r>
      <w:r w:rsidRPr="007A4040">
        <w:t xml:space="preserve"> olakšic</w:t>
      </w:r>
      <w:r w:rsidR="00BB6350" w:rsidRPr="007A4040">
        <w:t xml:space="preserve">a u iznosu od </w:t>
      </w:r>
      <w:r w:rsidR="00896EB7" w:rsidRPr="007A4040">
        <w:t>7</w:t>
      </w:r>
      <w:r w:rsidR="00BB6350" w:rsidRPr="007A4040">
        <w:t xml:space="preserve"> milijuna </w:t>
      </w:r>
      <w:r w:rsidR="00896EB7" w:rsidRPr="007A4040">
        <w:t xml:space="preserve">eura </w:t>
      </w:r>
      <w:r w:rsidR="00F33933" w:rsidRPr="007A4040">
        <w:t xml:space="preserve">ili </w:t>
      </w:r>
      <w:r w:rsidR="00896EB7" w:rsidRPr="007A4040">
        <w:t>9,7</w:t>
      </w:r>
      <w:r w:rsidR="00F33933" w:rsidRPr="007A4040">
        <w:t xml:space="preserve"> posto.</w:t>
      </w:r>
      <w:r w:rsidR="00BB6350" w:rsidRPr="007A4040">
        <w:t xml:space="preserve"> </w:t>
      </w:r>
    </w:p>
    <w:p w14:paraId="4238A976" w14:textId="77777777" w:rsidR="00B37728" w:rsidRPr="007A4040" w:rsidRDefault="00B37728" w:rsidP="00BE487D">
      <w:pPr>
        <w:jc w:val="both"/>
      </w:pPr>
    </w:p>
    <w:p w14:paraId="030A7301" w14:textId="68FB4FCB" w:rsidR="00F53098" w:rsidRPr="007A4040" w:rsidRDefault="00896EB7" w:rsidP="00F53098">
      <w:pPr>
        <w:jc w:val="both"/>
      </w:pPr>
      <w:r w:rsidRPr="007A4040">
        <w:t xml:space="preserve">Putem poreznih olakšica u 2023. godini za ribarstvo je </w:t>
      </w:r>
      <w:r w:rsidR="00BB6350" w:rsidRPr="007A4040">
        <w:t>d</w:t>
      </w:r>
      <w:r w:rsidR="006842B8" w:rsidRPr="007A4040">
        <w:t>odijeljen</w:t>
      </w:r>
      <w:r w:rsidRPr="007A4040">
        <w:t xml:space="preserve"> </w:t>
      </w:r>
      <w:r w:rsidR="006842B8" w:rsidRPr="007A4040">
        <w:t xml:space="preserve">iznos od </w:t>
      </w:r>
      <w:r w:rsidRPr="007A4040">
        <w:t>7</w:t>
      </w:r>
      <w:r w:rsidR="00F33933" w:rsidRPr="007A4040">
        <w:t xml:space="preserve"> </w:t>
      </w:r>
      <w:r w:rsidR="006842B8" w:rsidRPr="007A4040">
        <w:t xml:space="preserve">milijuna </w:t>
      </w:r>
      <w:r w:rsidRPr="007A4040">
        <w:t>eura</w:t>
      </w:r>
      <w:r w:rsidR="00BB6350" w:rsidRPr="007A4040">
        <w:t>,</w:t>
      </w:r>
      <w:r w:rsidR="006842B8" w:rsidRPr="007A4040">
        <w:t xml:space="preserve"> </w:t>
      </w:r>
      <w:r w:rsidRPr="007A4040">
        <w:t xml:space="preserve">koji se </w:t>
      </w:r>
      <w:r w:rsidR="006842B8" w:rsidRPr="007A4040">
        <w:t>odnos</w:t>
      </w:r>
      <w:r w:rsidRPr="007A4040">
        <w:t>i</w:t>
      </w:r>
      <w:r w:rsidR="006842B8" w:rsidRPr="007A4040">
        <w:t xml:space="preserve"> na </w:t>
      </w:r>
      <w:r w:rsidR="00BB6350" w:rsidRPr="007A4040">
        <w:t>subvencioniranje</w:t>
      </w:r>
      <w:r w:rsidR="006842B8" w:rsidRPr="007A4040">
        <w:t xml:space="preserve"> potrošnj</w:t>
      </w:r>
      <w:r w:rsidR="00BB6350" w:rsidRPr="007A4040">
        <w:t>e</w:t>
      </w:r>
      <w:r w:rsidR="006842B8" w:rsidRPr="007A4040">
        <w:t xml:space="preserve"> „plavog </w:t>
      </w:r>
      <w:proofErr w:type="spellStart"/>
      <w:r w:rsidR="006842B8" w:rsidRPr="007A4040">
        <w:t>diesela</w:t>
      </w:r>
      <w:proofErr w:type="spellEnd"/>
      <w:r w:rsidR="006842B8" w:rsidRPr="007A4040">
        <w:t>“</w:t>
      </w:r>
      <w:r w:rsidR="009004AA" w:rsidRPr="007A4040">
        <w:t xml:space="preserve"> putem programa </w:t>
      </w:r>
      <w:r w:rsidR="006842B8" w:rsidRPr="007A4040">
        <w:t xml:space="preserve">Plavi </w:t>
      </w:r>
      <w:proofErr w:type="spellStart"/>
      <w:r w:rsidR="006842B8" w:rsidRPr="007A4040">
        <w:t>diesel</w:t>
      </w:r>
      <w:proofErr w:type="spellEnd"/>
      <w:r w:rsidR="006842B8" w:rsidRPr="007A4040">
        <w:t xml:space="preserve"> u ribarstvu i akvakulturi (</w:t>
      </w:r>
      <w:r w:rsidR="00F33933" w:rsidRPr="007A4040">
        <w:t xml:space="preserve">za </w:t>
      </w:r>
      <w:r w:rsidRPr="007A4040">
        <w:t xml:space="preserve">18.987.641,41 </w:t>
      </w:r>
      <w:r w:rsidR="00F33933" w:rsidRPr="007A4040">
        <w:t>litr</w:t>
      </w:r>
      <w:r w:rsidR="00F53098" w:rsidRPr="007A4040">
        <w:t>e</w:t>
      </w:r>
      <w:r w:rsidR="00F33933" w:rsidRPr="007A4040">
        <w:t xml:space="preserve"> isporučene količine za </w:t>
      </w:r>
      <w:r w:rsidR="00F53098" w:rsidRPr="007A4040">
        <w:t xml:space="preserve">2.036 </w:t>
      </w:r>
      <w:r w:rsidR="00F33933" w:rsidRPr="007A4040">
        <w:t>korisnika</w:t>
      </w:r>
      <w:r w:rsidR="006842B8" w:rsidRPr="007A4040">
        <w:t xml:space="preserve">). </w:t>
      </w:r>
      <w:r w:rsidR="00F53098" w:rsidRPr="007A4040">
        <w:t xml:space="preserve">Ostale potpore za ribarstvo koje su također dodjeljivane u 2023. godini odnose se na sljedeće programe i ciljeve, prikazane po visini iznosa dodjele: 55,9 milijuna eura za Operativni program ribarstva, </w:t>
      </w:r>
      <w:r w:rsidR="00017EE8" w:rsidRPr="007A4040">
        <w:t xml:space="preserve">a </w:t>
      </w:r>
      <w:r w:rsidR="00F53098" w:rsidRPr="007A4040">
        <w:t xml:space="preserve">od tog iznosa </w:t>
      </w:r>
      <w:r w:rsidR="00017EE8" w:rsidRPr="007A4040">
        <w:t xml:space="preserve">kroz kapitalna ulaganja dodijeljeno je 54,7 milijuna eura i putem subvencija dodijeljeno je 1,2 milijuna eura, zatim je </w:t>
      </w:r>
      <w:r w:rsidR="00F53098" w:rsidRPr="007A4040">
        <w:t xml:space="preserve">7,7 milijuna eura </w:t>
      </w:r>
      <w:r w:rsidR="00017EE8" w:rsidRPr="007A4040">
        <w:t xml:space="preserve">subvencija dodijeljeno </w:t>
      </w:r>
      <w:r w:rsidR="00F53098" w:rsidRPr="007A4040">
        <w:t>za Intervencije na tržištu proizvoda ribarstva</w:t>
      </w:r>
      <w:r w:rsidR="00017EE8" w:rsidRPr="007A4040">
        <w:t xml:space="preserve"> te </w:t>
      </w:r>
      <w:r w:rsidR="00F53098" w:rsidRPr="007A4040">
        <w:t xml:space="preserve">1,8 milijuna eura </w:t>
      </w:r>
      <w:r w:rsidR="00017EE8" w:rsidRPr="007A4040">
        <w:t xml:space="preserve">subvencija </w:t>
      </w:r>
      <w:r w:rsidR="00F53098" w:rsidRPr="007A4040">
        <w:t>za Održavanje eko sustava ribnjaka</w:t>
      </w:r>
      <w:r w:rsidR="00017EE8" w:rsidRPr="007A4040">
        <w:t>.</w:t>
      </w:r>
    </w:p>
    <w:p w14:paraId="0BDCBD93" w14:textId="77777777" w:rsidR="00F53098" w:rsidRDefault="00F53098" w:rsidP="00BE487D">
      <w:pPr>
        <w:jc w:val="both"/>
      </w:pPr>
    </w:p>
    <w:p w14:paraId="74C00654" w14:textId="6BACA5F9" w:rsidR="006842B8" w:rsidRPr="00C12460" w:rsidRDefault="006842B8" w:rsidP="00BE487D">
      <w:pPr>
        <w:contextualSpacing/>
        <w:jc w:val="both"/>
      </w:pPr>
      <w:r w:rsidRPr="00B9741D">
        <w:t xml:space="preserve">Slika </w:t>
      </w:r>
      <w:r w:rsidR="00C12460" w:rsidRPr="00B9741D">
        <w:t>6</w:t>
      </w:r>
      <w:r w:rsidRPr="00B9741D">
        <w:t xml:space="preserve">. Ukupno dodijeljene potpore poljoprivredi i ribarstvu </w:t>
      </w:r>
      <w:r w:rsidR="003C6434" w:rsidRPr="00B9741D">
        <w:t>u</w:t>
      </w:r>
      <w:r w:rsidRPr="00B9741D">
        <w:t xml:space="preserve"> razdoblj</w:t>
      </w:r>
      <w:r w:rsidR="003C6434" w:rsidRPr="00B9741D">
        <w:t>u</w:t>
      </w:r>
      <w:r w:rsidRPr="00B9741D">
        <w:t xml:space="preserve"> od 20</w:t>
      </w:r>
      <w:r w:rsidR="006A460E" w:rsidRPr="00B9741D">
        <w:t>1</w:t>
      </w:r>
      <w:r w:rsidR="00C12460" w:rsidRPr="00B9741D">
        <w:t>3</w:t>
      </w:r>
      <w:r w:rsidRPr="00B9741D">
        <w:t>. do 202</w:t>
      </w:r>
      <w:r w:rsidR="00C12460" w:rsidRPr="00B9741D">
        <w:t>3</w:t>
      </w:r>
      <w:r w:rsidRPr="00B9741D">
        <w:t>.</w:t>
      </w:r>
      <w:r w:rsidRPr="00C12460">
        <w:t xml:space="preserve"> godine (u milijunima </w:t>
      </w:r>
      <w:r w:rsidR="00C12460" w:rsidRPr="00C12460">
        <w:t>eura</w:t>
      </w:r>
      <w:r w:rsidRPr="00C12460">
        <w:t>)</w:t>
      </w:r>
    </w:p>
    <w:p w14:paraId="05BFB18A" w14:textId="77777777" w:rsidR="006842B8" w:rsidRPr="008149B5" w:rsidRDefault="006842B8" w:rsidP="00BE487D">
      <w:pPr>
        <w:jc w:val="both"/>
        <w:rPr>
          <w:sz w:val="20"/>
          <w:highlight w:val="red"/>
        </w:rPr>
      </w:pPr>
    </w:p>
    <w:p w14:paraId="1CAAC6BB" w14:textId="3467166C" w:rsidR="00F603E5" w:rsidRPr="008149B5" w:rsidRDefault="00F603E5" w:rsidP="003F30BB">
      <w:pPr>
        <w:jc w:val="center"/>
        <w:rPr>
          <w:highlight w:val="red"/>
        </w:rPr>
      </w:pPr>
      <w:r w:rsidRPr="008149B5">
        <w:rPr>
          <w:noProof/>
          <w:lang w:eastAsia="hr-HR"/>
        </w:rPr>
        <w:drawing>
          <wp:inline distT="0" distB="0" distL="0" distR="0" wp14:anchorId="71D3FA42" wp14:editId="63231553">
            <wp:extent cx="5595258" cy="2002971"/>
            <wp:effectExtent l="0" t="0" r="43815" b="35560"/>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0FC3A" w14:textId="77777777" w:rsidR="003F30BB" w:rsidRPr="003F30BB" w:rsidRDefault="003F30BB" w:rsidP="003F30BB">
      <w:pPr>
        <w:contextualSpacing/>
        <w:jc w:val="center"/>
        <w:rPr>
          <w:i/>
          <w:sz w:val="20"/>
        </w:rPr>
      </w:pPr>
      <w:r w:rsidRPr="003F30BB">
        <w:rPr>
          <w:i/>
          <w:sz w:val="20"/>
        </w:rPr>
        <w:t>Izvor: Ministarstvo financija, Ministarstvo poljoprivrede; podaci obrađeni u Ministarstvu financija</w:t>
      </w:r>
    </w:p>
    <w:p w14:paraId="77CBCB80" w14:textId="77777777" w:rsidR="00F603E5" w:rsidRPr="003C6434" w:rsidRDefault="00F603E5" w:rsidP="00BE487D">
      <w:pPr>
        <w:jc w:val="both"/>
      </w:pPr>
    </w:p>
    <w:p w14:paraId="0F7EE2A9" w14:textId="613AC918" w:rsidR="00100624" w:rsidRPr="003C6434" w:rsidRDefault="006842B8" w:rsidP="00100624">
      <w:pPr>
        <w:jc w:val="both"/>
        <w:rPr>
          <w:spacing w:val="-2"/>
        </w:rPr>
      </w:pPr>
      <w:r w:rsidRPr="003C6434">
        <w:rPr>
          <w:spacing w:val="-2"/>
        </w:rPr>
        <w:t>Sli</w:t>
      </w:r>
      <w:r w:rsidR="00100624" w:rsidRPr="003C6434">
        <w:rPr>
          <w:spacing w:val="-2"/>
        </w:rPr>
        <w:t xml:space="preserve">ka </w:t>
      </w:r>
      <w:r w:rsidR="003C6434" w:rsidRPr="003C6434">
        <w:rPr>
          <w:spacing w:val="-2"/>
        </w:rPr>
        <w:t>6</w:t>
      </w:r>
      <w:r w:rsidRPr="003C6434">
        <w:rPr>
          <w:spacing w:val="-2"/>
        </w:rPr>
        <w:t>. prikaz</w:t>
      </w:r>
      <w:r w:rsidR="00100624" w:rsidRPr="003C6434">
        <w:rPr>
          <w:spacing w:val="-2"/>
        </w:rPr>
        <w:t>uje</w:t>
      </w:r>
      <w:r w:rsidR="00C23BD1" w:rsidRPr="003C6434">
        <w:rPr>
          <w:spacing w:val="-2"/>
        </w:rPr>
        <w:t xml:space="preserve"> </w:t>
      </w:r>
      <w:r w:rsidRPr="003C6434">
        <w:rPr>
          <w:spacing w:val="-2"/>
        </w:rPr>
        <w:t xml:space="preserve">trend dodijeljenih potpora sektoru poljoprivrede i ribarstvu u milijunima </w:t>
      </w:r>
      <w:r w:rsidR="003C6434" w:rsidRPr="003C6434">
        <w:rPr>
          <w:spacing w:val="-2"/>
        </w:rPr>
        <w:t>eura</w:t>
      </w:r>
      <w:r w:rsidRPr="003C6434">
        <w:rPr>
          <w:spacing w:val="-2"/>
        </w:rPr>
        <w:t xml:space="preserve"> </w:t>
      </w:r>
      <w:r w:rsidR="0074548D" w:rsidRPr="003C6434">
        <w:rPr>
          <w:spacing w:val="-2"/>
        </w:rPr>
        <w:t>u</w:t>
      </w:r>
      <w:r w:rsidRPr="003C6434">
        <w:rPr>
          <w:spacing w:val="-2"/>
        </w:rPr>
        <w:t xml:space="preserve"> razdoblj</w:t>
      </w:r>
      <w:r w:rsidR="0074548D" w:rsidRPr="003C6434">
        <w:rPr>
          <w:spacing w:val="-2"/>
        </w:rPr>
        <w:t>u</w:t>
      </w:r>
      <w:r w:rsidRPr="003C6434">
        <w:rPr>
          <w:spacing w:val="-2"/>
        </w:rPr>
        <w:t xml:space="preserve"> od 20</w:t>
      </w:r>
      <w:r w:rsidR="00C23BD1" w:rsidRPr="003C6434">
        <w:rPr>
          <w:spacing w:val="-2"/>
        </w:rPr>
        <w:t>1</w:t>
      </w:r>
      <w:r w:rsidR="003C6434" w:rsidRPr="003C6434">
        <w:rPr>
          <w:spacing w:val="-2"/>
        </w:rPr>
        <w:t>3</w:t>
      </w:r>
      <w:r w:rsidRPr="003C6434">
        <w:rPr>
          <w:spacing w:val="-2"/>
        </w:rPr>
        <w:t>. do 202</w:t>
      </w:r>
      <w:r w:rsidR="003C6434" w:rsidRPr="003C6434">
        <w:rPr>
          <w:spacing w:val="-2"/>
        </w:rPr>
        <w:t>3</w:t>
      </w:r>
      <w:r w:rsidRPr="003C6434">
        <w:rPr>
          <w:spacing w:val="-2"/>
        </w:rPr>
        <w:t>. godine</w:t>
      </w:r>
      <w:r w:rsidR="00100624" w:rsidRPr="003C6434">
        <w:rPr>
          <w:spacing w:val="-2"/>
        </w:rPr>
        <w:t xml:space="preserve">, dok Slika </w:t>
      </w:r>
      <w:r w:rsidR="003C6434" w:rsidRPr="003C6434">
        <w:rPr>
          <w:spacing w:val="-2"/>
        </w:rPr>
        <w:t>7</w:t>
      </w:r>
      <w:r w:rsidR="00100624" w:rsidRPr="003C6434">
        <w:rPr>
          <w:spacing w:val="-2"/>
        </w:rPr>
        <w:t xml:space="preserve">. prikazuje udio potpora u sektoru poljoprivrede i ribarstva u ukupnim potporama u postotcima </w:t>
      </w:r>
      <w:r w:rsidR="0074548D" w:rsidRPr="003C6434">
        <w:rPr>
          <w:spacing w:val="-2"/>
        </w:rPr>
        <w:t xml:space="preserve">u razdoblju </w:t>
      </w:r>
      <w:r w:rsidR="00100624" w:rsidRPr="003C6434">
        <w:rPr>
          <w:spacing w:val="-2"/>
        </w:rPr>
        <w:t>od 201</w:t>
      </w:r>
      <w:r w:rsidR="003C6434" w:rsidRPr="003C6434">
        <w:rPr>
          <w:spacing w:val="-2"/>
        </w:rPr>
        <w:t>3</w:t>
      </w:r>
      <w:r w:rsidR="00100624" w:rsidRPr="003C6434">
        <w:rPr>
          <w:spacing w:val="-2"/>
        </w:rPr>
        <w:t>. do 202</w:t>
      </w:r>
      <w:r w:rsidR="003C6434" w:rsidRPr="003C6434">
        <w:rPr>
          <w:spacing w:val="-2"/>
        </w:rPr>
        <w:t>3</w:t>
      </w:r>
      <w:r w:rsidR="00100624" w:rsidRPr="003C6434">
        <w:rPr>
          <w:spacing w:val="-2"/>
        </w:rPr>
        <w:t xml:space="preserve">. godine. </w:t>
      </w:r>
    </w:p>
    <w:p w14:paraId="11CA22AC" w14:textId="77777777" w:rsidR="00C23BD1" w:rsidRPr="00C12460" w:rsidRDefault="00C23BD1" w:rsidP="00BE487D">
      <w:pPr>
        <w:jc w:val="both"/>
      </w:pPr>
    </w:p>
    <w:p w14:paraId="38CA587C" w14:textId="77777777" w:rsidR="003C6434" w:rsidRDefault="003C6434">
      <w:pPr>
        <w:rPr>
          <w:b/>
        </w:rPr>
      </w:pPr>
      <w:r>
        <w:rPr>
          <w:b/>
        </w:rPr>
        <w:br w:type="page"/>
      </w:r>
    </w:p>
    <w:p w14:paraId="12A0D995" w14:textId="0CA77D2A" w:rsidR="006842B8" w:rsidRPr="00CE6D70" w:rsidRDefault="006842B8" w:rsidP="00BE487D">
      <w:pPr>
        <w:jc w:val="both"/>
      </w:pPr>
      <w:r w:rsidRPr="00B9741D">
        <w:lastRenderedPageBreak/>
        <w:t xml:space="preserve">Slika </w:t>
      </w:r>
      <w:r w:rsidR="00C12460" w:rsidRPr="00B9741D">
        <w:t>7</w:t>
      </w:r>
      <w:r w:rsidRPr="00B9741D">
        <w:t>. Udio potpora poljoprivred</w:t>
      </w:r>
      <w:r w:rsidR="00C12460" w:rsidRPr="00B9741D">
        <w:t>e</w:t>
      </w:r>
      <w:r w:rsidRPr="00B9741D">
        <w:t xml:space="preserve"> i ribarstv</w:t>
      </w:r>
      <w:r w:rsidR="00C12460" w:rsidRPr="00B9741D">
        <w:t>a</w:t>
      </w:r>
      <w:r w:rsidRPr="00B9741D">
        <w:t xml:space="preserve"> u ukupnim potporama </w:t>
      </w:r>
      <w:r w:rsidR="00C04D37" w:rsidRPr="00B9741D">
        <w:t>u</w:t>
      </w:r>
      <w:r w:rsidRPr="00B9741D">
        <w:t xml:space="preserve"> razdoblj</w:t>
      </w:r>
      <w:r w:rsidR="00C04D37" w:rsidRPr="00B9741D">
        <w:t>u</w:t>
      </w:r>
      <w:r w:rsidRPr="00B9741D">
        <w:t xml:space="preserve"> od 20</w:t>
      </w:r>
      <w:r w:rsidR="006A460E" w:rsidRPr="00B9741D">
        <w:t>1</w:t>
      </w:r>
      <w:r w:rsidR="00C12460" w:rsidRPr="00B9741D">
        <w:t>3</w:t>
      </w:r>
      <w:r w:rsidRPr="00B9741D">
        <w:t>. do</w:t>
      </w:r>
      <w:r w:rsidRPr="00CE6D70">
        <w:t xml:space="preserve"> 202</w:t>
      </w:r>
      <w:r w:rsidR="00C12460" w:rsidRPr="00CE6D70">
        <w:t>3</w:t>
      </w:r>
      <w:r w:rsidRPr="00CE6D70">
        <w:t>. godine (%)</w:t>
      </w:r>
    </w:p>
    <w:p w14:paraId="3FC7EC57" w14:textId="77777777" w:rsidR="0087112A" w:rsidRPr="00CE6D70" w:rsidRDefault="0087112A" w:rsidP="00BE487D">
      <w:pPr>
        <w:jc w:val="both"/>
        <w:rPr>
          <w:sz w:val="20"/>
        </w:rPr>
      </w:pPr>
    </w:p>
    <w:p w14:paraId="2C6DA5DA" w14:textId="4B388F57" w:rsidR="00F603E5" w:rsidRPr="00CE6D70" w:rsidRDefault="00F603E5" w:rsidP="00CE6D70">
      <w:pPr>
        <w:jc w:val="center"/>
      </w:pPr>
      <w:r w:rsidRPr="00CE6D70">
        <w:rPr>
          <w:noProof/>
          <w:lang w:eastAsia="hr-HR"/>
        </w:rPr>
        <w:drawing>
          <wp:inline distT="0" distB="0" distL="0" distR="0" wp14:anchorId="53DFDED6" wp14:editId="356EFCDD">
            <wp:extent cx="5687786" cy="1834243"/>
            <wp:effectExtent l="0" t="0" r="46355" b="3302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1C2892" w14:textId="77777777" w:rsidR="00CE6D70" w:rsidRPr="00CE6D70" w:rsidRDefault="00CE6D70" w:rsidP="00CE6D70">
      <w:pPr>
        <w:contextualSpacing/>
        <w:jc w:val="center"/>
        <w:rPr>
          <w:i/>
          <w:sz w:val="20"/>
        </w:rPr>
      </w:pPr>
      <w:r w:rsidRPr="00CE6D70">
        <w:rPr>
          <w:i/>
          <w:sz w:val="20"/>
        </w:rPr>
        <w:t>Izvor: Ministarstvo financija, Ministarstvo poljoprivrede; podaci obrađeni u Ministarstvu financija</w:t>
      </w:r>
    </w:p>
    <w:p w14:paraId="5AD411E9" w14:textId="77777777" w:rsidR="00F603E5" w:rsidRPr="00CE6D70" w:rsidRDefault="00F603E5" w:rsidP="00BE487D">
      <w:pPr>
        <w:jc w:val="both"/>
      </w:pPr>
    </w:p>
    <w:p w14:paraId="75155199" w14:textId="6B71D58D" w:rsidR="001111C0" w:rsidRPr="0014260D" w:rsidRDefault="003C6434" w:rsidP="00BE487D">
      <w:pPr>
        <w:jc w:val="both"/>
        <w:rPr>
          <w:spacing w:val="-2"/>
        </w:rPr>
      </w:pPr>
      <w:r w:rsidRPr="0014260D">
        <w:rPr>
          <w:spacing w:val="-2"/>
          <w:u w:val="single"/>
        </w:rPr>
        <w:t>Potpore male vrijednosti</w:t>
      </w:r>
      <w:r w:rsidRPr="0014260D">
        <w:rPr>
          <w:spacing w:val="-2"/>
        </w:rPr>
        <w:t xml:space="preserve"> su također dodjeljivane u 2023. godini u sektoru poljoprivrede i ribarstva, te je </w:t>
      </w:r>
      <w:r w:rsidR="0014260D" w:rsidRPr="0014260D">
        <w:rPr>
          <w:spacing w:val="-2"/>
        </w:rPr>
        <w:t>Ministarstvo poljoprivrede</w:t>
      </w:r>
      <w:r w:rsidR="00F64327">
        <w:rPr>
          <w:spacing w:val="-2"/>
        </w:rPr>
        <w:t xml:space="preserve"> </w:t>
      </w:r>
      <w:r w:rsidRPr="0014260D">
        <w:rPr>
          <w:spacing w:val="-2"/>
        </w:rPr>
        <w:t>dodijelilo ukupan iznos</w:t>
      </w:r>
      <w:r w:rsidR="001111C0" w:rsidRPr="0014260D">
        <w:rPr>
          <w:spacing w:val="-2"/>
        </w:rPr>
        <w:t xml:space="preserve"> od </w:t>
      </w:r>
      <w:r w:rsidRPr="0014260D">
        <w:rPr>
          <w:spacing w:val="-2"/>
        </w:rPr>
        <w:t>11</w:t>
      </w:r>
      <w:r w:rsidR="00C33BEF" w:rsidRPr="0014260D">
        <w:rPr>
          <w:spacing w:val="-2"/>
        </w:rPr>
        <w:t xml:space="preserve"> </w:t>
      </w:r>
      <w:r w:rsidR="001111C0" w:rsidRPr="0014260D">
        <w:rPr>
          <w:spacing w:val="-2"/>
        </w:rPr>
        <w:t>milijun</w:t>
      </w:r>
      <w:r w:rsidR="00C33BEF" w:rsidRPr="0014260D">
        <w:rPr>
          <w:spacing w:val="-2"/>
        </w:rPr>
        <w:t>a</w:t>
      </w:r>
      <w:r w:rsidR="001111C0" w:rsidRPr="0014260D">
        <w:rPr>
          <w:spacing w:val="-2"/>
        </w:rPr>
        <w:t xml:space="preserve"> </w:t>
      </w:r>
      <w:r w:rsidRPr="0014260D">
        <w:rPr>
          <w:spacing w:val="-2"/>
        </w:rPr>
        <w:t>eura</w:t>
      </w:r>
      <w:r w:rsidR="00C33BEF" w:rsidRPr="0014260D">
        <w:rPr>
          <w:spacing w:val="-2"/>
        </w:rPr>
        <w:t xml:space="preserve">, </w:t>
      </w:r>
      <w:r w:rsidRPr="0014260D">
        <w:rPr>
          <w:spacing w:val="-2"/>
        </w:rPr>
        <w:t>a od navedenog iznosa, 2,4 milijuna eura odnosi se na ribarstvo, a 8,6 milijuna eura na poljoprivredu. U</w:t>
      </w:r>
      <w:r w:rsidR="001111C0" w:rsidRPr="0014260D">
        <w:rPr>
          <w:spacing w:val="-2"/>
        </w:rPr>
        <w:t>koliko</w:t>
      </w:r>
      <w:r w:rsidRPr="0014260D">
        <w:rPr>
          <w:spacing w:val="-2"/>
        </w:rPr>
        <w:t xml:space="preserve"> </w:t>
      </w:r>
      <w:r w:rsidR="001111C0" w:rsidRPr="0014260D">
        <w:rPr>
          <w:spacing w:val="-2"/>
        </w:rPr>
        <w:t xml:space="preserve">bi se </w:t>
      </w:r>
      <w:r w:rsidRPr="0014260D">
        <w:rPr>
          <w:spacing w:val="-2"/>
        </w:rPr>
        <w:t xml:space="preserve">navedene </w:t>
      </w:r>
      <w:r w:rsidR="001111C0" w:rsidRPr="0014260D">
        <w:rPr>
          <w:spacing w:val="-2"/>
        </w:rPr>
        <w:t xml:space="preserve">potpore male vrijednosti </w:t>
      </w:r>
      <w:r w:rsidRPr="0014260D">
        <w:rPr>
          <w:spacing w:val="-2"/>
        </w:rPr>
        <w:t xml:space="preserve">u iznosu od 11 milijuna eura </w:t>
      </w:r>
      <w:r w:rsidR="001111C0" w:rsidRPr="0014260D">
        <w:rPr>
          <w:spacing w:val="-2"/>
        </w:rPr>
        <w:t xml:space="preserve">pribrojile dodijeljenim potporama </w:t>
      </w:r>
      <w:r w:rsidRPr="0014260D">
        <w:rPr>
          <w:spacing w:val="-2"/>
        </w:rPr>
        <w:t xml:space="preserve">u sektoru poljoprivrede i ribarstva </w:t>
      </w:r>
      <w:r w:rsidR="001111C0" w:rsidRPr="0014260D">
        <w:rPr>
          <w:spacing w:val="-2"/>
        </w:rPr>
        <w:t xml:space="preserve">u iznosu od </w:t>
      </w:r>
      <w:r w:rsidRPr="0014260D">
        <w:rPr>
          <w:spacing w:val="-2"/>
        </w:rPr>
        <w:t>1.068</w:t>
      </w:r>
      <w:r w:rsidR="001111C0" w:rsidRPr="0014260D">
        <w:rPr>
          <w:spacing w:val="-2"/>
        </w:rPr>
        <w:t xml:space="preserve"> milijuna </w:t>
      </w:r>
      <w:r w:rsidRPr="0014260D">
        <w:rPr>
          <w:spacing w:val="-2"/>
        </w:rPr>
        <w:t>eura</w:t>
      </w:r>
      <w:r w:rsidR="001111C0" w:rsidRPr="0014260D">
        <w:rPr>
          <w:spacing w:val="-2"/>
        </w:rPr>
        <w:t xml:space="preserve">, ukupan iznos svih dodijeljenih potpora koje je dodijelilo </w:t>
      </w:r>
      <w:r w:rsidR="0014260D" w:rsidRPr="0014260D">
        <w:rPr>
          <w:spacing w:val="-2"/>
        </w:rPr>
        <w:t>Ministarstvo poljoprivrede</w:t>
      </w:r>
      <w:r w:rsidR="001111C0" w:rsidRPr="0014260D">
        <w:rPr>
          <w:spacing w:val="-2"/>
        </w:rPr>
        <w:t xml:space="preserve"> </w:t>
      </w:r>
      <w:r w:rsidRPr="0014260D">
        <w:rPr>
          <w:spacing w:val="-2"/>
        </w:rPr>
        <w:t xml:space="preserve">u sektoru poljoprivrede i ribarstva </w:t>
      </w:r>
      <w:r w:rsidR="001111C0" w:rsidRPr="0014260D">
        <w:rPr>
          <w:spacing w:val="-2"/>
        </w:rPr>
        <w:t xml:space="preserve">iznosi </w:t>
      </w:r>
      <w:r w:rsidRPr="0014260D">
        <w:rPr>
          <w:spacing w:val="-2"/>
        </w:rPr>
        <w:t>1.079</w:t>
      </w:r>
      <w:r w:rsidR="001111C0" w:rsidRPr="0014260D">
        <w:rPr>
          <w:spacing w:val="-2"/>
        </w:rPr>
        <w:t xml:space="preserve"> milijun</w:t>
      </w:r>
      <w:r w:rsidRPr="0014260D">
        <w:rPr>
          <w:spacing w:val="-2"/>
        </w:rPr>
        <w:t>a</w:t>
      </w:r>
      <w:r w:rsidR="001111C0" w:rsidRPr="0014260D">
        <w:rPr>
          <w:spacing w:val="-2"/>
        </w:rPr>
        <w:t xml:space="preserve"> </w:t>
      </w:r>
      <w:r w:rsidRPr="0014260D">
        <w:rPr>
          <w:spacing w:val="-2"/>
        </w:rPr>
        <w:t>eura</w:t>
      </w:r>
      <w:r w:rsidR="001111C0" w:rsidRPr="0014260D">
        <w:rPr>
          <w:spacing w:val="-2"/>
        </w:rPr>
        <w:t>.</w:t>
      </w:r>
    </w:p>
    <w:p w14:paraId="2E1EA648" w14:textId="77777777" w:rsidR="003C6434" w:rsidRDefault="003C6434" w:rsidP="00BE487D">
      <w:pPr>
        <w:jc w:val="both"/>
      </w:pPr>
    </w:p>
    <w:p w14:paraId="6AAF81AB" w14:textId="77777777" w:rsidR="003C6434" w:rsidRDefault="003C6434" w:rsidP="00BE487D">
      <w:pPr>
        <w:jc w:val="both"/>
      </w:pPr>
    </w:p>
    <w:p w14:paraId="646E7418" w14:textId="0A43EB88" w:rsidR="00CC2841" w:rsidRPr="003C6434" w:rsidRDefault="003C6434" w:rsidP="00BE487D">
      <w:pPr>
        <w:jc w:val="both"/>
        <w:rPr>
          <w:highlight w:val="red"/>
        </w:rPr>
      </w:pPr>
      <w:r w:rsidRPr="003C6434">
        <w:t xml:space="preserve"> </w:t>
      </w:r>
      <w:r w:rsidR="00CC2841" w:rsidRPr="003C6434">
        <w:rPr>
          <w:highlight w:val="red"/>
        </w:rPr>
        <w:br w:type="page"/>
      </w:r>
    </w:p>
    <w:p w14:paraId="7C68AC35" w14:textId="03EC3890" w:rsidR="00BE0817" w:rsidRPr="00CE6D70" w:rsidRDefault="00CC2841" w:rsidP="00BE487D">
      <w:pPr>
        <w:pStyle w:val="Heading1"/>
        <w:numPr>
          <w:ilvl w:val="0"/>
          <w:numId w:val="1"/>
        </w:numPr>
        <w:spacing w:before="0"/>
        <w:jc w:val="both"/>
        <w:rPr>
          <w:rFonts w:ascii="Times New Roman" w:hAnsi="Times New Roman" w:cs="Times New Roman"/>
          <w:b/>
          <w:color w:val="auto"/>
          <w:sz w:val="24"/>
          <w:szCs w:val="24"/>
        </w:rPr>
      </w:pPr>
      <w:bookmarkStart w:id="10" w:name="_Toc184635841"/>
      <w:r w:rsidRPr="00CE6D70">
        <w:rPr>
          <w:rFonts w:ascii="Times New Roman" w:hAnsi="Times New Roman" w:cs="Times New Roman"/>
          <w:b/>
          <w:color w:val="auto"/>
          <w:sz w:val="24"/>
          <w:szCs w:val="24"/>
        </w:rPr>
        <w:lastRenderedPageBreak/>
        <w:t>POTPORE INDUSTRIJI I USLUGAMA</w:t>
      </w:r>
      <w:bookmarkEnd w:id="10"/>
    </w:p>
    <w:p w14:paraId="56A3783F" w14:textId="77777777" w:rsidR="00BE0817" w:rsidRPr="00CE6D70" w:rsidRDefault="00BE0817" w:rsidP="00BE487D">
      <w:pPr>
        <w:jc w:val="both"/>
        <w:rPr>
          <w:b/>
        </w:rPr>
      </w:pPr>
    </w:p>
    <w:p w14:paraId="5848E0A0" w14:textId="77777777" w:rsidR="00CC2841" w:rsidRPr="00CE6D70" w:rsidRDefault="00CC2841" w:rsidP="00BE487D">
      <w:pPr>
        <w:jc w:val="both"/>
        <w:rPr>
          <w:b/>
        </w:rPr>
      </w:pPr>
    </w:p>
    <w:p w14:paraId="7EDE4EDC" w14:textId="5B275235" w:rsidR="008F4FFD" w:rsidRPr="00D83051" w:rsidRDefault="001566DB" w:rsidP="00BE487D">
      <w:pPr>
        <w:jc w:val="both"/>
      </w:pPr>
      <w:r w:rsidRPr="00D83051">
        <w:t>P</w:t>
      </w:r>
      <w:r w:rsidR="008F4FFD" w:rsidRPr="00D83051">
        <w:t xml:space="preserve">otpore u sektoru industrije i usluga </w:t>
      </w:r>
      <w:r w:rsidR="007366DE" w:rsidRPr="00D83051">
        <w:t xml:space="preserve">u 2023. godini </w:t>
      </w:r>
      <w:r w:rsidR="008F4FFD" w:rsidRPr="00D83051">
        <w:t xml:space="preserve">dodijeljene su u iznosu od </w:t>
      </w:r>
      <w:r w:rsidR="007366DE" w:rsidRPr="00D83051">
        <w:t xml:space="preserve">1.967,7 </w:t>
      </w:r>
      <w:r w:rsidR="008F4FFD" w:rsidRPr="00D83051">
        <w:t xml:space="preserve">milijuna </w:t>
      </w:r>
      <w:r w:rsidR="007366DE" w:rsidRPr="00D83051">
        <w:t>eura</w:t>
      </w:r>
      <w:r w:rsidR="008F4FFD" w:rsidRPr="00D83051">
        <w:t xml:space="preserve">, što </w:t>
      </w:r>
      <w:r w:rsidRPr="00D83051">
        <w:t>je</w:t>
      </w:r>
      <w:r w:rsidR="00295948" w:rsidRPr="00D83051">
        <w:t xml:space="preserve"> smanjenje </w:t>
      </w:r>
      <w:r w:rsidR="008F4FFD" w:rsidRPr="00D83051">
        <w:t xml:space="preserve">za </w:t>
      </w:r>
      <w:r w:rsidR="007366DE" w:rsidRPr="00D83051">
        <w:t>74</w:t>
      </w:r>
      <w:r w:rsidRPr="00D83051">
        <w:t xml:space="preserve"> </w:t>
      </w:r>
      <w:r w:rsidR="008F4FFD" w:rsidRPr="00D83051">
        <w:t>milijun</w:t>
      </w:r>
      <w:r w:rsidR="00295948" w:rsidRPr="00D83051">
        <w:t>a</w:t>
      </w:r>
      <w:r w:rsidR="008F4FFD" w:rsidRPr="00D83051">
        <w:t xml:space="preserve"> </w:t>
      </w:r>
      <w:r w:rsidR="007366DE" w:rsidRPr="00D83051">
        <w:t xml:space="preserve">eura </w:t>
      </w:r>
      <w:r w:rsidR="008F4FFD" w:rsidRPr="00D83051">
        <w:t>odnosno</w:t>
      </w:r>
      <w:r w:rsidR="000E3F47" w:rsidRPr="00D83051">
        <w:t xml:space="preserve"> za </w:t>
      </w:r>
      <w:r w:rsidR="007366DE" w:rsidRPr="00D83051">
        <w:t>3,6</w:t>
      </w:r>
      <w:r w:rsidR="008F4FFD" w:rsidRPr="00D83051">
        <w:t xml:space="preserve"> posto u odnosu na 20</w:t>
      </w:r>
      <w:r w:rsidR="00295948" w:rsidRPr="00D83051">
        <w:t>2</w:t>
      </w:r>
      <w:r w:rsidR="007366DE" w:rsidRPr="00D83051">
        <w:t>2</w:t>
      </w:r>
      <w:r w:rsidR="008F4FFD" w:rsidRPr="00D83051">
        <w:t xml:space="preserve">. godinu kada su </w:t>
      </w:r>
      <w:r w:rsidR="00295948" w:rsidRPr="00D83051">
        <w:t xml:space="preserve">navedene potpore </w:t>
      </w:r>
      <w:r w:rsidR="008F4FFD" w:rsidRPr="00D83051">
        <w:t xml:space="preserve">iznosile </w:t>
      </w:r>
      <w:r w:rsidR="007366DE" w:rsidRPr="00D83051">
        <w:t xml:space="preserve">2.041,7 </w:t>
      </w:r>
      <w:r w:rsidR="008F4FFD" w:rsidRPr="00D83051">
        <w:t xml:space="preserve">milijuna </w:t>
      </w:r>
      <w:r w:rsidR="007366DE" w:rsidRPr="00D83051">
        <w:t>eura</w:t>
      </w:r>
      <w:r w:rsidR="008F4FFD" w:rsidRPr="00D83051">
        <w:t xml:space="preserve">, te </w:t>
      </w:r>
      <w:r w:rsidRPr="00D83051">
        <w:t xml:space="preserve">je </w:t>
      </w:r>
      <w:r w:rsidR="007366DE" w:rsidRPr="00D83051">
        <w:t>povećanje</w:t>
      </w:r>
      <w:r w:rsidR="008F4FFD" w:rsidRPr="00D83051">
        <w:t xml:space="preserve"> za </w:t>
      </w:r>
      <w:r w:rsidR="007366DE" w:rsidRPr="00D83051">
        <w:t>33,4</w:t>
      </w:r>
      <w:r w:rsidRPr="00D83051">
        <w:t xml:space="preserve"> </w:t>
      </w:r>
      <w:r w:rsidR="008F4FFD" w:rsidRPr="00D83051">
        <w:t xml:space="preserve">milijuna </w:t>
      </w:r>
      <w:r w:rsidR="007366DE" w:rsidRPr="00D83051">
        <w:t xml:space="preserve">eura </w:t>
      </w:r>
      <w:r w:rsidR="008F4FFD" w:rsidRPr="00D83051">
        <w:t>ili</w:t>
      </w:r>
      <w:r w:rsidR="000E3F47" w:rsidRPr="00D83051">
        <w:t xml:space="preserve"> </w:t>
      </w:r>
      <w:r w:rsidR="007366DE" w:rsidRPr="00D83051">
        <w:t>1,7</w:t>
      </w:r>
      <w:r w:rsidR="008F4FFD" w:rsidRPr="00D83051">
        <w:t xml:space="preserve"> posto u odnosu na 20</w:t>
      </w:r>
      <w:r w:rsidRPr="00D83051">
        <w:t>2</w:t>
      </w:r>
      <w:r w:rsidR="007366DE" w:rsidRPr="00D83051">
        <w:t>1</w:t>
      </w:r>
      <w:r w:rsidR="008F4FFD" w:rsidRPr="00D83051">
        <w:t xml:space="preserve">. godinu kada su potpore iznosile </w:t>
      </w:r>
      <w:r w:rsidR="007366DE" w:rsidRPr="00D83051">
        <w:t xml:space="preserve">1.934,3 </w:t>
      </w:r>
      <w:r w:rsidR="008F4FFD" w:rsidRPr="00D83051">
        <w:t xml:space="preserve">milijuna </w:t>
      </w:r>
      <w:r w:rsidR="007366DE" w:rsidRPr="00D83051">
        <w:t>eura</w:t>
      </w:r>
      <w:r w:rsidR="008F4FFD" w:rsidRPr="00D83051">
        <w:t xml:space="preserve">. </w:t>
      </w:r>
    </w:p>
    <w:p w14:paraId="3EC2ABD1" w14:textId="77777777" w:rsidR="007366DE" w:rsidRPr="00C12460" w:rsidRDefault="007366DE" w:rsidP="00BE487D">
      <w:pPr>
        <w:jc w:val="both"/>
      </w:pPr>
    </w:p>
    <w:p w14:paraId="3BB033A2" w14:textId="6ECB564D" w:rsidR="008F4FFD" w:rsidRPr="00B9741D" w:rsidRDefault="008F4FFD" w:rsidP="00BE487D">
      <w:pPr>
        <w:contextualSpacing/>
        <w:jc w:val="both"/>
        <w:rPr>
          <w:bCs/>
        </w:rPr>
      </w:pPr>
      <w:r w:rsidRPr="00B9741D">
        <w:t xml:space="preserve">Tablica </w:t>
      </w:r>
      <w:r w:rsidR="00C12460" w:rsidRPr="00B9741D">
        <w:t>6</w:t>
      </w:r>
      <w:r w:rsidRPr="00B9741D">
        <w:t>. Potpore</w:t>
      </w:r>
      <w:r w:rsidRPr="00B9741D">
        <w:rPr>
          <w:bCs/>
        </w:rPr>
        <w:t xml:space="preserve"> industriji i uslugama </w:t>
      </w:r>
      <w:r w:rsidR="00C04D37" w:rsidRPr="00B9741D">
        <w:rPr>
          <w:bCs/>
        </w:rPr>
        <w:t>u</w:t>
      </w:r>
      <w:r w:rsidRPr="00B9741D">
        <w:rPr>
          <w:bCs/>
        </w:rPr>
        <w:t xml:space="preserve"> razdoblj</w:t>
      </w:r>
      <w:r w:rsidR="00C04D37" w:rsidRPr="00B9741D">
        <w:rPr>
          <w:bCs/>
        </w:rPr>
        <w:t>u</w:t>
      </w:r>
      <w:r w:rsidRPr="00B9741D">
        <w:rPr>
          <w:bCs/>
        </w:rPr>
        <w:t xml:space="preserve"> </w:t>
      </w:r>
      <w:r w:rsidRPr="00B9741D">
        <w:t>od 20</w:t>
      </w:r>
      <w:r w:rsidR="00031B30" w:rsidRPr="00B9741D">
        <w:t>2</w:t>
      </w:r>
      <w:r w:rsidR="00C12460" w:rsidRPr="00B9741D">
        <w:t>1</w:t>
      </w:r>
      <w:r w:rsidRPr="00B9741D">
        <w:t>. do 202</w:t>
      </w:r>
      <w:r w:rsidR="00C12460" w:rsidRPr="00B9741D">
        <w:t>3</w:t>
      </w:r>
      <w:r w:rsidRPr="00B9741D">
        <w:t>.</w:t>
      </w:r>
      <w:r w:rsidR="00A43EAC" w:rsidRPr="00B9741D">
        <w:t xml:space="preserve"> </w:t>
      </w:r>
      <w:r w:rsidRPr="00B9741D">
        <w:t>godine</w:t>
      </w:r>
    </w:p>
    <w:p w14:paraId="71B99016" w14:textId="77777777" w:rsidR="008F4FFD" w:rsidRPr="008149B5" w:rsidRDefault="008F4FFD" w:rsidP="00BE487D">
      <w:pPr>
        <w:contextualSpacing/>
        <w:jc w:val="both"/>
        <w:rPr>
          <w:bCs/>
          <w:sz w:val="20"/>
          <w:highlight w:val="red"/>
        </w:rPr>
      </w:pPr>
    </w:p>
    <w:tbl>
      <w:tblPr>
        <w:tblW w:w="8926" w:type="dxa"/>
        <w:tblLook w:val="04A0" w:firstRow="1" w:lastRow="0" w:firstColumn="1" w:lastColumn="0" w:noHBand="0" w:noVBand="1"/>
      </w:tblPr>
      <w:tblGrid>
        <w:gridCol w:w="3397"/>
        <w:gridCol w:w="993"/>
        <w:gridCol w:w="850"/>
        <w:gridCol w:w="992"/>
        <w:gridCol w:w="851"/>
        <w:gridCol w:w="992"/>
        <w:gridCol w:w="851"/>
      </w:tblGrid>
      <w:tr w:rsidR="00DB77E9" w:rsidRPr="00DB77E9" w14:paraId="446E966F" w14:textId="77777777" w:rsidTr="00C04D37">
        <w:trPr>
          <w:trHeight w:val="47"/>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6D98BB5" w14:textId="77777777" w:rsidR="00DB77E9" w:rsidRPr="00DB77E9" w:rsidRDefault="00DB77E9" w:rsidP="00DB77E9">
            <w:pPr>
              <w:jc w:val="center"/>
              <w:rPr>
                <w:b/>
                <w:bCs/>
                <w:sz w:val="20"/>
                <w:szCs w:val="20"/>
              </w:rPr>
            </w:pPr>
            <w:r w:rsidRPr="00DB77E9">
              <w:rPr>
                <w:b/>
                <w:bCs/>
                <w:sz w:val="20"/>
                <w:szCs w:val="20"/>
              </w:rPr>
              <w:t>Kategorija</w:t>
            </w:r>
          </w:p>
        </w:tc>
        <w:tc>
          <w:tcPr>
            <w:tcW w:w="1843" w:type="dxa"/>
            <w:gridSpan w:val="2"/>
            <w:tcBorders>
              <w:top w:val="single" w:sz="4" w:space="0" w:color="auto"/>
              <w:left w:val="nil"/>
              <w:bottom w:val="single" w:sz="4" w:space="0" w:color="auto"/>
              <w:right w:val="single" w:sz="4" w:space="0" w:color="000000"/>
            </w:tcBorders>
            <w:shd w:val="clear" w:color="000000" w:fill="FFFF99"/>
            <w:noWrap/>
            <w:vAlign w:val="bottom"/>
            <w:hideMark/>
          </w:tcPr>
          <w:p w14:paraId="12D1985E" w14:textId="3D5F3D5C" w:rsidR="00DB77E9" w:rsidRPr="00DB77E9" w:rsidRDefault="00DB77E9" w:rsidP="00DB77E9">
            <w:pPr>
              <w:jc w:val="center"/>
              <w:rPr>
                <w:b/>
                <w:bCs/>
                <w:sz w:val="20"/>
                <w:szCs w:val="20"/>
                <w:lang w:eastAsia="hr-HR"/>
              </w:rPr>
            </w:pPr>
            <w:r w:rsidRPr="00DB77E9">
              <w:rPr>
                <w:rFonts w:eastAsia="Times New Roman"/>
                <w:b/>
                <w:bCs/>
                <w:sz w:val="20"/>
                <w:szCs w:val="20"/>
                <w:lang w:eastAsia="hr-HR"/>
              </w:rPr>
              <w:t>2021.</w:t>
            </w:r>
          </w:p>
        </w:tc>
        <w:tc>
          <w:tcPr>
            <w:tcW w:w="1843"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0DCEFA22" w14:textId="6C78047B" w:rsidR="00DB77E9" w:rsidRPr="00DB77E9" w:rsidRDefault="00DB77E9" w:rsidP="00DB77E9">
            <w:pPr>
              <w:jc w:val="center"/>
              <w:rPr>
                <w:b/>
                <w:bCs/>
                <w:sz w:val="20"/>
                <w:szCs w:val="20"/>
                <w:lang w:eastAsia="hr-HR"/>
              </w:rPr>
            </w:pPr>
            <w:r w:rsidRPr="00DB77E9">
              <w:rPr>
                <w:rFonts w:eastAsia="Times New Roman"/>
                <w:b/>
                <w:bCs/>
                <w:sz w:val="20"/>
                <w:szCs w:val="20"/>
                <w:lang w:eastAsia="hr-HR"/>
              </w:rPr>
              <w:t>2022.</w:t>
            </w:r>
          </w:p>
        </w:tc>
        <w:tc>
          <w:tcPr>
            <w:tcW w:w="1843"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585EB5BA" w14:textId="5FC6DF86" w:rsidR="00DB77E9" w:rsidRPr="00DB77E9" w:rsidRDefault="00DB77E9" w:rsidP="00DB77E9">
            <w:pPr>
              <w:jc w:val="center"/>
              <w:rPr>
                <w:b/>
                <w:bCs/>
                <w:sz w:val="20"/>
                <w:szCs w:val="20"/>
                <w:lang w:eastAsia="hr-HR"/>
              </w:rPr>
            </w:pPr>
            <w:r w:rsidRPr="00DB77E9">
              <w:rPr>
                <w:rFonts w:eastAsia="Times New Roman"/>
                <w:b/>
                <w:bCs/>
                <w:sz w:val="20"/>
                <w:szCs w:val="20"/>
                <w:lang w:eastAsia="hr-HR"/>
              </w:rPr>
              <w:t>2023.</w:t>
            </w:r>
          </w:p>
        </w:tc>
      </w:tr>
      <w:tr w:rsidR="00DB77E9" w:rsidRPr="00DB77E9" w14:paraId="5436E38E" w14:textId="77777777" w:rsidTr="00C04D37">
        <w:trPr>
          <w:trHeight w:val="204"/>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18DEF72" w14:textId="77777777" w:rsidR="00DB77E9" w:rsidRPr="00DB77E9" w:rsidRDefault="00DB77E9" w:rsidP="00DB77E9">
            <w:pPr>
              <w:jc w:val="center"/>
              <w:rPr>
                <w:b/>
                <w:bCs/>
                <w:sz w:val="20"/>
                <w:szCs w:val="20"/>
              </w:rPr>
            </w:pPr>
          </w:p>
        </w:tc>
        <w:tc>
          <w:tcPr>
            <w:tcW w:w="993" w:type="dxa"/>
            <w:tcBorders>
              <w:top w:val="nil"/>
              <w:left w:val="nil"/>
              <w:bottom w:val="single" w:sz="4" w:space="0" w:color="auto"/>
              <w:right w:val="single" w:sz="4" w:space="0" w:color="auto"/>
            </w:tcBorders>
            <w:shd w:val="clear" w:color="000000" w:fill="FFFF99"/>
            <w:vAlign w:val="center"/>
            <w:hideMark/>
          </w:tcPr>
          <w:p w14:paraId="1D27E16D" w14:textId="1B4A88F0" w:rsidR="00DB77E9" w:rsidRPr="00DB77E9" w:rsidRDefault="00DB77E9" w:rsidP="00DB77E9">
            <w:pPr>
              <w:jc w:val="center"/>
              <w:rPr>
                <w:sz w:val="20"/>
                <w:szCs w:val="20"/>
              </w:rPr>
            </w:pPr>
            <w:r w:rsidRPr="00DB77E9">
              <w:rPr>
                <w:sz w:val="20"/>
                <w:szCs w:val="20"/>
              </w:rPr>
              <w:t xml:space="preserve">u </w:t>
            </w:r>
            <w:proofErr w:type="spellStart"/>
            <w:r w:rsidRPr="00DB77E9">
              <w:rPr>
                <w:sz w:val="20"/>
                <w:szCs w:val="20"/>
              </w:rPr>
              <w:t>mln</w:t>
            </w:r>
            <w:proofErr w:type="spellEnd"/>
            <w:r w:rsidRPr="00DB77E9">
              <w:rPr>
                <w:sz w:val="20"/>
                <w:szCs w:val="20"/>
              </w:rPr>
              <w:t xml:space="preserve"> EUR</w:t>
            </w:r>
          </w:p>
        </w:tc>
        <w:tc>
          <w:tcPr>
            <w:tcW w:w="850" w:type="dxa"/>
            <w:tcBorders>
              <w:top w:val="nil"/>
              <w:left w:val="nil"/>
              <w:bottom w:val="single" w:sz="4" w:space="0" w:color="auto"/>
              <w:right w:val="single" w:sz="4" w:space="0" w:color="auto"/>
            </w:tcBorders>
            <w:shd w:val="clear" w:color="000000" w:fill="FFFF99"/>
            <w:vAlign w:val="center"/>
            <w:hideMark/>
          </w:tcPr>
          <w:p w14:paraId="7A61216C" w14:textId="77777777" w:rsidR="00DB77E9" w:rsidRPr="00DB77E9" w:rsidRDefault="00DB77E9" w:rsidP="00DB77E9">
            <w:pPr>
              <w:jc w:val="center"/>
              <w:rPr>
                <w:sz w:val="20"/>
                <w:szCs w:val="20"/>
              </w:rPr>
            </w:pPr>
            <w:r w:rsidRPr="00DB77E9">
              <w:rPr>
                <w:sz w:val="20"/>
                <w:szCs w:val="20"/>
              </w:rPr>
              <w:t>udio (%)</w:t>
            </w:r>
          </w:p>
        </w:tc>
        <w:tc>
          <w:tcPr>
            <w:tcW w:w="992" w:type="dxa"/>
            <w:tcBorders>
              <w:top w:val="nil"/>
              <w:left w:val="nil"/>
              <w:bottom w:val="single" w:sz="4" w:space="0" w:color="auto"/>
              <w:right w:val="single" w:sz="4" w:space="0" w:color="auto"/>
            </w:tcBorders>
            <w:shd w:val="clear" w:color="000000" w:fill="FFFF99"/>
            <w:vAlign w:val="center"/>
            <w:hideMark/>
          </w:tcPr>
          <w:p w14:paraId="7B4C2338" w14:textId="11B95966" w:rsidR="00DB77E9" w:rsidRPr="00DB77E9" w:rsidRDefault="00DB77E9" w:rsidP="00DB77E9">
            <w:pPr>
              <w:jc w:val="center"/>
              <w:rPr>
                <w:sz w:val="20"/>
                <w:szCs w:val="20"/>
              </w:rPr>
            </w:pPr>
            <w:r w:rsidRPr="00DB77E9">
              <w:rPr>
                <w:sz w:val="20"/>
                <w:szCs w:val="20"/>
              </w:rPr>
              <w:t xml:space="preserve">u </w:t>
            </w:r>
            <w:proofErr w:type="spellStart"/>
            <w:r w:rsidRPr="00DB77E9">
              <w:rPr>
                <w:sz w:val="20"/>
                <w:szCs w:val="20"/>
              </w:rPr>
              <w:t>mln</w:t>
            </w:r>
            <w:proofErr w:type="spellEnd"/>
            <w:r w:rsidRPr="00DB77E9">
              <w:rPr>
                <w:sz w:val="20"/>
                <w:szCs w:val="20"/>
              </w:rPr>
              <w:t xml:space="preserve"> EUR</w:t>
            </w:r>
          </w:p>
        </w:tc>
        <w:tc>
          <w:tcPr>
            <w:tcW w:w="851" w:type="dxa"/>
            <w:tcBorders>
              <w:top w:val="nil"/>
              <w:left w:val="nil"/>
              <w:bottom w:val="single" w:sz="4" w:space="0" w:color="auto"/>
              <w:right w:val="single" w:sz="4" w:space="0" w:color="auto"/>
            </w:tcBorders>
            <w:shd w:val="clear" w:color="000000" w:fill="FFFF99"/>
            <w:vAlign w:val="center"/>
            <w:hideMark/>
          </w:tcPr>
          <w:p w14:paraId="3D2D4056" w14:textId="77777777" w:rsidR="00DB77E9" w:rsidRPr="00DB77E9" w:rsidRDefault="00DB77E9" w:rsidP="00DB77E9">
            <w:pPr>
              <w:jc w:val="center"/>
              <w:rPr>
                <w:sz w:val="20"/>
                <w:szCs w:val="20"/>
              </w:rPr>
            </w:pPr>
            <w:r w:rsidRPr="00DB77E9">
              <w:rPr>
                <w:sz w:val="20"/>
                <w:szCs w:val="20"/>
              </w:rPr>
              <w:t>udio (%)</w:t>
            </w:r>
          </w:p>
        </w:tc>
        <w:tc>
          <w:tcPr>
            <w:tcW w:w="992" w:type="dxa"/>
            <w:tcBorders>
              <w:top w:val="nil"/>
              <w:left w:val="nil"/>
              <w:bottom w:val="single" w:sz="4" w:space="0" w:color="auto"/>
              <w:right w:val="single" w:sz="4" w:space="0" w:color="auto"/>
            </w:tcBorders>
            <w:shd w:val="clear" w:color="000000" w:fill="FFFF99"/>
            <w:vAlign w:val="center"/>
            <w:hideMark/>
          </w:tcPr>
          <w:p w14:paraId="0C09F0B9" w14:textId="46ED3C68" w:rsidR="00DB77E9" w:rsidRPr="00DB77E9" w:rsidRDefault="00DB77E9" w:rsidP="00DB77E9">
            <w:pPr>
              <w:jc w:val="center"/>
              <w:rPr>
                <w:sz w:val="20"/>
                <w:szCs w:val="20"/>
              </w:rPr>
            </w:pPr>
            <w:r w:rsidRPr="00DB77E9">
              <w:rPr>
                <w:sz w:val="20"/>
                <w:szCs w:val="20"/>
              </w:rPr>
              <w:t xml:space="preserve">u </w:t>
            </w:r>
            <w:proofErr w:type="spellStart"/>
            <w:r w:rsidRPr="00DB77E9">
              <w:rPr>
                <w:sz w:val="20"/>
                <w:szCs w:val="20"/>
              </w:rPr>
              <w:t>mln</w:t>
            </w:r>
            <w:proofErr w:type="spellEnd"/>
            <w:r w:rsidRPr="00DB77E9">
              <w:rPr>
                <w:sz w:val="20"/>
                <w:szCs w:val="20"/>
              </w:rPr>
              <w:t xml:space="preserve"> EUR</w:t>
            </w:r>
          </w:p>
        </w:tc>
        <w:tc>
          <w:tcPr>
            <w:tcW w:w="851" w:type="dxa"/>
            <w:tcBorders>
              <w:top w:val="nil"/>
              <w:left w:val="nil"/>
              <w:bottom w:val="single" w:sz="4" w:space="0" w:color="auto"/>
              <w:right w:val="single" w:sz="4" w:space="0" w:color="auto"/>
            </w:tcBorders>
            <w:shd w:val="clear" w:color="000000" w:fill="FFFF99"/>
            <w:vAlign w:val="center"/>
            <w:hideMark/>
          </w:tcPr>
          <w:p w14:paraId="51CD8367" w14:textId="77777777" w:rsidR="00DB77E9" w:rsidRPr="00DB77E9" w:rsidRDefault="00DB77E9" w:rsidP="00DB77E9">
            <w:pPr>
              <w:jc w:val="center"/>
              <w:rPr>
                <w:sz w:val="20"/>
                <w:szCs w:val="20"/>
              </w:rPr>
            </w:pPr>
            <w:r w:rsidRPr="00DB77E9">
              <w:rPr>
                <w:sz w:val="20"/>
                <w:szCs w:val="20"/>
              </w:rPr>
              <w:t>udio (%)</w:t>
            </w:r>
          </w:p>
        </w:tc>
      </w:tr>
      <w:tr w:rsidR="00DB77E9" w:rsidRPr="00DB77E9" w14:paraId="10CF82AA" w14:textId="77777777" w:rsidTr="00C04D37">
        <w:trPr>
          <w:trHeight w:val="4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C48FF5" w14:textId="77777777" w:rsidR="00DB77E9" w:rsidRPr="00DB77E9" w:rsidRDefault="00DB77E9" w:rsidP="00DB77E9">
            <w:pPr>
              <w:jc w:val="both"/>
              <w:rPr>
                <w:b/>
                <w:bCs/>
                <w:sz w:val="20"/>
                <w:szCs w:val="20"/>
              </w:rPr>
            </w:pPr>
            <w:r w:rsidRPr="00DB77E9">
              <w:rPr>
                <w:b/>
                <w:bCs/>
                <w:sz w:val="20"/>
                <w:szCs w:val="20"/>
              </w:rPr>
              <w:t>Industrija i usluge</w:t>
            </w:r>
          </w:p>
        </w:tc>
        <w:tc>
          <w:tcPr>
            <w:tcW w:w="993" w:type="dxa"/>
            <w:tcBorders>
              <w:top w:val="nil"/>
              <w:left w:val="nil"/>
              <w:bottom w:val="single" w:sz="4" w:space="0" w:color="auto"/>
              <w:right w:val="single" w:sz="4" w:space="0" w:color="auto"/>
            </w:tcBorders>
            <w:shd w:val="clear" w:color="auto" w:fill="auto"/>
            <w:noWrap/>
            <w:vAlign w:val="center"/>
            <w:hideMark/>
          </w:tcPr>
          <w:p w14:paraId="07D38DE3" w14:textId="2ED29A35" w:rsidR="00DB77E9" w:rsidRPr="00DB77E9" w:rsidRDefault="00DB77E9" w:rsidP="00DB77E9">
            <w:pPr>
              <w:jc w:val="right"/>
              <w:rPr>
                <w:b/>
                <w:sz w:val="20"/>
                <w:szCs w:val="20"/>
              </w:rPr>
            </w:pPr>
            <w:r w:rsidRPr="00DB77E9">
              <w:rPr>
                <w:rFonts w:eastAsia="Times New Roman"/>
                <w:b/>
                <w:bCs/>
                <w:sz w:val="20"/>
                <w:szCs w:val="20"/>
                <w:lang w:eastAsia="hr-HR"/>
              </w:rPr>
              <w:t>1.934,3</w:t>
            </w:r>
          </w:p>
        </w:tc>
        <w:tc>
          <w:tcPr>
            <w:tcW w:w="850" w:type="dxa"/>
            <w:tcBorders>
              <w:top w:val="nil"/>
              <w:left w:val="nil"/>
              <w:bottom w:val="single" w:sz="4" w:space="0" w:color="auto"/>
              <w:right w:val="single" w:sz="4" w:space="0" w:color="auto"/>
            </w:tcBorders>
            <w:shd w:val="clear" w:color="auto" w:fill="auto"/>
            <w:noWrap/>
            <w:vAlign w:val="center"/>
            <w:hideMark/>
          </w:tcPr>
          <w:p w14:paraId="7240F6D0" w14:textId="2A3574C3" w:rsidR="00DB77E9" w:rsidRPr="00DB77E9" w:rsidRDefault="00DB77E9" w:rsidP="00DB77E9">
            <w:pPr>
              <w:jc w:val="center"/>
              <w:rPr>
                <w:b/>
                <w:sz w:val="20"/>
                <w:szCs w:val="20"/>
              </w:rPr>
            </w:pPr>
            <w:r w:rsidRPr="00DB77E9">
              <w:rPr>
                <w:rFonts w:eastAsia="Times New Roman"/>
                <w:b/>
                <w:bCs/>
                <w:sz w:val="20"/>
                <w:szCs w:val="20"/>
                <w:lang w:eastAsia="hr-HR"/>
              </w:rPr>
              <w:t>100,00</w:t>
            </w:r>
          </w:p>
        </w:tc>
        <w:tc>
          <w:tcPr>
            <w:tcW w:w="992" w:type="dxa"/>
            <w:tcBorders>
              <w:top w:val="nil"/>
              <w:left w:val="nil"/>
              <w:bottom w:val="single" w:sz="4" w:space="0" w:color="auto"/>
              <w:right w:val="single" w:sz="4" w:space="0" w:color="auto"/>
            </w:tcBorders>
            <w:shd w:val="clear" w:color="auto" w:fill="auto"/>
            <w:noWrap/>
            <w:vAlign w:val="center"/>
          </w:tcPr>
          <w:p w14:paraId="414989FD" w14:textId="73D7F7AE" w:rsidR="00DB77E9" w:rsidRPr="00DB77E9" w:rsidRDefault="00DB77E9" w:rsidP="00DB77E9">
            <w:pPr>
              <w:jc w:val="right"/>
              <w:rPr>
                <w:b/>
                <w:sz w:val="20"/>
                <w:szCs w:val="20"/>
              </w:rPr>
            </w:pPr>
            <w:r w:rsidRPr="00DB77E9">
              <w:rPr>
                <w:rFonts w:eastAsia="Times New Roman"/>
                <w:b/>
                <w:bCs/>
                <w:sz w:val="20"/>
                <w:szCs w:val="20"/>
                <w:lang w:eastAsia="hr-HR"/>
              </w:rPr>
              <w:t>2.041,7</w:t>
            </w:r>
          </w:p>
        </w:tc>
        <w:tc>
          <w:tcPr>
            <w:tcW w:w="851" w:type="dxa"/>
            <w:tcBorders>
              <w:top w:val="nil"/>
              <w:left w:val="nil"/>
              <w:bottom w:val="single" w:sz="4" w:space="0" w:color="auto"/>
              <w:right w:val="single" w:sz="4" w:space="0" w:color="auto"/>
            </w:tcBorders>
            <w:shd w:val="clear" w:color="auto" w:fill="auto"/>
            <w:noWrap/>
            <w:vAlign w:val="center"/>
          </w:tcPr>
          <w:p w14:paraId="4B5C692D" w14:textId="340EDF6E" w:rsidR="00DB77E9" w:rsidRPr="00DB77E9" w:rsidRDefault="00DB77E9" w:rsidP="00DB77E9">
            <w:pPr>
              <w:jc w:val="center"/>
              <w:rPr>
                <w:b/>
                <w:sz w:val="20"/>
                <w:szCs w:val="20"/>
              </w:rPr>
            </w:pPr>
            <w:r w:rsidRPr="00DB77E9">
              <w:rPr>
                <w:rFonts w:eastAsia="Times New Roman"/>
                <w:b/>
                <w:bCs/>
                <w:sz w:val="20"/>
                <w:szCs w:val="20"/>
                <w:lang w:eastAsia="hr-HR"/>
              </w:rPr>
              <w:t>100,00</w:t>
            </w:r>
          </w:p>
        </w:tc>
        <w:tc>
          <w:tcPr>
            <w:tcW w:w="992" w:type="dxa"/>
            <w:tcBorders>
              <w:top w:val="nil"/>
              <w:left w:val="nil"/>
              <w:bottom w:val="single" w:sz="4" w:space="0" w:color="auto"/>
              <w:right w:val="single" w:sz="4" w:space="0" w:color="auto"/>
            </w:tcBorders>
            <w:shd w:val="clear" w:color="auto" w:fill="auto"/>
            <w:noWrap/>
            <w:vAlign w:val="center"/>
          </w:tcPr>
          <w:p w14:paraId="333BD0D2" w14:textId="1F1B7BEC" w:rsidR="00DB77E9" w:rsidRPr="00DB77E9" w:rsidRDefault="00DB77E9" w:rsidP="00DB77E9">
            <w:pPr>
              <w:jc w:val="right"/>
              <w:rPr>
                <w:b/>
                <w:sz w:val="20"/>
                <w:szCs w:val="20"/>
              </w:rPr>
            </w:pPr>
            <w:r w:rsidRPr="00DB77E9">
              <w:rPr>
                <w:rFonts w:eastAsia="Times New Roman"/>
                <w:b/>
                <w:bCs/>
                <w:sz w:val="20"/>
                <w:szCs w:val="20"/>
                <w:lang w:eastAsia="hr-HR"/>
              </w:rPr>
              <w:t>1.967,7</w:t>
            </w:r>
          </w:p>
        </w:tc>
        <w:tc>
          <w:tcPr>
            <w:tcW w:w="851" w:type="dxa"/>
            <w:tcBorders>
              <w:top w:val="nil"/>
              <w:left w:val="nil"/>
              <w:bottom w:val="single" w:sz="4" w:space="0" w:color="auto"/>
              <w:right w:val="single" w:sz="4" w:space="0" w:color="auto"/>
            </w:tcBorders>
            <w:shd w:val="clear" w:color="auto" w:fill="auto"/>
            <w:noWrap/>
            <w:vAlign w:val="center"/>
          </w:tcPr>
          <w:p w14:paraId="1D48E6EB" w14:textId="245B7A42" w:rsidR="00DB77E9" w:rsidRPr="00DB77E9" w:rsidRDefault="00DB77E9" w:rsidP="00DB77E9">
            <w:pPr>
              <w:jc w:val="center"/>
              <w:rPr>
                <w:b/>
                <w:sz w:val="20"/>
                <w:szCs w:val="20"/>
              </w:rPr>
            </w:pPr>
            <w:r w:rsidRPr="00DB77E9">
              <w:rPr>
                <w:rFonts w:eastAsia="Times New Roman"/>
                <w:b/>
                <w:bCs/>
                <w:sz w:val="20"/>
                <w:szCs w:val="20"/>
                <w:lang w:eastAsia="hr-HR"/>
              </w:rPr>
              <w:t>100,00</w:t>
            </w:r>
          </w:p>
        </w:tc>
      </w:tr>
      <w:tr w:rsidR="00DB77E9" w:rsidRPr="00DB77E9" w14:paraId="5E253246" w14:textId="77777777" w:rsidTr="00C04D37">
        <w:trPr>
          <w:trHeight w:val="4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D47D91" w14:textId="77777777" w:rsidR="00DB77E9" w:rsidRPr="00DB77E9" w:rsidRDefault="00DB77E9" w:rsidP="00DB77E9">
            <w:pPr>
              <w:jc w:val="both"/>
              <w:rPr>
                <w:iCs/>
                <w:sz w:val="20"/>
                <w:szCs w:val="20"/>
              </w:rPr>
            </w:pPr>
            <w:r w:rsidRPr="00DB77E9">
              <w:rPr>
                <w:iCs/>
                <w:sz w:val="20"/>
                <w:szCs w:val="20"/>
              </w:rPr>
              <w:t>1. Sektorske potpore</w:t>
            </w:r>
          </w:p>
        </w:tc>
        <w:tc>
          <w:tcPr>
            <w:tcW w:w="993" w:type="dxa"/>
            <w:tcBorders>
              <w:top w:val="nil"/>
              <w:left w:val="nil"/>
              <w:bottom w:val="single" w:sz="4" w:space="0" w:color="auto"/>
              <w:right w:val="single" w:sz="4" w:space="0" w:color="auto"/>
            </w:tcBorders>
            <w:shd w:val="clear" w:color="auto" w:fill="auto"/>
            <w:noWrap/>
            <w:vAlign w:val="center"/>
            <w:hideMark/>
          </w:tcPr>
          <w:p w14:paraId="09E1D3EF" w14:textId="2982D949" w:rsidR="00DB77E9" w:rsidRPr="00DB77E9" w:rsidRDefault="00DB77E9" w:rsidP="00DB77E9">
            <w:pPr>
              <w:jc w:val="right"/>
              <w:rPr>
                <w:b/>
                <w:sz w:val="20"/>
                <w:szCs w:val="20"/>
              </w:rPr>
            </w:pPr>
            <w:r w:rsidRPr="00DB77E9">
              <w:rPr>
                <w:rFonts w:eastAsia="Times New Roman"/>
                <w:b/>
                <w:sz w:val="20"/>
                <w:szCs w:val="20"/>
                <w:lang w:eastAsia="hr-HR"/>
              </w:rPr>
              <w:t>584,3</w:t>
            </w:r>
          </w:p>
        </w:tc>
        <w:tc>
          <w:tcPr>
            <w:tcW w:w="850" w:type="dxa"/>
            <w:tcBorders>
              <w:top w:val="nil"/>
              <w:left w:val="nil"/>
              <w:bottom w:val="single" w:sz="4" w:space="0" w:color="auto"/>
              <w:right w:val="single" w:sz="4" w:space="0" w:color="auto"/>
            </w:tcBorders>
            <w:shd w:val="clear" w:color="auto" w:fill="auto"/>
            <w:noWrap/>
            <w:vAlign w:val="center"/>
            <w:hideMark/>
          </w:tcPr>
          <w:p w14:paraId="17437C33" w14:textId="5DBA8E43" w:rsidR="00DB77E9" w:rsidRPr="00DB77E9" w:rsidRDefault="00DB77E9" w:rsidP="00DB77E9">
            <w:pPr>
              <w:jc w:val="center"/>
              <w:rPr>
                <w:b/>
                <w:sz w:val="20"/>
                <w:szCs w:val="20"/>
              </w:rPr>
            </w:pPr>
            <w:r w:rsidRPr="00DB77E9">
              <w:rPr>
                <w:rFonts w:eastAsia="Times New Roman"/>
                <w:b/>
                <w:sz w:val="20"/>
                <w:szCs w:val="20"/>
                <w:lang w:eastAsia="hr-HR"/>
              </w:rPr>
              <w:t>30,21</w:t>
            </w:r>
          </w:p>
        </w:tc>
        <w:tc>
          <w:tcPr>
            <w:tcW w:w="992" w:type="dxa"/>
            <w:tcBorders>
              <w:top w:val="nil"/>
              <w:left w:val="nil"/>
              <w:bottom w:val="single" w:sz="4" w:space="0" w:color="auto"/>
              <w:right w:val="single" w:sz="4" w:space="0" w:color="auto"/>
            </w:tcBorders>
            <w:shd w:val="clear" w:color="auto" w:fill="auto"/>
            <w:noWrap/>
            <w:vAlign w:val="center"/>
          </w:tcPr>
          <w:p w14:paraId="13006EA5" w14:textId="3F45B29D" w:rsidR="00DB77E9" w:rsidRPr="00DB77E9" w:rsidRDefault="00DB77E9" w:rsidP="00DB77E9">
            <w:pPr>
              <w:jc w:val="right"/>
              <w:rPr>
                <w:b/>
                <w:sz w:val="20"/>
                <w:szCs w:val="20"/>
              </w:rPr>
            </w:pPr>
            <w:r w:rsidRPr="00DB77E9">
              <w:rPr>
                <w:rFonts w:eastAsia="Times New Roman"/>
                <w:b/>
                <w:sz w:val="20"/>
                <w:szCs w:val="20"/>
                <w:lang w:eastAsia="hr-HR"/>
              </w:rPr>
              <w:t>604,2</w:t>
            </w:r>
          </w:p>
        </w:tc>
        <w:tc>
          <w:tcPr>
            <w:tcW w:w="851" w:type="dxa"/>
            <w:tcBorders>
              <w:top w:val="nil"/>
              <w:left w:val="nil"/>
              <w:bottom w:val="single" w:sz="4" w:space="0" w:color="auto"/>
              <w:right w:val="single" w:sz="4" w:space="0" w:color="auto"/>
            </w:tcBorders>
            <w:shd w:val="clear" w:color="auto" w:fill="auto"/>
            <w:noWrap/>
            <w:vAlign w:val="center"/>
          </w:tcPr>
          <w:p w14:paraId="57C58B22" w14:textId="399E5BB9" w:rsidR="00DB77E9" w:rsidRPr="00DB77E9" w:rsidRDefault="00DB77E9" w:rsidP="00DB77E9">
            <w:pPr>
              <w:jc w:val="center"/>
              <w:rPr>
                <w:b/>
                <w:sz w:val="20"/>
                <w:szCs w:val="20"/>
              </w:rPr>
            </w:pPr>
            <w:r w:rsidRPr="00DB77E9">
              <w:rPr>
                <w:rFonts w:eastAsia="Times New Roman"/>
                <w:b/>
                <w:sz w:val="20"/>
                <w:szCs w:val="20"/>
                <w:lang w:eastAsia="hr-HR"/>
              </w:rPr>
              <w:t>29,59</w:t>
            </w:r>
          </w:p>
        </w:tc>
        <w:tc>
          <w:tcPr>
            <w:tcW w:w="992" w:type="dxa"/>
            <w:tcBorders>
              <w:top w:val="nil"/>
              <w:left w:val="nil"/>
              <w:bottom w:val="single" w:sz="4" w:space="0" w:color="auto"/>
              <w:right w:val="single" w:sz="4" w:space="0" w:color="auto"/>
            </w:tcBorders>
            <w:shd w:val="clear" w:color="auto" w:fill="auto"/>
            <w:noWrap/>
            <w:vAlign w:val="center"/>
          </w:tcPr>
          <w:p w14:paraId="50777469" w14:textId="7C6DCF7E" w:rsidR="00DB77E9" w:rsidRPr="00DB77E9" w:rsidRDefault="00DB77E9" w:rsidP="00DB77E9">
            <w:pPr>
              <w:jc w:val="right"/>
              <w:rPr>
                <w:b/>
                <w:sz w:val="20"/>
                <w:szCs w:val="20"/>
              </w:rPr>
            </w:pPr>
            <w:r w:rsidRPr="00DB77E9">
              <w:rPr>
                <w:rFonts w:eastAsia="Times New Roman"/>
                <w:b/>
                <w:sz w:val="20"/>
                <w:szCs w:val="20"/>
                <w:lang w:eastAsia="hr-HR"/>
              </w:rPr>
              <w:t>848,9</w:t>
            </w:r>
          </w:p>
        </w:tc>
        <w:tc>
          <w:tcPr>
            <w:tcW w:w="851" w:type="dxa"/>
            <w:tcBorders>
              <w:top w:val="nil"/>
              <w:left w:val="nil"/>
              <w:bottom w:val="single" w:sz="4" w:space="0" w:color="auto"/>
              <w:right w:val="single" w:sz="4" w:space="0" w:color="auto"/>
            </w:tcBorders>
            <w:shd w:val="clear" w:color="auto" w:fill="auto"/>
            <w:noWrap/>
            <w:vAlign w:val="center"/>
          </w:tcPr>
          <w:p w14:paraId="209062A6" w14:textId="646DFF54" w:rsidR="00DB77E9" w:rsidRPr="00DB77E9" w:rsidRDefault="00DB77E9" w:rsidP="00DB77E9">
            <w:pPr>
              <w:jc w:val="center"/>
              <w:rPr>
                <w:b/>
                <w:sz w:val="20"/>
                <w:szCs w:val="20"/>
              </w:rPr>
            </w:pPr>
            <w:r w:rsidRPr="00DB77E9">
              <w:rPr>
                <w:rFonts w:eastAsia="Times New Roman"/>
                <w:b/>
                <w:sz w:val="20"/>
                <w:szCs w:val="20"/>
                <w:lang w:eastAsia="hr-HR"/>
              </w:rPr>
              <w:t>43,14</w:t>
            </w:r>
          </w:p>
        </w:tc>
      </w:tr>
      <w:tr w:rsidR="00DB77E9" w:rsidRPr="00DB77E9" w14:paraId="5361D85E" w14:textId="77777777" w:rsidTr="00C04D37">
        <w:trPr>
          <w:trHeight w:val="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4069B91" w14:textId="77777777" w:rsidR="00DB77E9" w:rsidRPr="00DB77E9" w:rsidRDefault="00DB77E9" w:rsidP="00DB77E9">
            <w:pPr>
              <w:jc w:val="both"/>
              <w:rPr>
                <w:iCs/>
                <w:sz w:val="20"/>
                <w:szCs w:val="20"/>
              </w:rPr>
            </w:pPr>
            <w:r w:rsidRPr="00DB77E9">
              <w:rPr>
                <w:iCs/>
                <w:sz w:val="20"/>
                <w:szCs w:val="20"/>
              </w:rPr>
              <w:t>2. Horizontalne potpore</w:t>
            </w:r>
          </w:p>
        </w:tc>
        <w:tc>
          <w:tcPr>
            <w:tcW w:w="993" w:type="dxa"/>
            <w:tcBorders>
              <w:top w:val="nil"/>
              <w:left w:val="nil"/>
              <w:bottom w:val="single" w:sz="4" w:space="0" w:color="auto"/>
              <w:right w:val="single" w:sz="4" w:space="0" w:color="auto"/>
            </w:tcBorders>
            <w:shd w:val="clear" w:color="auto" w:fill="auto"/>
            <w:noWrap/>
            <w:vAlign w:val="center"/>
            <w:hideMark/>
          </w:tcPr>
          <w:p w14:paraId="1C8AF859" w14:textId="1095E1A9" w:rsidR="00DB77E9" w:rsidRPr="00DB77E9" w:rsidRDefault="00DB77E9" w:rsidP="00DB77E9">
            <w:pPr>
              <w:jc w:val="right"/>
              <w:rPr>
                <w:b/>
                <w:sz w:val="20"/>
                <w:szCs w:val="20"/>
              </w:rPr>
            </w:pPr>
            <w:r w:rsidRPr="00DB77E9">
              <w:rPr>
                <w:rFonts w:eastAsia="Times New Roman"/>
                <w:b/>
                <w:sz w:val="20"/>
                <w:szCs w:val="20"/>
                <w:lang w:eastAsia="hr-HR"/>
              </w:rPr>
              <w:t>495,5</w:t>
            </w:r>
          </w:p>
        </w:tc>
        <w:tc>
          <w:tcPr>
            <w:tcW w:w="850" w:type="dxa"/>
            <w:tcBorders>
              <w:top w:val="nil"/>
              <w:left w:val="nil"/>
              <w:bottom w:val="single" w:sz="4" w:space="0" w:color="auto"/>
              <w:right w:val="single" w:sz="4" w:space="0" w:color="auto"/>
            </w:tcBorders>
            <w:shd w:val="clear" w:color="auto" w:fill="auto"/>
            <w:noWrap/>
            <w:vAlign w:val="center"/>
            <w:hideMark/>
          </w:tcPr>
          <w:p w14:paraId="5CCCA11E" w14:textId="1F15AB28" w:rsidR="00DB77E9" w:rsidRPr="00DB77E9" w:rsidRDefault="00DB77E9" w:rsidP="00DB77E9">
            <w:pPr>
              <w:jc w:val="center"/>
              <w:rPr>
                <w:b/>
                <w:sz w:val="20"/>
                <w:szCs w:val="20"/>
              </w:rPr>
            </w:pPr>
            <w:r w:rsidRPr="00DB77E9">
              <w:rPr>
                <w:rFonts w:eastAsia="Times New Roman"/>
                <w:b/>
                <w:sz w:val="20"/>
                <w:szCs w:val="20"/>
                <w:lang w:eastAsia="hr-HR"/>
              </w:rPr>
              <w:t>25,62</w:t>
            </w:r>
          </w:p>
        </w:tc>
        <w:tc>
          <w:tcPr>
            <w:tcW w:w="992" w:type="dxa"/>
            <w:tcBorders>
              <w:top w:val="nil"/>
              <w:left w:val="nil"/>
              <w:bottom w:val="single" w:sz="4" w:space="0" w:color="auto"/>
              <w:right w:val="single" w:sz="4" w:space="0" w:color="auto"/>
            </w:tcBorders>
            <w:shd w:val="clear" w:color="auto" w:fill="auto"/>
            <w:noWrap/>
            <w:vAlign w:val="center"/>
          </w:tcPr>
          <w:p w14:paraId="314DE58C" w14:textId="6FE21A28" w:rsidR="00DB77E9" w:rsidRPr="00DB77E9" w:rsidRDefault="00DB77E9" w:rsidP="00DB77E9">
            <w:pPr>
              <w:jc w:val="right"/>
              <w:rPr>
                <w:b/>
                <w:sz w:val="20"/>
                <w:szCs w:val="20"/>
              </w:rPr>
            </w:pPr>
            <w:r w:rsidRPr="00DB77E9">
              <w:rPr>
                <w:rFonts w:eastAsia="Times New Roman"/>
                <w:b/>
                <w:sz w:val="20"/>
                <w:szCs w:val="20"/>
                <w:lang w:eastAsia="hr-HR"/>
              </w:rPr>
              <w:t>327,3</w:t>
            </w:r>
          </w:p>
        </w:tc>
        <w:tc>
          <w:tcPr>
            <w:tcW w:w="851" w:type="dxa"/>
            <w:tcBorders>
              <w:top w:val="nil"/>
              <w:left w:val="nil"/>
              <w:bottom w:val="single" w:sz="4" w:space="0" w:color="auto"/>
              <w:right w:val="single" w:sz="4" w:space="0" w:color="auto"/>
            </w:tcBorders>
            <w:shd w:val="clear" w:color="auto" w:fill="auto"/>
            <w:noWrap/>
            <w:vAlign w:val="center"/>
          </w:tcPr>
          <w:p w14:paraId="0FCA2E34" w14:textId="0B319D1B" w:rsidR="00DB77E9" w:rsidRPr="00DB77E9" w:rsidRDefault="00DB77E9" w:rsidP="00DB77E9">
            <w:pPr>
              <w:jc w:val="center"/>
              <w:rPr>
                <w:b/>
                <w:sz w:val="20"/>
                <w:szCs w:val="20"/>
              </w:rPr>
            </w:pPr>
            <w:r w:rsidRPr="00DB77E9">
              <w:rPr>
                <w:rFonts w:eastAsia="Times New Roman"/>
                <w:b/>
                <w:sz w:val="20"/>
                <w:szCs w:val="20"/>
                <w:lang w:eastAsia="hr-HR"/>
              </w:rPr>
              <w:t>16,03</w:t>
            </w:r>
          </w:p>
        </w:tc>
        <w:tc>
          <w:tcPr>
            <w:tcW w:w="992" w:type="dxa"/>
            <w:tcBorders>
              <w:top w:val="nil"/>
              <w:left w:val="nil"/>
              <w:bottom w:val="single" w:sz="4" w:space="0" w:color="auto"/>
              <w:right w:val="single" w:sz="4" w:space="0" w:color="auto"/>
            </w:tcBorders>
            <w:shd w:val="clear" w:color="auto" w:fill="auto"/>
            <w:noWrap/>
            <w:vAlign w:val="center"/>
          </w:tcPr>
          <w:p w14:paraId="5A5B2B13" w14:textId="1BBE0EE9" w:rsidR="00DB77E9" w:rsidRPr="00DB77E9" w:rsidRDefault="00DB77E9" w:rsidP="00DB77E9">
            <w:pPr>
              <w:jc w:val="right"/>
              <w:rPr>
                <w:b/>
                <w:sz w:val="20"/>
                <w:szCs w:val="20"/>
              </w:rPr>
            </w:pPr>
            <w:r w:rsidRPr="00DB77E9">
              <w:rPr>
                <w:rFonts w:eastAsia="Times New Roman"/>
                <w:b/>
                <w:sz w:val="20"/>
                <w:szCs w:val="20"/>
                <w:lang w:eastAsia="hr-HR"/>
              </w:rPr>
              <w:t>562,2</w:t>
            </w:r>
          </w:p>
        </w:tc>
        <w:tc>
          <w:tcPr>
            <w:tcW w:w="851" w:type="dxa"/>
            <w:tcBorders>
              <w:top w:val="nil"/>
              <w:left w:val="nil"/>
              <w:bottom w:val="single" w:sz="4" w:space="0" w:color="auto"/>
              <w:right w:val="single" w:sz="4" w:space="0" w:color="auto"/>
            </w:tcBorders>
            <w:shd w:val="clear" w:color="auto" w:fill="auto"/>
            <w:noWrap/>
            <w:vAlign w:val="center"/>
          </w:tcPr>
          <w:p w14:paraId="1B20C63D" w14:textId="6AE9330C" w:rsidR="00DB77E9" w:rsidRPr="00DB77E9" w:rsidRDefault="00DB77E9" w:rsidP="00DB77E9">
            <w:pPr>
              <w:jc w:val="center"/>
              <w:rPr>
                <w:b/>
                <w:sz w:val="20"/>
                <w:szCs w:val="20"/>
              </w:rPr>
            </w:pPr>
            <w:r w:rsidRPr="00DB77E9">
              <w:rPr>
                <w:rFonts w:eastAsia="Times New Roman"/>
                <w:b/>
                <w:sz w:val="20"/>
                <w:szCs w:val="20"/>
                <w:lang w:eastAsia="hr-HR"/>
              </w:rPr>
              <w:t>28,57</w:t>
            </w:r>
          </w:p>
        </w:tc>
      </w:tr>
      <w:tr w:rsidR="00DB77E9" w:rsidRPr="00DB77E9" w14:paraId="58001C06" w14:textId="77777777" w:rsidTr="00C04D37">
        <w:trPr>
          <w:trHeight w:val="12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B66F8E" w14:textId="77777777" w:rsidR="00DB77E9" w:rsidRPr="00DB77E9" w:rsidRDefault="00DB77E9" w:rsidP="00DB77E9">
            <w:pPr>
              <w:jc w:val="both"/>
              <w:rPr>
                <w:i/>
                <w:iCs/>
                <w:sz w:val="20"/>
                <w:szCs w:val="20"/>
              </w:rPr>
            </w:pPr>
            <w:r w:rsidRPr="00DB77E9">
              <w:rPr>
                <w:i/>
                <w:iCs/>
                <w:sz w:val="20"/>
                <w:szCs w:val="20"/>
              </w:rPr>
              <w:t>2.1. horizontalni ciljevi</w:t>
            </w:r>
          </w:p>
        </w:tc>
        <w:tc>
          <w:tcPr>
            <w:tcW w:w="993" w:type="dxa"/>
            <w:tcBorders>
              <w:top w:val="nil"/>
              <w:left w:val="nil"/>
              <w:bottom w:val="single" w:sz="4" w:space="0" w:color="auto"/>
              <w:right w:val="single" w:sz="4" w:space="0" w:color="auto"/>
            </w:tcBorders>
            <w:shd w:val="clear" w:color="auto" w:fill="auto"/>
            <w:noWrap/>
            <w:vAlign w:val="center"/>
            <w:hideMark/>
          </w:tcPr>
          <w:p w14:paraId="50E27985" w14:textId="2BB810A3" w:rsidR="00DB77E9" w:rsidRPr="00DB77E9" w:rsidRDefault="00DB77E9" w:rsidP="00DB77E9">
            <w:pPr>
              <w:jc w:val="right"/>
              <w:rPr>
                <w:sz w:val="20"/>
                <w:szCs w:val="20"/>
              </w:rPr>
            </w:pPr>
            <w:r w:rsidRPr="00DB77E9">
              <w:rPr>
                <w:rFonts w:eastAsia="Times New Roman"/>
                <w:sz w:val="20"/>
                <w:szCs w:val="20"/>
                <w:lang w:eastAsia="hr-HR"/>
              </w:rPr>
              <w:t>285,9</w:t>
            </w:r>
          </w:p>
        </w:tc>
        <w:tc>
          <w:tcPr>
            <w:tcW w:w="850" w:type="dxa"/>
            <w:tcBorders>
              <w:top w:val="nil"/>
              <w:left w:val="nil"/>
              <w:bottom w:val="single" w:sz="4" w:space="0" w:color="auto"/>
              <w:right w:val="single" w:sz="4" w:space="0" w:color="auto"/>
            </w:tcBorders>
            <w:shd w:val="clear" w:color="auto" w:fill="auto"/>
            <w:noWrap/>
            <w:vAlign w:val="center"/>
            <w:hideMark/>
          </w:tcPr>
          <w:p w14:paraId="50A06FE4" w14:textId="379C5C53" w:rsidR="00DB77E9" w:rsidRPr="00DB77E9" w:rsidRDefault="00DB77E9" w:rsidP="00DB77E9">
            <w:pPr>
              <w:jc w:val="center"/>
              <w:rPr>
                <w:sz w:val="20"/>
                <w:szCs w:val="20"/>
              </w:rPr>
            </w:pPr>
            <w:r w:rsidRPr="00DB77E9">
              <w:rPr>
                <w:rFonts w:eastAsia="Times New Roman"/>
                <w:sz w:val="20"/>
                <w:szCs w:val="20"/>
                <w:lang w:eastAsia="hr-HR"/>
              </w:rPr>
              <w:t>14,78</w:t>
            </w:r>
          </w:p>
        </w:tc>
        <w:tc>
          <w:tcPr>
            <w:tcW w:w="992" w:type="dxa"/>
            <w:tcBorders>
              <w:top w:val="nil"/>
              <w:left w:val="nil"/>
              <w:bottom w:val="single" w:sz="4" w:space="0" w:color="auto"/>
              <w:right w:val="single" w:sz="4" w:space="0" w:color="auto"/>
            </w:tcBorders>
            <w:shd w:val="clear" w:color="auto" w:fill="auto"/>
            <w:noWrap/>
            <w:vAlign w:val="center"/>
          </w:tcPr>
          <w:p w14:paraId="35F16169" w14:textId="50126AAA" w:rsidR="00DB77E9" w:rsidRPr="00DB77E9" w:rsidRDefault="00DB77E9" w:rsidP="00DB77E9">
            <w:pPr>
              <w:jc w:val="right"/>
              <w:rPr>
                <w:sz w:val="20"/>
                <w:szCs w:val="20"/>
              </w:rPr>
            </w:pPr>
            <w:r w:rsidRPr="00DB77E9">
              <w:rPr>
                <w:rFonts w:eastAsia="Times New Roman"/>
                <w:sz w:val="20"/>
                <w:szCs w:val="20"/>
                <w:lang w:eastAsia="hr-HR"/>
              </w:rPr>
              <w:t>99,5</w:t>
            </w:r>
          </w:p>
        </w:tc>
        <w:tc>
          <w:tcPr>
            <w:tcW w:w="851" w:type="dxa"/>
            <w:tcBorders>
              <w:top w:val="nil"/>
              <w:left w:val="nil"/>
              <w:bottom w:val="single" w:sz="4" w:space="0" w:color="auto"/>
              <w:right w:val="single" w:sz="4" w:space="0" w:color="auto"/>
            </w:tcBorders>
            <w:shd w:val="clear" w:color="auto" w:fill="auto"/>
            <w:noWrap/>
            <w:vAlign w:val="center"/>
          </w:tcPr>
          <w:p w14:paraId="1D6266ED" w14:textId="0964C092" w:rsidR="00DB77E9" w:rsidRPr="00DB77E9" w:rsidRDefault="00DB77E9" w:rsidP="00DB77E9">
            <w:pPr>
              <w:jc w:val="center"/>
              <w:rPr>
                <w:sz w:val="20"/>
                <w:szCs w:val="20"/>
              </w:rPr>
            </w:pPr>
            <w:r w:rsidRPr="00DB77E9">
              <w:rPr>
                <w:rFonts w:eastAsia="Times New Roman"/>
                <w:sz w:val="20"/>
                <w:szCs w:val="20"/>
                <w:lang w:eastAsia="hr-HR"/>
              </w:rPr>
              <w:t>4,88</w:t>
            </w:r>
          </w:p>
        </w:tc>
        <w:tc>
          <w:tcPr>
            <w:tcW w:w="992" w:type="dxa"/>
            <w:tcBorders>
              <w:top w:val="nil"/>
              <w:left w:val="nil"/>
              <w:bottom w:val="single" w:sz="4" w:space="0" w:color="auto"/>
              <w:right w:val="single" w:sz="4" w:space="0" w:color="auto"/>
            </w:tcBorders>
            <w:shd w:val="clear" w:color="auto" w:fill="auto"/>
            <w:noWrap/>
            <w:vAlign w:val="center"/>
          </w:tcPr>
          <w:p w14:paraId="6313444C" w14:textId="654EB71E" w:rsidR="00DB77E9" w:rsidRPr="00DB77E9" w:rsidRDefault="00DB77E9" w:rsidP="00DB77E9">
            <w:pPr>
              <w:jc w:val="right"/>
              <w:rPr>
                <w:sz w:val="20"/>
                <w:szCs w:val="20"/>
              </w:rPr>
            </w:pPr>
            <w:r w:rsidRPr="00DB77E9">
              <w:rPr>
                <w:rFonts w:eastAsia="Times New Roman"/>
                <w:sz w:val="20"/>
                <w:szCs w:val="20"/>
                <w:lang w:eastAsia="hr-HR"/>
              </w:rPr>
              <w:t>267,7</w:t>
            </w:r>
          </w:p>
        </w:tc>
        <w:tc>
          <w:tcPr>
            <w:tcW w:w="851" w:type="dxa"/>
            <w:tcBorders>
              <w:top w:val="nil"/>
              <w:left w:val="nil"/>
              <w:bottom w:val="single" w:sz="4" w:space="0" w:color="auto"/>
              <w:right w:val="single" w:sz="4" w:space="0" w:color="auto"/>
            </w:tcBorders>
            <w:shd w:val="clear" w:color="auto" w:fill="auto"/>
            <w:noWrap/>
            <w:vAlign w:val="center"/>
          </w:tcPr>
          <w:p w14:paraId="4F53AC26" w14:textId="0F584507" w:rsidR="00DB77E9" w:rsidRPr="00DB77E9" w:rsidRDefault="00DB77E9" w:rsidP="00DB77E9">
            <w:pPr>
              <w:jc w:val="center"/>
              <w:rPr>
                <w:sz w:val="20"/>
                <w:szCs w:val="20"/>
              </w:rPr>
            </w:pPr>
            <w:r w:rsidRPr="00DB77E9">
              <w:rPr>
                <w:rFonts w:eastAsia="Times New Roman"/>
                <w:sz w:val="20"/>
                <w:szCs w:val="20"/>
                <w:lang w:eastAsia="hr-HR"/>
              </w:rPr>
              <w:t>13,60</w:t>
            </w:r>
          </w:p>
        </w:tc>
      </w:tr>
      <w:tr w:rsidR="00DB77E9" w:rsidRPr="00DB77E9" w14:paraId="71B7437E" w14:textId="77777777" w:rsidTr="00C04D37">
        <w:trPr>
          <w:trHeight w:val="6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F370" w14:textId="77777777" w:rsidR="00DB77E9" w:rsidRPr="00DB77E9" w:rsidRDefault="00DB77E9" w:rsidP="00DB77E9">
            <w:pPr>
              <w:jc w:val="both"/>
              <w:rPr>
                <w:i/>
                <w:iCs/>
                <w:sz w:val="20"/>
                <w:szCs w:val="20"/>
              </w:rPr>
            </w:pPr>
            <w:r w:rsidRPr="00DB77E9">
              <w:rPr>
                <w:i/>
                <w:iCs/>
                <w:sz w:val="20"/>
                <w:szCs w:val="20"/>
              </w:rPr>
              <w:t>2.2. regionalne potpore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B6AE0B0" w14:textId="26C32DE8" w:rsidR="00DB77E9" w:rsidRPr="00DB77E9" w:rsidRDefault="00DB77E9" w:rsidP="00DB77E9">
            <w:pPr>
              <w:jc w:val="right"/>
              <w:rPr>
                <w:sz w:val="20"/>
                <w:szCs w:val="20"/>
              </w:rPr>
            </w:pPr>
            <w:r w:rsidRPr="00DB77E9">
              <w:rPr>
                <w:rFonts w:eastAsia="Times New Roman"/>
                <w:sz w:val="20"/>
                <w:szCs w:val="20"/>
                <w:lang w:eastAsia="hr-HR"/>
              </w:rPr>
              <w:t>85,6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72C3C6" w14:textId="7141EA72" w:rsidR="00DB77E9" w:rsidRPr="00DB77E9" w:rsidRDefault="00DB77E9" w:rsidP="00DB77E9">
            <w:pPr>
              <w:jc w:val="center"/>
              <w:rPr>
                <w:sz w:val="20"/>
                <w:szCs w:val="20"/>
              </w:rPr>
            </w:pPr>
            <w:r w:rsidRPr="00DB77E9">
              <w:rPr>
                <w:rFonts w:eastAsia="Times New Roman"/>
                <w:sz w:val="20"/>
                <w:szCs w:val="20"/>
                <w:lang w:eastAsia="hr-HR"/>
              </w:rPr>
              <w:t>4,43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CD4B4F" w14:textId="6D92D897" w:rsidR="00DB77E9" w:rsidRPr="00DB77E9" w:rsidRDefault="00DB77E9" w:rsidP="00DB77E9">
            <w:pPr>
              <w:jc w:val="right"/>
              <w:rPr>
                <w:sz w:val="20"/>
                <w:szCs w:val="20"/>
              </w:rPr>
            </w:pPr>
            <w:r w:rsidRPr="00DB77E9">
              <w:rPr>
                <w:rFonts w:eastAsia="Times New Roman"/>
                <w:sz w:val="20"/>
                <w:szCs w:val="20"/>
                <w:lang w:eastAsia="hr-HR"/>
              </w:rPr>
              <w:t>107,0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747407" w14:textId="793C5782" w:rsidR="00DB77E9" w:rsidRPr="00DB77E9" w:rsidRDefault="00DB77E9" w:rsidP="00DB77E9">
            <w:pPr>
              <w:jc w:val="center"/>
              <w:rPr>
                <w:sz w:val="20"/>
                <w:szCs w:val="20"/>
              </w:rPr>
            </w:pPr>
            <w:r w:rsidRPr="00DB77E9">
              <w:rPr>
                <w:rFonts w:eastAsia="Times New Roman"/>
                <w:sz w:val="20"/>
                <w:szCs w:val="20"/>
                <w:lang w:eastAsia="hr-HR"/>
              </w:rPr>
              <w:t>5,24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93F434" w14:textId="17D3D5C3" w:rsidR="00DB77E9" w:rsidRPr="00DB77E9" w:rsidRDefault="00DB77E9" w:rsidP="00DB77E9">
            <w:pPr>
              <w:jc w:val="right"/>
              <w:rPr>
                <w:sz w:val="20"/>
                <w:szCs w:val="20"/>
              </w:rPr>
            </w:pPr>
            <w:r w:rsidRPr="00DB77E9">
              <w:rPr>
                <w:rFonts w:eastAsia="Times New Roman"/>
                <w:sz w:val="20"/>
                <w:szCs w:val="20"/>
                <w:lang w:eastAsia="hr-HR"/>
              </w:rPr>
              <w:t>148,2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6E9E2F" w14:textId="485CE626" w:rsidR="00DB77E9" w:rsidRPr="00DB77E9" w:rsidRDefault="00DB77E9" w:rsidP="00DB77E9">
            <w:pPr>
              <w:jc w:val="center"/>
              <w:rPr>
                <w:sz w:val="20"/>
                <w:szCs w:val="20"/>
              </w:rPr>
            </w:pPr>
            <w:r w:rsidRPr="00DB77E9">
              <w:rPr>
                <w:rFonts w:eastAsia="Times New Roman"/>
                <w:sz w:val="20"/>
                <w:szCs w:val="20"/>
                <w:lang w:eastAsia="hr-HR"/>
              </w:rPr>
              <w:t>7,53</w:t>
            </w:r>
          </w:p>
        </w:tc>
      </w:tr>
      <w:tr w:rsidR="00DB77E9" w:rsidRPr="00DB77E9" w14:paraId="10006921" w14:textId="77777777" w:rsidTr="00C04D37">
        <w:trPr>
          <w:trHeight w:val="12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317C" w14:textId="77777777" w:rsidR="00DB77E9" w:rsidRPr="00DB77E9" w:rsidRDefault="00DB77E9" w:rsidP="00DB77E9">
            <w:pPr>
              <w:jc w:val="both"/>
              <w:rPr>
                <w:i/>
                <w:iCs/>
                <w:sz w:val="20"/>
                <w:szCs w:val="20"/>
              </w:rPr>
            </w:pPr>
            <w:r w:rsidRPr="00DB77E9">
              <w:rPr>
                <w:i/>
                <w:iCs/>
                <w:sz w:val="20"/>
                <w:szCs w:val="20"/>
              </w:rPr>
              <w:t>2.3. potpore na lokalnoj razini</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2682D80" w14:textId="25E1E21A" w:rsidR="00DB77E9" w:rsidRPr="00DB77E9" w:rsidRDefault="00DB77E9" w:rsidP="00DB77E9">
            <w:pPr>
              <w:jc w:val="right"/>
              <w:rPr>
                <w:sz w:val="20"/>
                <w:szCs w:val="20"/>
              </w:rPr>
            </w:pPr>
            <w:r w:rsidRPr="00DB77E9">
              <w:rPr>
                <w:rFonts w:eastAsia="Times New Roman"/>
                <w:sz w:val="20"/>
                <w:szCs w:val="20"/>
                <w:lang w:eastAsia="hr-HR"/>
              </w:rPr>
              <w:t>123,9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6FBE19" w14:textId="14350DE1" w:rsidR="00DB77E9" w:rsidRPr="00DB77E9" w:rsidRDefault="00DB77E9" w:rsidP="00DB77E9">
            <w:pPr>
              <w:jc w:val="center"/>
              <w:rPr>
                <w:sz w:val="20"/>
                <w:szCs w:val="20"/>
              </w:rPr>
            </w:pPr>
            <w:r w:rsidRPr="00DB77E9">
              <w:rPr>
                <w:rFonts w:eastAsia="Times New Roman"/>
                <w:sz w:val="20"/>
                <w:szCs w:val="20"/>
                <w:lang w:eastAsia="hr-HR"/>
              </w:rPr>
              <w:t>6,41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DC981B" w14:textId="358C1B15" w:rsidR="00DB77E9" w:rsidRPr="00DB77E9" w:rsidRDefault="00DB77E9" w:rsidP="00DB77E9">
            <w:pPr>
              <w:jc w:val="right"/>
              <w:rPr>
                <w:sz w:val="20"/>
                <w:szCs w:val="20"/>
              </w:rPr>
            </w:pPr>
            <w:r w:rsidRPr="00DB77E9">
              <w:rPr>
                <w:rFonts w:eastAsia="Times New Roman"/>
                <w:sz w:val="20"/>
                <w:szCs w:val="20"/>
                <w:lang w:eastAsia="hr-HR"/>
              </w:rPr>
              <w:t>120,8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6DEC1E" w14:textId="1AF61874" w:rsidR="00DB77E9" w:rsidRPr="00DB77E9" w:rsidRDefault="00DB77E9" w:rsidP="00DB77E9">
            <w:pPr>
              <w:jc w:val="center"/>
              <w:rPr>
                <w:sz w:val="20"/>
                <w:szCs w:val="20"/>
              </w:rPr>
            </w:pPr>
            <w:r w:rsidRPr="00DB77E9">
              <w:rPr>
                <w:rFonts w:eastAsia="Times New Roman"/>
                <w:sz w:val="20"/>
                <w:szCs w:val="20"/>
                <w:lang w:eastAsia="hr-HR"/>
              </w:rPr>
              <w:t>5,92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0833C3" w14:textId="34BC67D7" w:rsidR="00DB77E9" w:rsidRPr="00DB77E9" w:rsidRDefault="00DB77E9" w:rsidP="00DB77E9">
            <w:pPr>
              <w:jc w:val="right"/>
              <w:rPr>
                <w:sz w:val="20"/>
                <w:szCs w:val="20"/>
              </w:rPr>
            </w:pPr>
            <w:r w:rsidRPr="00DB77E9">
              <w:rPr>
                <w:rFonts w:eastAsia="Times New Roman"/>
                <w:sz w:val="20"/>
                <w:szCs w:val="20"/>
                <w:lang w:eastAsia="hr-HR"/>
              </w:rPr>
              <w:t>146,4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617CE0" w14:textId="2EF61A05" w:rsidR="00DB77E9" w:rsidRPr="00DB77E9" w:rsidRDefault="00DB77E9" w:rsidP="00DB77E9">
            <w:pPr>
              <w:jc w:val="center"/>
              <w:rPr>
                <w:sz w:val="20"/>
                <w:szCs w:val="20"/>
              </w:rPr>
            </w:pPr>
            <w:r w:rsidRPr="00DB77E9">
              <w:rPr>
                <w:rFonts w:eastAsia="Times New Roman"/>
                <w:sz w:val="20"/>
                <w:szCs w:val="20"/>
                <w:lang w:eastAsia="hr-HR"/>
              </w:rPr>
              <w:t>7,44</w:t>
            </w:r>
          </w:p>
        </w:tc>
      </w:tr>
      <w:tr w:rsidR="00DB77E9" w:rsidRPr="00DB77E9" w14:paraId="39A54C76" w14:textId="77777777" w:rsidTr="00C04D37">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7ACDE2F6" w14:textId="3BED4867" w:rsidR="00DB77E9" w:rsidRPr="00DB77E9" w:rsidRDefault="00DB77E9" w:rsidP="00DB77E9">
            <w:pPr>
              <w:rPr>
                <w:rFonts w:eastAsia="Times New Roman"/>
                <w:iCs/>
                <w:sz w:val="20"/>
                <w:szCs w:val="20"/>
              </w:rPr>
            </w:pPr>
            <w:r w:rsidRPr="00DB77E9">
              <w:rPr>
                <w:rFonts w:eastAsia="Times New Roman"/>
                <w:iCs/>
                <w:sz w:val="20"/>
                <w:szCs w:val="20"/>
              </w:rPr>
              <w:t xml:space="preserve">3. </w:t>
            </w:r>
            <w:r w:rsidRPr="00DB77E9">
              <w:rPr>
                <w:sz w:val="20"/>
                <w:szCs w:val="20"/>
              </w:rPr>
              <w:t>Potpore za suzbijanje učinaka COVID</w:t>
            </w:r>
            <w:r>
              <w:rPr>
                <w:sz w:val="20"/>
                <w:szCs w:val="20"/>
              </w:rPr>
              <w:t>-a i ruske agresije na Ukrajinu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88FE9D" w14:textId="09601DDD" w:rsidR="00DB77E9" w:rsidRPr="00DB77E9" w:rsidRDefault="00DB77E9" w:rsidP="00DB77E9">
            <w:pPr>
              <w:jc w:val="right"/>
              <w:rPr>
                <w:b/>
                <w:sz w:val="20"/>
                <w:szCs w:val="20"/>
              </w:rPr>
            </w:pPr>
            <w:r w:rsidRPr="00DB77E9">
              <w:rPr>
                <w:rFonts w:eastAsia="Times New Roman"/>
                <w:b/>
                <w:sz w:val="20"/>
                <w:szCs w:val="20"/>
                <w:lang w:eastAsia="hr-HR"/>
              </w:rPr>
              <w:t>854,5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F17A1A" w14:textId="1AE03A79" w:rsidR="00DB77E9" w:rsidRPr="00DB77E9" w:rsidRDefault="00DB77E9" w:rsidP="00DB77E9">
            <w:pPr>
              <w:jc w:val="center"/>
              <w:rPr>
                <w:b/>
                <w:sz w:val="20"/>
                <w:szCs w:val="20"/>
              </w:rPr>
            </w:pPr>
            <w:r w:rsidRPr="00DB77E9">
              <w:rPr>
                <w:rFonts w:eastAsia="Times New Roman"/>
                <w:b/>
                <w:sz w:val="20"/>
                <w:szCs w:val="20"/>
                <w:lang w:eastAsia="hr-HR"/>
              </w:rPr>
              <w:t>44,18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E5FE67" w14:textId="5AF7C2C7" w:rsidR="00DB77E9" w:rsidRPr="00DB77E9" w:rsidRDefault="00DB77E9" w:rsidP="00DB77E9">
            <w:pPr>
              <w:jc w:val="right"/>
              <w:rPr>
                <w:b/>
                <w:sz w:val="20"/>
                <w:szCs w:val="20"/>
              </w:rPr>
            </w:pPr>
            <w:r w:rsidRPr="00DB77E9">
              <w:rPr>
                <w:rFonts w:eastAsia="Times New Roman"/>
                <w:b/>
                <w:sz w:val="20"/>
                <w:szCs w:val="20"/>
                <w:lang w:eastAsia="hr-HR"/>
              </w:rPr>
              <w:t>1.110,2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61C7BF" w14:textId="6E14E84A" w:rsidR="00DB77E9" w:rsidRPr="00DB77E9" w:rsidRDefault="00DB77E9" w:rsidP="00DB77E9">
            <w:pPr>
              <w:jc w:val="center"/>
              <w:rPr>
                <w:b/>
                <w:sz w:val="20"/>
                <w:szCs w:val="20"/>
              </w:rPr>
            </w:pPr>
            <w:r w:rsidRPr="00DB77E9">
              <w:rPr>
                <w:rFonts w:eastAsia="Times New Roman"/>
                <w:b/>
                <w:sz w:val="20"/>
                <w:szCs w:val="20"/>
                <w:lang w:eastAsia="hr-HR"/>
              </w:rPr>
              <w:t>54,38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38A6EE" w14:textId="3AE88051" w:rsidR="00DB77E9" w:rsidRPr="00DB77E9" w:rsidRDefault="00DB77E9" w:rsidP="00DB77E9">
            <w:pPr>
              <w:jc w:val="right"/>
              <w:rPr>
                <w:b/>
                <w:sz w:val="20"/>
                <w:szCs w:val="20"/>
              </w:rPr>
            </w:pPr>
            <w:r w:rsidRPr="00DB77E9">
              <w:rPr>
                <w:rFonts w:eastAsia="Times New Roman"/>
                <w:b/>
                <w:sz w:val="20"/>
                <w:szCs w:val="20"/>
                <w:lang w:eastAsia="hr-HR"/>
              </w:rPr>
              <w:t>556,6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279C54" w14:textId="3250FFF8" w:rsidR="00DB77E9" w:rsidRPr="00DB77E9" w:rsidRDefault="00DB77E9" w:rsidP="00DB77E9">
            <w:pPr>
              <w:jc w:val="center"/>
              <w:rPr>
                <w:b/>
                <w:sz w:val="20"/>
                <w:szCs w:val="20"/>
              </w:rPr>
            </w:pPr>
            <w:r w:rsidRPr="00DB77E9">
              <w:rPr>
                <w:rFonts w:eastAsia="Times New Roman"/>
                <w:b/>
                <w:sz w:val="20"/>
                <w:szCs w:val="20"/>
                <w:lang w:eastAsia="hr-HR"/>
              </w:rPr>
              <w:t>28,29</w:t>
            </w:r>
          </w:p>
        </w:tc>
      </w:tr>
    </w:tbl>
    <w:p w14:paraId="15730DC8" w14:textId="77777777" w:rsidR="008F4FFD" w:rsidRPr="00DB77E9" w:rsidRDefault="008F4FFD" w:rsidP="00BE487D">
      <w:pPr>
        <w:contextualSpacing/>
        <w:jc w:val="both"/>
        <w:rPr>
          <w:i/>
          <w:sz w:val="20"/>
        </w:rPr>
      </w:pPr>
      <w:r w:rsidRPr="00DB77E9">
        <w:rPr>
          <w:i/>
          <w:sz w:val="20"/>
        </w:rPr>
        <w:t>Izvor: Ministarstvo financija i davatelji potpora; podaci obrađeni u Ministarstvu financija</w:t>
      </w:r>
    </w:p>
    <w:p w14:paraId="47CBCA25" w14:textId="77777777" w:rsidR="00806F81" w:rsidRPr="00F80E83" w:rsidRDefault="00806F81" w:rsidP="00BE487D">
      <w:pPr>
        <w:jc w:val="both"/>
      </w:pPr>
    </w:p>
    <w:p w14:paraId="4B366D72" w14:textId="15D23FCB" w:rsidR="0088692A" w:rsidRPr="002A6A45" w:rsidRDefault="0088692A" w:rsidP="00BE487D">
      <w:pPr>
        <w:jc w:val="both"/>
      </w:pPr>
      <w:r w:rsidRPr="002A6A45">
        <w:t xml:space="preserve">Udio potpora </w:t>
      </w:r>
      <w:r w:rsidR="001566DB" w:rsidRPr="002A6A45">
        <w:t xml:space="preserve">u </w:t>
      </w:r>
      <w:r w:rsidRPr="002A6A45">
        <w:t xml:space="preserve">sektoru industrije i usluga </w:t>
      </w:r>
      <w:r w:rsidR="00295948" w:rsidRPr="002A6A45">
        <w:t>u BDP-u u 202</w:t>
      </w:r>
      <w:r w:rsidR="00F80E83" w:rsidRPr="002A6A45">
        <w:t>3</w:t>
      </w:r>
      <w:r w:rsidR="00295948" w:rsidRPr="002A6A45">
        <w:t>. godin</w:t>
      </w:r>
      <w:r w:rsidR="001566DB" w:rsidRPr="002A6A45">
        <w:t>i</w:t>
      </w:r>
      <w:r w:rsidR="00295948" w:rsidRPr="002A6A45">
        <w:t xml:space="preserve"> iznosio je </w:t>
      </w:r>
      <w:r w:rsidR="00F80E83" w:rsidRPr="002A6A45">
        <w:t>2,57</w:t>
      </w:r>
      <w:r w:rsidR="00295948" w:rsidRPr="002A6A45">
        <w:t xml:space="preserve"> posto</w:t>
      </w:r>
      <w:r w:rsidR="00FB1A84" w:rsidRPr="002A6A45">
        <w:t>, u 202</w:t>
      </w:r>
      <w:r w:rsidR="00F80E83" w:rsidRPr="002A6A45">
        <w:t>2</w:t>
      </w:r>
      <w:r w:rsidR="00FB1A84" w:rsidRPr="002A6A45">
        <w:t xml:space="preserve">. godini </w:t>
      </w:r>
      <w:r w:rsidR="00F80E83" w:rsidRPr="002A6A45">
        <w:t>je iznosio 2,99</w:t>
      </w:r>
      <w:r w:rsidR="00FB1A84" w:rsidRPr="002A6A45">
        <w:t xml:space="preserve"> posto</w:t>
      </w:r>
      <w:r w:rsidR="00F80E83" w:rsidRPr="002A6A45">
        <w:t>,</w:t>
      </w:r>
      <w:r w:rsidR="00FB1A84" w:rsidRPr="002A6A45">
        <w:t xml:space="preserve"> dok je u 20</w:t>
      </w:r>
      <w:r w:rsidR="001566DB" w:rsidRPr="002A6A45">
        <w:t>2</w:t>
      </w:r>
      <w:r w:rsidR="00F80E83" w:rsidRPr="002A6A45">
        <w:t>1</w:t>
      </w:r>
      <w:r w:rsidR="00FB1A84" w:rsidRPr="002A6A45">
        <w:t xml:space="preserve">. godini iznosio </w:t>
      </w:r>
      <w:r w:rsidR="00F80E83" w:rsidRPr="002A6A45">
        <w:t>3,29</w:t>
      </w:r>
      <w:r w:rsidR="00FB1A84" w:rsidRPr="002A6A45">
        <w:t xml:space="preserve"> posto. Udio potpora </w:t>
      </w:r>
      <w:r w:rsidR="00F80E83" w:rsidRPr="002A6A45">
        <w:t xml:space="preserve">u </w:t>
      </w:r>
      <w:r w:rsidR="00FB1A84" w:rsidRPr="002A6A45">
        <w:t xml:space="preserve">sektoru industrije i usluga </w:t>
      </w:r>
      <w:r w:rsidRPr="002A6A45">
        <w:t>u ukupno dodijeljenim potporama</w:t>
      </w:r>
      <w:r w:rsidR="00FB1A84" w:rsidRPr="002A6A45">
        <w:t xml:space="preserve"> u 202</w:t>
      </w:r>
      <w:r w:rsidR="00F80E83" w:rsidRPr="002A6A45">
        <w:t>3</w:t>
      </w:r>
      <w:r w:rsidR="00FB1A84" w:rsidRPr="002A6A45">
        <w:t>. godini</w:t>
      </w:r>
      <w:r w:rsidRPr="002A6A45">
        <w:t xml:space="preserve"> iznosio je </w:t>
      </w:r>
      <w:r w:rsidR="002A6A45" w:rsidRPr="002A6A45">
        <w:t>64,8</w:t>
      </w:r>
      <w:r w:rsidRPr="002A6A45">
        <w:t xml:space="preserve"> posto, u 20</w:t>
      </w:r>
      <w:r w:rsidR="00FB1A84" w:rsidRPr="002A6A45">
        <w:t>2</w:t>
      </w:r>
      <w:r w:rsidR="00F80E83" w:rsidRPr="002A6A45">
        <w:t>2</w:t>
      </w:r>
      <w:r w:rsidRPr="002A6A45">
        <w:t xml:space="preserve">. godini </w:t>
      </w:r>
      <w:r w:rsidR="00F80E83" w:rsidRPr="002A6A45">
        <w:t xml:space="preserve">je iznosio </w:t>
      </w:r>
      <w:r w:rsidR="002A6A45" w:rsidRPr="002A6A45">
        <w:t xml:space="preserve">67,7 </w:t>
      </w:r>
      <w:r w:rsidRPr="002A6A45">
        <w:t xml:space="preserve">posto </w:t>
      </w:r>
      <w:r w:rsidR="00F80E83" w:rsidRPr="002A6A45">
        <w:t xml:space="preserve">dok je </w:t>
      </w:r>
      <w:r w:rsidRPr="002A6A45">
        <w:t>u 20</w:t>
      </w:r>
      <w:r w:rsidR="001566DB" w:rsidRPr="002A6A45">
        <w:t>2</w:t>
      </w:r>
      <w:r w:rsidR="00F80E83" w:rsidRPr="002A6A45">
        <w:t>1</w:t>
      </w:r>
      <w:r w:rsidRPr="002A6A45">
        <w:t xml:space="preserve">. godini iznosio </w:t>
      </w:r>
      <w:r w:rsidR="002A6A45" w:rsidRPr="002A6A45">
        <w:t xml:space="preserve">65,8 </w:t>
      </w:r>
      <w:r w:rsidRPr="002A6A45">
        <w:t>posto.</w:t>
      </w:r>
    </w:p>
    <w:p w14:paraId="5B834CD4" w14:textId="77777777" w:rsidR="00F80E83" w:rsidRPr="00D83051" w:rsidRDefault="00F80E83" w:rsidP="00BE487D">
      <w:pPr>
        <w:jc w:val="both"/>
      </w:pPr>
    </w:p>
    <w:p w14:paraId="5B1FDFA5" w14:textId="656D1D0E" w:rsidR="00D83051" w:rsidRPr="00D83051" w:rsidRDefault="00C06B88" w:rsidP="00BE487D">
      <w:pPr>
        <w:jc w:val="both"/>
        <w:rPr>
          <w:spacing w:val="-2"/>
        </w:rPr>
      </w:pPr>
      <w:r w:rsidRPr="00D83051">
        <w:rPr>
          <w:spacing w:val="-2"/>
        </w:rPr>
        <w:t>U 2023. godini u</w:t>
      </w:r>
      <w:r w:rsidR="008F4FFD" w:rsidRPr="00D83051">
        <w:rPr>
          <w:spacing w:val="-2"/>
        </w:rPr>
        <w:t>nutar</w:t>
      </w:r>
      <w:r w:rsidR="00FB1A84" w:rsidRPr="00D83051">
        <w:rPr>
          <w:spacing w:val="-2"/>
        </w:rPr>
        <w:t xml:space="preserve"> </w:t>
      </w:r>
      <w:r w:rsidR="008F4FFD" w:rsidRPr="00D83051">
        <w:rPr>
          <w:spacing w:val="-2"/>
        </w:rPr>
        <w:t xml:space="preserve">potpora </w:t>
      </w:r>
      <w:r w:rsidR="00FB1A84" w:rsidRPr="00D83051">
        <w:rPr>
          <w:spacing w:val="-2"/>
        </w:rPr>
        <w:t xml:space="preserve">u </w:t>
      </w:r>
      <w:r w:rsidR="008F4FFD" w:rsidRPr="00D83051">
        <w:rPr>
          <w:spacing w:val="-2"/>
        </w:rPr>
        <w:t xml:space="preserve">sektoru industrije i usluga dodijeljenih </w:t>
      </w:r>
      <w:r w:rsidR="00FB1A84" w:rsidRPr="00D83051">
        <w:rPr>
          <w:spacing w:val="-2"/>
        </w:rPr>
        <w:t xml:space="preserve">u </w:t>
      </w:r>
      <w:r w:rsidR="008F4FFD" w:rsidRPr="00D83051">
        <w:rPr>
          <w:spacing w:val="-2"/>
        </w:rPr>
        <w:t xml:space="preserve">iznosu od </w:t>
      </w:r>
      <w:r w:rsidR="00D83051" w:rsidRPr="00D83051">
        <w:rPr>
          <w:spacing w:val="-2"/>
        </w:rPr>
        <w:t xml:space="preserve">1.967,7 </w:t>
      </w:r>
      <w:r w:rsidR="008F4FFD" w:rsidRPr="00D83051">
        <w:rPr>
          <w:spacing w:val="-2"/>
        </w:rPr>
        <w:t xml:space="preserve">milijuna </w:t>
      </w:r>
      <w:r w:rsidR="00D83051" w:rsidRPr="00D83051">
        <w:rPr>
          <w:spacing w:val="-2"/>
        </w:rPr>
        <w:t>eura</w:t>
      </w:r>
      <w:r w:rsidR="008F4FFD" w:rsidRPr="00D83051">
        <w:rPr>
          <w:spacing w:val="-2"/>
        </w:rPr>
        <w:t xml:space="preserve">, </w:t>
      </w:r>
      <w:r w:rsidR="00826C27" w:rsidRPr="00D83051">
        <w:rPr>
          <w:spacing w:val="-2"/>
        </w:rPr>
        <w:t xml:space="preserve">posebnim sektorima je dodijeljen iznos od </w:t>
      </w:r>
      <w:r w:rsidR="00D83051" w:rsidRPr="00D83051">
        <w:rPr>
          <w:spacing w:val="-2"/>
        </w:rPr>
        <w:t xml:space="preserve">848,9 </w:t>
      </w:r>
      <w:r w:rsidR="00826C27" w:rsidRPr="00D83051">
        <w:rPr>
          <w:spacing w:val="-2"/>
        </w:rPr>
        <w:t xml:space="preserve">milijuna </w:t>
      </w:r>
      <w:r w:rsidR="00D83051" w:rsidRPr="00D83051">
        <w:rPr>
          <w:spacing w:val="-2"/>
        </w:rPr>
        <w:t xml:space="preserve">eura </w:t>
      </w:r>
      <w:r w:rsidR="00826C27" w:rsidRPr="00D83051">
        <w:rPr>
          <w:spacing w:val="-2"/>
        </w:rPr>
        <w:t xml:space="preserve">odnosno s udjelom od </w:t>
      </w:r>
      <w:r w:rsidR="00D83051" w:rsidRPr="00D83051">
        <w:rPr>
          <w:spacing w:val="-2"/>
        </w:rPr>
        <w:t xml:space="preserve">43,1 </w:t>
      </w:r>
      <w:r w:rsidR="00826C27" w:rsidRPr="00D83051">
        <w:rPr>
          <w:spacing w:val="-2"/>
        </w:rPr>
        <w:t xml:space="preserve">posto u sektoru industrije i usluga, </w:t>
      </w:r>
      <w:r w:rsidR="00D83051" w:rsidRPr="00D83051">
        <w:rPr>
          <w:spacing w:val="-2"/>
        </w:rPr>
        <w:t xml:space="preserve">horizontalnim ciljevima, uključujući horizontalne potpore, regionalne potpore i potpore na lokalnoj razini, dodijeljen je iznos od 562,2 milijuna eura ili 28,6 posto dok je </w:t>
      </w:r>
      <w:r w:rsidR="001566DB" w:rsidRPr="00D83051">
        <w:rPr>
          <w:spacing w:val="-2"/>
        </w:rPr>
        <w:t xml:space="preserve">kao potpora podrške gospodarstvu u COVID–19 </w:t>
      </w:r>
      <w:proofErr w:type="spellStart"/>
      <w:r w:rsidR="001566DB" w:rsidRPr="00D83051">
        <w:rPr>
          <w:spacing w:val="-2"/>
        </w:rPr>
        <w:t>pandemiji</w:t>
      </w:r>
      <w:proofErr w:type="spellEnd"/>
      <w:r w:rsidR="001566DB" w:rsidRPr="00D83051">
        <w:rPr>
          <w:spacing w:val="-2"/>
        </w:rPr>
        <w:t xml:space="preserve"> </w:t>
      </w:r>
      <w:r w:rsidR="00BE4737" w:rsidRPr="00D83051">
        <w:rPr>
          <w:spacing w:val="-2"/>
        </w:rPr>
        <w:t xml:space="preserve">te za suzbijanje učinaka ruske agresije na Ukrajinu </w:t>
      </w:r>
      <w:r w:rsidR="001566DB" w:rsidRPr="00D83051">
        <w:rPr>
          <w:spacing w:val="-2"/>
        </w:rPr>
        <w:t xml:space="preserve">dodijeljen iznos od </w:t>
      </w:r>
      <w:r w:rsidR="00D83051" w:rsidRPr="00D83051">
        <w:rPr>
          <w:spacing w:val="-2"/>
        </w:rPr>
        <w:t xml:space="preserve">556,6 </w:t>
      </w:r>
      <w:r w:rsidR="001566DB" w:rsidRPr="00D83051">
        <w:rPr>
          <w:spacing w:val="-2"/>
        </w:rPr>
        <w:t xml:space="preserve">milijuna </w:t>
      </w:r>
      <w:r w:rsidR="00D83051" w:rsidRPr="00D83051">
        <w:rPr>
          <w:spacing w:val="-2"/>
        </w:rPr>
        <w:t xml:space="preserve">eura </w:t>
      </w:r>
      <w:r w:rsidR="001566DB" w:rsidRPr="00D83051">
        <w:rPr>
          <w:spacing w:val="-2"/>
        </w:rPr>
        <w:t xml:space="preserve">ili </w:t>
      </w:r>
      <w:r w:rsidR="00D83051" w:rsidRPr="00D83051">
        <w:rPr>
          <w:spacing w:val="-2"/>
        </w:rPr>
        <w:t xml:space="preserve">28,3 </w:t>
      </w:r>
      <w:r w:rsidR="001566DB" w:rsidRPr="00D83051">
        <w:rPr>
          <w:spacing w:val="-2"/>
        </w:rPr>
        <w:t>posto</w:t>
      </w:r>
      <w:r w:rsidR="00D83051" w:rsidRPr="00D83051">
        <w:rPr>
          <w:spacing w:val="-2"/>
        </w:rPr>
        <w:t>.</w:t>
      </w:r>
    </w:p>
    <w:p w14:paraId="2382D00D" w14:textId="77777777" w:rsidR="00806F81" w:rsidRPr="00D83051" w:rsidRDefault="00806F81" w:rsidP="00BE487D">
      <w:pPr>
        <w:jc w:val="both"/>
      </w:pPr>
    </w:p>
    <w:p w14:paraId="046C65DE" w14:textId="5B5B3444" w:rsidR="003D7F03" w:rsidRPr="007A4040" w:rsidRDefault="00B43F61" w:rsidP="003D7F03">
      <w:pPr>
        <w:jc w:val="both"/>
      </w:pPr>
      <w:r w:rsidRPr="00B9741D">
        <w:rPr>
          <w:u w:val="single"/>
        </w:rPr>
        <w:t>Sektorske potpore</w:t>
      </w:r>
      <w:r w:rsidRPr="007A4040">
        <w:t xml:space="preserve"> odnosno potpore posebnim sektorima </w:t>
      </w:r>
      <w:r w:rsidR="003D7F03" w:rsidRPr="007A4040">
        <w:t>u 202</w:t>
      </w:r>
      <w:r w:rsidR="007A4040" w:rsidRPr="007A4040">
        <w:t>3</w:t>
      </w:r>
      <w:r w:rsidR="003D7F03" w:rsidRPr="007A4040">
        <w:t xml:space="preserve">. godini dodijeljene su u iznosu od </w:t>
      </w:r>
      <w:r w:rsidR="007A4040" w:rsidRPr="007A4040">
        <w:t xml:space="preserve">848,9 </w:t>
      </w:r>
      <w:r w:rsidR="003D7F03" w:rsidRPr="007A4040">
        <w:t xml:space="preserve">milijuna </w:t>
      </w:r>
      <w:r w:rsidR="007A4040" w:rsidRPr="007A4040">
        <w:t>eura</w:t>
      </w:r>
      <w:r w:rsidR="003D7F03" w:rsidRPr="007A4040">
        <w:t xml:space="preserve">, što </w:t>
      </w:r>
      <w:r w:rsidRPr="007A4040">
        <w:t>je</w:t>
      </w:r>
      <w:r w:rsidR="003D7F03" w:rsidRPr="007A4040">
        <w:t xml:space="preserve"> </w:t>
      </w:r>
      <w:r w:rsidRPr="007A4040">
        <w:t>povećanje</w:t>
      </w:r>
      <w:r w:rsidR="003D7F03" w:rsidRPr="007A4040">
        <w:t xml:space="preserve"> za </w:t>
      </w:r>
      <w:r w:rsidR="007A4040" w:rsidRPr="007A4040">
        <w:t xml:space="preserve">244,7 </w:t>
      </w:r>
      <w:r w:rsidR="003D7F03" w:rsidRPr="007A4040">
        <w:t xml:space="preserve">milijuna </w:t>
      </w:r>
      <w:r w:rsidR="007A4040" w:rsidRPr="007A4040">
        <w:t xml:space="preserve">eura </w:t>
      </w:r>
      <w:r w:rsidR="003D7F03" w:rsidRPr="007A4040">
        <w:t>odnosno</w:t>
      </w:r>
      <w:r w:rsidR="000E3F47" w:rsidRPr="007A4040">
        <w:t xml:space="preserve"> za</w:t>
      </w:r>
      <w:r w:rsidR="003D7F03" w:rsidRPr="007A4040">
        <w:t xml:space="preserve"> </w:t>
      </w:r>
      <w:r w:rsidR="007A4040" w:rsidRPr="007A4040">
        <w:t>40,5</w:t>
      </w:r>
      <w:r w:rsidR="003D7F03" w:rsidRPr="007A4040">
        <w:t xml:space="preserve"> posto u odnosu na 202</w:t>
      </w:r>
      <w:r w:rsidR="007A4040" w:rsidRPr="007A4040">
        <w:t>2</w:t>
      </w:r>
      <w:r w:rsidR="003D7F03" w:rsidRPr="007A4040">
        <w:t xml:space="preserve">. godinu kada su navedene potpore iznosile </w:t>
      </w:r>
      <w:r w:rsidR="007A4040" w:rsidRPr="007A4040">
        <w:t xml:space="preserve">604,2 </w:t>
      </w:r>
      <w:r w:rsidR="003D7F03" w:rsidRPr="007A4040">
        <w:t xml:space="preserve">milijuna </w:t>
      </w:r>
      <w:r w:rsidR="007A4040" w:rsidRPr="007A4040">
        <w:t>eura</w:t>
      </w:r>
      <w:r w:rsidR="003D7F03" w:rsidRPr="007A4040">
        <w:t xml:space="preserve">, te </w:t>
      </w:r>
      <w:r w:rsidRPr="007A4040">
        <w:t>je</w:t>
      </w:r>
      <w:r w:rsidR="003D7F03" w:rsidRPr="007A4040">
        <w:t xml:space="preserve"> </w:t>
      </w:r>
      <w:r w:rsidR="007A4040" w:rsidRPr="007A4040">
        <w:t>povećanje</w:t>
      </w:r>
      <w:r w:rsidR="003D7F03" w:rsidRPr="007A4040">
        <w:t xml:space="preserve"> za </w:t>
      </w:r>
      <w:r w:rsidR="007A4040" w:rsidRPr="007A4040">
        <w:t xml:space="preserve">264,6 </w:t>
      </w:r>
      <w:r w:rsidR="003D7F03" w:rsidRPr="007A4040">
        <w:t>milijun</w:t>
      </w:r>
      <w:r w:rsidRPr="007A4040">
        <w:t>a</w:t>
      </w:r>
      <w:r w:rsidR="003D7F03" w:rsidRPr="007A4040">
        <w:t xml:space="preserve"> </w:t>
      </w:r>
      <w:r w:rsidR="007A4040" w:rsidRPr="007A4040">
        <w:t xml:space="preserve">eura </w:t>
      </w:r>
      <w:r w:rsidR="003D7F03" w:rsidRPr="007A4040">
        <w:t xml:space="preserve">ili </w:t>
      </w:r>
      <w:r w:rsidR="007A4040" w:rsidRPr="007A4040">
        <w:t xml:space="preserve">45,3 </w:t>
      </w:r>
      <w:r w:rsidR="003D7F03" w:rsidRPr="007A4040">
        <w:t>posto u odnosu na 20</w:t>
      </w:r>
      <w:r w:rsidRPr="007A4040">
        <w:t>2</w:t>
      </w:r>
      <w:r w:rsidR="007A4040" w:rsidRPr="007A4040">
        <w:t>1</w:t>
      </w:r>
      <w:r w:rsidR="003D7F03" w:rsidRPr="007A4040">
        <w:t xml:space="preserve">. godinu kada su </w:t>
      </w:r>
      <w:r w:rsidRPr="007A4040">
        <w:t>navedene</w:t>
      </w:r>
      <w:r w:rsidR="003D7F03" w:rsidRPr="007A4040">
        <w:t xml:space="preserve"> potpore iznosile </w:t>
      </w:r>
      <w:r w:rsidR="007A4040" w:rsidRPr="007A4040">
        <w:t xml:space="preserve">584,3 </w:t>
      </w:r>
      <w:r w:rsidR="003D7F03" w:rsidRPr="007A4040">
        <w:t>milijun</w:t>
      </w:r>
      <w:r w:rsidRPr="007A4040">
        <w:t>a</w:t>
      </w:r>
      <w:r w:rsidR="003D7F03" w:rsidRPr="007A4040">
        <w:t xml:space="preserve"> </w:t>
      </w:r>
      <w:r w:rsidR="007A4040" w:rsidRPr="007A4040">
        <w:t>eura</w:t>
      </w:r>
      <w:r w:rsidR="003D7F03" w:rsidRPr="007A4040">
        <w:t>.</w:t>
      </w:r>
    </w:p>
    <w:p w14:paraId="46C7D527" w14:textId="77777777" w:rsidR="00806F81" w:rsidRPr="007A4040" w:rsidRDefault="00806F81" w:rsidP="007A4040"/>
    <w:p w14:paraId="28272376" w14:textId="22AF7F5D" w:rsidR="008F4FFD" w:rsidRPr="00AB4DD6" w:rsidRDefault="003D7F03" w:rsidP="00BE487D">
      <w:pPr>
        <w:jc w:val="both"/>
      </w:pPr>
      <w:r w:rsidRPr="00B9741D">
        <w:rPr>
          <w:u w:val="single"/>
        </w:rPr>
        <w:t>Horizontalne potpore</w:t>
      </w:r>
      <w:r w:rsidRPr="00AB4DD6">
        <w:t>, uključujući horizontalne ciljeve</w:t>
      </w:r>
      <w:r w:rsidR="008F4FFD" w:rsidRPr="00AB4DD6">
        <w:t>, regionalne potpore i potpore na lokalnoj razini</w:t>
      </w:r>
      <w:r w:rsidR="00234458" w:rsidRPr="00AB4DD6">
        <w:t xml:space="preserve"> su </w:t>
      </w:r>
      <w:r w:rsidRPr="00AB4DD6">
        <w:t>u 202</w:t>
      </w:r>
      <w:r w:rsidR="007A4040" w:rsidRPr="00AB4DD6">
        <w:t>3</w:t>
      </w:r>
      <w:r w:rsidRPr="00AB4DD6">
        <w:t>. godini</w:t>
      </w:r>
      <w:r w:rsidR="008F4FFD" w:rsidRPr="00AB4DD6">
        <w:t xml:space="preserve"> dodijeljene u iznosu od </w:t>
      </w:r>
      <w:r w:rsidR="007A4040" w:rsidRPr="00AB4DD6">
        <w:t xml:space="preserve">562,2 </w:t>
      </w:r>
      <w:r w:rsidR="008F4FFD" w:rsidRPr="00AB4DD6">
        <w:t xml:space="preserve">milijuna </w:t>
      </w:r>
      <w:r w:rsidR="007A4040" w:rsidRPr="00AB4DD6">
        <w:t>eura</w:t>
      </w:r>
      <w:r w:rsidRPr="00AB4DD6">
        <w:t>,</w:t>
      </w:r>
      <w:r w:rsidR="008F4FFD" w:rsidRPr="00AB4DD6">
        <w:t xml:space="preserve"> </w:t>
      </w:r>
      <w:r w:rsidRPr="00AB4DD6">
        <w:t xml:space="preserve">što </w:t>
      </w:r>
      <w:r w:rsidR="00234458" w:rsidRPr="00AB4DD6">
        <w:t>je</w:t>
      </w:r>
      <w:r w:rsidRPr="00AB4DD6">
        <w:t xml:space="preserve"> </w:t>
      </w:r>
      <w:r w:rsidR="007A4040" w:rsidRPr="00AB4DD6">
        <w:t>povećanje</w:t>
      </w:r>
      <w:r w:rsidRPr="00AB4DD6">
        <w:t xml:space="preserve"> za </w:t>
      </w:r>
      <w:r w:rsidR="007A4040" w:rsidRPr="00AB4DD6">
        <w:t xml:space="preserve">234,9 </w:t>
      </w:r>
      <w:r w:rsidR="008F4FFD" w:rsidRPr="00AB4DD6">
        <w:t>milijun</w:t>
      </w:r>
      <w:r w:rsidR="000C1B2B" w:rsidRPr="00AB4DD6">
        <w:t>a</w:t>
      </w:r>
      <w:r w:rsidR="008F4FFD" w:rsidRPr="00AB4DD6">
        <w:t xml:space="preserve"> </w:t>
      </w:r>
      <w:r w:rsidR="007A4040" w:rsidRPr="00AB4DD6">
        <w:t xml:space="preserve">eura </w:t>
      </w:r>
      <w:r w:rsidR="008F4FFD" w:rsidRPr="00AB4DD6">
        <w:t xml:space="preserve">ili </w:t>
      </w:r>
      <w:r w:rsidR="007A4040" w:rsidRPr="00AB4DD6">
        <w:t xml:space="preserve">71,8 </w:t>
      </w:r>
      <w:r w:rsidR="008F4FFD" w:rsidRPr="00AB4DD6">
        <w:t>posto u odnosu na 20</w:t>
      </w:r>
      <w:r w:rsidRPr="00AB4DD6">
        <w:t>2</w:t>
      </w:r>
      <w:r w:rsidR="007A4040" w:rsidRPr="00AB4DD6">
        <w:t>2</w:t>
      </w:r>
      <w:r w:rsidR="008F4FFD" w:rsidRPr="00AB4DD6">
        <w:t xml:space="preserve">. godinu kada su </w:t>
      </w:r>
      <w:r w:rsidRPr="00AB4DD6">
        <w:t xml:space="preserve">horizontalne potpore </w:t>
      </w:r>
      <w:r w:rsidR="008F4FFD" w:rsidRPr="00AB4DD6">
        <w:t xml:space="preserve">iznosile </w:t>
      </w:r>
      <w:r w:rsidR="007A4040" w:rsidRPr="00AB4DD6">
        <w:t xml:space="preserve">327,3 </w:t>
      </w:r>
      <w:r w:rsidR="008F4FFD" w:rsidRPr="00AB4DD6">
        <w:t xml:space="preserve">milijuna </w:t>
      </w:r>
      <w:r w:rsidR="007A4040" w:rsidRPr="00AB4DD6">
        <w:t>eura</w:t>
      </w:r>
      <w:r w:rsidR="008F4FFD" w:rsidRPr="00AB4DD6">
        <w:t xml:space="preserve">, </w:t>
      </w:r>
      <w:r w:rsidRPr="00AB4DD6">
        <w:t xml:space="preserve">te </w:t>
      </w:r>
      <w:r w:rsidR="00234458" w:rsidRPr="00AB4DD6">
        <w:t xml:space="preserve">je </w:t>
      </w:r>
      <w:r w:rsidR="007A4040" w:rsidRPr="00AB4DD6">
        <w:t xml:space="preserve">povećanje </w:t>
      </w:r>
      <w:r w:rsidRPr="00AB4DD6">
        <w:t xml:space="preserve">za </w:t>
      </w:r>
      <w:r w:rsidR="007A4040" w:rsidRPr="00AB4DD6">
        <w:t>66,7</w:t>
      </w:r>
      <w:r w:rsidR="00234458" w:rsidRPr="00AB4DD6">
        <w:t xml:space="preserve"> </w:t>
      </w:r>
      <w:r w:rsidR="008F4FFD" w:rsidRPr="00AB4DD6">
        <w:t>milijun</w:t>
      </w:r>
      <w:r w:rsidR="000C1B2B" w:rsidRPr="00AB4DD6">
        <w:t>a</w:t>
      </w:r>
      <w:r w:rsidR="008F4FFD" w:rsidRPr="00AB4DD6">
        <w:t xml:space="preserve"> </w:t>
      </w:r>
      <w:r w:rsidR="007A4040" w:rsidRPr="00AB4DD6">
        <w:t xml:space="preserve">eura </w:t>
      </w:r>
      <w:r w:rsidR="008F4FFD" w:rsidRPr="00AB4DD6">
        <w:t xml:space="preserve">ili </w:t>
      </w:r>
      <w:r w:rsidR="007A4040" w:rsidRPr="00AB4DD6">
        <w:t>13,5</w:t>
      </w:r>
      <w:r w:rsidR="008F4FFD" w:rsidRPr="00AB4DD6">
        <w:t xml:space="preserve"> posto u odnosu na 20</w:t>
      </w:r>
      <w:r w:rsidR="00234458" w:rsidRPr="00AB4DD6">
        <w:t>2</w:t>
      </w:r>
      <w:r w:rsidR="007A4040" w:rsidRPr="00AB4DD6">
        <w:t>1</w:t>
      </w:r>
      <w:r w:rsidR="008F4FFD" w:rsidRPr="00AB4DD6">
        <w:t xml:space="preserve">. godinu, kada su </w:t>
      </w:r>
      <w:r w:rsidR="007A4040" w:rsidRPr="00AB4DD6">
        <w:t xml:space="preserve">navedene </w:t>
      </w:r>
      <w:r w:rsidRPr="00AB4DD6">
        <w:t xml:space="preserve">potpore </w:t>
      </w:r>
      <w:r w:rsidR="008F4FFD" w:rsidRPr="00AB4DD6">
        <w:t xml:space="preserve">iznosile </w:t>
      </w:r>
      <w:r w:rsidR="007A4040" w:rsidRPr="00AB4DD6">
        <w:t>495,5</w:t>
      </w:r>
      <w:r w:rsidR="00234458" w:rsidRPr="00AB4DD6">
        <w:t xml:space="preserve"> </w:t>
      </w:r>
      <w:r w:rsidR="008F4FFD" w:rsidRPr="00AB4DD6">
        <w:t xml:space="preserve">milijuna </w:t>
      </w:r>
      <w:r w:rsidR="007A4040" w:rsidRPr="00AB4DD6">
        <w:t>eura</w:t>
      </w:r>
      <w:r w:rsidR="008F4FFD" w:rsidRPr="00AB4DD6">
        <w:t xml:space="preserve">. </w:t>
      </w:r>
      <w:r w:rsidR="00960DCD" w:rsidRPr="00AB4DD6">
        <w:t xml:space="preserve">Unutar horizontalnih potpora </w:t>
      </w:r>
      <w:r w:rsidR="00234458" w:rsidRPr="00AB4DD6">
        <w:t xml:space="preserve">dodijeljenih </w:t>
      </w:r>
      <w:r w:rsidR="00960DCD" w:rsidRPr="00AB4DD6">
        <w:t>u 202</w:t>
      </w:r>
      <w:r w:rsidR="00AB4DD6" w:rsidRPr="00AB4DD6">
        <w:t>3</w:t>
      </w:r>
      <w:r w:rsidR="00960DCD" w:rsidRPr="00AB4DD6">
        <w:t xml:space="preserve">. godini u iznosu od </w:t>
      </w:r>
      <w:r w:rsidR="00AB4DD6" w:rsidRPr="00AB4DD6">
        <w:t>562,2 milijuna eura</w:t>
      </w:r>
      <w:r w:rsidR="00960DCD" w:rsidRPr="00AB4DD6">
        <w:t>, n</w:t>
      </w:r>
      <w:r w:rsidR="008F4FFD" w:rsidRPr="00AB4DD6">
        <w:t xml:space="preserve">a </w:t>
      </w:r>
      <w:r w:rsidRPr="00AB4DD6">
        <w:t xml:space="preserve">horizontalne ciljeve </w:t>
      </w:r>
      <w:r w:rsidR="00AB4DD6" w:rsidRPr="00AB4DD6">
        <w:t>ili</w:t>
      </w:r>
      <w:r w:rsidRPr="00AB4DD6">
        <w:t xml:space="preserve"> </w:t>
      </w:r>
      <w:r w:rsidR="008F4FFD" w:rsidRPr="00AB4DD6">
        <w:t>horizontalne potpore u užem smislu</w:t>
      </w:r>
      <w:r w:rsidR="008F4FFD" w:rsidRPr="00AB4DD6">
        <w:rPr>
          <w:vertAlign w:val="superscript"/>
        </w:rPr>
        <w:footnoteReference w:id="20"/>
      </w:r>
      <w:r w:rsidR="00AB4DD6" w:rsidRPr="00AB4DD6">
        <w:t xml:space="preserve"> se </w:t>
      </w:r>
      <w:r w:rsidR="008F4FFD" w:rsidRPr="00AB4DD6">
        <w:t xml:space="preserve">odnosi iznos od </w:t>
      </w:r>
      <w:r w:rsidR="00AB4DD6" w:rsidRPr="00AB4DD6">
        <w:t xml:space="preserve">267,7 </w:t>
      </w:r>
      <w:r w:rsidR="008F4FFD" w:rsidRPr="00AB4DD6">
        <w:t xml:space="preserve">milijuna </w:t>
      </w:r>
      <w:r w:rsidR="007A4040" w:rsidRPr="00AB4DD6">
        <w:t>eura</w:t>
      </w:r>
      <w:r w:rsidR="008F4FFD" w:rsidRPr="00AB4DD6">
        <w:t>, na regionalne potpore</w:t>
      </w:r>
      <w:r w:rsidR="00A44C81" w:rsidRPr="00AB4DD6">
        <w:t xml:space="preserve"> odnosi se</w:t>
      </w:r>
      <w:r w:rsidR="008F4FFD" w:rsidRPr="00AB4DD6">
        <w:t xml:space="preserve"> </w:t>
      </w:r>
      <w:r w:rsidR="00960DCD" w:rsidRPr="00AB4DD6">
        <w:t xml:space="preserve">iznos od </w:t>
      </w:r>
      <w:r w:rsidR="00AB4DD6" w:rsidRPr="00AB4DD6">
        <w:t xml:space="preserve">148,2 </w:t>
      </w:r>
      <w:r w:rsidR="008F4FFD" w:rsidRPr="00AB4DD6">
        <w:t>milijun</w:t>
      </w:r>
      <w:r w:rsidR="00234458" w:rsidRPr="00AB4DD6">
        <w:t>a</w:t>
      </w:r>
      <w:r w:rsidR="008F4FFD" w:rsidRPr="00AB4DD6">
        <w:t xml:space="preserve"> </w:t>
      </w:r>
      <w:r w:rsidR="007A4040" w:rsidRPr="00AB4DD6">
        <w:t xml:space="preserve">eura </w:t>
      </w:r>
      <w:r w:rsidR="00A44C81" w:rsidRPr="00AB4DD6">
        <w:t xml:space="preserve">dok se </w:t>
      </w:r>
      <w:r w:rsidR="008F4FFD" w:rsidRPr="00AB4DD6">
        <w:t xml:space="preserve">na potpore na lokalnoj razini </w:t>
      </w:r>
      <w:r w:rsidR="00A44C81" w:rsidRPr="00AB4DD6">
        <w:t xml:space="preserve">odnosi </w:t>
      </w:r>
      <w:r w:rsidR="00960DCD" w:rsidRPr="00AB4DD6">
        <w:t xml:space="preserve">iznos od </w:t>
      </w:r>
      <w:r w:rsidR="00AB4DD6" w:rsidRPr="00AB4DD6">
        <w:t xml:space="preserve">146,4 </w:t>
      </w:r>
      <w:r w:rsidR="008F4FFD" w:rsidRPr="00AB4DD6">
        <w:t>milijun</w:t>
      </w:r>
      <w:r w:rsidR="000C1B2B" w:rsidRPr="00AB4DD6">
        <w:t>a</w:t>
      </w:r>
      <w:r w:rsidR="008F4FFD" w:rsidRPr="00AB4DD6">
        <w:t xml:space="preserve"> </w:t>
      </w:r>
      <w:r w:rsidR="007A4040" w:rsidRPr="00AB4DD6">
        <w:t>eura</w:t>
      </w:r>
      <w:r w:rsidR="008F4FFD" w:rsidRPr="00AB4DD6">
        <w:t>.</w:t>
      </w:r>
    </w:p>
    <w:p w14:paraId="6E94DB07" w14:textId="5BE25D68" w:rsidR="00806F81" w:rsidRPr="00AB4DD6" w:rsidRDefault="00806F81" w:rsidP="00BE487D">
      <w:pPr>
        <w:jc w:val="both"/>
      </w:pPr>
    </w:p>
    <w:p w14:paraId="05BEB767" w14:textId="1D24D2F7" w:rsidR="00960DCD" w:rsidRPr="00AB4DD6" w:rsidRDefault="008F4FFD" w:rsidP="00960DCD">
      <w:pPr>
        <w:jc w:val="both"/>
      </w:pPr>
      <w:r w:rsidRPr="00AB4DD6">
        <w:t>Potpore za podršku gospodarstvu u COVID</w:t>
      </w:r>
      <w:r w:rsidR="00960DCD" w:rsidRPr="00AB4DD6">
        <w:t>–</w:t>
      </w:r>
      <w:r w:rsidRPr="00AB4DD6">
        <w:t xml:space="preserve">19 </w:t>
      </w:r>
      <w:proofErr w:type="spellStart"/>
      <w:r w:rsidRPr="00AB4DD6">
        <w:t>pandemiji</w:t>
      </w:r>
      <w:proofErr w:type="spellEnd"/>
      <w:r w:rsidRPr="00AB4DD6">
        <w:t xml:space="preserve"> </w:t>
      </w:r>
      <w:r w:rsidR="003F168C" w:rsidRPr="00AB4DD6">
        <w:t xml:space="preserve">te za suzbijanje učinaka ruske agresije na Ukrajinu </w:t>
      </w:r>
      <w:r w:rsidR="00960DCD" w:rsidRPr="00AB4DD6">
        <w:t>su u 202</w:t>
      </w:r>
      <w:r w:rsidR="00AB4DD6" w:rsidRPr="00AB4DD6">
        <w:t>3</w:t>
      </w:r>
      <w:r w:rsidR="00960DCD" w:rsidRPr="00AB4DD6">
        <w:t xml:space="preserve">. godini </w:t>
      </w:r>
      <w:r w:rsidR="00AB4DD6" w:rsidRPr="00AB4DD6">
        <w:t xml:space="preserve">dodijeljene </w:t>
      </w:r>
      <w:r w:rsidR="00960DCD" w:rsidRPr="00AB4DD6">
        <w:t xml:space="preserve">u iznosu od </w:t>
      </w:r>
      <w:r w:rsidR="00AB4DD6" w:rsidRPr="00AB4DD6">
        <w:t xml:space="preserve">556,6 </w:t>
      </w:r>
      <w:r w:rsidR="00960DCD" w:rsidRPr="00AB4DD6">
        <w:t xml:space="preserve">milijuna </w:t>
      </w:r>
      <w:r w:rsidR="00AB4DD6" w:rsidRPr="00AB4DD6">
        <w:t>eura</w:t>
      </w:r>
      <w:r w:rsidR="00960DCD" w:rsidRPr="00AB4DD6">
        <w:t xml:space="preserve">, što </w:t>
      </w:r>
      <w:r w:rsidR="00234458" w:rsidRPr="00AB4DD6">
        <w:t>je smanjenje</w:t>
      </w:r>
      <w:r w:rsidR="00960DCD" w:rsidRPr="00AB4DD6">
        <w:t xml:space="preserve"> za </w:t>
      </w:r>
      <w:r w:rsidR="00AB4DD6" w:rsidRPr="00AB4DD6">
        <w:t xml:space="preserve">553,6 </w:t>
      </w:r>
      <w:r w:rsidR="00960DCD" w:rsidRPr="00AB4DD6">
        <w:t xml:space="preserve">milijuna </w:t>
      </w:r>
      <w:r w:rsidR="00AB4DD6" w:rsidRPr="00AB4DD6">
        <w:t xml:space="preserve">eura </w:t>
      </w:r>
      <w:r w:rsidR="00960DCD" w:rsidRPr="00AB4DD6">
        <w:t xml:space="preserve">odnosno </w:t>
      </w:r>
      <w:r w:rsidR="00AB4DD6" w:rsidRPr="00AB4DD6">
        <w:t>49,9</w:t>
      </w:r>
      <w:r w:rsidR="00234458" w:rsidRPr="00AB4DD6">
        <w:t xml:space="preserve"> </w:t>
      </w:r>
      <w:r w:rsidR="00960DCD" w:rsidRPr="00AB4DD6">
        <w:t>posto u odnosu na 202</w:t>
      </w:r>
      <w:r w:rsidR="00AB4DD6" w:rsidRPr="00AB4DD6">
        <w:t>2</w:t>
      </w:r>
      <w:r w:rsidR="00960DCD" w:rsidRPr="00AB4DD6">
        <w:t>. godinu, kada su navedene potpore iznos</w:t>
      </w:r>
      <w:r w:rsidR="00AB4DD6" w:rsidRPr="00AB4DD6">
        <w:t>ile</w:t>
      </w:r>
      <w:r w:rsidR="00960DCD" w:rsidRPr="00AB4DD6">
        <w:t xml:space="preserve"> </w:t>
      </w:r>
      <w:r w:rsidR="00AB4DD6" w:rsidRPr="00AB4DD6">
        <w:t xml:space="preserve">1.110,2 </w:t>
      </w:r>
      <w:r w:rsidR="00234458" w:rsidRPr="00AB4DD6">
        <w:t xml:space="preserve">milijuna </w:t>
      </w:r>
      <w:r w:rsidR="00AB4DD6" w:rsidRPr="00AB4DD6">
        <w:t>eura</w:t>
      </w:r>
      <w:r w:rsidR="00234458" w:rsidRPr="00AB4DD6">
        <w:t xml:space="preserve">, te je smanjenje za </w:t>
      </w:r>
      <w:r w:rsidR="00AB4DD6" w:rsidRPr="00AB4DD6">
        <w:t xml:space="preserve">297,9 </w:t>
      </w:r>
      <w:r w:rsidR="00234458" w:rsidRPr="00AB4DD6">
        <w:t>milijun</w:t>
      </w:r>
      <w:r w:rsidR="00AB4DD6" w:rsidRPr="00AB4DD6">
        <w:t>a</w:t>
      </w:r>
      <w:r w:rsidR="00234458" w:rsidRPr="00AB4DD6">
        <w:t xml:space="preserve"> </w:t>
      </w:r>
      <w:r w:rsidR="00AB4DD6" w:rsidRPr="00AB4DD6">
        <w:t xml:space="preserve">eura </w:t>
      </w:r>
      <w:r w:rsidR="00234458" w:rsidRPr="00AB4DD6">
        <w:t xml:space="preserve">ili </w:t>
      </w:r>
      <w:r w:rsidR="00AB4DD6" w:rsidRPr="00AB4DD6">
        <w:t>34,9</w:t>
      </w:r>
      <w:r w:rsidR="00234458" w:rsidRPr="00AB4DD6">
        <w:t xml:space="preserve"> posto u odnosu na 202</w:t>
      </w:r>
      <w:r w:rsidR="00AB4DD6" w:rsidRPr="00AB4DD6">
        <w:t>1</w:t>
      </w:r>
      <w:r w:rsidR="00234458" w:rsidRPr="00AB4DD6">
        <w:t xml:space="preserve">. godinu kada su navedene potpore iznosile </w:t>
      </w:r>
      <w:r w:rsidR="00AB4DD6" w:rsidRPr="00AB4DD6">
        <w:t xml:space="preserve">854,5 </w:t>
      </w:r>
      <w:r w:rsidR="00234458" w:rsidRPr="00AB4DD6">
        <w:t xml:space="preserve">milijuna </w:t>
      </w:r>
      <w:r w:rsidR="00AB4DD6" w:rsidRPr="00AB4DD6">
        <w:t>eura</w:t>
      </w:r>
      <w:r w:rsidR="00234458" w:rsidRPr="00AB4DD6">
        <w:t>.</w:t>
      </w:r>
    </w:p>
    <w:p w14:paraId="6A0D538F" w14:textId="77777777" w:rsidR="00806F81" w:rsidRPr="00AB4DD6" w:rsidRDefault="00806F81" w:rsidP="00BE487D">
      <w:pPr>
        <w:jc w:val="both"/>
      </w:pPr>
    </w:p>
    <w:p w14:paraId="65B44AC3" w14:textId="3AB00308" w:rsidR="00AB4DD6" w:rsidRPr="00AB4DD6" w:rsidRDefault="00960DCD" w:rsidP="00BE487D">
      <w:pPr>
        <w:jc w:val="both"/>
      </w:pPr>
      <w:r w:rsidRPr="00AB4DD6">
        <w:t>P</w:t>
      </w:r>
      <w:r w:rsidR="008F4FFD" w:rsidRPr="00AB4DD6">
        <w:t>otpore</w:t>
      </w:r>
      <w:r w:rsidRPr="00AB4DD6">
        <w:t xml:space="preserve"> </w:t>
      </w:r>
      <w:r w:rsidR="008F4FFD" w:rsidRPr="00AB4DD6">
        <w:t>u sektoru industrije i usluga</w:t>
      </w:r>
      <w:r w:rsidRPr="00AB4DD6">
        <w:t xml:space="preserve"> dodijeljene</w:t>
      </w:r>
      <w:r w:rsidR="008F4FFD" w:rsidRPr="00AB4DD6">
        <w:t xml:space="preserve"> </w:t>
      </w:r>
      <w:r w:rsidR="00AB4DD6" w:rsidRPr="00AB4DD6">
        <w:t xml:space="preserve">u 2023. godini </w:t>
      </w:r>
      <w:r w:rsidR="008F4FFD" w:rsidRPr="00AB4DD6">
        <w:t xml:space="preserve">u iznosu </w:t>
      </w:r>
      <w:r w:rsidR="00AB4DD6" w:rsidRPr="00AB4DD6">
        <w:t xml:space="preserve">od 1.967,7 </w:t>
      </w:r>
      <w:r w:rsidR="008F4FFD" w:rsidRPr="00AB4DD6">
        <w:t xml:space="preserve">milijuna </w:t>
      </w:r>
      <w:r w:rsidR="00AB4DD6" w:rsidRPr="00AB4DD6">
        <w:t>eura</w:t>
      </w:r>
      <w:r w:rsidR="008F4FFD" w:rsidRPr="00AB4DD6">
        <w:t xml:space="preserve">, najvećim dijelom dodjeljivane su putem </w:t>
      </w:r>
      <w:r w:rsidR="00BD772D" w:rsidRPr="00AB4DD6">
        <w:t xml:space="preserve">subvencija i neposrednih subvencija kamata u iznosu od </w:t>
      </w:r>
      <w:r w:rsidR="00AB4DD6" w:rsidRPr="00AB4DD6">
        <w:t xml:space="preserve">1.200 </w:t>
      </w:r>
      <w:r w:rsidR="00BD772D" w:rsidRPr="00AB4DD6">
        <w:t xml:space="preserve">milijuna </w:t>
      </w:r>
      <w:r w:rsidR="00FA2983">
        <w:t>eura</w:t>
      </w:r>
      <w:r w:rsidR="00BD772D" w:rsidRPr="00AB4DD6">
        <w:t xml:space="preserve"> odnosno s udjelom od </w:t>
      </w:r>
      <w:r w:rsidR="00AB4DD6" w:rsidRPr="00AB4DD6">
        <w:t>61</w:t>
      </w:r>
      <w:r w:rsidR="00BD772D" w:rsidRPr="00AB4DD6">
        <w:t xml:space="preserve"> posto u sektoru industrije i usluga, slijede izdana jamstva u iznosu od </w:t>
      </w:r>
      <w:r w:rsidR="00AB4DD6" w:rsidRPr="00AB4DD6">
        <w:t xml:space="preserve">433,1 </w:t>
      </w:r>
      <w:r w:rsidR="00BD772D" w:rsidRPr="00AB4DD6">
        <w:t>milijun</w:t>
      </w:r>
      <w:r w:rsidR="00AB4DD6" w:rsidRPr="00AB4DD6">
        <w:t xml:space="preserve"> eura</w:t>
      </w:r>
      <w:r w:rsidR="00BD772D" w:rsidRPr="00AB4DD6">
        <w:t xml:space="preserve"> ili </w:t>
      </w:r>
      <w:r w:rsidR="00AB4DD6" w:rsidRPr="00AB4DD6">
        <w:t>22</w:t>
      </w:r>
      <w:r w:rsidR="00BD772D" w:rsidRPr="00AB4DD6">
        <w:t xml:space="preserve"> posto, </w:t>
      </w:r>
      <w:r w:rsidR="00AB4DD6" w:rsidRPr="00AB4DD6">
        <w:t xml:space="preserve">zatim je putem </w:t>
      </w:r>
      <w:r w:rsidR="00506CF8" w:rsidRPr="00AB4DD6">
        <w:t>porezn</w:t>
      </w:r>
      <w:r w:rsidR="00AB4DD6" w:rsidRPr="00AB4DD6">
        <w:t>ih</w:t>
      </w:r>
      <w:r w:rsidR="00506CF8" w:rsidRPr="00AB4DD6">
        <w:t xml:space="preserve"> olakšic</w:t>
      </w:r>
      <w:r w:rsidR="00AB4DD6" w:rsidRPr="00AB4DD6">
        <w:t xml:space="preserve">a dodijeljen </w:t>
      </w:r>
      <w:r w:rsidR="00506CF8" w:rsidRPr="00AB4DD6">
        <w:t xml:space="preserve">iznos od </w:t>
      </w:r>
      <w:r w:rsidR="00AB4DD6" w:rsidRPr="00AB4DD6">
        <w:t xml:space="preserve">169,7 </w:t>
      </w:r>
      <w:r w:rsidR="00506CF8" w:rsidRPr="00AB4DD6">
        <w:t xml:space="preserve">milijuna </w:t>
      </w:r>
      <w:r w:rsidR="00AB4DD6" w:rsidRPr="00AB4DD6">
        <w:t xml:space="preserve">eura </w:t>
      </w:r>
      <w:r w:rsidR="00506CF8" w:rsidRPr="00AB4DD6">
        <w:t xml:space="preserve">ili </w:t>
      </w:r>
      <w:r w:rsidR="00AB4DD6" w:rsidRPr="00AB4DD6">
        <w:t>8,6</w:t>
      </w:r>
      <w:r w:rsidR="00506CF8" w:rsidRPr="00AB4DD6">
        <w:t xml:space="preserve"> posto, </w:t>
      </w:r>
      <w:r w:rsidR="00AB4DD6" w:rsidRPr="00AB4DD6">
        <w:t xml:space="preserve">te je kroz </w:t>
      </w:r>
      <w:r w:rsidR="00BD772D" w:rsidRPr="00AB4DD6">
        <w:t>povoljn</w:t>
      </w:r>
      <w:r w:rsidR="00AB4DD6" w:rsidRPr="00AB4DD6">
        <w:t>e</w:t>
      </w:r>
      <w:r w:rsidR="00BD772D" w:rsidRPr="00AB4DD6">
        <w:t xml:space="preserve"> zajmov</w:t>
      </w:r>
      <w:r w:rsidR="00AB4DD6" w:rsidRPr="00AB4DD6">
        <w:t xml:space="preserve">e dodijeljen </w:t>
      </w:r>
      <w:r w:rsidR="00BD772D" w:rsidRPr="00AB4DD6">
        <w:t xml:space="preserve">iznos od </w:t>
      </w:r>
      <w:r w:rsidR="00AB4DD6" w:rsidRPr="00AB4DD6">
        <w:t xml:space="preserve">164,8 </w:t>
      </w:r>
      <w:r w:rsidR="00BD772D" w:rsidRPr="00AB4DD6">
        <w:t xml:space="preserve">milijuna </w:t>
      </w:r>
      <w:r w:rsidR="00AB4DD6" w:rsidRPr="00AB4DD6">
        <w:t xml:space="preserve">eura </w:t>
      </w:r>
      <w:r w:rsidR="00BD772D" w:rsidRPr="00AB4DD6">
        <w:t xml:space="preserve">ili </w:t>
      </w:r>
      <w:r w:rsidR="00AB4DD6" w:rsidRPr="00AB4DD6">
        <w:t>8,4</w:t>
      </w:r>
      <w:r w:rsidR="00BD772D" w:rsidRPr="00AB4DD6">
        <w:t xml:space="preserve"> posto</w:t>
      </w:r>
      <w:r w:rsidR="00AB4DD6" w:rsidRPr="00AB4DD6">
        <w:t>.</w:t>
      </w:r>
    </w:p>
    <w:p w14:paraId="097CCC4F" w14:textId="77777777" w:rsidR="00806F81" w:rsidRPr="00AB4DD6" w:rsidRDefault="00806F81" w:rsidP="00BE487D">
      <w:pPr>
        <w:jc w:val="both"/>
      </w:pPr>
    </w:p>
    <w:p w14:paraId="4371FBF1" w14:textId="12F97359" w:rsidR="00B87C45" w:rsidRPr="00EF23F8" w:rsidRDefault="00B87C45" w:rsidP="00B87C45">
      <w:pPr>
        <w:contextualSpacing/>
        <w:jc w:val="both"/>
      </w:pPr>
      <w:r w:rsidRPr="00B9741D">
        <w:t xml:space="preserve">Slika </w:t>
      </w:r>
      <w:r w:rsidR="00EF23F8" w:rsidRPr="00B9741D">
        <w:t>8</w:t>
      </w:r>
      <w:r w:rsidRPr="00B9741D">
        <w:t xml:space="preserve">. Potpore </w:t>
      </w:r>
      <w:r w:rsidR="00DB77E9" w:rsidRPr="00B9741D">
        <w:t xml:space="preserve">dodijeljene </w:t>
      </w:r>
      <w:r w:rsidRPr="00B9741D">
        <w:t>u sektoru industrije i usluga u razdoblju od 201</w:t>
      </w:r>
      <w:r w:rsidR="00EF23F8" w:rsidRPr="00B9741D">
        <w:t>3</w:t>
      </w:r>
      <w:r w:rsidRPr="00B9741D">
        <w:t>. do 202</w:t>
      </w:r>
      <w:r w:rsidR="00EF23F8" w:rsidRPr="00B9741D">
        <w:t>3</w:t>
      </w:r>
      <w:r w:rsidRPr="00B9741D">
        <w:t>. godine</w:t>
      </w:r>
      <w:r w:rsidRPr="00EF23F8">
        <w:t xml:space="preserve"> (u milijunima </w:t>
      </w:r>
      <w:r w:rsidR="00EF23F8" w:rsidRPr="00EF23F8">
        <w:t>eura</w:t>
      </w:r>
      <w:r w:rsidRPr="00EF23F8">
        <w:t>)</w:t>
      </w:r>
    </w:p>
    <w:p w14:paraId="06DB196E" w14:textId="77777777" w:rsidR="00F510AE" w:rsidRPr="008149B5" w:rsidRDefault="00F510AE" w:rsidP="00BE487D">
      <w:pPr>
        <w:jc w:val="both"/>
        <w:rPr>
          <w:b/>
          <w:sz w:val="20"/>
          <w:highlight w:val="red"/>
        </w:rPr>
      </w:pPr>
    </w:p>
    <w:p w14:paraId="43293A49" w14:textId="1019A85A" w:rsidR="001D1F79" w:rsidRPr="008149B5" w:rsidRDefault="001D1F79" w:rsidP="00DB77E9">
      <w:pPr>
        <w:jc w:val="center"/>
        <w:rPr>
          <w:b/>
          <w:highlight w:val="red"/>
        </w:rPr>
      </w:pPr>
      <w:r w:rsidRPr="008149B5">
        <w:rPr>
          <w:noProof/>
          <w:lang w:eastAsia="hr-HR"/>
        </w:rPr>
        <w:drawing>
          <wp:inline distT="0" distB="0" distL="0" distR="0" wp14:anchorId="435C48CE" wp14:editId="33BD48E2">
            <wp:extent cx="5687786" cy="2095500"/>
            <wp:effectExtent l="0" t="0" r="46355" b="3810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6E8ADE" w14:textId="77777777" w:rsidR="00DB77E9" w:rsidRPr="00F80C16" w:rsidRDefault="00DB77E9" w:rsidP="00DB77E9">
      <w:pPr>
        <w:contextualSpacing/>
        <w:jc w:val="center"/>
        <w:rPr>
          <w:i/>
          <w:sz w:val="20"/>
        </w:rPr>
      </w:pPr>
      <w:r w:rsidRPr="00F80C16">
        <w:rPr>
          <w:i/>
          <w:sz w:val="20"/>
        </w:rPr>
        <w:t>Izvor: Ministarstvo financija i davatelji potpora; podaci obrađeni u Ministarstvu financija</w:t>
      </w:r>
    </w:p>
    <w:p w14:paraId="6E244467" w14:textId="77777777" w:rsidR="001D1F79" w:rsidRPr="00F80C16" w:rsidRDefault="001D1F79" w:rsidP="00BE487D">
      <w:pPr>
        <w:jc w:val="both"/>
        <w:rPr>
          <w:b/>
        </w:rPr>
      </w:pPr>
    </w:p>
    <w:p w14:paraId="497F5780" w14:textId="61B8736C" w:rsidR="0028517A" w:rsidRPr="00F80C16" w:rsidRDefault="007A7C7C" w:rsidP="00BE487D">
      <w:pPr>
        <w:jc w:val="both"/>
      </w:pPr>
      <w:r w:rsidRPr="00F80C16">
        <w:t xml:space="preserve">Na </w:t>
      </w:r>
      <w:r w:rsidR="0028517A" w:rsidRPr="00F80C16">
        <w:t>Sli</w:t>
      </w:r>
      <w:r w:rsidRPr="00F80C16">
        <w:t>ci</w:t>
      </w:r>
      <w:r w:rsidR="0028517A" w:rsidRPr="00F80C16">
        <w:t xml:space="preserve"> </w:t>
      </w:r>
      <w:r w:rsidRPr="00F80C16">
        <w:t>8</w:t>
      </w:r>
      <w:r w:rsidR="0028517A" w:rsidRPr="00F80C16">
        <w:t>. prikaz</w:t>
      </w:r>
      <w:r w:rsidRPr="00F80C16">
        <w:t xml:space="preserve">an je </w:t>
      </w:r>
      <w:r w:rsidR="0028517A" w:rsidRPr="00F80C16">
        <w:t>iznos potpora dodijeljenih u sektoru industrije i usluga u razdoblju od 201</w:t>
      </w:r>
      <w:r w:rsidR="00F80C16" w:rsidRPr="00F80C16">
        <w:t>3</w:t>
      </w:r>
      <w:r w:rsidR="0028517A" w:rsidRPr="00F80C16">
        <w:t>. do 202</w:t>
      </w:r>
      <w:r w:rsidR="00F80C16" w:rsidRPr="00F80C16">
        <w:t>3</w:t>
      </w:r>
      <w:r w:rsidR="0028517A" w:rsidRPr="00F80C16">
        <w:t>. godine</w:t>
      </w:r>
      <w:r w:rsidRPr="00F80C16">
        <w:t xml:space="preserve"> u milijunima eura.</w:t>
      </w:r>
    </w:p>
    <w:p w14:paraId="000AD8F2" w14:textId="77777777" w:rsidR="009B5376" w:rsidRPr="00F80C16" w:rsidRDefault="009B5376" w:rsidP="00BE487D">
      <w:pPr>
        <w:jc w:val="both"/>
      </w:pPr>
    </w:p>
    <w:p w14:paraId="354CB8C5" w14:textId="77777777" w:rsidR="0028517A" w:rsidRPr="008149B5" w:rsidRDefault="0028517A" w:rsidP="00BE487D">
      <w:pPr>
        <w:jc w:val="both"/>
        <w:rPr>
          <w:highlight w:val="red"/>
        </w:rPr>
      </w:pPr>
    </w:p>
    <w:p w14:paraId="5B592D4A" w14:textId="77777777" w:rsidR="0028517A" w:rsidRPr="008149B5" w:rsidRDefault="0028517A" w:rsidP="00BE487D">
      <w:pPr>
        <w:jc w:val="both"/>
        <w:rPr>
          <w:b/>
          <w:highlight w:val="red"/>
        </w:rPr>
      </w:pPr>
    </w:p>
    <w:p w14:paraId="072B53EA" w14:textId="77777777" w:rsidR="00E45043" w:rsidRPr="008149B5" w:rsidRDefault="00E45043">
      <w:pPr>
        <w:rPr>
          <w:b/>
          <w:highlight w:val="red"/>
        </w:rPr>
      </w:pPr>
      <w:r w:rsidRPr="008149B5">
        <w:rPr>
          <w:b/>
          <w:highlight w:val="red"/>
        </w:rPr>
        <w:br w:type="page"/>
      </w:r>
    </w:p>
    <w:p w14:paraId="243EFE4B" w14:textId="68BC9043" w:rsidR="00BE0817" w:rsidRPr="00DB77E9" w:rsidRDefault="00B20C9B" w:rsidP="00937A35">
      <w:pPr>
        <w:pStyle w:val="Heading2"/>
        <w:ind w:left="811" w:hanging="454"/>
      </w:pPr>
      <w:r w:rsidRPr="00DB77E9">
        <w:lastRenderedPageBreak/>
        <w:t xml:space="preserve"> </w:t>
      </w:r>
      <w:bookmarkStart w:id="11" w:name="_Toc184635842"/>
      <w:r w:rsidRPr="00DB77E9">
        <w:t>HORIZONTALNE POTPORE</w:t>
      </w:r>
      <w:bookmarkEnd w:id="11"/>
    </w:p>
    <w:p w14:paraId="1FAE4543" w14:textId="77777777" w:rsidR="00BE0817" w:rsidRPr="00DB77E9" w:rsidRDefault="00BE0817" w:rsidP="00BE487D">
      <w:pPr>
        <w:ind w:left="348"/>
        <w:jc w:val="both"/>
        <w:rPr>
          <w:b/>
        </w:rPr>
      </w:pPr>
    </w:p>
    <w:p w14:paraId="7BA3CFC9" w14:textId="77777777" w:rsidR="005B7944" w:rsidRPr="00DB77E9" w:rsidRDefault="005B7944" w:rsidP="00BE487D">
      <w:pPr>
        <w:ind w:left="348"/>
        <w:jc w:val="both"/>
        <w:rPr>
          <w:b/>
        </w:rPr>
      </w:pPr>
    </w:p>
    <w:p w14:paraId="566757EA" w14:textId="5CB49F4F" w:rsidR="00D305BF" w:rsidRPr="00502B96" w:rsidRDefault="00502B96" w:rsidP="00BE487D">
      <w:pPr>
        <w:jc w:val="both"/>
      </w:pPr>
      <w:r w:rsidRPr="00502B96">
        <w:rPr>
          <w:rFonts w:eastAsiaTheme="minorEastAsia"/>
        </w:rPr>
        <w:t>S</w:t>
      </w:r>
      <w:r w:rsidR="00B60D14" w:rsidRPr="00502B96">
        <w:rPr>
          <w:rFonts w:eastAsiaTheme="minorEastAsia"/>
        </w:rPr>
        <w:t>ukladno</w:t>
      </w:r>
      <w:r w:rsidRPr="00502B96">
        <w:rPr>
          <w:rFonts w:eastAsiaTheme="minorEastAsia"/>
        </w:rPr>
        <w:t xml:space="preserve"> </w:t>
      </w:r>
      <w:r w:rsidR="00B60D14" w:rsidRPr="00502B96">
        <w:t>EU metodologiji praćenja potpora,</w:t>
      </w:r>
      <w:r w:rsidR="00B60D14" w:rsidRPr="00502B96">
        <w:rPr>
          <w:rFonts w:eastAsiaTheme="minorEastAsia"/>
        </w:rPr>
        <w:t xml:space="preserve"> </w:t>
      </w:r>
      <w:r w:rsidRPr="00502B96">
        <w:rPr>
          <w:rFonts w:eastAsiaTheme="minorEastAsia"/>
        </w:rPr>
        <w:t xml:space="preserve">horizontalnim potporama se </w:t>
      </w:r>
      <w:r w:rsidR="00D305BF" w:rsidRPr="00502B96">
        <w:t xml:space="preserve">smatraju sve potpore </w:t>
      </w:r>
      <w:r w:rsidR="008E65B5" w:rsidRPr="00502B96">
        <w:t xml:space="preserve">dodijeljene </w:t>
      </w:r>
      <w:r w:rsidR="00D305BF" w:rsidRPr="00502B96">
        <w:t>za horizontalne ciljeve u „užem“ smislu</w:t>
      </w:r>
      <w:r w:rsidRPr="00502B96">
        <w:t xml:space="preserve">, a to su potpore za </w:t>
      </w:r>
      <w:r w:rsidR="00D305BF" w:rsidRPr="00502B96">
        <w:t xml:space="preserve">istraživanje i razvoj i inovacije, male i srednje poduzetnike, usavršavanje, zapošljavanje i kulturu i očuvanje kulturne baštine, </w:t>
      </w:r>
      <w:r w:rsidRPr="00502B96">
        <w:t xml:space="preserve">te potpore dodijeljene </w:t>
      </w:r>
      <w:r w:rsidR="008E65B5" w:rsidRPr="00502B96">
        <w:t>za</w:t>
      </w:r>
      <w:r w:rsidR="00D305BF" w:rsidRPr="00502B96">
        <w:t xml:space="preserve"> </w:t>
      </w:r>
      <w:r w:rsidR="003F168C" w:rsidRPr="00502B96">
        <w:t xml:space="preserve">regionalni razvoj putem </w:t>
      </w:r>
      <w:r w:rsidR="00D305BF" w:rsidRPr="00502B96">
        <w:t>regionaln</w:t>
      </w:r>
      <w:r w:rsidR="003F168C" w:rsidRPr="00502B96">
        <w:t>ih</w:t>
      </w:r>
      <w:r w:rsidR="00D305BF" w:rsidRPr="00502B96">
        <w:t xml:space="preserve"> potpor</w:t>
      </w:r>
      <w:r w:rsidR="003F168C" w:rsidRPr="00502B96">
        <w:t>a</w:t>
      </w:r>
      <w:r w:rsidR="00D305BF" w:rsidRPr="00502B96">
        <w:t xml:space="preserve"> te potpore na razini jedinica lokalne i područne (regionalne) samouprave</w:t>
      </w:r>
      <w:r w:rsidR="008E65B5" w:rsidRPr="00502B96">
        <w:t>.</w:t>
      </w:r>
    </w:p>
    <w:p w14:paraId="55A49CA0" w14:textId="77777777" w:rsidR="009E61F0" w:rsidRPr="00502B96" w:rsidRDefault="009E61F0" w:rsidP="00BE487D">
      <w:pPr>
        <w:jc w:val="both"/>
      </w:pPr>
    </w:p>
    <w:p w14:paraId="27198031" w14:textId="217ED988" w:rsidR="00B60D14" w:rsidRPr="00502B96" w:rsidRDefault="00D305BF" w:rsidP="00B60D14">
      <w:pPr>
        <w:jc w:val="both"/>
      </w:pPr>
      <w:r w:rsidRPr="00502B96">
        <w:t>Horizontalne potpore</w:t>
      </w:r>
      <w:r w:rsidR="00B60D14" w:rsidRPr="00502B96">
        <w:t>,</w:t>
      </w:r>
      <w:r w:rsidRPr="00502B96">
        <w:t xml:space="preserve"> </w:t>
      </w:r>
      <w:r w:rsidR="00B60D14" w:rsidRPr="00502B96">
        <w:t>uključujući horizontalne ciljeve u „užem“ smislu</w:t>
      </w:r>
      <w:r w:rsidR="003F168C" w:rsidRPr="00502B96">
        <w:rPr>
          <w:rStyle w:val="FootnoteReference"/>
        </w:rPr>
        <w:footnoteReference w:id="21"/>
      </w:r>
      <w:r w:rsidR="00B60D14" w:rsidRPr="00502B96">
        <w:t xml:space="preserve">, </w:t>
      </w:r>
      <w:r w:rsidRPr="00502B96">
        <w:t xml:space="preserve">regionalne potpore i potpore na lokalnoj razini, dodijeljene su </w:t>
      </w:r>
      <w:r w:rsidR="00502B96" w:rsidRPr="00502B96">
        <w:t>u 2023</w:t>
      </w:r>
      <w:r w:rsidR="00F1674A" w:rsidRPr="00502B96">
        <w:t xml:space="preserve">. godini </w:t>
      </w:r>
      <w:r w:rsidRPr="00502B96">
        <w:t xml:space="preserve">u iznosu od </w:t>
      </w:r>
      <w:r w:rsidR="00502B96" w:rsidRPr="00502B96">
        <w:t xml:space="preserve">562,2 </w:t>
      </w:r>
      <w:r w:rsidRPr="00502B96">
        <w:t xml:space="preserve">milijuna </w:t>
      </w:r>
      <w:r w:rsidR="00502B96" w:rsidRPr="00502B96">
        <w:t>eura</w:t>
      </w:r>
      <w:r w:rsidRPr="00502B96">
        <w:t>,</w:t>
      </w:r>
      <w:r w:rsidR="00B60D14" w:rsidRPr="00502B96">
        <w:t xml:space="preserve"> što </w:t>
      </w:r>
      <w:r w:rsidR="00F1674A" w:rsidRPr="00502B96">
        <w:t>je</w:t>
      </w:r>
      <w:r w:rsidR="00B60D14" w:rsidRPr="00502B96">
        <w:t xml:space="preserve"> </w:t>
      </w:r>
      <w:r w:rsidR="00502B96" w:rsidRPr="00502B96">
        <w:t>povećanje</w:t>
      </w:r>
      <w:r w:rsidR="00B60D14" w:rsidRPr="00502B96">
        <w:t xml:space="preserve"> za </w:t>
      </w:r>
      <w:r w:rsidR="00502B96" w:rsidRPr="00502B96">
        <w:t xml:space="preserve">234,9 </w:t>
      </w:r>
      <w:r w:rsidR="00B60D14" w:rsidRPr="00502B96">
        <w:t xml:space="preserve">milijuna </w:t>
      </w:r>
      <w:r w:rsidR="00502B96" w:rsidRPr="00502B96">
        <w:t xml:space="preserve">eura </w:t>
      </w:r>
      <w:r w:rsidR="00B60D14" w:rsidRPr="00502B96">
        <w:t xml:space="preserve">odnosno </w:t>
      </w:r>
      <w:r w:rsidR="00502B96" w:rsidRPr="00502B96">
        <w:t>71,8</w:t>
      </w:r>
      <w:r w:rsidR="00F1674A" w:rsidRPr="00502B96">
        <w:t xml:space="preserve"> </w:t>
      </w:r>
      <w:r w:rsidR="00B60D14" w:rsidRPr="00502B96">
        <w:t>posto u odnosu na 202</w:t>
      </w:r>
      <w:r w:rsidR="00502B96" w:rsidRPr="00502B96">
        <w:t>2</w:t>
      </w:r>
      <w:r w:rsidR="00B60D14" w:rsidRPr="00502B96">
        <w:t xml:space="preserve">. godinu, kada su </w:t>
      </w:r>
      <w:r w:rsidR="00F1674A" w:rsidRPr="00502B96">
        <w:t>navedene</w:t>
      </w:r>
      <w:r w:rsidR="00B60D14" w:rsidRPr="00502B96">
        <w:t xml:space="preserve"> potpore iznos</w:t>
      </w:r>
      <w:r w:rsidR="00F1674A" w:rsidRPr="00502B96">
        <w:t>ile</w:t>
      </w:r>
      <w:r w:rsidR="00B60D14" w:rsidRPr="00502B96">
        <w:t xml:space="preserve"> </w:t>
      </w:r>
      <w:r w:rsidR="00502B96" w:rsidRPr="00502B96">
        <w:t xml:space="preserve">327,3 </w:t>
      </w:r>
      <w:r w:rsidR="00B60D14" w:rsidRPr="00502B96">
        <w:t xml:space="preserve">milijuna </w:t>
      </w:r>
      <w:r w:rsidR="00502B96" w:rsidRPr="00502B96">
        <w:t>eura</w:t>
      </w:r>
      <w:r w:rsidR="00B60D14" w:rsidRPr="00502B96">
        <w:t xml:space="preserve">, te </w:t>
      </w:r>
      <w:r w:rsidR="00F1674A" w:rsidRPr="00502B96">
        <w:t>je</w:t>
      </w:r>
      <w:r w:rsidR="00B60D14" w:rsidRPr="00502B96">
        <w:t xml:space="preserve"> </w:t>
      </w:r>
      <w:r w:rsidR="00502B96" w:rsidRPr="00502B96">
        <w:t xml:space="preserve">povećanje </w:t>
      </w:r>
      <w:r w:rsidR="00B60D14" w:rsidRPr="00502B96">
        <w:t xml:space="preserve">za </w:t>
      </w:r>
      <w:r w:rsidR="00502B96" w:rsidRPr="00502B96">
        <w:t xml:space="preserve">66,7 </w:t>
      </w:r>
      <w:r w:rsidR="00B60D14" w:rsidRPr="00502B96">
        <w:t xml:space="preserve">milijuna </w:t>
      </w:r>
      <w:r w:rsidR="00502B96" w:rsidRPr="00502B96">
        <w:t xml:space="preserve">eura </w:t>
      </w:r>
      <w:r w:rsidR="00B60D14" w:rsidRPr="00502B96">
        <w:t xml:space="preserve">odnosno </w:t>
      </w:r>
      <w:r w:rsidR="00502B96" w:rsidRPr="00502B96">
        <w:t>13,5</w:t>
      </w:r>
      <w:r w:rsidR="00B60D14" w:rsidRPr="00502B96">
        <w:t xml:space="preserve"> posto u odnosu na 20</w:t>
      </w:r>
      <w:r w:rsidR="00F1674A" w:rsidRPr="00502B96">
        <w:t>2</w:t>
      </w:r>
      <w:r w:rsidR="00502B96" w:rsidRPr="00502B96">
        <w:t>1</w:t>
      </w:r>
      <w:r w:rsidR="00B60D14" w:rsidRPr="00502B96">
        <w:t xml:space="preserve">. godinu kada su navedene potpore </w:t>
      </w:r>
      <w:r w:rsidR="00F1674A" w:rsidRPr="00502B96">
        <w:t xml:space="preserve">iznosile </w:t>
      </w:r>
      <w:r w:rsidR="00502B96" w:rsidRPr="00502B96">
        <w:t xml:space="preserve">495,5 </w:t>
      </w:r>
      <w:r w:rsidR="00B60D14" w:rsidRPr="00502B96">
        <w:t xml:space="preserve">milijuna </w:t>
      </w:r>
      <w:r w:rsidR="00502B96" w:rsidRPr="00502B96">
        <w:t>eura</w:t>
      </w:r>
      <w:r w:rsidR="00B60D14" w:rsidRPr="00502B96">
        <w:t>.</w:t>
      </w:r>
    </w:p>
    <w:p w14:paraId="13B305B6" w14:textId="77777777" w:rsidR="00502B96" w:rsidRPr="00502B96" w:rsidRDefault="00502B96" w:rsidP="00BE487D">
      <w:pPr>
        <w:jc w:val="both"/>
      </w:pPr>
    </w:p>
    <w:p w14:paraId="736F9E7A" w14:textId="26AAF128" w:rsidR="002D0BE0" w:rsidRPr="00BE069D" w:rsidRDefault="00FB1A84" w:rsidP="002D0BE0">
      <w:pPr>
        <w:jc w:val="both"/>
      </w:pPr>
      <w:r w:rsidRPr="00502B96">
        <w:t xml:space="preserve">Udio </w:t>
      </w:r>
      <w:r w:rsidR="00B60D14" w:rsidRPr="00502B96">
        <w:t xml:space="preserve">horizontalnih </w:t>
      </w:r>
      <w:r w:rsidRPr="00502B96">
        <w:t>potpora u BDP-u u 202</w:t>
      </w:r>
      <w:r w:rsidR="00502B96" w:rsidRPr="00502B96">
        <w:t>3</w:t>
      </w:r>
      <w:r w:rsidRPr="00502B96">
        <w:t xml:space="preserve">. godini iznosio je </w:t>
      </w:r>
      <w:r w:rsidR="00B60D14" w:rsidRPr="00502B96">
        <w:t>0,</w:t>
      </w:r>
      <w:r w:rsidR="00502B96" w:rsidRPr="00502B96">
        <w:t>74</w:t>
      </w:r>
      <w:r w:rsidRPr="00502B96">
        <w:t xml:space="preserve"> posto, u 202</w:t>
      </w:r>
      <w:r w:rsidR="00F1674A" w:rsidRPr="00502B96">
        <w:t>1</w:t>
      </w:r>
      <w:r w:rsidRPr="00502B96">
        <w:t xml:space="preserve">. godini </w:t>
      </w:r>
      <w:r w:rsidR="00502B96" w:rsidRPr="00502B96">
        <w:t xml:space="preserve">je iznosio </w:t>
      </w:r>
      <w:r w:rsidR="00F1674A" w:rsidRPr="00502B96">
        <w:t>0,</w:t>
      </w:r>
      <w:r w:rsidR="00502B96" w:rsidRPr="00502B96">
        <w:t>48</w:t>
      </w:r>
      <w:r w:rsidR="00C527C6" w:rsidRPr="00502B96">
        <w:t xml:space="preserve"> </w:t>
      </w:r>
      <w:r w:rsidRPr="00502B96">
        <w:t xml:space="preserve">posto </w:t>
      </w:r>
      <w:r w:rsidR="00F1674A" w:rsidRPr="00502B96">
        <w:t>dok</w:t>
      </w:r>
      <w:r w:rsidRPr="00502B96">
        <w:t xml:space="preserve"> je u 20</w:t>
      </w:r>
      <w:r w:rsidR="00F1674A" w:rsidRPr="00502B96">
        <w:t>2</w:t>
      </w:r>
      <w:r w:rsidR="00502B96" w:rsidRPr="00502B96">
        <w:t>01</w:t>
      </w:r>
      <w:r w:rsidRPr="00502B96">
        <w:t xml:space="preserve">. godini iznosio </w:t>
      </w:r>
      <w:r w:rsidR="00502B96" w:rsidRPr="00502B96">
        <w:t>0</w:t>
      </w:r>
      <w:r w:rsidR="00502B96" w:rsidRPr="00BE069D">
        <w:t>,84</w:t>
      </w:r>
      <w:r w:rsidR="00C527C6" w:rsidRPr="00BE069D">
        <w:t xml:space="preserve"> </w:t>
      </w:r>
      <w:r w:rsidRPr="00BE069D">
        <w:t xml:space="preserve">posto. </w:t>
      </w:r>
      <w:r w:rsidR="00C527C6" w:rsidRPr="00BE069D">
        <w:t xml:space="preserve">Udio </w:t>
      </w:r>
      <w:r w:rsidR="002D0BE0" w:rsidRPr="00BE069D">
        <w:t xml:space="preserve">horizontalnih </w:t>
      </w:r>
      <w:r w:rsidR="00C527C6" w:rsidRPr="00BE069D">
        <w:t xml:space="preserve">potpora u </w:t>
      </w:r>
      <w:r w:rsidR="002D0BE0" w:rsidRPr="00BE069D">
        <w:t xml:space="preserve">ukupno dodijeljenim potporama u </w:t>
      </w:r>
      <w:r w:rsidR="00C527C6" w:rsidRPr="00BE069D">
        <w:t>202</w:t>
      </w:r>
      <w:r w:rsidR="00502B96" w:rsidRPr="00BE069D">
        <w:t>3</w:t>
      </w:r>
      <w:r w:rsidR="00C527C6" w:rsidRPr="00BE069D">
        <w:t xml:space="preserve">. godini iznosio je </w:t>
      </w:r>
      <w:r w:rsidR="00502B96" w:rsidRPr="00BE069D">
        <w:t>18,5</w:t>
      </w:r>
      <w:r w:rsidR="00C527C6" w:rsidRPr="00BE069D">
        <w:t xml:space="preserve"> posto, u 202</w:t>
      </w:r>
      <w:r w:rsidR="00BE069D" w:rsidRPr="00BE069D">
        <w:t>2</w:t>
      </w:r>
      <w:r w:rsidR="00C527C6" w:rsidRPr="00BE069D">
        <w:t xml:space="preserve">. godini iznosio je </w:t>
      </w:r>
      <w:r w:rsidR="00502B96" w:rsidRPr="00BE069D">
        <w:t>10,9</w:t>
      </w:r>
      <w:r w:rsidR="00C527C6" w:rsidRPr="00BE069D">
        <w:t xml:space="preserve"> posto te je u 20</w:t>
      </w:r>
      <w:r w:rsidR="00F1674A" w:rsidRPr="00BE069D">
        <w:t>2</w:t>
      </w:r>
      <w:r w:rsidR="00502B96" w:rsidRPr="00BE069D">
        <w:t>1</w:t>
      </w:r>
      <w:r w:rsidR="00C527C6" w:rsidRPr="00BE069D">
        <w:t xml:space="preserve">. godini iznosio </w:t>
      </w:r>
      <w:r w:rsidR="00BE069D" w:rsidRPr="00BE069D">
        <w:t>16,9</w:t>
      </w:r>
      <w:r w:rsidR="002D0BE0" w:rsidRPr="00BE069D">
        <w:t xml:space="preserve"> posto</w:t>
      </w:r>
      <w:r w:rsidR="00BE069D" w:rsidRPr="00BE069D">
        <w:t>. U</w:t>
      </w:r>
      <w:r w:rsidR="002D0BE0" w:rsidRPr="00BE069D">
        <w:t xml:space="preserve">dio </w:t>
      </w:r>
      <w:r w:rsidR="00BE069D" w:rsidRPr="00BE069D">
        <w:t xml:space="preserve">horizontalnih potpora </w:t>
      </w:r>
      <w:r w:rsidR="002D0BE0" w:rsidRPr="00BE069D">
        <w:t>u potporama dodijeljenih u sektoru industrije i usluga u 202</w:t>
      </w:r>
      <w:r w:rsidR="00BE069D" w:rsidRPr="00BE069D">
        <w:t>3</w:t>
      </w:r>
      <w:r w:rsidR="002D0BE0" w:rsidRPr="00BE069D">
        <w:t xml:space="preserve">. godini iznosio </w:t>
      </w:r>
      <w:r w:rsidR="00BE069D" w:rsidRPr="00BE069D">
        <w:t>28,6</w:t>
      </w:r>
      <w:r w:rsidR="002D0BE0" w:rsidRPr="00BE069D">
        <w:t xml:space="preserve"> posto, u 202</w:t>
      </w:r>
      <w:r w:rsidR="00BE069D" w:rsidRPr="00BE069D">
        <w:t>2</w:t>
      </w:r>
      <w:r w:rsidR="002D0BE0" w:rsidRPr="00BE069D">
        <w:t xml:space="preserve">. godini iznosio je </w:t>
      </w:r>
      <w:r w:rsidR="00BE069D" w:rsidRPr="00BE069D">
        <w:t>16</w:t>
      </w:r>
      <w:r w:rsidR="002D0BE0" w:rsidRPr="00BE069D">
        <w:t xml:space="preserve"> posto dok je u 20</w:t>
      </w:r>
      <w:r w:rsidR="00F1674A" w:rsidRPr="00BE069D">
        <w:t>2</w:t>
      </w:r>
      <w:r w:rsidR="00BE069D" w:rsidRPr="00BE069D">
        <w:t>1</w:t>
      </w:r>
      <w:r w:rsidR="00F1674A" w:rsidRPr="00BE069D">
        <w:t xml:space="preserve">. godini iznosio </w:t>
      </w:r>
      <w:r w:rsidR="00BE069D" w:rsidRPr="00BE069D">
        <w:t>25,6</w:t>
      </w:r>
      <w:r w:rsidR="002D0BE0" w:rsidRPr="00BE069D">
        <w:t xml:space="preserve"> posto. </w:t>
      </w:r>
    </w:p>
    <w:p w14:paraId="06F2581D" w14:textId="5015F700" w:rsidR="00BE069D" w:rsidRPr="00BE069D" w:rsidRDefault="00BE069D" w:rsidP="002D0BE0">
      <w:pPr>
        <w:jc w:val="both"/>
      </w:pPr>
    </w:p>
    <w:p w14:paraId="04E4AE89" w14:textId="626282C4" w:rsidR="00F8458D" w:rsidRPr="00BE069D" w:rsidRDefault="00F8458D" w:rsidP="00F8458D">
      <w:pPr>
        <w:jc w:val="both"/>
      </w:pPr>
      <w:r w:rsidRPr="00BE069D">
        <w:t xml:space="preserve">Unutar horizontalnih potpora </w:t>
      </w:r>
      <w:r w:rsidR="00BE069D" w:rsidRPr="00BE069D">
        <w:t xml:space="preserve">dodijeljenih u 2023. godini </w:t>
      </w:r>
      <w:r w:rsidRPr="00BE069D">
        <w:t xml:space="preserve">u iznosu od </w:t>
      </w:r>
      <w:r w:rsidR="00BE069D" w:rsidRPr="00BE069D">
        <w:t xml:space="preserve">562,2 </w:t>
      </w:r>
      <w:r w:rsidRPr="00BE069D">
        <w:t xml:space="preserve">milijuna </w:t>
      </w:r>
      <w:r w:rsidR="00BE069D" w:rsidRPr="00BE069D">
        <w:t>eura</w:t>
      </w:r>
      <w:r w:rsidRPr="00BE069D">
        <w:t>, na horizontalne ciljeve odnosno horizontalne potpore u užem smislu</w:t>
      </w:r>
      <w:r w:rsidRPr="00BE069D">
        <w:rPr>
          <w:vertAlign w:val="superscript"/>
        </w:rPr>
        <w:footnoteReference w:id="22"/>
      </w:r>
      <w:r w:rsidRPr="00BE069D">
        <w:t xml:space="preserve"> odnosi se iznos od </w:t>
      </w:r>
      <w:r w:rsidR="00BE069D" w:rsidRPr="00BE069D">
        <w:t xml:space="preserve">267,7 </w:t>
      </w:r>
      <w:r w:rsidRPr="00BE069D">
        <w:t xml:space="preserve">milijuna </w:t>
      </w:r>
      <w:r w:rsidR="00BE069D" w:rsidRPr="00BE069D">
        <w:t xml:space="preserve">eura </w:t>
      </w:r>
      <w:r w:rsidRPr="00BE069D">
        <w:t xml:space="preserve">ili udio od </w:t>
      </w:r>
      <w:r w:rsidR="00BE069D" w:rsidRPr="00BE069D">
        <w:t>47,6</w:t>
      </w:r>
      <w:r w:rsidRPr="00BE069D">
        <w:t xml:space="preserve"> posto u horizontalnim potporama, na regionalne potpore</w:t>
      </w:r>
      <w:r w:rsidR="00BE069D" w:rsidRPr="00BE069D">
        <w:t xml:space="preserve"> odnosi se</w:t>
      </w:r>
      <w:r w:rsidRPr="00BE069D">
        <w:t xml:space="preserve"> iznos od </w:t>
      </w:r>
      <w:r w:rsidR="00BE069D" w:rsidRPr="00BE069D">
        <w:t xml:space="preserve">148,2 </w:t>
      </w:r>
      <w:r w:rsidRPr="00BE069D">
        <w:t xml:space="preserve">milijuna </w:t>
      </w:r>
      <w:r w:rsidR="00BE069D" w:rsidRPr="00BE069D">
        <w:t xml:space="preserve">eura </w:t>
      </w:r>
      <w:r w:rsidRPr="00BE069D">
        <w:t xml:space="preserve">ili </w:t>
      </w:r>
      <w:r w:rsidR="00BE069D" w:rsidRPr="00BE069D">
        <w:t>26,4</w:t>
      </w:r>
      <w:r w:rsidRPr="00BE069D">
        <w:t xml:space="preserve"> posto</w:t>
      </w:r>
      <w:r w:rsidR="00BE069D" w:rsidRPr="00BE069D">
        <w:t>,</w:t>
      </w:r>
      <w:r w:rsidRPr="00BE069D">
        <w:t xml:space="preserve"> dok se na potpore na lokalnoj razini odnosi iznos od </w:t>
      </w:r>
      <w:r w:rsidR="00BE069D" w:rsidRPr="00BE069D">
        <w:t xml:space="preserve">146,4 </w:t>
      </w:r>
      <w:r w:rsidRPr="00BE069D">
        <w:t xml:space="preserve">milijuna </w:t>
      </w:r>
      <w:r w:rsidR="00BE069D" w:rsidRPr="00BE069D">
        <w:t xml:space="preserve">eura </w:t>
      </w:r>
      <w:r w:rsidRPr="00BE069D">
        <w:t xml:space="preserve">ili </w:t>
      </w:r>
      <w:r w:rsidR="00BE069D" w:rsidRPr="00BE069D">
        <w:t>26</w:t>
      </w:r>
      <w:r w:rsidRPr="00BE069D">
        <w:t xml:space="preserve"> posto.</w:t>
      </w:r>
    </w:p>
    <w:p w14:paraId="54087943" w14:textId="77777777" w:rsidR="00F8458D" w:rsidRPr="00BE069D" w:rsidRDefault="00F8458D" w:rsidP="002D0BE0">
      <w:pPr>
        <w:jc w:val="both"/>
      </w:pPr>
    </w:p>
    <w:p w14:paraId="6420E1B8" w14:textId="3B5D2C60" w:rsidR="002D0BE0" w:rsidRPr="00502B96" w:rsidRDefault="0047332C" w:rsidP="002D0BE0">
      <w:pPr>
        <w:jc w:val="both"/>
        <w:rPr>
          <w:highlight w:val="red"/>
        </w:rPr>
      </w:pPr>
      <w:r w:rsidRPr="00BE069D">
        <w:t xml:space="preserve">Horizontalne potpore </w:t>
      </w:r>
      <w:r w:rsidR="002D0BE0" w:rsidRPr="00BE069D">
        <w:t xml:space="preserve">dodijeljene </w:t>
      </w:r>
      <w:r w:rsidR="00BE069D" w:rsidRPr="00BE069D">
        <w:t xml:space="preserve">u 2023. godini </w:t>
      </w:r>
      <w:r w:rsidR="002D0BE0" w:rsidRPr="00BE069D">
        <w:t xml:space="preserve">u iznosu od </w:t>
      </w:r>
      <w:r w:rsidR="00BE069D" w:rsidRPr="00BE069D">
        <w:t xml:space="preserve">562,2 </w:t>
      </w:r>
      <w:r w:rsidR="002D0BE0" w:rsidRPr="00BE069D">
        <w:t xml:space="preserve">milijuna </w:t>
      </w:r>
      <w:r w:rsidR="00FA2983">
        <w:t>eura</w:t>
      </w:r>
      <w:r w:rsidR="002D0BE0" w:rsidRPr="00BE069D">
        <w:t xml:space="preserve">, najvećim dijelom dodjeljivane su putem </w:t>
      </w:r>
      <w:r w:rsidRPr="00BE069D">
        <w:t xml:space="preserve">subvencija i neposrednih subvencija kamata </w:t>
      </w:r>
      <w:r w:rsidR="002D0BE0" w:rsidRPr="00BE069D">
        <w:t xml:space="preserve">u iznosu od </w:t>
      </w:r>
      <w:r w:rsidR="00BE069D" w:rsidRPr="00BE069D">
        <w:t xml:space="preserve">420,7 </w:t>
      </w:r>
      <w:r w:rsidR="002D0BE0" w:rsidRPr="00BE069D">
        <w:t>milijun</w:t>
      </w:r>
      <w:r w:rsidR="00F8458D" w:rsidRPr="00BE069D">
        <w:t>a</w:t>
      </w:r>
      <w:r w:rsidR="002D0BE0" w:rsidRPr="00BE069D">
        <w:t xml:space="preserve"> </w:t>
      </w:r>
      <w:r w:rsidR="00BE069D" w:rsidRPr="00BE069D">
        <w:t xml:space="preserve">eura </w:t>
      </w:r>
      <w:r w:rsidR="002D0BE0" w:rsidRPr="00BE069D">
        <w:t xml:space="preserve">odnosno s udjelom od </w:t>
      </w:r>
      <w:r w:rsidR="00BE069D" w:rsidRPr="00BE069D">
        <w:t>74,8</w:t>
      </w:r>
      <w:r w:rsidR="002D0BE0" w:rsidRPr="00BE069D">
        <w:t xml:space="preserve"> posto u </w:t>
      </w:r>
      <w:r w:rsidRPr="00BE069D">
        <w:t>horizontalnim potporama</w:t>
      </w:r>
      <w:r w:rsidR="002D0BE0" w:rsidRPr="00BE069D">
        <w:t xml:space="preserve">, slijede </w:t>
      </w:r>
      <w:r w:rsidRPr="00BE069D">
        <w:t xml:space="preserve">porezne olakšice </w:t>
      </w:r>
      <w:r w:rsidR="002D0BE0" w:rsidRPr="00BE069D">
        <w:t xml:space="preserve">u iznosu od </w:t>
      </w:r>
      <w:r w:rsidR="00BE069D" w:rsidRPr="00BE069D">
        <w:t xml:space="preserve">117,4 </w:t>
      </w:r>
      <w:r w:rsidR="002D0BE0" w:rsidRPr="00BE069D">
        <w:t xml:space="preserve">milijuna </w:t>
      </w:r>
      <w:r w:rsidR="00BE069D" w:rsidRPr="00BE069D">
        <w:t xml:space="preserve">eura </w:t>
      </w:r>
      <w:r w:rsidR="002D0BE0" w:rsidRPr="00BE069D">
        <w:t xml:space="preserve">ili </w:t>
      </w:r>
      <w:r w:rsidR="00BE069D" w:rsidRPr="00BE069D">
        <w:t>20,9</w:t>
      </w:r>
      <w:r w:rsidR="00F8458D" w:rsidRPr="00BE069D">
        <w:t xml:space="preserve"> </w:t>
      </w:r>
      <w:r w:rsidR="002D0BE0" w:rsidRPr="00BE069D">
        <w:t xml:space="preserve">posto, </w:t>
      </w:r>
      <w:r w:rsidR="00BE069D" w:rsidRPr="00BE069D">
        <w:t xml:space="preserve">zatim </w:t>
      </w:r>
      <w:r w:rsidR="00F8458D" w:rsidRPr="00BE069D">
        <w:t xml:space="preserve">povoljni zajmovi u iznosu od 21,9 milijuna </w:t>
      </w:r>
      <w:r w:rsidR="00BE069D" w:rsidRPr="00BE069D">
        <w:t xml:space="preserve">eura </w:t>
      </w:r>
      <w:r w:rsidR="00F8458D" w:rsidRPr="00BE069D">
        <w:t xml:space="preserve">ili </w:t>
      </w:r>
      <w:r w:rsidR="00BE069D" w:rsidRPr="00BE069D">
        <w:t>3,9</w:t>
      </w:r>
      <w:r w:rsidR="00F8458D" w:rsidRPr="00BE069D">
        <w:t xml:space="preserve"> posto te </w:t>
      </w:r>
      <w:r w:rsidR="001E4F2E" w:rsidRPr="00BE069D">
        <w:t xml:space="preserve">izdana jamstva </w:t>
      </w:r>
      <w:r w:rsidR="002D0BE0" w:rsidRPr="00BE069D">
        <w:t xml:space="preserve">u iznosu od </w:t>
      </w:r>
      <w:r w:rsidR="00BE069D" w:rsidRPr="00BE069D">
        <w:t>2,1</w:t>
      </w:r>
      <w:r w:rsidR="001E4F2E" w:rsidRPr="00BE069D">
        <w:t xml:space="preserve"> </w:t>
      </w:r>
      <w:r w:rsidR="002D0BE0" w:rsidRPr="00BE069D">
        <w:t xml:space="preserve">milijun </w:t>
      </w:r>
      <w:r w:rsidR="00BE069D" w:rsidRPr="00BE069D">
        <w:t xml:space="preserve">eura </w:t>
      </w:r>
      <w:r w:rsidR="002D0BE0" w:rsidRPr="00BE069D">
        <w:t xml:space="preserve">ili </w:t>
      </w:r>
      <w:r w:rsidR="001E4F2E" w:rsidRPr="00BE069D">
        <w:t>0,</w:t>
      </w:r>
      <w:r w:rsidR="00BE069D" w:rsidRPr="00BE069D">
        <w:t>4</w:t>
      </w:r>
      <w:r w:rsidR="002D0BE0" w:rsidRPr="00BE069D">
        <w:t xml:space="preserve"> posto.</w:t>
      </w:r>
    </w:p>
    <w:p w14:paraId="3B6EC483" w14:textId="77777777" w:rsidR="00BE069D" w:rsidRPr="00502B96" w:rsidRDefault="00BE069D" w:rsidP="00BE487D">
      <w:pPr>
        <w:jc w:val="both"/>
        <w:rPr>
          <w:highlight w:val="red"/>
        </w:rPr>
      </w:pPr>
    </w:p>
    <w:p w14:paraId="3EA32F87" w14:textId="3D69E05B" w:rsidR="003C0BE6" w:rsidRPr="00502B96" w:rsidRDefault="003C0BE6" w:rsidP="003C0BE6">
      <w:pPr>
        <w:contextualSpacing/>
        <w:jc w:val="both"/>
      </w:pPr>
      <w:r w:rsidRPr="00B9741D">
        <w:t xml:space="preserve">Slika </w:t>
      </w:r>
      <w:r w:rsidR="00EF23F8" w:rsidRPr="00B9741D">
        <w:t>9</w:t>
      </w:r>
      <w:r w:rsidRPr="00B9741D">
        <w:t xml:space="preserve">. Odnos horizontalnih potpora u „užem smislu“ i ukupnih horizontalnih potpora </w:t>
      </w:r>
      <w:r w:rsidR="00502B96" w:rsidRPr="00B9741D">
        <w:t>u</w:t>
      </w:r>
      <w:r w:rsidRPr="00502B96">
        <w:t xml:space="preserve"> razdoblj</w:t>
      </w:r>
      <w:r w:rsidR="00502B96">
        <w:t>u</w:t>
      </w:r>
      <w:r w:rsidRPr="00502B96">
        <w:t xml:space="preserve"> od 201</w:t>
      </w:r>
      <w:r w:rsidR="00EF23F8" w:rsidRPr="00502B96">
        <w:t>3</w:t>
      </w:r>
      <w:r w:rsidRPr="00502B96">
        <w:t>. do 202</w:t>
      </w:r>
      <w:r w:rsidR="00EF23F8" w:rsidRPr="00502B96">
        <w:t>3</w:t>
      </w:r>
      <w:r w:rsidRPr="00502B96">
        <w:t xml:space="preserve">. godine (u milijunima </w:t>
      </w:r>
      <w:r w:rsidR="00EF23F8" w:rsidRPr="00502B96">
        <w:t>eura</w:t>
      </w:r>
      <w:r w:rsidRPr="00502B96">
        <w:t>)</w:t>
      </w:r>
    </w:p>
    <w:p w14:paraId="1563209E" w14:textId="77777777" w:rsidR="005B0EE6" w:rsidRPr="00891D3A" w:rsidRDefault="005B0EE6" w:rsidP="00BE487D">
      <w:pPr>
        <w:jc w:val="both"/>
        <w:rPr>
          <w:b/>
          <w:sz w:val="20"/>
        </w:rPr>
      </w:pPr>
    </w:p>
    <w:p w14:paraId="7F8220D1" w14:textId="4E34CA16" w:rsidR="00863E6F" w:rsidRPr="00891D3A" w:rsidRDefault="003D1F4D" w:rsidP="00BE487D">
      <w:pPr>
        <w:jc w:val="both"/>
        <w:rPr>
          <w:b/>
        </w:rPr>
      </w:pPr>
      <w:r w:rsidRPr="00891D3A">
        <w:rPr>
          <w:noProof/>
          <w:lang w:eastAsia="hr-HR"/>
        </w:rPr>
        <w:drawing>
          <wp:inline distT="0" distB="0" distL="0" distR="0" wp14:anchorId="5A3997CA" wp14:editId="00C7B54F">
            <wp:extent cx="5699760" cy="1722120"/>
            <wp:effectExtent l="0" t="0" r="15240" b="11430"/>
            <wp:docPr id="31" name="Grafikon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DD1943" w14:textId="77777777" w:rsidR="00891D3A" w:rsidRPr="00F80C16" w:rsidRDefault="00891D3A" w:rsidP="00891D3A">
      <w:pPr>
        <w:contextualSpacing/>
        <w:jc w:val="center"/>
        <w:rPr>
          <w:i/>
          <w:sz w:val="20"/>
        </w:rPr>
      </w:pPr>
      <w:r w:rsidRPr="00F80C16">
        <w:rPr>
          <w:i/>
          <w:sz w:val="20"/>
        </w:rPr>
        <w:t>Izvor: Ministarstvo financija i davatelji potpora; podaci obrađeni u Ministarstvu financija</w:t>
      </w:r>
    </w:p>
    <w:p w14:paraId="39216104" w14:textId="77777777" w:rsidR="00863E6F" w:rsidRPr="00F80C16" w:rsidRDefault="00863E6F" w:rsidP="00BE487D">
      <w:pPr>
        <w:jc w:val="both"/>
        <w:rPr>
          <w:b/>
        </w:rPr>
      </w:pPr>
    </w:p>
    <w:p w14:paraId="15A2316A" w14:textId="1DBDFB0B" w:rsidR="001E4F2E" w:rsidRPr="00F80C16" w:rsidRDefault="00F80C16" w:rsidP="001E4F2E">
      <w:pPr>
        <w:jc w:val="both"/>
      </w:pPr>
      <w:r w:rsidRPr="00F80C16">
        <w:rPr>
          <w:rFonts w:eastAsiaTheme="minorEastAsia"/>
        </w:rPr>
        <w:t xml:space="preserve">Na </w:t>
      </w:r>
      <w:r w:rsidR="001E4F2E" w:rsidRPr="00F80C16">
        <w:rPr>
          <w:rFonts w:eastAsiaTheme="minorEastAsia"/>
        </w:rPr>
        <w:t>Sli</w:t>
      </w:r>
      <w:r w:rsidRPr="00F80C16">
        <w:rPr>
          <w:rFonts w:eastAsiaTheme="minorEastAsia"/>
        </w:rPr>
        <w:t>ci</w:t>
      </w:r>
      <w:r w:rsidR="00F8458D" w:rsidRPr="00F80C16">
        <w:rPr>
          <w:rFonts w:eastAsiaTheme="minorEastAsia"/>
        </w:rPr>
        <w:t xml:space="preserve"> 9. prikaz</w:t>
      </w:r>
      <w:r w:rsidRPr="00F80C16">
        <w:rPr>
          <w:rFonts w:eastAsiaTheme="minorEastAsia"/>
        </w:rPr>
        <w:t>an</w:t>
      </w:r>
      <w:r w:rsidR="00502B96">
        <w:rPr>
          <w:rFonts w:eastAsiaTheme="minorEastAsia"/>
        </w:rPr>
        <w:t xml:space="preserve"> je</w:t>
      </w:r>
      <w:r w:rsidR="001E4F2E" w:rsidRPr="00F80C16">
        <w:rPr>
          <w:rFonts w:eastAsiaTheme="minorEastAsia"/>
        </w:rPr>
        <w:t xml:space="preserve"> </w:t>
      </w:r>
      <w:r w:rsidR="001E4F2E" w:rsidRPr="00F80C16">
        <w:t>tijek kretanja horizontalnih potpora u užem smislu i tijek kretanja horizontalnih potpora, uključujući horizontalne potpore u užem smislu, regionalne potpore i potpore na lokalnoj razini u razdoblju od 201</w:t>
      </w:r>
      <w:r w:rsidRPr="00F80C16">
        <w:t>3</w:t>
      </w:r>
      <w:r w:rsidR="001E4F2E" w:rsidRPr="00F80C16">
        <w:t>. do 202</w:t>
      </w:r>
      <w:r w:rsidRPr="00F80C16">
        <w:t>3</w:t>
      </w:r>
      <w:r w:rsidR="00F8458D" w:rsidRPr="00F80C16">
        <w:t>. godine</w:t>
      </w:r>
      <w:r w:rsidRPr="00F80C16">
        <w:t xml:space="preserve"> u milijunima eura.</w:t>
      </w:r>
    </w:p>
    <w:p w14:paraId="0A4E7F76" w14:textId="77777777" w:rsidR="00B93B4D" w:rsidRPr="00891D3A" w:rsidRDefault="00B93B4D" w:rsidP="00BE487D">
      <w:pPr>
        <w:jc w:val="both"/>
        <w:rPr>
          <w:b/>
        </w:rPr>
      </w:pPr>
    </w:p>
    <w:p w14:paraId="007C7E14" w14:textId="77777777" w:rsidR="005B0EE6" w:rsidRPr="00891D3A" w:rsidRDefault="005B0EE6" w:rsidP="00BE487D">
      <w:pPr>
        <w:jc w:val="both"/>
        <w:rPr>
          <w:b/>
        </w:rPr>
      </w:pPr>
    </w:p>
    <w:p w14:paraId="42FD7F2F" w14:textId="77777777" w:rsidR="005B0EE6" w:rsidRPr="00891D3A" w:rsidRDefault="005B0EE6" w:rsidP="00BE487D">
      <w:pPr>
        <w:jc w:val="both"/>
        <w:rPr>
          <w:b/>
        </w:rPr>
      </w:pPr>
    </w:p>
    <w:p w14:paraId="12051794" w14:textId="10FE1142" w:rsidR="00BB6808" w:rsidRPr="00891D3A" w:rsidRDefault="005B7944" w:rsidP="00BE487D">
      <w:pPr>
        <w:pStyle w:val="Heading3"/>
        <w:spacing w:before="0"/>
        <w:ind w:firstLine="360"/>
        <w:jc w:val="both"/>
        <w:rPr>
          <w:rFonts w:ascii="Times New Roman" w:hAnsi="Times New Roman" w:cs="Times New Roman"/>
          <w:b/>
          <w:color w:val="auto"/>
        </w:rPr>
      </w:pPr>
      <w:bookmarkStart w:id="12" w:name="_Toc184635843"/>
      <w:r w:rsidRPr="00891D3A">
        <w:rPr>
          <w:rFonts w:ascii="Times New Roman" w:hAnsi="Times New Roman" w:cs="Times New Roman"/>
          <w:b/>
          <w:color w:val="auto"/>
        </w:rPr>
        <w:t>Horizontalne potpore u „užem smislu“</w:t>
      </w:r>
      <w:bookmarkEnd w:id="12"/>
    </w:p>
    <w:p w14:paraId="68663E1D" w14:textId="77777777" w:rsidR="00BB6808" w:rsidRPr="00891D3A" w:rsidRDefault="00BB6808" w:rsidP="00BE487D">
      <w:pPr>
        <w:ind w:left="348"/>
        <w:jc w:val="both"/>
        <w:rPr>
          <w:b/>
        </w:rPr>
      </w:pPr>
    </w:p>
    <w:p w14:paraId="3569C4F7" w14:textId="77777777" w:rsidR="005B7944" w:rsidRPr="00891D3A" w:rsidRDefault="005B7944" w:rsidP="00BE487D">
      <w:pPr>
        <w:ind w:left="348"/>
        <w:jc w:val="both"/>
        <w:rPr>
          <w:b/>
        </w:rPr>
      </w:pPr>
    </w:p>
    <w:p w14:paraId="35B5F6D2" w14:textId="77777777" w:rsidR="00D305BF" w:rsidRPr="00BE069D" w:rsidRDefault="006F2040" w:rsidP="00BE487D">
      <w:pPr>
        <w:jc w:val="both"/>
      </w:pPr>
      <w:r w:rsidRPr="00BE069D">
        <w:t>Horizontalnim ciljevima ili h</w:t>
      </w:r>
      <w:r w:rsidR="00D305BF" w:rsidRPr="00BE069D">
        <w:t xml:space="preserve">orizontalnim potporama u „užem smislu“ smatraju se potpore za istraživanje i razvoj i inovacije, potpore malim i srednjim poduzetnicima, potpore za usavršavanje i zapošljavanje </w:t>
      </w:r>
      <w:r w:rsidRPr="00BE069D">
        <w:t xml:space="preserve">te </w:t>
      </w:r>
      <w:r w:rsidR="00D305BF" w:rsidRPr="00BE069D">
        <w:t>za kulturu i očuvanje kulturne baštine.</w:t>
      </w:r>
    </w:p>
    <w:p w14:paraId="20CAADE2" w14:textId="77777777" w:rsidR="001B2AC7" w:rsidRPr="00BE069D" w:rsidRDefault="001B2AC7" w:rsidP="00BE487D">
      <w:pPr>
        <w:jc w:val="both"/>
      </w:pPr>
    </w:p>
    <w:p w14:paraId="1A7D778B" w14:textId="1B3B3065" w:rsidR="006F2040" w:rsidRPr="00A348C1" w:rsidRDefault="00BE069D" w:rsidP="006F2040">
      <w:pPr>
        <w:jc w:val="both"/>
      </w:pPr>
      <w:r w:rsidRPr="00A348C1">
        <w:t>U 2023. godini, h</w:t>
      </w:r>
      <w:r w:rsidR="00B97518" w:rsidRPr="00A348C1">
        <w:t>orizontalne</w:t>
      </w:r>
      <w:r w:rsidR="007453F7" w:rsidRPr="00A348C1">
        <w:t xml:space="preserve"> </w:t>
      </w:r>
      <w:r w:rsidR="00B97518" w:rsidRPr="00A348C1">
        <w:t>potpore</w:t>
      </w:r>
      <w:r w:rsidR="00D305BF" w:rsidRPr="00A348C1">
        <w:rPr>
          <w:rFonts w:eastAsiaTheme="minorEastAsia"/>
        </w:rPr>
        <w:t xml:space="preserve"> </w:t>
      </w:r>
      <w:r w:rsidR="006749ED" w:rsidRPr="00A348C1">
        <w:rPr>
          <w:rFonts w:eastAsiaTheme="minorEastAsia"/>
        </w:rPr>
        <w:t xml:space="preserve">u </w:t>
      </w:r>
      <w:r w:rsidR="00D305BF" w:rsidRPr="00A348C1">
        <w:rPr>
          <w:rFonts w:eastAsiaTheme="minorEastAsia"/>
        </w:rPr>
        <w:t xml:space="preserve">„užem smislu“ </w:t>
      </w:r>
      <w:r w:rsidR="006F2040" w:rsidRPr="00A348C1">
        <w:t xml:space="preserve">dodijeljene su </w:t>
      </w:r>
      <w:r w:rsidR="007453F7" w:rsidRPr="00A348C1">
        <w:t xml:space="preserve">u </w:t>
      </w:r>
      <w:r w:rsidR="006F2040" w:rsidRPr="00A348C1">
        <w:t xml:space="preserve">iznosu od </w:t>
      </w:r>
      <w:r w:rsidRPr="00A348C1">
        <w:t xml:space="preserve">267,7 </w:t>
      </w:r>
      <w:r w:rsidR="006F2040" w:rsidRPr="00A348C1">
        <w:t xml:space="preserve">milijuna </w:t>
      </w:r>
      <w:r w:rsidRPr="00A348C1">
        <w:t>eura</w:t>
      </w:r>
      <w:r w:rsidR="006F2040" w:rsidRPr="00A348C1">
        <w:t xml:space="preserve">, što </w:t>
      </w:r>
      <w:r w:rsidR="007453F7" w:rsidRPr="00A348C1">
        <w:t>je</w:t>
      </w:r>
      <w:r w:rsidR="006F2040" w:rsidRPr="00A348C1">
        <w:t xml:space="preserve"> </w:t>
      </w:r>
      <w:r w:rsidRPr="00A348C1">
        <w:t>povećanje</w:t>
      </w:r>
      <w:r w:rsidR="006F2040" w:rsidRPr="00A348C1">
        <w:t xml:space="preserve"> za </w:t>
      </w:r>
      <w:r w:rsidRPr="00A348C1">
        <w:t>168,1 milijun</w:t>
      </w:r>
      <w:r w:rsidR="006F2040" w:rsidRPr="00A348C1">
        <w:t xml:space="preserve"> </w:t>
      </w:r>
      <w:r w:rsidRPr="00A348C1">
        <w:t xml:space="preserve">eura </w:t>
      </w:r>
      <w:r w:rsidR="006F2040" w:rsidRPr="00A348C1">
        <w:t>odnosno</w:t>
      </w:r>
      <w:r w:rsidR="00D43B49" w:rsidRPr="00A348C1">
        <w:t xml:space="preserve"> za</w:t>
      </w:r>
      <w:r w:rsidR="006F2040" w:rsidRPr="00A348C1">
        <w:t xml:space="preserve"> </w:t>
      </w:r>
      <w:r w:rsidRPr="00A348C1">
        <w:t>168,9</w:t>
      </w:r>
      <w:r w:rsidR="007453F7" w:rsidRPr="00A348C1">
        <w:t xml:space="preserve"> </w:t>
      </w:r>
      <w:r w:rsidR="006F2040" w:rsidRPr="00A348C1">
        <w:t>posto u odnosu na 202</w:t>
      </w:r>
      <w:r w:rsidRPr="00A348C1">
        <w:t>2</w:t>
      </w:r>
      <w:r w:rsidR="006F2040" w:rsidRPr="00A348C1">
        <w:t xml:space="preserve">. godinu, kada su potpore </w:t>
      </w:r>
      <w:r w:rsidRPr="00A348C1">
        <w:t xml:space="preserve">za horizontalne ciljeve </w:t>
      </w:r>
      <w:r w:rsidR="006F2040" w:rsidRPr="00A348C1">
        <w:t xml:space="preserve">dodijeljene u iznosu od </w:t>
      </w:r>
      <w:r w:rsidRPr="00A348C1">
        <w:t xml:space="preserve">99,5 </w:t>
      </w:r>
      <w:r w:rsidR="006F2040" w:rsidRPr="00A348C1">
        <w:t xml:space="preserve">milijuna </w:t>
      </w:r>
      <w:r w:rsidRPr="00A348C1">
        <w:t>eura</w:t>
      </w:r>
      <w:r w:rsidR="006F2040" w:rsidRPr="00A348C1">
        <w:t xml:space="preserve">, te </w:t>
      </w:r>
      <w:r w:rsidR="007453F7" w:rsidRPr="00A348C1">
        <w:t xml:space="preserve">je smanjenje </w:t>
      </w:r>
      <w:r w:rsidR="006F2040" w:rsidRPr="00A348C1">
        <w:t xml:space="preserve">za </w:t>
      </w:r>
      <w:r w:rsidR="00A348C1" w:rsidRPr="00A348C1">
        <w:t>18,3</w:t>
      </w:r>
      <w:r w:rsidR="007453F7" w:rsidRPr="00A348C1">
        <w:t xml:space="preserve"> </w:t>
      </w:r>
      <w:r w:rsidR="006F2040" w:rsidRPr="00A348C1">
        <w:t xml:space="preserve">milijuna </w:t>
      </w:r>
      <w:r w:rsidRPr="00A348C1">
        <w:t xml:space="preserve">eura </w:t>
      </w:r>
      <w:r w:rsidR="006F2040" w:rsidRPr="00A348C1">
        <w:t xml:space="preserve">odnosno </w:t>
      </w:r>
      <w:r w:rsidR="00A348C1" w:rsidRPr="00A348C1">
        <w:t>6,4</w:t>
      </w:r>
      <w:r w:rsidR="006F2040" w:rsidRPr="00A348C1">
        <w:t xml:space="preserve"> posto u odnosu na 20</w:t>
      </w:r>
      <w:r w:rsidR="007453F7" w:rsidRPr="00A348C1">
        <w:t>2</w:t>
      </w:r>
      <w:r w:rsidR="00A348C1" w:rsidRPr="00A348C1">
        <w:t>1</w:t>
      </w:r>
      <w:r w:rsidR="006F2040" w:rsidRPr="00A348C1">
        <w:t xml:space="preserve">. godinu kada su </w:t>
      </w:r>
      <w:r w:rsidR="00893968" w:rsidRPr="00A348C1">
        <w:t xml:space="preserve">navedene </w:t>
      </w:r>
      <w:r w:rsidR="006F2040" w:rsidRPr="00A348C1">
        <w:t xml:space="preserve">potpore dodijeljene u iznosu od </w:t>
      </w:r>
      <w:r w:rsidR="00A348C1" w:rsidRPr="00A348C1">
        <w:t xml:space="preserve">285,9 </w:t>
      </w:r>
      <w:r w:rsidR="006F2040" w:rsidRPr="00A348C1">
        <w:t>milijun</w:t>
      </w:r>
      <w:r w:rsidR="00A348C1" w:rsidRPr="00A348C1">
        <w:t>a</w:t>
      </w:r>
      <w:r w:rsidR="006F2040" w:rsidRPr="00A348C1">
        <w:t xml:space="preserve"> </w:t>
      </w:r>
      <w:r w:rsidRPr="00A348C1">
        <w:t>eura</w:t>
      </w:r>
      <w:r w:rsidR="006F2040" w:rsidRPr="00A348C1">
        <w:t>.</w:t>
      </w:r>
    </w:p>
    <w:p w14:paraId="7228049E" w14:textId="77777777" w:rsidR="00C46BE9" w:rsidRPr="00A348C1" w:rsidRDefault="00C46BE9" w:rsidP="00BE487D">
      <w:pPr>
        <w:jc w:val="both"/>
      </w:pPr>
    </w:p>
    <w:p w14:paraId="27FE0E2A" w14:textId="4B42C390" w:rsidR="00D305BF" w:rsidRPr="00BA6F95" w:rsidRDefault="00D305BF" w:rsidP="00BE487D">
      <w:pPr>
        <w:contextualSpacing/>
        <w:jc w:val="both"/>
      </w:pPr>
      <w:r w:rsidRPr="00B9741D">
        <w:t xml:space="preserve">Tablica </w:t>
      </w:r>
      <w:r w:rsidR="00EF23F8" w:rsidRPr="00B9741D">
        <w:t>7</w:t>
      </w:r>
      <w:r w:rsidRPr="00B9741D">
        <w:t xml:space="preserve">. Horizontalne potpore u „užem smislu“ </w:t>
      </w:r>
      <w:r w:rsidR="00A348C1" w:rsidRPr="00B9741D">
        <w:t>dodijeljene u</w:t>
      </w:r>
      <w:r w:rsidRPr="00B9741D">
        <w:t xml:space="preserve"> razdoblj</w:t>
      </w:r>
      <w:r w:rsidR="00A348C1" w:rsidRPr="00B9741D">
        <w:t>u</w:t>
      </w:r>
      <w:r w:rsidRPr="00B9741D">
        <w:t xml:space="preserve"> od 20</w:t>
      </w:r>
      <w:r w:rsidR="00A348C1" w:rsidRPr="00B9741D">
        <w:t>21</w:t>
      </w:r>
      <w:r w:rsidRPr="00B9741D">
        <w:t>. do 202</w:t>
      </w:r>
      <w:r w:rsidR="00BA6F95" w:rsidRPr="00B9741D">
        <w:t>3</w:t>
      </w:r>
      <w:r w:rsidRPr="00B9741D">
        <w:t>.</w:t>
      </w:r>
      <w:r w:rsidRPr="00BA6F95">
        <w:t xml:space="preserve"> godine (bez regionalnih potpora i potpora na lokalnoj razini)</w:t>
      </w:r>
    </w:p>
    <w:p w14:paraId="58722391" w14:textId="77777777" w:rsidR="00D305BF" w:rsidRPr="008149B5" w:rsidRDefault="00D305BF" w:rsidP="00BE487D">
      <w:pPr>
        <w:jc w:val="both"/>
        <w:rPr>
          <w:sz w:val="20"/>
          <w:highlight w:val="red"/>
        </w:rPr>
      </w:pPr>
    </w:p>
    <w:tbl>
      <w:tblPr>
        <w:tblW w:w="8926" w:type="dxa"/>
        <w:tblLook w:val="04A0" w:firstRow="1" w:lastRow="0" w:firstColumn="1" w:lastColumn="0" w:noHBand="0" w:noVBand="1"/>
      </w:tblPr>
      <w:tblGrid>
        <w:gridCol w:w="2830"/>
        <w:gridCol w:w="993"/>
        <w:gridCol w:w="992"/>
        <w:gridCol w:w="992"/>
        <w:gridCol w:w="992"/>
        <w:gridCol w:w="993"/>
        <w:gridCol w:w="1134"/>
      </w:tblGrid>
      <w:tr w:rsidR="00891D3A" w:rsidRPr="00891D3A" w14:paraId="5918B644" w14:textId="77777777" w:rsidTr="009D4AF4">
        <w:trPr>
          <w:trHeight w:val="38"/>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2DCB685D" w14:textId="77777777" w:rsidR="00891D3A" w:rsidRPr="00891D3A" w:rsidRDefault="00891D3A" w:rsidP="00891D3A">
            <w:pPr>
              <w:rPr>
                <w:rFonts w:eastAsia="Times New Roman"/>
                <w:b/>
                <w:bCs/>
                <w:sz w:val="20"/>
                <w:szCs w:val="20"/>
              </w:rPr>
            </w:pPr>
            <w:r w:rsidRPr="00891D3A">
              <w:rPr>
                <w:rFonts w:eastAsia="Times New Roman"/>
                <w:b/>
                <w:bCs/>
                <w:sz w:val="20"/>
                <w:szCs w:val="20"/>
              </w:rPr>
              <w:t>Horizontalni ciljevi</w:t>
            </w:r>
          </w:p>
        </w:tc>
        <w:tc>
          <w:tcPr>
            <w:tcW w:w="1985"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6F6F86D5" w14:textId="1A051770" w:rsidR="00891D3A" w:rsidRPr="00891D3A" w:rsidRDefault="00891D3A" w:rsidP="00891D3A">
            <w:pPr>
              <w:jc w:val="center"/>
              <w:rPr>
                <w:rFonts w:eastAsia="Times New Roman"/>
                <w:b/>
                <w:bCs/>
                <w:sz w:val="20"/>
                <w:szCs w:val="20"/>
              </w:rPr>
            </w:pPr>
            <w:r w:rsidRPr="00891D3A">
              <w:rPr>
                <w:b/>
                <w:sz w:val="20"/>
                <w:szCs w:val="20"/>
              </w:rPr>
              <w:t>2021.</w:t>
            </w:r>
          </w:p>
        </w:tc>
        <w:tc>
          <w:tcPr>
            <w:tcW w:w="1984"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24948B6C" w14:textId="2F562A7B" w:rsidR="00891D3A" w:rsidRPr="00891D3A" w:rsidRDefault="00891D3A" w:rsidP="00891D3A">
            <w:pPr>
              <w:jc w:val="center"/>
              <w:rPr>
                <w:rFonts w:eastAsia="Times New Roman"/>
                <w:b/>
                <w:bCs/>
                <w:sz w:val="20"/>
                <w:szCs w:val="20"/>
              </w:rPr>
            </w:pPr>
            <w:r w:rsidRPr="00891D3A">
              <w:rPr>
                <w:b/>
                <w:sz w:val="20"/>
                <w:szCs w:val="20"/>
              </w:rPr>
              <w:t>2022.</w:t>
            </w:r>
          </w:p>
        </w:tc>
        <w:tc>
          <w:tcPr>
            <w:tcW w:w="2127"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71B57364" w14:textId="36C8D482" w:rsidR="00891D3A" w:rsidRPr="00891D3A" w:rsidRDefault="00891D3A" w:rsidP="00891D3A">
            <w:pPr>
              <w:jc w:val="center"/>
              <w:rPr>
                <w:rFonts w:eastAsia="Times New Roman"/>
                <w:b/>
                <w:bCs/>
                <w:sz w:val="20"/>
                <w:szCs w:val="20"/>
              </w:rPr>
            </w:pPr>
            <w:r w:rsidRPr="00891D3A">
              <w:rPr>
                <w:b/>
                <w:sz w:val="20"/>
                <w:szCs w:val="20"/>
              </w:rPr>
              <w:t>2023.</w:t>
            </w:r>
          </w:p>
        </w:tc>
      </w:tr>
      <w:tr w:rsidR="00891D3A" w:rsidRPr="00891D3A" w14:paraId="78ACE5E0" w14:textId="77777777" w:rsidTr="009D4AF4">
        <w:trPr>
          <w:trHeight w:val="157"/>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415411F" w14:textId="77777777" w:rsidR="00891D3A" w:rsidRPr="00891D3A" w:rsidRDefault="00891D3A" w:rsidP="00891D3A">
            <w:pPr>
              <w:rPr>
                <w:rFonts w:eastAsia="Times New Roman"/>
                <w:b/>
                <w:bCs/>
                <w:sz w:val="20"/>
                <w:szCs w:val="20"/>
              </w:rPr>
            </w:pPr>
          </w:p>
        </w:tc>
        <w:tc>
          <w:tcPr>
            <w:tcW w:w="993" w:type="dxa"/>
            <w:tcBorders>
              <w:top w:val="nil"/>
              <w:left w:val="nil"/>
              <w:bottom w:val="single" w:sz="4" w:space="0" w:color="auto"/>
              <w:right w:val="single" w:sz="4" w:space="0" w:color="auto"/>
            </w:tcBorders>
            <w:shd w:val="clear" w:color="000000" w:fill="FFFF99"/>
            <w:vAlign w:val="center"/>
            <w:hideMark/>
          </w:tcPr>
          <w:p w14:paraId="5E7003BF" w14:textId="04AD7D6F" w:rsidR="00891D3A" w:rsidRPr="009D4AF4" w:rsidRDefault="00891D3A" w:rsidP="00891D3A">
            <w:pPr>
              <w:jc w:val="center"/>
              <w:rPr>
                <w:rFonts w:eastAsia="Times New Roman"/>
                <w:bCs/>
                <w:sz w:val="20"/>
                <w:szCs w:val="20"/>
              </w:rPr>
            </w:pPr>
            <w:r w:rsidRPr="009D4AF4">
              <w:rPr>
                <w:rFonts w:eastAsia="Times New Roman"/>
                <w:bCs/>
                <w:sz w:val="20"/>
                <w:szCs w:val="20"/>
              </w:rPr>
              <w:t xml:space="preserve">u </w:t>
            </w:r>
            <w:proofErr w:type="spellStart"/>
            <w:r w:rsidRPr="009D4AF4">
              <w:rPr>
                <w:rFonts w:eastAsia="Times New Roman"/>
                <w:bCs/>
                <w:sz w:val="20"/>
                <w:szCs w:val="20"/>
              </w:rPr>
              <w:t>mln</w:t>
            </w:r>
            <w:proofErr w:type="spellEnd"/>
            <w:r w:rsidRPr="009D4AF4">
              <w:rPr>
                <w:rFonts w:eastAsia="Times New Roman"/>
                <w:bCs/>
                <w:sz w:val="20"/>
                <w:szCs w:val="20"/>
              </w:rPr>
              <w:t xml:space="preserve"> EUR</w:t>
            </w:r>
          </w:p>
        </w:tc>
        <w:tc>
          <w:tcPr>
            <w:tcW w:w="992" w:type="dxa"/>
            <w:tcBorders>
              <w:top w:val="nil"/>
              <w:left w:val="nil"/>
              <w:bottom w:val="single" w:sz="4" w:space="0" w:color="auto"/>
              <w:right w:val="single" w:sz="4" w:space="0" w:color="auto"/>
            </w:tcBorders>
            <w:shd w:val="clear" w:color="000000" w:fill="FFFF99"/>
            <w:vAlign w:val="center"/>
            <w:hideMark/>
          </w:tcPr>
          <w:p w14:paraId="3A9B60D3" w14:textId="77777777" w:rsidR="00891D3A" w:rsidRPr="009D4AF4" w:rsidRDefault="00891D3A" w:rsidP="00891D3A">
            <w:pPr>
              <w:jc w:val="center"/>
              <w:rPr>
                <w:rFonts w:eastAsia="Times New Roman"/>
                <w:bCs/>
                <w:sz w:val="20"/>
                <w:szCs w:val="20"/>
              </w:rPr>
            </w:pPr>
            <w:r w:rsidRPr="009D4AF4">
              <w:rPr>
                <w:rFonts w:eastAsia="Times New Roman"/>
                <w:bCs/>
                <w:sz w:val="20"/>
                <w:szCs w:val="20"/>
              </w:rPr>
              <w:t>udio u BDP (%)</w:t>
            </w:r>
          </w:p>
        </w:tc>
        <w:tc>
          <w:tcPr>
            <w:tcW w:w="992" w:type="dxa"/>
            <w:tcBorders>
              <w:top w:val="nil"/>
              <w:left w:val="nil"/>
              <w:bottom w:val="single" w:sz="4" w:space="0" w:color="auto"/>
              <w:right w:val="single" w:sz="4" w:space="0" w:color="auto"/>
            </w:tcBorders>
            <w:shd w:val="clear" w:color="000000" w:fill="FFFF99"/>
            <w:vAlign w:val="center"/>
            <w:hideMark/>
          </w:tcPr>
          <w:p w14:paraId="75DE4635" w14:textId="22B9CD73" w:rsidR="00891D3A" w:rsidRPr="009D4AF4" w:rsidRDefault="00891D3A" w:rsidP="00891D3A">
            <w:pPr>
              <w:jc w:val="center"/>
              <w:rPr>
                <w:rFonts w:eastAsia="Times New Roman"/>
                <w:bCs/>
                <w:sz w:val="20"/>
                <w:szCs w:val="20"/>
              </w:rPr>
            </w:pPr>
            <w:r w:rsidRPr="009D4AF4">
              <w:rPr>
                <w:rFonts w:eastAsia="Times New Roman"/>
                <w:bCs/>
                <w:sz w:val="20"/>
                <w:szCs w:val="20"/>
              </w:rPr>
              <w:t xml:space="preserve">u </w:t>
            </w:r>
            <w:proofErr w:type="spellStart"/>
            <w:r w:rsidRPr="009D4AF4">
              <w:rPr>
                <w:rFonts w:eastAsia="Times New Roman"/>
                <w:bCs/>
                <w:sz w:val="20"/>
                <w:szCs w:val="20"/>
              </w:rPr>
              <w:t>mln</w:t>
            </w:r>
            <w:proofErr w:type="spellEnd"/>
            <w:r w:rsidRPr="009D4AF4">
              <w:rPr>
                <w:rFonts w:eastAsia="Times New Roman"/>
                <w:bCs/>
                <w:sz w:val="20"/>
                <w:szCs w:val="20"/>
              </w:rPr>
              <w:t xml:space="preserve"> EUR</w:t>
            </w:r>
          </w:p>
        </w:tc>
        <w:tc>
          <w:tcPr>
            <w:tcW w:w="992" w:type="dxa"/>
            <w:tcBorders>
              <w:top w:val="nil"/>
              <w:left w:val="nil"/>
              <w:bottom w:val="single" w:sz="4" w:space="0" w:color="auto"/>
              <w:right w:val="single" w:sz="4" w:space="0" w:color="auto"/>
            </w:tcBorders>
            <w:shd w:val="clear" w:color="000000" w:fill="FFFF99"/>
            <w:vAlign w:val="center"/>
            <w:hideMark/>
          </w:tcPr>
          <w:p w14:paraId="69A220A1" w14:textId="77777777" w:rsidR="00891D3A" w:rsidRPr="009D4AF4" w:rsidRDefault="00891D3A" w:rsidP="00891D3A">
            <w:pPr>
              <w:jc w:val="center"/>
              <w:rPr>
                <w:rFonts w:eastAsia="Times New Roman"/>
                <w:bCs/>
                <w:sz w:val="20"/>
                <w:szCs w:val="20"/>
              </w:rPr>
            </w:pPr>
            <w:r w:rsidRPr="009D4AF4">
              <w:rPr>
                <w:rFonts w:eastAsia="Times New Roman"/>
                <w:bCs/>
                <w:sz w:val="20"/>
                <w:szCs w:val="20"/>
              </w:rPr>
              <w:t>udio u BDP (%)</w:t>
            </w:r>
          </w:p>
        </w:tc>
        <w:tc>
          <w:tcPr>
            <w:tcW w:w="993" w:type="dxa"/>
            <w:tcBorders>
              <w:top w:val="nil"/>
              <w:left w:val="nil"/>
              <w:bottom w:val="single" w:sz="4" w:space="0" w:color="auto"/>
              <w:right w:val="single" w:sz="4" w:space="0" w:color="auto"/>
            </w:tcBorders>
            <w:shd w:val="clear" w:color="000000" w:fill="FFFF99"/>
            <w:vAlign w:val="center"/>
            <w:hideMark/>
          </w:tcPr>
          <w:p w14:paraId="0BCAB468" w14:textId="7A4D34BB" w:rsidR="00891D3A" w:rsidRPr="009D4AF4" w:rsidRDefault="00891D3A" w:rsidP="00891D3A">
            <w:pPr>
              <w:jc w:val="center"/>
              <w:rPr>
                <w:rFonts w:eastAsia="Times New Roman"/>
                <w:bCs/>
                <w:sz w:val="20"/>
                <w:szCs w:val="20"/>
              </w:rPr>
            </w:pPr>
            <w:r w:rsidRPr="009D4AF4">
              <w:rPr>
                <w:rFonts w:eastAsia="Times New Roman"/>
                <w:bCs/>
                <w:sz w:val="20"/>
                <w:szCs w:val="20"/>
              </w:rPr>
              <w:t xml:space="preserve">u </w:t>
            </w:r>
            <w:proofErr w:type="spellStart"/>
            <w:r w:rsidRPr="009D4AF4">
              <w:rPr>
                <w:rFonts w:eastAsia="Times New Roman"/>
                <w:bCs/>
                <w:sz w:val="20"/>
                <w:szCs w:val="20"/>
              </w:rPr>
              <w:t>mln</w:t>
            </w:r>
            <w:proofErr w:type="spellEnd"/>
            <w:r w:rsidRPr="009D4AF4">
              <w:rPr>
                <w:rFonts w:eastAsia="Times New Roman"/>
                <w:bCs/>
                <w:sz w:val="20"/>
                <w:szCs w:val="20"/>
              </w:rPr>
              <w:t xml:space="preserve"> EUR</w:t>
            </w:r>
          </w:p>
        </w:tc>
        <w:tc>
          <w:tcPr>
            <w:tcW w:w="1134" w:type="dxa"/>
            <w:tcBorders>
              <w:top w:val="nil"/>
              <w:left w:val="nil"/>
              <w:bottom w:val="single" w:sz="4" w:space="0" w:color="auto"/>
              <w:right w:val="single" w:sz="4" w:space="0" w:color="auto"/>
            </w:tcBorders>
            <w:shd w:val="clear" w:color="000000" w:fill="FFFF99"/>
            <w:vAlign w:val="center"/>
            <w:hideMark/>
          </w:tcPr>
          <w:p w14:paraId="5C3BAEC7" w14:textId="77777777" w:rsidR="00891D3A" w:rsidRPr="009D4AF4" w:rsidRDefault="00891D3A" w:rsidP="00891D3A">
            <w:pPr>
              <w:jc w:val="center"/>
              <w:rPr>
                <w:rFonts w:eastAsia="Times New Roman"/>
                <w:bCs/>
                <w:sz w:val="20"/>
                <w:szCs w:val="20"/>
              </w:rPr>
            </w:pPr>
            <w:r w:rsidRPr="009D4AF4">
              <w:rPr>
                <w:rFonts w:eastAsia="Times New Roman"/>
                <w:bCs/>
                <w:sz w:val="20"/>
                <w:szCs w:val="20"/>
              </w:rPr>
              <w:t>udio u BDP (%)</w:t>
            </w:r>
          </w:p>
        </w:tc>
      </w:tr>
      <w:tr w:rsidR="00507BA3" w:rsidRPr="00891D3A" w14:paraId="62084A20" w14:textId="77777777" w:rsidTr="009D4AF4">
        <w:trPr>
          <w:trHeight w:val="6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FBBD8F" w14:textId="77777777" w:rsidR="00507BA3" w:rsidRPr="00891D3A" w:rsidRDefault="00507BA3" w:rsidP="00507BA3">
            <w:pPr>
              <w:rPr>
                <w:rFonts w:eastAsia="Times New Roman"/>
                <w:sz w:val="20"/>
                <w:szCs w:val="20"/>
              </w:rPr>
            </w:pPr>
            <w:r w:rsidRPr="00891D3A">
              <w:rPr>
                <w:rFonts w:eastAsia="Times New Roman"/>
                <w:sz w:val="20"/>
                <w:szCs w:val="20"/>
              </w:rPr>
              <w:t>Istraživanje i razvoj i inovacije</w:t>
            </w:r>
          </w:p>
        </w:tc>
        <w:tc>
          <w:tcPr>
            <w:tcW w:w="993" w:type="dxa"/>
            <w:tcBorders>
              <w:top w:val="nil"/>
              <w:left w:val="nil"/>
              <w:bottom w:val="single" w:sz="4" w:space="0" w:color="auto"/>
              <w:right w:val="single" w:sz="4" w:space="0" w:color="auto"/>
            </w:tcBorders>
            <w:shd w:val="clear" w:color="auto" w:fill="auto"/>
            <w:vAlign w:val="bottom"/>
          </w:tcPr>
          <w:p w14:paraId="23A3E21B" w14:textId="3CAC20AC" w:rsidR="00507BA3" w:rsidRPr="009D4AF4" w:rsidRDefault="00507BA3" w:rsidP="00507BA3">
            <w:pPr>
              <w:jc w:val="right"/>
              <w:rPr>
                <w:sz w:val="20"/>
                <w:szCs w:val="20"/>
              </w:rPr>
            </w:pPr>
            <w:r w:rsidRPr="009D4AF4">
              <w:rPr>
                <w:sz w:val="20"/>
                <w:szCs w:val="20"/>
              </w:rPr>
              <w:t>73,8</w:t>
            </w:r>
          </w:p>
        </w:tc>
        <w:tc>
          <w:tcPr>
            <w:tcW w:w="992" w:type="dxa"/>
            <w:tcBorders>
              <w:top w:val="nil"/>
              <w:left w:val="nil"/>
              <w:bottom w:val="single" w:sz="4" w:space="0" w:color="auto"/>
              <w:right w:val="single" w:sz="4" w:space="0" w:color="auto"/>
            </w:tcBorders>
            <w:shd w:val="clear" w:color="auto" w:fill="auto"/>
            <w:noWrap/>
            <w:vAlign w:val="bottom"/>
          </w:tcPr>
          <w:p w14:paraId="051EAAE9" w14:textId="07F70B3D" w:rsidR="00507BA3" w:rsidRPr="009D4AF4" w:rsidRDefault="00507BA3" w:rsidP="00507BA3">
            <w:pPr>
              <w:jc w:val="center"/>
              <w:rPr>
                <w:sz w:val="20"/>
                <w:szCs w:val="20"/>
              </w:rPr>
            </w:pPr>
            <w:r w:rsidRPr="009D4AF4">
              <w:rPr>
                <w:sz w:val="20"/>
                <w:szCs w:val="20"/>
              </w:rPr>
              <w:t>0,13</w:t>
            </w:r>
          </w:p>
        </w:tc>
        <w:tc>
          <w:tcPr>
            <w:tcW w:w="992" w:type="dxa"/>
            <w:tcBorders>
              <w:top w:val="nil"/>
              <w:left w:val="nil"/>
              <w:bottom w:val="single" w:sz="4" w:space="0" w:color="auto"/>
              <w:right w:val="single" w:sz="4" w:space="0" w:color="auto"/>
            </w:tcBorders>
            <w:shd w:val="clear" w:color="auto" w:fill="auto"/>
            <w:vAlign w:val="bottom"/>
          </w:tcPr>
          <w:p w14:paraId="048F57CF" w14:textId="17005F84" w:rsidR="00507BA3" w:rsidRPr="009D4AF4" w:rsidRDefault="00507BA3" w:rsidP="00507BA3">
            <w:pPr>
              <w:jc w:val="right"/>
              <w:rPr>
                <w:sz w:val="20"/>
                <w:szCs w:val="20"/>
              </w:rPr>
            </w:pPr>
            <w:r w:rsidRPr="009D4AF4">
              <w:rPr>
                <w:sz w:val="20"/>
                <w:szCs w:val="20"/>
              </w:rPr>
              <w:t>35,9</w:t>
            </w:r>
          </w:p>
        </w:tc>
        <w:tc>
          <w:tcPr>
            <w:tcW w:w="992" w:type="dxa"/>
            <w:tcBorders>
              <w:top w:val="nil"/>
              <w:left w:val="nil"/>
              <w:bottom w:val="single" w:sz="4" w:space="0" w:color="auto"/>
              <w:right w:val="single" w:sz="4" w:space="0" w:color="auto"/>
            </w:tcBorders>
            <w:shd w:val="clear" w:color="auto" w:fill="auto"/>
            <w:noWrap/>
            <w:vAlign w:val="bottom"/>
          </w:tcPr>
          <w:p w14:paraId="45F6FE5A" w14:textId="00457BEF" w:rsidR="00507BA3" w:rsidRPr="009D4AF4" w:rsidRDefault="00507BA3" w:rsidP="00507BA3">
            <w:pPr>
              <w:jc w:val="center"/>
              <w:rPr>
                <w:sz w:val="20"/>
                <w:szCs w:val="20"/>
              </w:rPr>
            </w:pPr>
            <w:r w:rsidRPr="009D4AF4">
              <w:rPr>
                <w:sz w:val="20"/>
                <w:szCs w:val="20"/>
              </w:rPr>
              <w:t>0,05</w:t>
            </w:r>
          </w:p>
        </w:tc>
        <w:tc>
          <w:tcPr>
            <w:tcW w:w="993" w:type="dxa"/>
            <w:tcBorders>
              <w:top w:val="nil"/>
              <w:left w:val="nil"/>
              <w:bottom w:val="single" w:sz="4" w:space="0" w:color="auto"/>
              <w:right w:val="single" w:sz="4" w:space="0" w:color="auto"/>
            </w:tcBorders>
            <w:shd w:val="clear" w:color="auto" w:fill="auto"/>
            <w:vAlign w:val="bottom"/>
          </w:tcPr>
          <w:p w14:paraId="2F888DB3" w14:textId="5EBAC423" w:rsidR="00507BA3" w:rsidRPr="009D4AF4" w:rsidRDefault="00507BA3" w:rsidP="00507BA3">
            <w:pPr>
              <w:jc w:val="right"/>
              <w:rPr>
                <w:sz w:val="20"/>
                <w:szCs w:val="20"/>
              </w:rPr>
            </w:pPr>
            <w:r w:rsidRPr="009D4AF4">
              <w:rPr>
                <w:sz w:val="20"/>
                <w:szCs w:val="20"/>
              </w:rPr>
              <w:t>193,4</w:t>
            </w:r>
          </w:p>
        </w:tc>
        <w:tc>
          <w:tcPr>
            <w:tcW w:w="1134" w:type="dxa"/>
            <w:tcBorders>
              <w:top w:val="nil"/>
              <w:left w:val="nil"/>
              <w:bottom w:val="single" w:sz="4" w:space="0" w:color="auto"/>
              <w:right w:val="single" w:sz="4" w:space="0" w:color="auto"/>
            </w:tcBorders>
            <w:shd w:val="clear" w:color="auto" w:fill="auto"/>
            <w:noWrap/>
            <w:vAlign w:val="bottom"/>
          </w:tcPr>
          <w:p w14:paraId="3069B317" w14:textId="0966404C" w:rsidR="00507BA3" w:rsidRPr="009D4AF4" w:rsidRDefault="00507BA3" w:rsidP="00507BA3">
            <w:pPr>
              <w:jc w:val="center"/>
              <w:rPr>
                <w:sz w:val="20"/>
                <w:szCs w:val="20"/>
              </w:rPr>
            </w:pPr>
            <w:r w:rsidRPr="009D4AF4">
              <w:rPr>
                <w:sz w:val="20"/>
                <w:szCs w:val="20"/>
              </w:rPr>
              <w:t>0,25</w:t>
            </w:r>
          </w:p>
        </w:tc>
      </w:tr>
      <w:tr w:rsidR="00507BA3" w:rsidRPr="00891D3A" w14:paraId="23B2C031" w14:textId="77777777" w:rsidTr="009D4AF4">
        <w:trPr>
          <w:trHeight w:val="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10A67B" w14:textId="77777777" w:rsidR="00507BA3" w:rsidRPr="00891D3A" w:rsidRDefault="00507BA3" w:rsidP="00507BA3">
            <w:pPr>
              <w:rPr>
                <w:rFonts w:eastAsia="Times New Roman"/>
                <w:sz w:val="20"/>
                <w:szCs w:val="20"/>
              </w:rPr>
            </w:pPr>
            <w:r w:rsidRPr="00891D3A">
              <w:rPr>
                <w:rFonts w:eastAsia="Times New Roman"/>
                <w:sz w:val="20"/>
                <w:szCs w:val="20"/>
              </w:rPr>
              <w:t>Zapošljavanje</w:t>
            </w:r>
          </w:p>
        </w:tc>
        <w:tc>
          <w:tcPr>
            <w:tcW w:w="993" w:type="dxa"/>
            <w:tcBorders>
              <w:top w:val="nil"/>
              <w:left w:val="nil"/>
              <w:bottom w:val="single" w:sz="4" w:space="0" w:color="auto"/>
              <w:right w:val="single" w:sz="4" w:space="0" w:color="auto"/>
            </w:tcBorders>
            <w:shd w:val="clear" w:color="auto" w:fill="auto"/>
            <w:vAlign w:val="bottom"/>
          </w:tcPr>
          <w:p w14:paraId="60CFBC5C" w14:textId="326E36F5" w:rsidR="00507BA3" w:rsidRPr="009D4AF4" w:rsidRDefault="00507BA3" w:rsidP="00507BA3">
            <w:pPr>
              <w:jc w:val="right"/>
              <w:rPr>
                <w:sz w:val="20"/>
                <w:szCs w:val="20"/>
              </w:rPr>
            </w:pPr>
            <w:r w:rsidRPr="009D4AF4">
              <w:rPr>
                <w:sz w:val="20"/>
                <w:szCs w:val="20"/>
              </w:rPr>
              <w:t>47,7</w:t>
            </w:r>
          </w:p>
        </w:tc>
        <w:tc>
          <w:tcPr>
            <w:tcW w:w="992" w:type="dxa"/>
            <w:tcBorders>
              <w:top w:val="nil"/>
              <w:left w:val="nil"/>
              <w:bottom w:val="single" w:sz="4" w:space="0" w:color="auto"/>
              <w:right w:val="single" w:sz="4" w:space="0" w:color="auto"/>
            </w:tcBorders>
            <w:shd w:val="clear" w:color="auto" w:fill="auto"/>
            <w:noWrap/>
            <w:vAlign w:val="bottom"/>
          </w:tcPr>
          <w:p w14:paraId="0FD38CDF" w14:textId="74629513" w:rsidR="00507BA3" w:rsidRPr="009D4AF4" w:rsidRDefault="00507BA3" w:rsidP="00507BA3">
            <w:pPr>
              <w:jc w:val="center"/>
              <w:rPr>
                <w:sz w:val="20"/>
                <w:szCs w:val="20"/>
              </w:rPr>
            </w:pPr>
            <w:r w:rsidRPr="009D4AF4">
              <w:rPr>
                <w:sz w:val="20"/>
                <w:szCs w:val="20"/>
              </w:rPr>
              <w:t>0,08</w:t>
            </w:r>
          </w:p>
        </w:tc>
        <w:tc>
          <w:tcPr>
            <w:tcW w:w="992" w:type="dxa"/>
            <w:tcBorders>
              <w:top w:val="nil"/>
              <w:left w:val="nil"/>
              <w:bottom w:val="single" w:sz="4" w:space="0" w:color="auto"/>
              <w:right w:val="single" w:sz="4" w:space="0" w:color="auto"/>
            </w:tcBorders>
            <w:shd w:val="clear" w:color="auto" w:fill="auto"/>
            <w:vAlign w:val="bottom"/>
          </w:tcPr>
          <w:p w14:paraId="41D0129D" w14:textId="045D0EEB" w:rsidR="00507BA3" w:rsidRPr="009D4AF4" w:rsidRDefault="00507BA3" w:rsidP="00507BA3">
            <w:pPr>
              <w:jc w:val="right"/>
              <w:rPr>
                <w:sz w:val="20"/>
                <w:szCs w:val="20"/>
              </w:rPr>
            </w:pPr>
            <w:r w:rsidRPr="009D4AF4">
              <w:rPr>
                <w:sz w:val="20"/>
                <w:szCs w:val="20"/>
              </w:rPr>
              <w:t>38,0</w:t>
            </w:r>
          </w:p>
        </w:tc>
        <w:tc>
          <w:tcPr>
            <w:tcW w:w="992" w:type="dxa"/>
            <w:tcBorders>
              <w:top w:val="nil"/>
              <w:left w:val="nil"/>
              <w:bottom w:val="single" w:sz="4" w:space="0" w:color="auto"/>
              <w:right w:val="single" w:sz="4" w:space="0" w:color="auto"/>
            </w:tcBorders>
            <w:shd w:val="clear" w:color="auto" w:fill="auto"/>
            <w:noWrap/>
            <w:vAlign w:val="bottom"/>
          </w:tcPr>
          <w:p w14:paraId="16E2B2D1" w14:textId="3257DDB9" w:rsidR="00507BA3" w:rsidRPr="009D4AF4" w:rsidRDefault="00507BA3" w:rsidP="00507BA3">
            <w:pPr>
              <w:jc w:val="center"/>
              <w:rPr>
                <w:sz w:val="20"/>
                <w:szCs w:val="20"/>
              </w:rPr>
            </w:pPr>
            <w:r w:rsidRPr="009D4AF4">
              <w:rPr>
                <w:sz w:val="20"/>
                <w:szCs w:val="20"/>
              </w:rPr>
              <w:t>0,06</w:t>
            </w:r>
          </w:p>
        </w:tc>
        <w:tc>
          <w:tcPr>
            <w:tcW w:w="993" w:type="dxa"/>
            <w:tcBorders>
              <w:top w:val="nil"/>
              <w:left w:val="nil"/>
              <w:bottom w:val="single" w:sz="4" w:space="0" w:color="auto"/>
              <w:right w:val="single" w:sz="4" w:space="0" w:color="auto"/>
            </w:tcBorders>
            <w:shd w:val="clear" w:color="auto" w:fill="auto"/>
            <w:vAlign w:val="bottom"/>
          </w:tcPr>
          <w:p w14:paraId="11F2A956" w14:textId="3E034E6D" w:rsidR="00507BA3" w:rsidRPr="009D4AF4" w:rsidRDefault="00507BA3" w:rsidP="00507BA3">
            <w:pPr>
              <w:jc w:val="right"/>
              <w:rPr>
                <w:sz w:val="20"/>
                <w:szCs w:val="20"/>
              </w:rPr>
            </w:pPr>
            <w:r w:rsidRPr="009D4AF4">
              <w:rPr>
                <w:sz w:val="20"/>
                <w:szCs w:val="20"/>
              </w:rPr>
              <w:t>42,4</w:t>
            </w:r>
          </w:p>
        </w:tc>
        <w:tc>
          <w:tcPr>
            <w:tcW w:w="1134" w:type="dxa"/>
            <w:tcBorders>
              <w:top w:val="nil"/>
              <w:left w:val="nil"/>
              <w:bottom w:val="single" w:sz="4" w:space="0" w:color="auto"/>
              <w:right w:val="single" w:sz="4" w:space="0" w:color="auto"/>
            </w:tcBorders>
            <w:shd w:val="clear" w:color="auto" w:fill="auto"/>
            <w:noWrap/>
            <w:vAlign w:val="bottom"/>
          </w:tcPr>
          <w:p w14:paraId="1570CE9B" w14:textId="11A12579" w:rsidR="00507BA3" w:rsidRPr="009D4AF4" w:rsidRDefault="00507BA3" w:rsidP="00507BA3">
            <w:pPr>
              <w:jc w:val="center"/>
              <w:rPr>
                <w:sz w:val="20"/>
                <w:szCs w:val="20"/>
              </w:rPr>
            </w:pPr>
            <w:r w:rsidRPr="009D4AF4">
              <w:rPr>
                <w:sz w:val="20"/>
                <w:szCs w:val="20"/>
              </w:rPr>
              <w:t>0,06</w:t>
            </w:r>
          </w:p>
        </w:tc>
      </w:tr>
      <w:tr w:rsidR="009D4AF4" w:rsidRPr="009D4AF4" w14:paraId="7D19A50F" w14:textId="77777777" w:rsidTr="009D4AF4">
        <w:trPr>
          <w:trHeight w:val="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83CDE7" w14:textId="77777777" w:rsidR="00507BA3" w:rsidRPr="009D4AF4" w:rsidRDefault="00507BA3" w:rsidP="00507BA3">
            <w:pPr>
              <w:rPr>
                <w:rFonts w:eastAsia="Times New Roman"/>
                <w:sz w:val="20"/>
                <w:szCs w:val="20"/>
              </w:rPr>
            </w:pPr>
            <w:r w:rsidRPr="009D4AF4">
              <w:rPr>
                <w:rFonts w:eastAsia="Times New Roman"/>
                <w:sz w:val="20"/>
                <w:szCs w:val="20"/>
              </w:rPr>
              <w:t>Usavršavanje</w:t>
            </w:r>
          </w:p>
        </w:tc>
        <w:tc>
          <w:tcPr>
            <w:tcW w:w="993" w:type="dxa"/>
            <w:tcBorders>
              <w:top w:val="nil"/>
              <w:left w:val="nil"/>
              <w:bottom w:val="single" w:sz="4" w:space="0" w:color="auto"/>
              <w:right w:val="single" w:sz="4" w:space="0" w:color="auto"/>
            </w:tcBorders>
            <w:shd w:val="clear" w:color="auto" w:fill="auto"/>
            <w:vAlign w:val="bottom"/>
          </w:tcPr>
          <w:p w14:paraId="2A7ECFF1" w14:textId="493F31FD" w:rsidR="00507BA3" w:rsidRPr="009D4AF4" w:rsidRDefault="00507BA3" w:rsidP="00507BA3">
            <w:pPr>
              <w:jc w:val="right"/>
              <w:rPr>
                <w:sz w:val="20"/>
                <w:szCs w:val="20"/>
              </w:rPr>
            </w:pPr>
            <w:r w:rsidRPr="009D4AF4">
              <w:rPr>
                <w:sz w:val="20"/>
                <w:szCs w:val="20"/>
              </w:rPr>
              <w:t>3,2</w:t>
            </w:r>
          </w:p>
        </w:tc>
        <w:tc>
          <w:tcPr>
            <w:tcW w:w="992" w:type="dxa"/>
            <w:tcBorders>
              <w:top w:val="nil"/>
              <w:left w:val="nil"/>
              <w:bottom w:val="single" w:sz="4" w:space="0" w:color="auto"/>
              <w:right w:val="single" w:sz="4" w:space="0" w:color="auto"/>
            </w:tcBorders>
            <w:shd w:val="clear" w:color="auto" w:fill="auto"/>
            <w:noWrap/>
            <w:vAlign w:val="bottom"/>
          </w:tcPr>
          <w:p w14:paraId="2983A316" w14:textId="2001E2F2" w:rsidR="00507BA3" w:rsidRPr="009D4AF4" w:rsidRDefault="00507BA3" w:rsidP="00507BA3">
            <w:pPr>
              <w:jc w:val="center"/>
              <w:rPr>
                <w:sz w:val="20"/>
                <w:szCs w:val="20"/>
              </w:rPr>
            </w:pPr>
            <w:r w:rsidRPr="009D4AF4">
              <w:rPr>
                <w:sz w:val="20"/>
                <w:szCs w:val="20"/>
              </w:rPr>
              <w:t>0,01</w:t>
            </w:r>
          </w:p>
        </w:tc>
        <w:tc>
          <w:tcPr>
            <w:tcW w:w="992" w:type="dxa"/>
            <w:tcBorders>
              <w:top w:val="nil"/>
              <w:left w:val="nil"/>
              <w:bottom w:val="single" w:sz="4" w:space="0" w:color="auto"/>
              <w:right w:val="single" w:sz="4" w:space="0" w:color="auto"/>
            </w:tcBorders>
            <w:shd w:val="clear" w:color="auto" w:fill="auto"/>
            <w:vAlign w:val="bottom"/>
          </w:tcPr>
          <w:p w14:paraId="3A144694" w14:textId="0111F72F" w:rsidR="00507BA3" w:rsidRPr="009D4AF4" w:rsidRDefault="00507BA3" w:rsidP="00507BA3">
            <w:pPr>
              <w:jc w:val="right"/>
              <w:rPr>
                <w:sz w:val="20"/>
                <w:szCs w:val="20"/>
              </w:rPr>
            </w:pPr>
            <w:r w:rsidRPr="009D4AF4">
              <w:rPr>
                <w:sz w:val="20"/>
                <w:szCs w:val="20"/>
              </w:rPr>
              <w:t>3,7</w:t>
            </w:r>
          </w:p>
        </w:tc>
        <w:tc>
          <w:tcPr>
            <w:tcW w:w="992" w:type="dxa"/>
            <w:tcBorders>
              <w:top w:val="nil"/>
              <w:left w:val="nil"/>
              <w:bottom w:val="single" w:sz="4" w:space="0" w:color="auto"/>
              <w:right w:val="single" w:sz="4" w:space="0" w:color="auto"/>
            </w:tcBorders>
            <w:shd w:val="clear" w:color="auto" w:fill="auto"/>
            <w:noWrap/>
            <w:vAlign w:val="bottom"/>
          </w:tcPr>
          <w:p w14:paraId="7494D795" w14:textId="31B41919" w:rsidR="00507BA3" w:rsidRPr="009D4AF4" w:rsidRDefault="00507BA3" w:rsidP="00507BA3">
            <w:pPr>
              <w:jc w:val="center"/>
              <w:rPr>
                <w:sz w:val="20"/>
                <w:szCs w:val="20"/>
              </w:rPr>
            </w:pPr>
            <w:r w:rsidRPr="009D4AF4">
              <w:rPr>
                <w:sz w:val="20"/>
                <w:szCs w:val="20"/>
              </w:rPr>
              <w:t>0,01</w:t>
            </w:r>
          </w:p>
        </w:tc>
        <w:tc>
          <w:tcPr>
            <w:tcW w:w="993" w:type="dxa"/>
            <w:tcBorders>
              <w:top w:val="nil"/>
              <w:left w:val="nil"/>
              <w:bottom w:val="single" w:sz="4" w:space="0" w:color="auto"/>
              <w:right w:val="single" w:sz="4" w:space="0" w:color="auto"/>
            </w:tcBorders>
            <w:shd w:val="clear" w:color="auto" w:fill="auto"/>
            <w:vAlign w:val="bottom"/>
          </w:tcPr>
          <w:p w14:paraId="0D1F678B" w14:textId="4D71E4B4" w:rsidR="00507BA3" w:rsidRPr="009D4AF4" w:rsidRDefault="00507BA3" w:rsidP="00507BA3">
            <w:pPr>
              <w:jc w:val="right"/>
              <w:rPr>
                <w:sz w:val="20"/>
                <w:szCs w:val="20"/>
              </w:rPr>
            </w:pPr>
            <w:r w:rsidRPr="009D4AF4">
              <w:rPr>
                <w:sz w:val="20"/>
                <w:szCs w:val="20"/>
              </w:rPr>
              <w:t>0,0</w:t>
            </w:r>
            <w:r w:rsidR="009D4AF4" w:rsidRPr="009D4AF4">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458792DB" w14:textId="4EE492B6" w:rsidR="00507BA3" w:rsidRPr="009D4AF4" w:rsidRDefault="009D4AF4" w:rsidP="00507BA3">
            <w:pPr>
              <w:jc w:val="center"/>
              <w:rPr>
                <w:sz w:val="20"/>
                <w:szCs w:val="20"/>
              </w:rPr>
            </w:pPr>
            <w:r w:rsidRPr="009D4AF4">
              <w:rPr>
                <w:rFonts w:eastAsia="Times New Roman"/>
                <w:sz w:val="20"/>
                <w:szCs w:val="20"/>
                <w:lang w:eastAsia="hr-HR"/>
              </w:rPr>
              <w:t>0,00004</w:t>
            </w:r>
          </w:p>
        </w:tc>
      </w:tr>
      <w:tr w:rsidR="00507BA3" w:rsidRPr="00891D3A" w14:paraId="27AFD7C7" w14:textId="77777777" w:rsidTr="009D4AF4">
        <w:trPr>
          <w:trHeight w:val="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DE37EB" w14:textId="77777777" w:rsidR="00507BA3" w:rsidRPr="00891D3A" w:rsidRDefault="00507BA3" w:rsidP="00507BA3">
            <w:pPr>
              <w:rPr>
                <w:rFonts w:eastAsia="Times New Roman"/>
                <w:sz w:val="20"/>
                <w:szCs w:val="20"/>
              </w:rPr>
            </w:pPr>
            <w:r w:rsidRPr="00891D3A">
              <w:rPr>
                <w:rFonts w:eastAsia="Times New Roman"/>
                <w:sz w:val="20"/>
                <w:szCs w:val="20"/>
              </w:rPr>
              <w:t>Mali i srednji poduzetnici</w:t>
            </w:r>
          </w:p>
        </w:tc>
        <w:tc>
          <w:tcPr>
            <w:tcW w:w="993" w:type="dxa"/>
            <w:tcBorders>
              <w:top w:val="nil"/>
              <w:left w:val="nil"/>
              <w:bottom w:val="single" w:sz="4" w:space="0" w:color="auto"/>
              <w:right w:val="single" w:sz="4" w:space="0" w:color="auto"/>
            </w:tcBorders>
            <w:shd w:val="clear" w:color="auto" w:fill="auto"/>
            <w:vAlign w:val="bottom"/>
          </w:tcPr>
          <w:p w14:paraId="77141BCB" w14:textId="186DA0B6" w:rsidR="00507BA3" w:rsidRPr="009D4AF4" w:rsidRDefault="00507BA3" w:rsidP="00507BA3">
            <w:pPr>
              <w:jc w:val="right"/>
              <w:rPr>
                <w:sz w:val="20"/>
                <w:szCs w:val="20"/>
              </w:rPr>
            </w:pPr>
            <w:r w:rsidRPr="009D4AF4">
              <w:rPr>
                <w:sz w:val="20"/>
                <w:szCs w:val="20"/>
              </w:rPr>
              <w:t>139,2</w:t>
            </w:r>
          </w:p>
        </w:tc>
        <w:tc>
          <w:tcPr>
            <w:tcW w:w="992" w:type="dxa"/>
            <w:tcBorders>
              <w:top w:val="nil"/>
              <w:left w:val="nil"/>
              <w:bottom w:val="single" w:sz="4" w:space="0" w:color="auto"/>
              <w:right w:val="single" w:sz="4" w:space="0" w:color="auto"/>
            </w:tcBorders>
            <w:shd w:val="clear" w:color="auto" w:fill="auto"/>
            <w:noWrap/>
            <w:vAlign w:val="bottom"/>
          </w:tcPr>
          <w:p w14:paraId="65160AAE" w14:textId="297F3EF0" w:rsidR="00507BA3" w:rsidRPr="009D4AF4" w:rsidRDefault="00507BA3" w:rsidP="00507BA3">
            <w:pPr>
              <w:jc w:val="center"/>
              <w:rPr>
                <w:sz w:val="20"/>
                <w:szCs w:val="20"/>
              </w:rPr>
            </w:pPr>
            <w:r w:rsidRPr="009D4AF4">
              <w:rPr>
                <w:sz w:val="20"/>
                <w:szCs w:val="20"/>
              </w:rPr>
              <w:t>0,24</w:t>
            </w:r>
          </w:p>
        </w:tc>
        <w:tc>
          <w:tcPr>
            <w:tcW w:w="992" w:type="dxa"/>
            <w:tcBorders>
              <w:top w:val="nil"/>
              <w:left w:val="nil"/>
              <w:bottom w:val="single" w:sz="4" w:space="0" w:color="auto"/>
              <w:right w:val="single" w:sz="4" w:space="0" w:color="auto"/>
            </w:tcBorders>
            <w:shd w:val="clear" w:color="auto" w:fill="auto"/>
            <w:vAlign w:val="bottom"/>
          </w:tcPr>
          <w:p w14:paraId="19A49293" w14:textId="29448730" w:rsidR="00507BA3" w:rsidRPr="009D4AF4" w:rsidRDefault="00507BA3" w:rsidP="00507BA3">
            <w:pPr>
              <w:jc w:val="right"/>
              <w:rPr>
                <w:sz w:val="20"/>
                <w:szCs w:val="20"/>
              </w:rPr>
            </w:pPr>
            <w:r w:rsidRPr="009D4AF4">
              <w:rPr>
                <w:sz w:val="20"/>
                <w:szCs w:val="20"/>
              </w:rPr>
              <w:t>2,8</w:t>
            </w:r>
          </w:p>
        </w:tc>
        <w:tc>
          <w:tcPr>
            <w:tcW w:w="992" w:type="dxa"/>
            <w:tcBorders>
              <w:top w:val="nil"/>
              <w:left w:val="nil"/>
              <w:bottom w:val="single" w:sz="4" w:space="0" w:color="auto"/>
              <w:right w:val="single" w:sz="4" w:space="0" w:color="auto"/>
            </w:tcBorders>
            <w:shd w:val="clear" w:color="auto" w:fill="auto"/>
            <w:noWrap/>
            <w:vAlign w:val="bottom"/>
          </w:tcPr>
          <w:p w14:paraId="3045E7F1" w14:textId="16E237C2" w:rsidR="00507BA3" w:rsidRPr="009D4AF4" w:rsidRDefault="00507BA3" w:rsidP="00507BA3">
            <w:pPr>
              <w:jc w:val="center"/>
              <w:rPr>
                <w:sz w:val="20"/>
                <w:szCs w:val="20"/>
              </w:rPr>
            </w:pPr>
            <w:r w:rsidRPr="009D4AF4">
              <w:rPr>
                <w:sz w:val="20"/>
                <w:szCs w:val="20"/>
              </w:rPr>
              <w:t>0,004</w:t>
            </w:r>
          </w:p>
        </w:tc>
        <w:tc>
          <w:tcPr>
            <w:tcW w:w="993" w:type="dxa"/>
            <w:tcBorders>
              <w:top w:val="nil"/>
              <w:left w:val="nil"/>
              <w:bottom w:val="single" w:sz="4" w:space="0" w:color="auto"/>
              <w:right w:val="single" w:sz="4" w:space="0" w:color="auto"/>
            </w:tcBorders>
            <w:shd w:val="clear" w:color="auto" w:fill="auto"/>
            <w:vAlign w:val="bottom"/>
          </w:tcPr>
          <w:p w14:paraId="04DFE863" w14:textId="1EC2D5A3" w:rsidR="00507BA3" w:rsidRPr="009D4AF4" w:rsidRDefault="00507BA3" w:rsidP="00507BA3">
            <w:pPr>
              <w:jc w:val="right"/>
              <w:rPr>
                <w:sz w:val="20"/>
                <w:szCs w:val="20"/>
              </w:rPr>
            </w:pPr>
            <w:r w:rsidRPr="009D4AF4">
              <w:rPr>
                <w:sz w:val="20"/>
                <w:szCs w:val="20"/>
              </w:rPr>
              <w:t>7,8</w:t>
            </w:r>
          </w:p>
        </w:tc>
        <w:tc>
          <w:tcPr>
            <w:tcW w:w="1134" w:type="dxa"/>
            <w:tcBorders>
              <w:top w:val="nil"/>
              <w:left w:val="nil"/>
              <w:bottom w:val="single" w:sz="4" w:space="0" w:color="auto"/>
              <w:right w:val="single" w:sz="4" w:space="0" w:color="auto"/>
            </w:tcBorders>
            <w:shd w:val="clear" w:color="auto" w:fill="auto"/>
            <w:noWrap/>
            <w:vAlign w:val="bottom"/>
          </w:tcPr>
          <w:p w14:paraId="465E38A4" w14:textId="367A38F2" w:rsidR="00507BA3" w:rsidRPr="009D4AF4" w:rsidRDefault="00507BA3" w:rsidP="00507BA3">
            <w:pPr>
              <w:jc w:val="center"/>
              <w:rPr>
                <w:sz w:val="20"/>
                <w:szCs w:val="20"/>
              </w:rPr>
            </w:pPr>
            <w:r w:rsidRPr="009D4AF4">
              <w:rPr>
                <w:sz w:val="20"/>
                <w:szCs w:val="20"/>
              </w:rPr>
              <w:t>0,01</w:t>
            </w:r>
          </w:p>
        </w:tc>
      </w:tr>
      <w:tr w:rsidR="00507BA3" w:rsidRPr="00891D3A" w14:paraId="0486F5D5" w14:textId="77777777" w:rsidTr="009D4AF4">
        <w:trPr>
          <w:trHeight w:val="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F5ABDC" w14:textId="77777777" w:rsidR="00507BA3" w:rsidRPr="00891D3A" w:rsidRDefault="00507BA3" w:rsidP="00507BA3">
            <w:pPr>
              <w:rPr>
                <w:rFonts w:eastAsia="Times New Roman"/>
                <w:sz w:val="20"/>
                <w:szCs w:val="20"/>
              </w:rPr>
            </w:pPr>
            <w:r w:rsidRPr="00891D3A">
              <w:rPr>
                <w:rFonts w:eastAsia="Times New Roman"/>
                <w:sz w:val="20"/>
                <w:szCs w:val="20"/>
              </w:rPr>
              <w:t>Kultura</w:t>
            </w:r>
          </w:p>
        </w:tc>
        <w:tc>
          <w:tcPr>
            <w:tcW w:w="993" w:type="dxa"/>
            <w:tcBorders>
              <w:top w:val="nil"/>
              <w:left w:val="nil"/>
              <w:bottom w:val="single" w:sz="4" w:space="0" w:color="auto"/>
              <w:right w:val="single" w:sz="4" w:space="0" w:color="auto"/>
            </w:tcBorders>
            <w:shd w:val="clear" w:color="auto" w:fill="auto"/>
            <w:vAlign w:val="bottom"/>
          </w:tcPr>
          <w:p w14:paraId="2ECEE419" w14:textId="40BB2BE0" w:rsidR="00507BA3" w:rsidRPr="009D4AF4" w:rsidRDefault="00507BA3" w:rsidP="00507BA3">
            <w:pPr>
              <w:jc w:val="right"/>
              <w:rPr>
                <w:sz w:val="20"/>
                <w:szCs w:val="20"/>
              </w:rPr>
            </w:pPr>
            <w:r w:rsidRPr="009D4AF4">
              <w:rPr>
                <w:sz w:val="20"/>
                <w:szCs w:val="20"/>
              </w:rPr>
              <w:t>22,0</w:t>
            </w:r>
          </w:p>
        </w:tc>
        <w:tc>
          <w:tcPr>
            <w:tcW w:w="992" w:type="dxa"/>
            <w:tcBorders>
              <w:top w:val="nil"/>
              <w:left w:val="nil"/>
              <w:bottom w:val="single" w:sz="4" w:space="0" w:color="auto"/>
              <w:right w:val="single" w:sz="4" w:space="0" w:color="auto"/>
            </w:tcBorders>
            <w:shd w:val="clear" w:color="auto" w:fill="auto"/>
            <w:noWrap/>
            <w:vAlign w:val="bottom"/>
          </w:tcPr>
          <w:p w14:paraId="0210A576" w14:textId="37AEBA4D" w:rsidR="00507BA3" w:rsidRPr="009D4AF4" w:rsidRDefault="00507BA3" w:rsidP="00507BA3">
            <w:pPr>
              <w:jc w:val="center"/>
              <w:rPr>
                <w:sz w:val="20"/>
                <w:szCs w:val="20"/>
              </w:rPr>
            </w:pPr>
            <w:r w:rsidRPr="009D4AF4">
              <w:rPr>
                <w:sz w:val="20"/>
                <w:szCs w:val="20"/>
              </w:rPr>
              <w:t>0,04</w:t>
            </w:r>
          </w:p>
        </w:tc>
        <w:tc>
          <w:tcPr>
            <w:tcW w:w="992" w:type="dxa"/>
            <w:tcBorders>
              <w:top w:val="nil"/>
              <w:left w:val="nil"/>
              <w:bottom w:val="single" w:sz="4" w:space="0" w:color="auto"/>
              <w:right w:val="single" w:sz="4" w:space="0" w:color="auto"/>
            </w:tcBorders>
            <w:shd w:val="clear" w:color="auto" w:fill="auto"/>
            <w:vAlign w:val="bottom"/>
          </w:tcPr>
          <w:p w14:paraId="53A85524" w14:textId="4503105C" w:rsidR="00507BA3" w:rsidRPr="009D4AF4" w:rsidRDefault="00507BA3" w:rsidP="00507BA3">
            <w:pPr>
              <w:jc w:val="right"/>
              <w:rPr>
                <w:sz w:val="20"/>
                <w:szCs w:val="20"/>
              </w:rPr>
            </w:pPr>
            <w:r w:rsidRPr="009D4AF4">
              <w:rPr>
                <w:sz w:val="20"/>
                <w:szCs w:val="20"/>
              </w:rPr>
              <w:t>19,1</w:t>
            </w:r>
          </w:p>
        </w:tc>
        <w:tc>
          <w:tcPr>
            <w:tcW w:w="992" w:type="dxa"/>
            <w:tcBorders>
              <w:top w:val="nil"/>
              <w:left w:val="nil"/>
              <w:bottom w:val="single" w:sz="4" w:space="0" w:color="auto"/>
              <w:right w:val="single" w:sz="4" w:space="0" w:color="auto"/>
            </w:tcBorders>
            <w:shd w:val="clear" w:color="auto" w:fill="auto"/>
            <w:noWrap/>
            <w:vAlign w:val="bottom"/>
          </w:tcPr>
          <w:p w14:paraId="07C7F95A" w14:textId="5BE787C6" w:rsidR="00507BA3" w:rsidRPr="009D4AF4" w:rsidRDefault="00507BA3" w:rsidP="00507BA3">
            <w:pPr>
              <w:jc w:val="center"/>
              <w:rPr>
                <w:sz w:val="20"/>
                <w:szCs w:val="20"/>
              </w:rPr>
            </w:pPr>
            <w:r w:rsidRPr="009D4AF4">
              <w:rPr>
                <w:sz w:val="20"/>
                <w:szCs w:val="20"/>
              </w:rPr>
              <w:t>0,03</w:t>
            </w:r>
          </w:p>
        </w:tc>
        <w:tc>
          <w:tcPr>
            <w:tcW w:w="993" w:type="dxa"/>
            <w:tcBorders>
              <w:top w:val="nil"/>
              <w:left w:val="nil"/>
              <w:bottom w:val="single" w:sz="4" w:space="0" w:color="auto"/>
              <w:right w:val="single" w:sz="4" w:space="0" w:color="auto"/>
            </w:tcBorders>
            <w:shd w:val="clear" w:color="auto" w:fill="auto"/>
            <w:vAlign w:val="bottom"/>
          </w:tcPr>
          <w:p w14:paraId="1DB5997C" w14:textId="338A7F72" w:rsidR="00507BA3" w:rsidRPr="009D4AF4" w:rsidRDefault="00507BA3" w:rsidP="00507BA3">
            <w:pPr>
              <w:jc w:val="right"/>
              <w:rPr>
                <w:sz w:val="20"/>
                <w:szCs w:val="20"/>
              </w:rPr>
            </w:pPr>
            <w:r w:rsidRPr="009D4AF4">
              <w:rPr>
                <w:sz w:val="20"/>
                <w:szCs w:val="20"/>
              </w:rPr>
              <w:t>24,1</w:t>
            </w:r>
          </w:p>
        </w:tc>
        <w:tc>
          <w:tcPr>
            <w:tcW w:w="1134" w:type="dxa"/>
            <w:tcBorders>
              <w:top w:val="nil"/>
              <w:left w:val="nil"/>
              <w:bottom w:val="single" w:sz="4" w:space="0" w:color="auto"/>
              <w:right w:val="single" w:sz="4" w:space="0" w:color="auto"/>
            </w:tcBorders>
            <w:shd w:val="clear" w:color="auto" w:fill="auto"/>
            <w:noWrap/>
            <w:vAlign w:val="bottom"/>
          </w:tcPr>
          <w:p w14:paraId="2950317B" w14:textId="295AB6E6" w:rsidR="00507BA3" w:rsidRPr="009D4AF4" w:rsidRDefault="00507BA3" w:rsidP="00507BA3">
            <w:pPr>
              <w:jc w:val="center"/>
              <w:rPr>
                <w:sz w:val="20"/>
                <w:szCs w:val="20"/>
              </w:rPr>
            </w:pPr>
            <w:r w:rsidRPr="009D4AF4">
              <w:rPr>
                <w:sz w:val="20"/>
                <w:szCs w:val="20"/>
              </w:rPr>
              <w:t>0,03</w:t>
            </w:r>
          </w:p>
        </w:tc>
      </w:tr>
      <w:tr w:rsidR="00507BA3" w:rsidRPr="00891D3A" w14:paraId="289EB4B8" w14:textId="77777777" w:rsidTr="009D4AF4">
        <w:trPr>
          <w:trHeight w:val="52"/>
        </w:trPr>
        <w:tc>
          <w:tcPr>
            <w:tcW w:w="2830" w:type="dxa"/>
            <w:tcBorders>
              <w:top w:val="nil"/>
              <w:left w:val="single" w:sz="4" w:space="0" w:color="auto"/>
              <w:bottom w:val="single" w:sz="4" w:space="0" w:color="auto"/>
              <w:right w:val="single" w:sz="4" w:space="0" w:color="auto"/>
            </w:tcBorders>
            <w:shd w:val="clear" w:color="000000" w:fill="FFFF99"/>
            <w:noWrap/>
            <w:vAlign w:val="center"/>
            <w:hideMark/>
          </w:tcPr>
          <w:p w14:paraId="48919E0E" w14:textId="77777777" w:rsidR="00507BA3" w:rsidRPr="00891D3A" w:rsidRDefault="00507BA3" w:rsidP="00507BA3">
            <w:pPr>
              <w:rPr>
                <w:rFonts w:eastAsia="Times New Roman"/>
                <w:b/>
                <w:bCs/>
                <w:sz w:val="20"/>
                <w:szCs w:val="20"/>
              </w:rPr>
            </w:pPr>
            <w:r w:rsidRPr="00891D3A">
              <w:rPr>
                <w:rFonts w:eastAsia="Times New Roman"/>
                <w:b/>
                <w:bCs/>
                <w:sz w:val="20"/>
                <w:szCs w:val="20"/>
              </w:rPr>
              <w:t>UKUPNO</w:t>
            </w:r>
          </w:p>
        </w:tc>
        <w:tc>
          <w:tcPr>
            <w:tcW w:w="993" w:type="dxa"/>
            <w:tcBorders>
              <w:top w:val="nil"/>
              <w:left w:val="nil"/>
              <w:bottom w:val="single" w:sz="4" w:space="0" w:color="auto"/>
              <w:right w:val="single" w:sz="4" w:space="0" w:color="auto"/>
            </w:tcBorders>
            <w:shd w:val="clear" w:color="000000" w:fill="FFFF99"/>
            <w:noWrap/>
            <w:vAlign w:val="bottom"/>
          </w:tcPr>
          <w:p w14:paraId="15696956" w14:textId="678F0E55" w:rsidR="00507BA3" w:rsidRPr="009D4AF4" w:rsidRDefault="00507BA3" w:rsidP="00507BA3">
            <w:pPr>
              <w:jc w:val="right"/>
              <w:rPr>
                <w:b/>
                <w:sz w:val="20"/>
                <w:szCs w:val="20"/>
              </w:rPr>
            </w:pPr>
            <w:r w:rsidRPr="009D4AF4">
              <w:rPr>
                <w:sz w:val="20"/>
                <w:szCs w:val="20"/>
              </w:rPr>
              <w:t>285,9</w:t>
            </w:r>
          </w:p>
        </w:tc>
        <w:tc>
          <w:tcPr>
            <w:tcW w:w="992" w:type="dxa"/>
            <w:tcBorders>
              <w:top w:val="nil"/>
              <w:left w:val="nil"/>
              <w:bottom w:val="single" w:sz="4" w:space="0" w:color="auto"/>
              <w:right w:val="single" w:sz="4" w:space="0" w:color="auto"/>
            </w:tcBorders>
            <w:shd w:val="clear" w:color="000000" w:fill="FFFF99"/>
            <w:noWrap/>
            <w:vAlign w:val="bottom"/>
          </w:tcPr>
          <w:p w14:paraId="3C41EE03" w14:textId="1E0DECA5" w:rsidR="00507BA3" w:rsidRPr="009D4AF4" w:rsidRDefault="00507BA3" w:rsidP="00507BA3">
            <w:pPr>
              <w:jc w:val="center"/>
              <w:rPr>
                <w:b/>
                <w:sz w:val="20"/>
                <w:szCs w:val="20"/>
              </w:rPr>
            </w:pPr>
            <w:r w:rsidRPr="009D4AF4">
              <w:rPr>
                <w:sz w:val="20"/>
                <w:szCs w:val="20"/>
              </w:rPr>
              <w:t>0,49</w:t>
            </w:r>
          </w:p>
        </w:tc>
        <w:tc>
          <w:tcPr>
            <w:tcW w:w="992" w:type="dxa"/>
            <w:tcBorders>
              <w:top w:val="nil"/>
              <w:left w:val="nil"/>
              <w:bottom w:val="single" w:sz="4" w:space="0" w:color="auto"/>
              <w:right w:val="single" w:sz="4" w:space="0" w:color="auto"/>
            </w:tcBorders>
            <w:shd w:val="clear" w:color="000000" w:fill="FFFF99"/>
            <w:noWrap/>
            <w:vAlign w:val="bottom"/>
          </w:tcPr>
          <w:p w14:paraId="4854BCA2" w14:textId="2197692F" w:rsidR="00507BA3" w:rsidRPr="009D4AF4" w:rsidRDefault="00507BA3" w:rsidP="00507BA3">
            <w:pPr>
              <w:jc w:val="right"/>
              <w:rPr>
                <w:b/>
                <w:sz w:val="20"/>
                <w:szCs w:val="20"/>
              </w:rPr>
            </w:pPr>
            <w:r w:rsidRPr="009D4AF4">
              <w:rPr>
                <w:sz w:val="20"/>
                <w:szCs w:val="20"/>
              </w:rPr>
              <w:t>99,5</w:t>
            </w:r>
          </w:p>
        </w:tc>
        <w:tc>
          <w:tcPr>
            <w:tcW w:w="992" w:type="dxa"/>
            <w:tcBorders>
              <w:top w:val="nil"/>
              <w:left w:val="nil"/>
              <w:bottom w:val="single" w:sz="4" w:space="0" w:color="auto"/>
              <w:right w:val="single" w:sz="4" w:space="0" w:color="auto"/>
            </w:tcBorders>
            <w:shd w:val="clear" w:color="000000" w:fill="FFFF99"/>
            <w:noWrap/>
            <w:vAlign w:val="bottom"/>
          </w:tcPr>
          <w:p w14:paraId="1AC290EE" w14:textId="0C516FF0" w:rsidR="00507BA3" w:rsidRPr="009D4AF4" w:rsidRDefault="00507BA3" w:rsidP="00507BA3">
            <w:pPr>
              <w:jc w:val="center"/>
              <w:rPr>
                <w:b/>
                <w:sz w:val="20"/>
                <w:szCs w:val="20"/>
              </w:rPr>
            </w:pPr>
            <w:r w:rsidRPr="009D4AF4">
              <w:rPr>
                <w:sz w:val="20"/>
                <w:szCs w:val="20"/>
              </w:rPr>
              <w:t>0,15</w:t>
            </w:r>
          </w:p>
        </w:tc>
        <w:tc>
          <w:tcPr>
            <w:tcW w:w="993" w:type="dxa"/>
            <w:tcBorders>
              <w:top w:val="nil"/>
              <w:left w:val="nil"/>
              <w:bottom w:val="single" w:sz="4" w:space="0" w:color="auto"/>
              <w:right w:val="single" w:sz="4" w:space="0" w:color="auto"/>
            </w:tcBorders>
            <w:shd w:val="clear" w:color="000000" w:fill="FFFF99"/>
            <w:noWrap/>
            <w:vAlign w:val="bottom"/>
          </w:tcPr>
          <w:p w14:paraId="353EA94B" w14:textId="6347F8DA" w:rsidR="00507BA3" w:rsidRPr="009D4AF4" w:rsidRDefault="00507BA3" w:rsidP="00507BA3">
            <w:pPr>
              <w:jc w:val="right"/>
              <w:rPr>
                <w:b/>
                <w:sz w:val="20"/>
                <w:szCs w:val="20"/>
              </w:rPr>
            </w:pPr>
            <w:r w:rsidRPr="009D4AF4">
              <w:rPr>
                <w:sz w:val="20"/>
                <w:szCs w:val="20"/>
              </w:rPr>
              <w:t>267,7</w:t>
            </w:r>
          </w:p>
        </w:tc>
        <w:tc>
          <w:tcPr>
            <w:tcW w:w="1134" w:type="dxa"/>
            <w:tcBorders>
              <w:top w:val="nil"/>
              <w:left w:val="nil"/>
              <w:bottom w:val="single" w:sz="4" w:space="0" w:color="auto"/>
              <w:right w:val="single" w:sz="4" w:space="0" w:color="auto"/>
            </w:tcBorders>
            <w:shd w:val="clear" w:color="000000" w:fill="FFFF99"/>
            <w:noWrap/>
            <w:vAlign w:val="bottom"/>
          </w:tcPr>
          <w:p w14:paraId="2B77A917" w14:textId="0F4AB944" w:rsidR="00507BA3" w:rsidRPr="009D4AF4" w:rsidRDefault="00507BA3" w:rsidP="00507BA3">
            <w:pPr>
              <w:jc w:val="center"/>
              <w:rPr>
                <w:b/>
                <w:sz w:val="20"/>
                <w:szCs w:val="20"/>
              </w:rPr>
            </w:pPr>
            <w:r w:rsidRPr="009D4AF4">
              <w:rPr>
                <w:sz w:val="20"/>
                <w:szCs w:val="20"/>
              </w:rPr>
              <w:t>0,35</w:t>
            </w:r>
          </w:p>
        </w:tc>
      </w:tr>
    </w:tbl>
    <w:p w14:paraId="6B87B6C1" w14:textId="77777777" w:rsidR="00D305BF" w:rsidRPr="00507BA3" w:rsidRDefault="00D305BF" w:rsidP="00BE487D">
      <w:pPr>
        <w:contextualSpacing/>
        <w:jc w:val="both"/>
        <w:rPr>
          <w:i/>
          <w:sz w:val="20"/>
        </w:rPr>
      </w:pPr>
      <w:r w:rsidRPr="00507BA3">
        <w:rPr>
          <w:i/>
          <w:sz w:val="20"/>
        </w:rPr>
        <w:t>Izvor: Ministarstvo financija i davatelji potpora; podaci obrađeni u Ministarstvu financija</w:t>
      </w:r>
    </w:p>
    <w:p w14:paraId="47DEA117" w14:textId="77777777" w:rsidR="00C46BE9" w:rsidRPr="00A348C1" w:rsidRDefault="00C46BE9" w:rsidP="00BE487D">
      <w:pPr>
        <w:jc w:val="both"/>
      </w:pPr>
    </w:p>
    <w:p w14:paraId="1AEE7B1C" w14:textId="55E35807" w:rsidR="00893968" w:rsidRPr="00A348C1" w:rsidRDefault="00C527C6" w:rsidP="00893968">
      <w:pPr>
        <w:jc w:val="both"/>
        <w:rPr>
          <w:spacing w:val="-2"/>
        </w:rPr>
      </w:pPr>
      <w:r w:rsidRPr="00A348C1">
        <w:rPr>
          <w:spacing w:val="-2"/>
        </w:rPr>
        <w:t xml:space="preserve">Udio </w:t>
      </w:r>
      <w:r w:rsidR="00893968" w:rsidRPr="00A348C1">
        <w:rPr>
          <w:spacing w:val="-2"/>
        </w:rPr>
        <w:t>dodijeljenih horizontalnih potpora</w:t>
      </w:r>
      <w:r w:rsidR="00893968" w:rsidRPr="00A348C1">
        <w:rPr>
          <w:rFonts w:eastAsiaTheme="minorEastAsia"/>
          <w:spacing w:val="-2"/>
        </w:rPr>
        <w:t xml:space="preserve"> u „užem smislu“ </w:t>
      </w:r>
      <w:r w:rsidRPr="00A348C1">
        <w:rPr>
          <w:spacing w:val="-2"/>
        </w:rPr>
        <w:t>u BDP-u u 202</w:t>
      </w:r>
      <w:r w:rsidR="00A348C1" w:rsidRPr="00A348C1">
        <w:rPr>
          <w:spacing w:val="-2"/>
        </w:rPr>
        <w:t>3</w:t>
      </w:r>
      <w:r w:rsidRPr="00A348C1">
        <w:rPr>
          <w:spacing w:val="-2"/>
        </w:rPr>
        <w:t xml:space="preserve">. godini iznosio je </w:t>
      </w:r>
      <w:r w:rsidR="00A348C1" w:rsidRPr="00A348C1">
        <w:rPr>
          <w:spacing w:val="-2"/>
        </w:rPr>
        <w:t>0,35</w:t>
      </w:r>
      <w:r w:rsidRPr="00A348C1">
        <w:rPr>
          <w:spacing w:val="-2"/>
        </w:rPr>
        <w:t xml:space="preserve"> posto, u 202</w:t>
      </w:r>
      <w:r w:rsidR="00A348C1" w:rsidRPr="00A348C1">
        <w:rPr>
          <w:spacing w:val="-2"/>
        </w:rPr>
        <w:t>2</w:t>
      </w:r>
      <w:r w:rsidRPr="00A348C1">
        <w:rPr>
          <w:spacing w:val="-2"/>
        </w:rPr>
        <w:t xml:space="preserve">. godini </w:t>
      </w:r>
      <w:r w:rsidR="00A348C1" w:rsidRPr="00A348C1">
        <w:rPr>
          <w:spacing w:val="-2"/>
        </w:rPr>
        <w:t>iznosio je 0,15</w:t>
      </w:r>
      <w:r w:rsidRPr="00A348C1">
        <w:rPr>
          <w:spacing w:val="-2"/>
        </w:rPr>
        <w:t xml:space="preserve"> posto </w:t>
      </w:r>
      <w:r w:rsidR="00A348C1" w:rsidRPr="00A348C1">
        <w:rPr>
          <w:spacing w:val="-2"/>
        </w:rPr>
        <w:t xml:space="preserve">dok je </w:t>
      </w:r>
      <w:r w:rsidRPr="00A348C1">
        <w:rPr>
          <w:spacing w:val="-2"/>
        </w:rPr>
        <w:t>u 20</w:t>
      </w:r>
      <w:r w:rsidR="00A348C1" w:rsidRPr="00A348C1">
        <w:rPr>
          <w:spacing w:val="-2"/>
        </w:rPr>
        <w:t>21</w:t>
      </w:r>
      <w:r w:rsidRPr="00A348C1">
        <w:rPr>
          <w:spacing w:val="-2"/>
        </w:rPr>
        <w:t xml:space="preserve">. godini iznosio </w:t>
      </w:r>
      <w:r w:rsidR="00893968" w:rsidRPr="00A348C1">
        <w:rPr>
          <w:spacing w:val="-2"/>
        </w:rPr>
        <w:t>0,</w:t>
      </w:r>
      <w:r w:rsidR="00A348C1" w:rsidRPr="00A348C1">
        <w:rPr>
          <w:spacing w:val="-2"/>
        </w:rPr>
        <w:t>49</w:t>
      </w:r>
      <w:r w:rsidRPr="00A348C1">
        <w:rPr>
          <w:spacing w:val="-2"/>
        </w:rPr>
        <w:t xml:space="preserve"> posto. Udio </w:t>
      </w:r>
      <w:r w:rsidR="00893968" w:rsidRPr="00A348C1">
        <w:rPr>
          <w:spacing w:val="-2"/>
        </w:rPr>
        <w:t>horizontalnih ciljeva</w:t>
      </w:r>
      <w:r w:rsidRPr="00A348C1">
        <w:rPr>
          <w:spacing w:val="-2"/>
        </w:rPr>
        <w:t xml:space="preserve"> u </w:t>
      </w:r>
      <w:r w:rsidR="00893968" w:rsidRPr="00A348C1">
        <w:rPr>
          <w:spacing w:val="-2"/>
        </w:rPr>
        <w:t>ukupno dodijeljenim</w:t>
      </w:r>
      <w:r w:rsidRPr="00A348C1">
        <w:rPr>
          <w:spacing w:val="-2"/>
        </w:rPr>
        <w:t xml:space="preserve"> potporama u 202</w:t>
      </w:r>
      <w:r w:rsidR="00A348C1" w:rsidRPr="00A348C1">
        <w:rPr>
          <w:spacing w:val="-2"/>
        </w:rPr>
        <w:t>3</w:t>
      </w:r>
      <w:r w:rsidRPr="00A348C1">
        <w:rPr>
          <w:spacing w:val="-2"/>
        </w:rPr>
        <w:t xml:space="preserve">. godini iznosio je </w:t>
      </w:r>
      <w:r w:rsidR="00A348C1" w:rsidRPr="00A348C1">
        <w:rPr>
          <w:spacing w:val="-2"/>
        </w:rPr>
        <w:t>8,8</w:t>
      </w:r>
      <w:r w:rsidRPr="00A348C1">
        <w:rPr>
          <w:spacing w:val="-2"/>
        </w:rPr>
        <w:t xml:space="preserve"> posto, u 202</w:t>
      </w:r>
      <w:r w:rsidR="00A348C1" w:rsidRPr="00A348C1">
        <w:rPr>
          <w:spacing w:val="-2"/>
        </w:rPr>
        <w:t>2</w:t>
      </w:r>
      <w:r w:rsidRPr="00A348C1">
        <w:rPr>
          <w:spacing w:val="-2"/>
        </w:rPr>
        <w:t xml:space="preserve">. godini </w:t>
      </w:r>
      <w:r w:rsidR="00A348C1" w:rsidRPr="00A348C1">
        <w:rPr>
          <w:spacing w:val="-2"/>
        </w:rPr>
        <w:t xml:space="preserve">iznosio je 3,3 posto, a </w:t>
      </w:r>
      <w:r w:rsidRPr="00A348C1">
        <w:rPr>
          <w:spacing w:val="-2"/>
        </w:rPr>
        <w:t>u 20</w:t>
      </w:r>
      <w:r w:rsidR="00E75468" w:rsidRPr="00A348C1">
        <w:rPr>
          <w:spacing w:val="-2"/>
        </w:rPr>
        <w:t>2</w:t>
      </w:r>
      <w:r w:rsidR="00A348C1" w:rsidRPr="00A348C1">
        <w:rPr>
          <w:spacing w:val="-2"/>
        </w:rPr>
        <w:t>1</w:t>
      </w:r>
      <w:r w:rsidRPr="00A348C1">
        <w:rPr>
          <w:spacing w:val="-2"/>
        </w:rPr>
        <w:t xml:space="preserve">. godini </w:t>
      </w:r>
      <w:r w:rsidR="00A348C1" w:rsidRPr="00A348C1">
        <w:rPr>
          <w:spacing w:val="-2"/>
        </w:rPr>
        <w:t>iznosio je 9,7</w:t>
      </w:r>
      <w:r w:rsidRPr="00A348C1">
        <w:rPr>
          <w:spacing w:val="-2"/>
        </w:rPr>
        <w:t xml:space="preserve"> posto. </w:t>
      </w:r>
      <w:r w:rsidR="00893968" w:rsidRPr="00A348C1">
        <w:rPr>
          <w:spacing w:val="-2"/>
        </w:rPr>
        <w:t xml:space="preserve">Udio horizontalnih ciljeva u sektoru </w:t>
      </w:r>
      <w:r w:rsidR="007030D8" w:rsidRPr="00A348C1">
        <w:rPr>
          <w:spacing w:val="-2"/>
        </w:rPr>
        <w:t>industrije</w:t>
      </w:r>
      <w:r w:rsidR="00893968" w:rsidRPr="00A348C1">
        <w:rPr>
          <w:spacing w:val="-2"/>
        </w:rPr>
        <w:t xml:space="preserve"> i </w:t>
      </w:r>
      <w:r w:rsidR="007030D8" w:rsidRPr="00A348C1">
        <w:rPr>
          <w:spacing w:val="-2"/>
        </w:rPr>
        <w:t>usluga</w:t>
      </w:r>
      <w:r w:rsidR="00893968" w:rsidRPr="00A348C1">
        <w:rPr>
          <w:spacing w:val="-2"/>
        </w:rPr>
        <w:t xml:space="preserve"> u 202</w:t>
      </w:r>
      <w:r w:rsidR="00A348C1" w:rsidRPr="00A348C1">
        <w:rPr>
          <w:spacing w:val="-2"/>
        </w:rPr>
        <w:t>3</w:t>
      </w:r>
      <w:r w:rsidR="00893968" w:rsidRPr="00A348C1">
        <w:rPr>
          <w:spacing w:val="-2"/>
        </w:rPr>
        <w:t xml:space="preserve">. godini iznosio </w:t>
      </w:r>
      <w:r w:rsidR="00E75468" w:rsidRPr="00A348C1">
        <w:rPr>
          <w:spacing w:val="-2"/>
        </w:rPr>
        <w:t xml:space="preserve">je </w:t>
      </w:r>
      <w:r w:rsidR="00A348C1" w:rsidRPr="00A348C1">
        <w:rPr>
          <w:spacing w:val="-2"/>
        </w:rPr>
        <w:t>13,6</w:t>
      </w:r>
      <w:r w:rsidR="00893968" w:rsidRPr="00A348C1">
        <w:rPr>
          <w:spacing w:val="-2"/>
        </w:rPr>
        <w:t xml:space="preserve"> posto, u 202</w:t>
      </w:r>
      <w:r w:rsidR="00A348C1" w:rsidRPr="00A348C1">
        <w:rPr>
          <w:spacing w:val="-2"/>
        </w:rPr>
        <w:t>2</w:t>
      </w:r>
      <w:r w:rsidR="00893968" w:rsidRPr="00A348C1">
        <w:rPr>
          <w:spacing w:val="-2"/>
        </w:rPr>
        <w:t xml:space="preserve">. godini </w:t>
      </w:r>
      <w:r w:rsidR="00A348C1" w:rsidRPr="00A348C1">
        <w:rPr>
          <w:spacing w:val="-2"/>
        </w:rPr>
        <w:t>iznosio je 4,9</w:t>
      </w:r>
      <w:r w:rsidR="00893968" w:rsidRPr="00A348C1">
        <w:rPr>
          <w:spacing w:val="-2"/>
        </w:rPr>
        <w:t xml:space="preserve"> posto</w:t>
      </w:r>
      <w:r w:rsidR="00A348C1" w:rsidRPr="00A348C1">
        <w:rPr>
          <w:spacing w:val="-2"/>
        </w:rPr>
        <w:t>,</w:t>
      </w:r>
      <w:r w:rsidR="00893968" w:rsidRPr="00A348C1">
        <w:rPr>
          <w:spacing w:val="-2"/>
        </w:rPr>
        <w:t xml:space="preserve"> </w:t>
      </w:r>
      <w:r w:rsidR="007030D8" w:rsidRPr="00A348C1">
        <w:rPr>
          <w:spacing w:val="-2"/>
        </w:rPr>
        <w:t xml:space="preserve">dok </w:t>
      </w:r>
      <w:r w:rsidR="00893968" w:rsidRPr="00A348C1">
        <w:rPr>
          <w:spacing w:val="-2"/>
        </w:rPr>
        <w:t>je u 20</w:t>
      </w:r>
      <w:r w:rsidR="00A348C1" w:rsidRPr="00A348C1">
        <w:rPr>
          <w:spacing w:val="-2"/>
        </w:rPr>
        <w:t>21</w:t>
      </w:r>
      <w:r w:rsidR="00893968" w:rsidRPr="00A348C1">
        <w:rPr>
          <w:spacing w:val="-2"/>
        </w:rPr>
        <w:t xml:space="preserve">. godini iznosio </w:t>
      </w:r>
      <w:r w:rsidR="00A348C1" w:rsidRPr="00A348C1">
        <w:rPr>
          <w:spacing w:val="-2"/>
        </w:rPr>
        <w:t>14,8</w:t>
      </w:r>
      <w:r w:rsidR="00893968" w:rsidRPr="00A348C1">
        <w:rPr>
          <w:spacing w:val="-2"/>
        </w:rPr>
        <w:t xml:space="preserve"> posto. </w:t>
      </w:r>
    </w:p>
    <w:p w14:paraId="4A921BCA" w14:textId="77777777" w:rsidR="00B93B4D" w:rsidRPr="00A348C1" w:rsidRDefault="00B93B4D" w:rsidP="00C527C6">
      <w:pPr>
        <w:jc w:val="both"/>
      </w:pPr>
    </w:p>
    <w:p w14:paraId="6F2900E5" w14:textId="3B5488DC" w:rsidR="007030D8" w:rsidRPr="004E06CA" w:rsidRDefault="00A348C1" w:rsidP="00BE487D">
      <w:pPr>
        <w:jc w:val="both"/>
      </w:pPr>
      <w:r w:rsidRPr="004E06CA">
        <w:t>U 20</w:t>
      </w:r>
      <w:r w:rsidR="004E06CA" w:rsidRPr="004E06CA">
        <w:t>2</w:t>
      </w:r>
      <w:r w:rsidRPr="004E06CA">
        <w:t>3. godini u</w:t>
      </w:r>
      <w:r w:rsidR="007030D8" w:rsidRPr="004E06CA">
        <w:t>nutar</w:t>
      </w:r>
      <w:r w:rsidR="00E75468" w:rsidRPr="004E06CA">
        <w:t xml:space="preserve"> </w:t>
      </w:r>
      <w:r w:rsidR="00D305BF" w:rsidRPr="004E06CA">
        <w:t xml:space="preserve">horizontalnih </w:t>
      </w:r>
      <w:r w:rsidR="007030D8" w:rsidRPr="004E06CA">
        <w:t>ciljeva</w:t>
      </w:r>
      <w:r w:rsidR="00D305BF" w:rsidRPr="004E06CA">
        <w:t xml:space="preserve"> </w:t>
      </w:r>
      <w:r w:rsidRPr="004E06CA">
        <w:t xml:space="preserve">dodijeljenih </w:t>
      </w:r>
      <w:r w:rsidR="007030D8" w:rsidRPr="004E06CA">
        <w:t xml:space="preserve">u iznosu od </w:t>
      </w:r>
      <w:r w:rsidRPr="004E06CA">
        <w:t xml:space="preserve">267,7 </w:t>
      </w:r>
      <w:r w:rsidR="007030D8" w:rsidRPr="004E06CA">
        <w:t xml:space="preserve">milijuna </w:t>
      </w:r>
      <w:r w:rsidRPr="004E06CA">
        <w:t>eura</w:t>
      </w:r>
      <w:r w:rsidR="00E75468" w:rsidRPr="004E06CA">
        <w:t xml:space="preserve">, </w:t>
      </w:r>
      <w:r w:rsidR="007030D8" w:rsidRPr="004E06CA">
        <w:t>najviše potpora dodijeljeno je</w:t>
      </w:r>
      <w:r w:rsidR="00E75468" w:rsidRPr="004E06CA">
        <w:t xml:space="preserve"> </w:t>
      </w:r>
      <w:r w:rsidR="004E06CA" w:rsidRPr="004E06CA">
        <w:t xml:space="preserve">za istraživanje i razvoj i inovacije u iznosu od 193,4 milijuna eura ili s udjelom od 72,2 posto u horizontalnim ciljevima, slijede potpore za </w:t>
      </w:r>
      <w:r w:rsidR="00E75468" w:rsidRPr="004E06CA">
        <w:t xml:space="preserve">zapošljavanje u iznosu od </w:t>
      </w:r>
      <w:r w:rsidR="004E06CA" w:rsidRPr="004E06CA">
        <w:t xml:space="preserve">42,4 </w:t>
      </w:r>
      <w:r w:rsidR="00E75468" w:rsidRPr="004E06CA">
        <w:t xml:space="preserve">milijuna </w:t>
      </w:r>
      <w:r w:rsidR="004E06CA" w:rsidRPr="004E06CA">
        <w:t xml:space="preserve">eura </w:t>
      </w:r>
      <w:r w:rsidR="00E75468" w:rsidRPr="004E06CA">
        <w:t xml:space="preserve">ili </w:t>
      </w:r>
      <w:r w:rsidR="004E06CA" w:rsidRPr="004E06CA">
        <w:t>15,8</w:t>
      </w:r>
      <w:r w:rsidR="00E75468" w:rsidRPr="004E06CA">
        <w:t xml:space="preserve"> posto,</w:t>
      </w:r>
      <w:r w:rsidR="004E06CA" w:rsidRPr="004E06CA">
        <w:t xml:space="preserve"> </w:t>
      </w:r>
      <w:r w:rsidR="007D4C11" w:rsidRPr="004E06CA">
        <w:t>potpore za kulturu</w:t>
      </w:r>
      <w:r w:rsidR="004E06CA" w:rsidRPr="004E06CA">
        <w:t xml:space="preserve"> </w:t>
      </w:r>
      <w:r w:rsidR="007D4C11" w:rsidRPr="004E06CA">
        <w:t xml:space="preserve">u iznosu od </w:t>
      </w:r>
      <w:r w:rsidR="004E06CA" w:rsidRPr="004E06CA">
        <w:t>24,1</w:t>
      </w:r>
      <w:r w:rsidR="007D4C11" w:rsidRPr="004E06CA">
        <w:t xml:space="preserve"> milijun </w:t>
      </w:r>
      <w:r w:rsidR="004E06CA" w:rsidRPr="004E06CA">
        <w:t xml:space="preserve">eura </w:t>
      </w:r>
      <w:r w:rsidR="007D4C11" w:rsidRPr="004E06CA">
        <w:t xml:space="preserve">ili 9 posto, </w:t>
      </w:r>
      <w:r w:rsidR="004E06CA" w:rsidRPr="004E06CA">
        <w:t xml:space="preserve">potpore malim i srednjim poduzetnicima u iznosu od 7,8 milijuna eura ili 2,9 posto, dok su potpore za </w:t>
      </w:r>
      <w:r w:rsidR="007D4C11" w:rsidRPr="004E06CA">
        <w:t xml:space="preserve">usavršavanje </w:t>
      </w:r>
      <w:r w:rsidR="004E06CA" w:rsidRPr="004E06CA">
        <w:t xml:space="preserve">dodijeljene </w:t>
      </w:r>
      <w:r w:rsidR="007D4C11" w:rsidRPr="004E06CA">
        <w:t xml:space="preserve">u iznosu od </w:t>
      </w:r>
      <w:r w:rsidR="004E06CA" w:rsidRPr="004E06CA">
        <w:t>29.259,60</w:t>
      </w:r>
      <w:r w:rsidR="007D4C11" w:rsidRPr="004E06CA">
        <w:t xml:space="preserve"> </w:t>
      </w:r>
      <w:r w:rsidR="004E06CA" w:rsidRPr="004E06CA">
        <w:t xml:space="preserve">eura </w:t>
      </w:r>
      <w:r w:rsidR="007D4C11" w:rsidRPr="004E06CA">
        <w:t xml:space="preserve">ili </w:t>
      </w:r>
      <w:r w:rsidR="004E06CA" w:rsidRPr="004E06CA">
        <w:t>0,01</w:t>
      </w:r>
      <w:r w:rsidR="007D4C11" w:rsidRPr="004E06CA">
        <w:t xml:space="preserve"> posto</w:t>
      </w:r>
      <w:r w:rsidR="004E06CA" w:rsidRPr="004E06CA">
        <w:t>.</w:t>
      </w:r>
    </w:p>
    <w:p w14:paraId="16F6A781" w14:textId="77777777" w:rsidR="00A348C1" w:rsidRPr="00BA6F95" w:rsidRDefault="00A348C1" w:rsidP="00BE487D">
      <w:pPr>
        <w:jc w:val="both"/>
      </w:pPr>
    </w:p>
    <w:p w14:paraId="04F2010E" w14:textId="77777777" w:rsidR="009D0803" w:rsidRDefault="009D0803">
      <w:pPr>
        <w:rPr>
          <w:b/>
        </w:rPr>
      </w:pPr>
      <w:r>
        <w:rPr>
          <w:b/>
        </w:rPr>
        <w:br w:type="page"/>
      </w:r>
    </w:p>
    <w:p w14:paraId="00CA955F" w14:textId="05F78D3D" w:rsidR="00D305BF" w:rsidRPr="00BA6F95" w:rsidRDefault="00D305BF" w:rsidP="00BE487D">
      <w:pPr>
        <w:contextualSpacing/>
        <w:jc w:val="both"/>
      </w:pPr>
      <w:r w:rsidRPr="00B9741D">
        <w:lastRenderedPageBreak/>
        <w:t>Slika 1</w:t>
      </w:r>
      <w:r w:rsidR="00BA6F95" w:rsidRPr="00B9741D">
        <w:t>0</w:t>
      </w:r>
      <w:r w:rsidRPr="00B9741D">
        <w:t xml:space="preserve">. Struktura horizontalnih potpora </w:t>
      </w:r>
      <w:r w:rsidR="006749ED" w:rsidRPr="00B9741D">
        <w:t xml:space="preserve">u „užem smislu“ </w:t>
      </w:r>
      <w:r w:rsidR="004E06CA" w:rsidRPr="00B9741D">
        <w:t>u</w:t>
      </w:r>
      <w:r w:rsidRPr="00B9741D">
        <w:t xml:space="preserve"> razdoblj</w:t>
      </w:r>
      <w:r w:rsidR="004E06CA" w:rsidRPr="00B9741D">
        <w:t>u</w:t>
      </w:r>
      <w:r w:rsidRPr="00B9741D">
        <w:t xml:space="preserve"> od 20</w:t>
      </w:r>
      <w:r w:rsidR="00DB1ECE" w:rsidRPr="00B9741D">
        <w:t>2</w:t>
      </w:r>
      <w:r w:rsidR="00BA6F95" w:rsidRPr="00B9741D">
        <w:t>1</w:t>
      </w:r>
      <w:r w:rsidRPr="00B9741D">
        <w:t>. do 202</w:t>
      </w:r>
      <w:r w:rsidR="00BA6F95" w:rsidRPr="00B9741D">
        <w:t>3</w:t>
      </w:r>
      <w:r w:rsidRPr="00B9741D">
        <w:t>.</w:t>
      </w:r>
      <w:r w:rsidRPr="00BA6F95">
        <w:t xml:space="preserve"> godine (%)</w:t>
      </w:r>
    </w:p>
    <w:p w14:paraId="76D1146E" w14:textId="77777777" w:rsidR="00DA57BD" w:rsidRPr="008149B5" w:rsidRDefault="00DA57BD" w:rsidP="00BE487D">
      <w:pPr>
        <w:jc w:val="both"/>
        <w:rPr>
          <w:sz w:val="20"/>
          <w:highlight w:val="red"/>
        </w:rPr>
      </w:pPr>
    </w:p>
    <w:p w14:paraId="49C6FA38" w14:textId="5ED7F8BB" w:rsidR="00C46BE9" w:rsidRPr="008149B5" w:rsidRDefault="00863E6F" w:rsidP="00BA6F95">
      <w:pPr>
        <w:jc w:val="center"/>
        <w:rPr>
          <w:highlight w:val="red"/>
        </w:rPr>
      </w:pPr>
      <w:r w:rsidRPr="00BA6F95">
        <w:rPr>
          <w:noProof/>
          <w:sz w:val="16"/>
          <w:szCs w:val="16"/>
          <w:lang w:eastAsia="hr-HR"/>
        </w:rPr>
        <w:drawing>
          <wp:inline distT="0" distB="0" distL="0" distR="0" wp14:anchorId="1E6DFFA4" wp14:editId="5AD95577">
            <wp:extent cx="5546272" cy="2750185"/>
            <wp:effectExtent l="0" t="0" r="16510" b="12065"/>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6C40C0" w14:textId="77777777" w:rsidR="00BA6F95" w:rsidRPr="00BA6F95" w:rsidRDefault="00BA6F95" w:rsidP="00BA6F95">
      <w:pPr>
        <w:contextualSpacing/>
        <w:jc w:val="center"/>
        <w:rPr>
          <w:i/>
          <w:sz w:val="20"/>
        </w:rPr>
      </w:pPr>
      <w:r w:rsidRPr="00BA6F95">
        <w:rPr>
          <w:i/>
          <w:sz w:val="20"/>
        </w:rPr>
        <w:t>Izvor: Ministarstvo financija i davatelji potpora; podaci obrađeni u Ministarstvu financija</w:t>
      </w:r>
    </w:p>
    <w:p w14:paraId="7CDC6E71" w14:textId="1D3DF769" w:rsidR="00C46BE9" w:rsidRPr="00015717" w:rsidRDefault="00C46BE9" w:rsidP="00BE487D">
      <w:pPr>
        <w:jc w:val="both"/>
      </w:pPr>
    </w:p>
    <w:p w14:paraId="1C3B5E63" w14:textId="3DF41E2D" w:rsidR="00D60437" w:rsidRPr="00015717" w:rsidRDefault="00D305BF" w:rsidP="00BE487D">
      <w:pPr>
        <w:jc w:val="both"/>
        <w:rPr>
          <w:spacing w:val="-4"/>
        </w:rPr>
      </w:pPr>
      <w:r w:rsidRPr="00015717">
        <w:rPr>
          <w:spacing w:val="-4"/>
        </w:rPr>
        <w:t>Horizontalne potpore u „užem smislu“</w:t>
      </w:r>
      <w:r w:rsidR="00D60437" w:rsidRPr="00015717">
        <w:rPr>
          <w:spacing w:val="-4"/>
        </w:rPr>
        <w:t xml:space="preserve"> </w:t>
      </w:r>
      <w:r w:rsidR="00015717" w:rsidRPr="00015717">
        <w:rPr>
          <w:spacing w:val="-4"/>
        </w:rPr>
        <w:t xml:space="preserve">u 2023. godini su </w:t>
      </w:r>
      <w:r w:rsidR="007D4C11" w:rsidRPr="00015717">
        <w:rPr>
          <w:spacing w:val="-4"/>
        </w:rPr>
        <w:t xml:space="preserve">dodijeljene </w:t>
      </w:r>
      <w:r w:rsidRPr="00015717">
        <w:rPr>
          <w:spacing w:val="-4"/>
        </w:rPr>
        <w:t xml:space="preserve">u </w:t>
      </w:r>
      <w:r w:rsidR="00D60437" w:rsidRPr="00015717">
        <w:rPr>
          <w:spacing w:val="-4"/>
        </w:rPr>
        <w:t xml:space="preserve">iznosu od </w:t>
      </w:r>
      <w:r w:rsidR="00015717" w:rsidRPr="00015717">
        <w:rPr>
          <w:spacing w:val="-4"/>
        </w:rPr>
        <w:t xml:space="preserve">267,7 </w:t>
      </w:r>
      <w:r w:rsidR="00D60437" w:rsidRPr="00015717">
        <w:rPr>
          <w:spacing w:val="-4"/>
        </w:rPr>
        <w:t xml:space="preserve">milijuna </w:t>
      </w:r>
      <w:r w:rsidR="00015717" w:rsidRPr="00015717">
        <w:rPr>
          <w:spacing w:val="-4"/>
        </w:rPr>
        <w:t>eura</w:t>
      </w:r>
      <w:r w:rsidRPr="00015717">
        <w:rPr>
          <w:spacing w:val="-4"/>
        </w:rPr>
        <w:t xml:space="preserve">, </w:t>
      </w:r>
      <w:r w:rsidR="00015717" w:rsidRPr="00015717">
        <w:rPr>
          <w:spacing w:val="-4"/>
        </w:rPr>
        <w:t xml:space="preserve">i to </w:t>
      </w:r>
      <w:r w:rsidRPr="00015717">
        <w:rPr>
          <w:spacing w:val="-4"/>
        </w:rPr>
        <w:t xml:space="preserve">najvećim dijelom putem subvencija i neposrednih subvencija kamata u iznosu od </w:t>
      </w:r>
      <w:r w:rsidR="00015717" w:rsidRPr="00015717">
        <w:rPr>
          <w:spacing w:val="-4"/>
        </w:rPr>
        <w:t xml:space="preserve">264,5 </w:t>
      </w:r>
      <w:r w:rsidRPr="00015717">
        <w:rPr>
          <w:spacing w:val="-4"/>
        </w:rPr>
        <w:t>milijun</w:t>
      </w:r>
      <w:r w:rsidR="00015717" w:rsidRPr="00015717">
        <w:rPr>
          <w:spacing w:val="-4"/>
        </w:rPr>
        <w:t>a</w:t>
      </w:r>
      <w:r w:rsidRPr="00015717">
        <w:rPr>
          <w:spacing w:val="-4"/>
        </w:rPr>
        <w:t xml:space="preserve"> </w:t>
      </w:r>
      <w:r w:rsidR="00015717" w:rsidRPr="00015717">
        <w:rPr>
          <w:spacing w:val="-4"/>
        </w:rPr>
        <w:t xml:space="preserve">eura </w:t>
      </w:r>
      <w:r w:rsidRPr="00015717">
        <w:rPr>
          <w:spacing w:val="-4"/>
        </w:rPr>
        <w:t xml:space="preserve">ili s udjelom od </w:t>
      </w:r>
      <w:r w:rsidR="00D60437" w:rsidRPr="00015717">
        <w:rPr>
          <w:spacing w:val="-4"/>
        </w:rPr>
        <w:t>9</w:t>
      </w:r>
      <w:r w:rsidR="00015717" w:rsidRPr="00015717">
        <w:rPr>
          <w:spacing w:val="-4"/>
        </w:rPr>
        <w:t>8,8</w:t>
      </w:r>
      <w:r w:rsidRPr="00015717">
        <w:rPr>
          <w:spacing w:val="-4"/>
        </w:rPr>
        <w:t xml:space="preserve"> posto</w:t>
      </w:r>
      <w:r w:rsidR="00D60437" w:rsidRPr="00015717">
        <w:rPr>
          <w:spacing w:val="-4"/>
        </w:rPr>
        <w:t xml:space="preserve"> u horizontalnim ciljevima</w:t>
      </w:r>
      <w:r w:rsidRPr="00015717">
        <w:rPr>
          <w:spacing w:val="-4"/>
        </w:rPr>
        <w:t xml:space="preserve">, </w:t>
      </w:r>
      <w:r w:rsidR="00D60437" w:rsidRPr="00015717">
        <w:rPr>
          <w:spacing w:val="-4"/>
        </w:rPr>
        <w:t xml:space="preserve">slijede izdana jamstva u iznosu od </w:t>
      </w:r>
      <w:r w:rsidR="00015717" w:rsidRPr="00015717">
        <w:rPr>
          <w:spacing w:val="-4"/>
        </w:rPr>
        <w:t>2</w:t>
      </w:r>
      <w:r w:rsidR="00D60437" w:rsidRPr="00015717">
        <w:rPr>
          <w:spacing w:val="-4"/>
        </w:rPr>
        <w:t xml:space="preserve"> milijun</w:t>
      </w:r>
      <w:r w:rsidR="007D4C11" w:rsidRPr="00015717">
        <w:rPr>
          <w:spacing w:val="-4"/>
        </w:rPr>
        <w:t>a</w:t>
      </w:r>
      <w:r w:rsidR="00D60437" w:rsidRPr="00015717">
        <w:rPr>
          <w:spacing w:val="-4"/>
        </w:rPr>
        <w:t xml:space="preserve"> </w:t>
      </w:r>
      <w:r w:rsidR="00015717" w:rsidRPr="00015717">
        <w:rPr>
          <w:spacing w:val="-4"/>
        </w:rPr>
        <w:t xml:space="preserve">eura </w:t>
      </w:r>
      <w:r w:rsidR="00D60437" w:rsidRPr="00015717">
        <w:rPr>
          <w:spacing w:val="-4"/>
        </w:rPr>
        <w:t xml:space="preserve">ili </w:t>
      </w:r>
      <w:r w:rsidR="00015717" w:rsidRPr="00015717">
        <w:rPr>
          <w:spacing w:val="-4"/>
        </w:rPr>
        <w:t>0,8</w:t>
      </w:r>
      <w:r w:rsidR="00D60437" w:rsidRPr="00015717">
        <w:rPr>
          <w:spacing w:val="-4"/>
        </w:rPr>
        <w:t xml:space="preserve"> posto, </w:t>
      </w:r>
      <w:r w:rsidR="00AE6847" w:rsidRPr="00015717">
        <w:rPr>
          <w:spacing w:val="-4"/>
        </w:rPr>
        <w:t xml:space="preserve">te povoljni zajmovi u iznosu od </w:t>
      </w:r>
      <w:r w:rsidR="00015717" w:rsidRPr="00015717">
        <w:rPr>
          <w:spacing w:val="-4"/>
        </w:rPr>
        <w:t xml:space="preserve">1,1 milijun eura </w:t>
      </w:r>
      <w:r w:rsidR="00AE6847" w:rsidRPr="00015717">
        <w:rPr>
          <w:spacing w:val="-4"/>
        </w:rPr>
        <w:t>ili 0,</w:t>
      </w:r>
      <w:r w:rsidR="00015717" w:rsidRPr="00015717">
        <w:rPr>
          <w:spacing w:val="-4"/>
        </w:rPr>
        <w:t>4</w:t>
      </w:r>
      <w:r w:rsidR="00AE6847" w:rsidRPr="00015717">
        <w:rPr>
          <w:spacing w:val="-4"/>
        </w:rPr>
        <w:t xml:space="preserve"> posto</w:t>
      </w:r>
      <w:r w:rsidR="00B5221A" w:rsidRPr="00015717">
        <w:rPr>
          <w:spacing w:val="-4"/>
        </w:rPr>
        <w:t>.</w:t>
      </w:r>
    </w:p>
    <w:p w14:paraId="59367831" w14:textId="608A2251" w:rsidR="00015717" w:rsidRPr="00015717" w:rsidRDefault="00015717" w:rsidP="00BE487D">
      <w:pPr>
        <w:jc w:val="both"/>
      </w:pPr>
    </w:p>
    <w:p w14:paraId="2DFB36C1" w14:textId="0FB54359" w:rsidR="00D305BF" w:rsidRPr="00BA6F95" w:rsidRDefault="00D305BF" w:rsidP="00BE487D">
      <w:pPr>
        <w:contextualSpacing/>
        <w:jc w:val="both"/>
      </w:pPr>
      <w:r w:rsidRPr="00B9741D">
        <w:t>Slika 1</w:t>
      </w:r>
      <w:r w:rsidR="00BA6F95" w:rsidRPr="00B9741D">
        <w:t>1</w:t>
      </w:r>
      <w:r w:rsidRPr="00B9741D">
        <w:t xml:space="preserve">. </w:t>
      </w:r>
      <w:r w:rsidR="00B97518" w:rsidRPr="00B9741D">
        <w:t xml:space="preserve">Horizontalne potpore u </w:t>
      </w:r>
      <w:r w:rsidR="003C155E" w:rsidRPr="00B9741D">
        <w:t>„</w:t>
      </w:r>
      <w:r w:rsidR="00B97518" w:rsidRPr="00B9741D">
        <w:t>užem smislu</w:t>
      </w:r>
      <w:r w:rsidR="003C155E" w:rsidRPr="00B9741D">
        <w:t>“</w:t>
      </w:r>
      <w:r w:rsidRPr="00B9741D">
        <w:t xml:space="preserve"> prema instrumentima dodjele</w:t>
      </w:r>
      <w:r w:rsidRPr="00B9741D">
        <w:rPr>
          <w:rStyle w:val="FootnoteReference"/>
        </w:rPr>
        <w:footnoteReference w:id="23"/>
      </w:r>
      <w:r w:rsidRPr="00B9741D">
        <w:t xml:space="preserve"> </w:t>
      </w:r>
      <w:r w:rsidR="00C04D37" w:rsidRPr="00B9741D">
        <w:t>u</w:t>
      </w:r>
      <w:r w:rsidRPr="00B9741D">
        <w:t xml:space="preserve"> razdoblj</w:t>
      </w:r>
      <w:r w:rsidR="00C04D37" w:rsidRPr="00B9741D">
        <w:t>u</w:t>
      </w:r>
      <w:r w:rsidRPr="00B9741D">
        <w:t xml:space="preserve"> od</w:t>
      </w:r>
      <w:r w:rsidRPr="00BA6F95">
        <w:t xml:space="preserve"> 20</w:t>
      </w:r>
      <w:r w:rsidR="004F0F48" w:rsidRPr="00BA6F95">
        <w:t>2</w:t>
      </w:r>
      <w:r w:rsidR="00BA6F95" w:rsidRPr="00BA6F95">
        <w:t>1</w:t>
      </w:r>
      <w:r w:rsidRPr="00BA6F95">
        <w:t>. do 202</w:t>
      </w:r>
      <w:r w:rsidR="00BA6F95" w:rsidRPr="00BA6F95">
        <w:t>3</w:t>
      </w:r>
      <w:r w:rsidRPr="00BA6F95">
        <w:t>. godine (%)</w:t>
      </w:r>
    </w:p>
    <w:p w14:paraId="1970611C" w14:textId="77777777" w:rsidR="00DB1ECE" w:rsidRPr="008149B5" w:rsidRDefault="00DB1ECE" w:rsidP="00BE487D">
      <w:pPr>
        <w:contextualSpacing/>
        <w:jc w:val="both"/>
        <w:rPr>
          <w:b/>
          <w:sz w:val="20"/>
          <w:highlight w:val="red"/>
        </w:rPr>
      </w:pPr>
    </w:p>
    <w:p w14:paraId="2A8BAEA9" w14:textId="752C3A01" w:rsidR="00863E6F" w:rsidRPr="008149B5" w:rsidRDefault="00F80C16" w:rsidP="00BE487D">
      <w:pPr>
        <w:contextualSpacing/>
        <w:jc w:val="both"/>
        <w:rPr>
          <w:b/>
          <w:highlight w:val="red"/>
        </w:rPr>
      </w:pPr>
      <w:r>
        <w:rPr>
          <w:noProof/>
          <w:lang w:eastAsia="hr-HR"/>
        </w:rPr>
        <w:drawing>
          <wp:inline distT="0" distB="0" distL="0" distR="0" wp14:anchorId="3CBA37AB" wp14:editId="12E0A2C1">
            <wp:extent cx="5759450" cy="1817461"/>
            <wp:effectExtent l="0" t="0" r="31750" b="3048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9B3767" w14:textId="77777777" w:rsidR="00F80C16" w:rsidRPr="00F80C16" w:rsidRDefault="00F80C16" w:rsidP="00F80C16">
      <w:pPr>
        <w:contextualSpacing/>
        <w:jc w:val="center"/>
        <w:rPr>
          <w:i/>
          <w:sz w:val="20"/>
        </w:rPr>
      </w:pPr>
      <w:r w:rsidRPr="00F80C16">
        <w:rPr>
          <w:i/>
          <w:sz w:val="20"/>
        </w:rPr>
        <w:t>Izvor: Ministarstvo financija i davatelji potpora; podaci obrađeni u Ministarstvu financija</w:t>
      </w:r>
    </w:p>
    <w:p w14:paraId="03500D8E" w14:textId="77777777" w:rsidR="00863E6F" w:rsidRPr="00F80C16" w:rsidRDefault="00863E6F" w:rsidP="00BE487D">
      <w:pPr>
        <w:contextualSpacing/>
        <w:jc w:val="both"/>
        <w:rPr>
          <w:b/>
        </w:rPr>
      </w:pPr>
    </w:p>
    <w:p w14:paraId="79ED1CE0" w14:textId="58455F0D" w:rsidR="00AE6847" w:rsidRPr="00F80C16" w:rsidRDefault="00F80C16" w:rsidP="00BE487D">
      <w:pPr>
        <w:contextualSpacing/>
        <w:jc w:val="both"/>
      </w:pPr>
      <w:r w:rsidRPr="00F80C16">
        <w:t xml:space="preserve">Na </w:t>
      </w:r>
      <w:r w:rsidR="00AE6847" w:rsidRPr="00F80C16">
        <w:t>Sli</w:t>
      </w:r>
      <w:r w:rsidRPr="00F80C16">
        <w:t>ci</w:t>
      </w:r>
      <w:r w:rsidR="00AE6847" w:rsidRPr="00F80C16">
        <w:t xml:space="preserve"> 1</w:t>
      </w:r>
      <w:r w:rsidRPr="00F80C16">
        <w:t>1</w:t>
      </w:r>
      <w:r w:rsidR="00AE6847" w:rsidRPr="00F80C16">
        <w:t>. prikaz</w:t>
      </w:r>
      <w:r w:rsidRPr="00F80C16">
        <w:t xml:space="preserve">an </w:t>
      </w:r>
      <w:r w:rsidR="007D4C11" w:rsidRPr="00F80C16">
        <w:t>je</w:t>
      </w:r>
      <w:r w:rsidR="00AE6847" w:rsidRPr="00F80C16">
        <w:t xml:space="preserve"> udio horizontalnih potpora u „užem smislu“ prema instrumentima dodjele </w:t>
      </w:r>
      <w:r w:rsidRPr="00F80C16">
        <w:t>u</w:t>
      </w:r>
      <w:r w:rsidR="00AE6847" w:rsidRPr="00F80C16">
        <w:t xml:space="preserve"> razdoblj</w:t>
      </w:r>
      <w:r w:rsidRPr="00F80C16">
        <w:t>u</w:t>
      </w:r>
      <w:r w:rsidR="00AE6847" w:rsidRPr="00F80C16">
        <w:t xml:space="preserve"> od 20</w:t>
      </w:r>
      <w:r w:rsidR="00E73D74" w:rsidRPr="00F80C16">
        <w:t>2</w:t>
      </w:r>
      <w:r w:rsidRPr="00F80C16">
        <w:t>1</w:t>
      </w:r>
      <w:r w:rsidR="00AE6847" w:rsidRPr="00F80C16">
        <w:t>. do 202</w:t>
      </w:r>
      <w:r w:rsidRPr="00F80C16">
        <w:t>3</w:t>
      </w:r>
      <w:r w:rsidR="00AE6847" w:rsidRPr="00F80C16">
        <w:t xml:space="preserve"> godine</w:t>
      </w:r>
      <w:r w:rsidRPr="00F80C16">
        <w:t xml:space="preserve"> u postocima.</w:t>
      </w:r>
    </w:p>
    <w:p w14:paraId="1879BF87" w14:textId="77777777" w:rsidR="00AE6847" w:rsidRPr="0021338C" w:rsidRDefault="00AE6847" w:rsidP="00BE487D">
      <w:pPr>
        <w:contextualSpacing/>
        <w:jc w:val="both"/>
        <w:rPr>
          <w:b/>
        </w:rPr>
      </w:pPr>
    </w:p>
    <w:p w14:paraId="11B56527" w14:textId="77777777" w:rsidR="00BB1765" w:rsidRPr="0021338C" w:rsidRDefault="00BB1765" w:rsidP="00BE487D">
      <w:pPr>
        <w:contextualSpacing/>
        <w:jc w:val="both"/>
        <w:rPr>
          <w:b/>
        </w:rPr>
      </w:pPr>
    </w:p>
    <w:p w14:paraId="76F64B1A" w14:textId="6A0A4B83" w:rsidR="00E73D74" w:rsidRPr="0021338C" w:rsidRDefault="00E73D74">
      <w:pPr>
        <w:rPr>
          <w:b/>
        </w:rPr>
      </w:pPr>
    </w:p>
    <w:p w14:paraId="6E8B932F" w14:textId="77777777" w:rsidR="009D0803" w:rsidRDefault="009D0803">
      <w:pPr>
        <w:rPr>
          <w:rFonts w:eastAsiaTheme="majorEastAsia"/>
          <w:b/>
          <w:i/>
          <w:lang w:eastAsia="hr-HR"/>
        </w:rPr>
      </w:pPr>
      <w:r>
        <w:rPr>
          <w:b/>
          <w:i/>
          <w:lang w:eastAsia="hr-HR"/>
        </w:rPr>
        <w:br w:type="page"/>
      </w:r>
    </w:p>
    <w:p w14:paraId="61AC1EA7" w14:textId="203D6655" w:rsidR="00BE0817" w:rsidRPr="0021338C" w:rsidRDefault="002358AF" w:rsidP="00BE487D">
      <w:pPr>
        <w:pStyle w:val="Heading3"/>
        <w:numPr>
          <w:ilvl w:val="2"/>
          <w:numId w:val="1"/>
        </w:numPr>
        <w:spacing w:before="0"/>
        <w:jc w:val="both"/>
        <w:rPr>
          <w:rFonts w:ascii="Times New Roman" w:hAnsi="Times New Roman" w:cs="Times New Roman"/>
          <w:b/>
          <w:i/>
          <w:color w:val="auto"/>
          <w:lang w:eastAsia="hr-HR"/>
        </w:rPr>
      </w:pPr>
      <w:bookmarkStart w:id="13" w:name="_Toc184635844"/>
      <w:r w:rsidRPr="0021338C">
        <w:rPr>
          <w:rFonts w:ascii="Times New Roman" w:hAnsi="Times New Roman" w:cs="Times New Roman"/>
          <w:b/>
          <w:i/>
          <w:color w:val="auto"/>
          <w:lang w:eastAsia="hr-HR"/>
        </w:rPr>
        <w:lastRenderedPageBreak/>
        <w:t>Potpore za istraživanje i razvoj i inovacije</w:t>
      </w:r>
      <w:bookmarkEnd w:id="13"/>
    </w:p>
    <w:p w14:paraId="2320D066" w14:textId="77777777" w:rsidR="00E668F9" w:rsidRPr="0021338C" w:rsidRDefault="00E668F9" w:rsidP="00BE487D">
      <w:pPr>
        <w:jc w:val="both"/>
        <w:rPr>
          <w:lang w:eastAsia="hr-HR"/>
        </w:rPr>
      </w:pPr>
    </w:p>
    <w:p w14:paraId="3CE7A9D4" w14:textId="77777777" w:rsidR="00E668F9" w:rsidRPr="0021338C" w:rsidRDefault="00E668F9" w:rsidP="00BE487D">
      <w:pPr>
        <w:jc w:val="both"/>
        <w:rPr>
          <w:lang w:eastAsia="hr-HR"/>
        </w:rPr>
      </w:pPr>
    </w:p>
    <w:p w14:paraId="1E6AFC84" w14:textId="3E1C9C82" w:rsidR="00BD1011" w:rsidRPr="00BD4EEB" w:rsidRDefault="00BD1011" w:rsidP="00BE487D">
      <w:pPr>
        <w:jc w:val="both"/>
      </w:pPr>
      <w:r w:rsidRPr="00BD4EEB">
        <w:t>Potpore za istraživanje i razvoj i inovacije</w:t>
      </w:r>
      <w:r w:rsidRPr="00BD4EEB">
        <w:rPr>
          <w:rStyle w:val="FootnoteReference"/>
        </w:rPr>
        <w:footnoteReference w:id="24"/>
      </w:r>
      <w:r w:rsidRPr="00BD4EEB">
        <w:t xml:space="preserve"> </w:t>
      </w:r>
      <w:r w:rsidR="00AE2EB5" w:rsidRPr="00BD4EEB">
        <w:t xml:space="preserve">su </w:t>
      </w:r>
      <w:r w:rsidR="00BD4EEB" w:rsidRPr="00BD4EEB">
        <w:t xml:space="preserve">dodijeljene </w:t>
      </w:r>
      <w:r w:rsidR="00AE2EB5" w:rsidRPr="00BD4EEB">
        <w:t>u 202</w:t>
      </w:r>
      <w:r w:rsidR="00BD4EEB" w:rsidRPr="00BD4EEB">
        <w:t>3</w:t>
      </w:r>
      <w:r w:rsidR="00AE2EB5" w:rsidRPr="00BD4EEB">
        <w:t xml:space="preserve">. godini </w:t>
      </w:r>
      <w:r w:rsidRPr="00BD4EEB">
        <w:t xml:space="preserve">u iznosu od </w:t>
      </w:r>
      <w:r w:rsidR="00BD4EEB" w:rsidRPr="00BD4EEB">
        <w:t xml:space="preserve">193,4 </w:t>
      </w:r>
      <w:r w:rsidRPr="00BD4EEB">
        <w:t xml:space="preserve">milijuna </w:t>
      </w:r>
      <w:r w:rsidR="00BD4EEB" w:rsidRPr="00BD4EEB">
        <w:t>eura</w:t>
      </w:r>
      <w:r w:rsidRPr="00BD4EEB">
        <w:t xml:space="preserve">, što </w:t>
      </w:r>
      <w:r w:rsidR="003C1135" w:rsidRPr="00BD4EEB">
        <w:t>je</w:t>
      </w:r>
      <w:r w:rsidR="0023321A" w:rsidRPr="00BD4EEB">
        <w:t xml:space="preserve"> </w:t>
      </w:r>
      <w:r w:rsidR="00BD4EEB" w:rsidRPr="00BD4EEB">
        <w:t>povećanje</w:t>
      </w:r>
      <w:r w:rsidR="0023321A" w:rsidRPr="00BD4EEB">
        <w:t xml:space="preserve"> </w:t>
      </w:r>
      <w:r w:rsidRPr="00BD4EEB">
        <w:t xml:space="preserve">za </w:t>
      </w:r>
      <w:r w:rsidR="00BD4EEB" w:rsidRPr="00BD4EEB">
        <w:t>157,4</w:t>
      </w:r>
      <w:r w:rsidR="003C1135" w:rsidRPr="00BD4EEB">
        <w:t xml:space="preserve"> </w:t>
      </w:r>
      <w:r w:rsidRPr="00BD4EEB">
        <w:t xml:space="preserve">milijuna </w:t>
      </w:r>
      <w:r w:rsidR="00BD4EEB" w:rsidRPr="00BD4EEB">
        <w:t xml:space="preserve">eura </w:t>
      </w:r>
      <w:r w:rsidRPr="00BD4EEB">
        <w:t xml:space="preserve">ili </w:t>
      </w:r>
      <w:r w:rsidR="000E3F47" w:rsidRPr="00BD4EEB">
        <w:t xml:space="preserve">za </w:t>
      </w:r>
      <w:r w:rsidR="00BD4EEB" w:rsidRPr="00BD4EEB">
        <w:t>438,2</w:t>
      </w:r>
      <w:r w:rsidR="003C1135" w:rsidRPr="00BD4EEB">
        <w:t xml:space="preserve"> </w:t>
      </w:r>
      <w:r w:rsidRPr="00BD4EEB">
        <w:t>posto u odnosu na 20</w:t>
      </w:r>
      <w:r w:rsidR="0023321A" w:rsidRPr="00BD4EEB">
        <w:t>2</w:t>
      </w:r>
      <w:r w:rsidR="00BD4EEB" w:rsidRPr="00BD4EEB">
        <w:t>2</w:t>
      </w:r>
      <w:r w:rsidRPr="00BD4EEB">
        <w:t xml:space="preserve">. godinu, kada su </w:t>
      </w:r>
      <w:r w:rsidR="003C1135" w:rsidRPr="00BD4EEB">
        <w:t>navedene</w:t>
      </w:r>
      <w:r w:rsidR="0023321A" w:rsidRPr="00BD4EEB">
        <w:t xml:space="preserve"> </w:t>
      </w:r>
      <w:r w:rsidRPr="00BD4EEB">
        <w:t xml:space="preserve">potpore iznosile </w:t>
      </w:r>
      <w:r w:rsidR="00BD4EEB" w:rsidRPr="00BD4EEB">
        <w:t>35,9</w:t>
      </w:r>
      <w:r w:rsidR="003C1135" w:rsidRPr="00BD4EEB">
        <w:t xml:space="preserve"> </w:t>
      </w:r>
      <w:r w:rsidRPr="00BD4EEB">
        <w:t>milijun</w:t>
      </w:r>
      <w:r w:rsidR="003C1135" w:rsidRPr="00BD4EEB">
        <w:t>a</w:t>
      </w:r>
      <w:r w:rsidRPr="00BD4EEB">
        <w:t xml:space="preserve"> </w:t>
      </w:r>
      <w:r w:rsidR="00BD4EEB" w:rsidRPr="00BD4EEB">
        <w:t>eura</w:t>
      </w:r>
      <w:r w:rsidRPr="00BD4EEB">
        <w:t xml:space="preserve">, </w:t>
      </w:r>
      <w:r w:rsidR="0023321A" w:rsidRPr="00BD4EEB">
        <w:t>te</w:t>
      </w:r>
      <w:r w:rsidR="008A7D87" w:rsidRPr="00BD4EEB">
        <w:t xml:space="preserve"> </w:t>
      </w:r>
      <w:r w:rsidR="00BD4EEB" w:rsidRPr="00BD4EEB">
        <w:t xml:space="preserve">je povećanje </w:t>
      </w:r>
      <w:r w:rsidRPr="00BD4EEB">
        <w:t xml:space="preserve">za </w:t>
      </w:r>
      <w:r w:rsidR="00BD4EEB" w:rsidRPr="00BD4EEB">
        <w:t>119,6</w:t>
      </w:r>
      <w:r w:rsidR="003C1135" w:rsidRPr="00BD4EEB">
        <w:t xml:space="preserve"> </w:t>
      </w:r>
      <w:r w:rsidRPr="00BD4EEB">
        <w:t>milijun</w:t>
      </w:r>
      <w:r w:rsidR="00BD4EEB" w:rsidRPr="00BD4EEB">
        <w:t>a</w:t>
      </w:r>
      <w:r w:rsidRPr="00BD4EEB">
        <w:t xml:space="preserve"> </w:t>
      </w:r>
      <w:r w:rsidR="00BD4EEB" w:rsidRPr="00BD4EEB">
        <w:t xml:space="preserve">eura </w:t>
      </w:r>
      <w:r w:rsidRPr="00BD4EEB">
        <w:t xml:space="preserve">ili </w:t>
      </w:r>
      <w:r w:rsidR="001C6220" w:rsidRPr="00BD4EEB">
        <w:t xml:space="preserve">za </w:t>
      </w:r>
      <w:r w:rsidR="00BD4EEB" w:rsidRPr="00BD4EEB">
        <w:t>162,1</w:t>
      </w:r>
      <w:r w:rsidRPr="00BD4EEB">
        <w:t xml:space="preserve"> posto u odnosu na 20</w:t>
      </w:r>
      <w:r w:rsidR="003C1135" w:rsidRPr="00BD4EEB">
        <w:t>2</w:t>
      </w:r>
      <w:r w:rsidR="00BD4EEB" w:rsidRPr="00BD4EEB">
        <w:t>1</w:t>
      </w:r>
      <w:r w:rsidRPr="00BD4EEB">
        <w:t xml:space="preserve">. godinu kada su </w:t>
      </w:r>
      <w:r w:rsidR="0023321A" w:rsidRPr="00BD4EEB">
        <w:t xml:space="preserve">potpore </w:t>
      </w:r>
      <w:r w:rsidR="00BD4EEB" w:rsidRPr="00BD4EEB">
        <w:t xml:space="preserve">za istraživanje i razvoj i inovacije </w:t>
      </w:r>
      <w:r w:rsidRPr="00BD4EEB">
        <w:t xml:space="preserve">iznosile </w:t>
      </w:r>
      <w:r w:rsidR="00BD4EEB" w:rsidRPr="00BD4EEB">
        <w:t xml:space="preserve">73,8 </w:t>
      </w:r>
      <w:r w:rsidRPr="00BD4EEB">
        <w:t>milijun</w:t>
      </w:r>
      <w:r w:rsidR="00BD4EEB" w:rsidRPr="00BD4EEB">
        <w:t>a</w:t>
      </w:r>
      <w:r w:rsidRPr="00BD4EEB">
        <w:t xml:space="preserve"> </w:t>
      </w:r>
      <w:r w:rsidR="00BD4EEB" w:rsidRPr="00BD4EEB">
        <w:t>eura</w:t>
      </w:r>
      <w:r w:rsidRPr="00BD4EEB">
        <w:t xml:space="preserve">. </w:t>
      </w:r>
    </w:p>
    <w:p w14:paraId="30394B47" w14:textId="77777777" w:rsidR="00BD4EEB" w:rsidRPr="00BD4EEB" w:rsidRDefault="00BD4EEB" w:rsidP="00BE487D">
      <w:pPr>
        <w:jc w:val="both"/>
      </w:pPr>
    </w:p>
    <w:p w14:paraId="2A23B98A" w14:textId="55B4F3FE" w:rsidR="00BD1011" w:rsidRPr="00B9741D" w:rsidRDefault="00BD1011" w:rsidP="00BE487D">
      <w:pPr>
        <w:jc w:val="both"/>
      </w:pPr>
      <w:r w:rsidRPr="00B9741D">
        <w:t xml:space="preserve">Tablica </w:t>
      </w:r>
      <w:r w:rsidR="00381995" w:rsidRPr="00B9741D">
        <w:t>8</w:t>
      </w:r>
      <w:r w:rsidRPr="00B9741D">
        <w:t xml:space="preserve">. Potpore za istraživanje i razvoj i inovacije </w:t>
      </w:r>
      <w:r w:rsidR="0021338C" w:rsidRPr="00B9741D">
        <w:t>u</w:t>
      </w:r>
      <w:r w:rsidRPr="00B9741D">
        <w:t xml:space="preserve"> razdoblj</w:t>
      </w:r>
      <w:r w:rsidR="0021338C" w:rsidRPr="00B9741D">
        <w:t>u</w:t>
      </w:r>
      <w:r w:rsidRPr="00B9741D">
        <w:t xml:space="preserve"> od 20</w:t>
      </w:r>
      <w:r w:rsidR="004C3637" w:rsidRPr="00B9741D">
        <w:t>2</w:t>
      </w:r>
      <w:r w:rsidR="00381995" w:rsidRPr="00B9741D">
        <w:t>1</w:t>
      </w:r>
      <w:r w:rsidRPr="00B9741D">
        <w:t>. do 202</w:t>
      </w:r>
      <w:r w:rsidR="00381995" w:rsidRPr="00B9741D">
        <w:t>3</w:t>
      </w:r>
      <w:r w:rsidRPr="00B9741D">
        <w:t>. godine</w:t>
      </w:r>
    </w:p>
    <w:p w14:paraId="3791B302" w14:textId="77777777" w:rsidR="00BD1011" w:rsidRPr="0021338C" w:rsidRDefault="00BD1011" w:rsidP="00BE487D">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21338C" w:rsidRPr="0021338C" w14:paraId="632C011E" w14:textId="1A4467FE" w:rsidTr="0021338C">
        <w:trPr>
          <w:trHeight w:val="38"/>
        </w:trPr>
        <w:tc>
          <w:tcPr>
            <w:tcW w:w="3376" w:type="dxa"/>
            <w:vMerge w:val="restart"/>
            <w:shd w:val="clear" w:color="000000" w:fill="FFFF99"/>
            <w:noWrap/>
            <w:vAlign w:val="center"/>
            <w:hideMark/>
          </w:tcPr>
          <w:p w14:paraId="6B8D1F54" w14:textId="77777777" w:rsidR="0021338C" w:rsidRPr="0021338C" w:rsidRDefault="0021338C" w:rsidP="0021338C">
            <w:pPr>
              <w:rPr>
                <w:rFonts w:eastAsia="Times New Roman"/>
                <w:b/>
                <w:bCs/>
                <w:sz w:val="20"/>
                <w:szCs w:val="20"/>
              </w:rPr>
            </w:pPr>
            <w:r w:rsidRPr="0021338C">
              <w:rPr>
                <w:rFonts w:eastAsia="Times New Roman"/>
                <w:b/>
                <w:bCs/>
                <w:sz w:val="20"/>
                <w:szCs w:val="20"/>
              </w:rPr>
              <w:t>Istraživanje i razvoj i inovacije</w:t>
            </w:r>
          </w:p>
        </w:tc>
        <w:tc>
          <w:tcPr>
            <w:tcW w:w="1439" w:type="dxa"/>
            <w:shd w:val="clear" w:color="000000" w:fill="FFFF99"/>
            <w:vAlign w:val="center"/>
          </w:tcPr>
          <w:p w14:paraId="7CC4CE37" w14:textId="0D04DE04" w:rsidR="0021338C" w:rsidRPr="0021338C" w:rsidRDefault="0021338C" w:rsidP="0021338C">
            <w:pPr>
              <w:jc w:val="center"/>
              <w:rPr>
                <w:rFonts w:eastAsia="Times New Roman"/>
                <w:b/>
                <w:bCs/>
                <w:sz w:val="20"/>
                <w:szCs w:val="20"/>
              </w:rPr>
            </w:pPr>
            <w:r w:rsidRPr="0021338C">
              <w:rPr>
                <w:b/>
                <w:sz w:val="20"/>
                <w:szCs w:val="20"/>
              </w:rPr>
              <w:t>2021.</w:t>
            </w:r>
          </w:p>
        </w:tc>
        <w:tc>
          <w:tcPr>
            <w:tcW w:w="1559" w:type="dxa"/>
            <w:shd w:val="clear" w:color="000000" w:fill="FFFF99"/>
            <w:vAlign w:val="center"/>
          </w:tcPr>
          <w:p w14:paraId="61000262" w14:textId="0EC603A4" w:rsidR="0021338C" w:rsidRPr="0021338C" w:rsidRDefault="0021338C" w:rsidP="0021338C">
            <w:pPr>
              <w:jc w:val="center"/>
              <w:rPr>
                <w:rFonts w:eastAsia="Times New Roman"/>
                <w:b/>
                <w:bCs/>
                <w:sz w:val="20"/>
                <w:szCs w:val="20"/>
              </w:rPr>
            </w:pPr>
            <w:r w:rsidRPr="0021338C">
              <w:rPr>
                <w:b/>
                <w:sz w:val="20"/>
                <w:szCs w:val="20"/>
              </w:rPr>
              <w:t>2022.</w:t>
            </w:r>
          </w:p>
        </w:tc>
        <w:tc>
          <w:tcPr>
            <w:tcW w:w="1559" w:type="dxa"/>
            <w:shd w:val="clear" w:color="000000" w:fill="FFFF99"/>
            <w:vAlign w:val="center"/>
          </w:tcPr>
          <w:p w14:paraId="27F222F6" w14:textId="5D86694B" w:rsidR="0021338C" w:rsidRPr="0021338C" w:rsidRDefault="0021338C" w:rsidP="0021338C">
            <w:pPr>
              <w:jc w:val="center"/>
              <w:rPr>
                <w:rFonts w:eastAsia="Times New Roman"/>
                <w:b/>
                <w:bCs/>
                <w:sz w:val="20"/>
                <w:szCs w:val="20"/>
              </w:rPr>
            </w:pPr>
            <w:r w:rsidRPr="0021338C">
              <w:rPr>
                <w:b/>
                <w:sz w:val="20"/>
                <w:szCs w:val="20"/>
              </w:rPr>
              <w:t>2023.</w:t>
            </w:r>
          </w:p>
        </w:tc>
      </w:tr>
      <w:tr w:rsidR="0021338C" w:rsidRPr="0021338C" w14:paraId="5512BD9A" w14:textId="77777777" w:rsidTr="0021338C">
        <w:trPr>
          <w:trHeight w:val="212"/>
        </w:trPr>
        <w:tc>
          <w:tcPr>
            <w:tcW w:w="3376" w:type="dxa"/>
            <w:vMerge/>
            <w:vAlign w:val="center"/>
            <w:hideMark/>
          </w:tcPr>
          <w:p w14:paraId="2A33B7C3" w14:textId="77777777" w:rsidR="0021338C" w:rsidRPr="0021338C" w:rsidRDefault="0021338C" w:rsidP="0021338C">
            <w:pPr>
              <w:rPr>
                <w:rFonts w:eastAsia="Times New Roman"/>
                <w:b/>
                <w:bCs/>
                <w:sz w:val="20"/>
                <w:szCs w:val="20"/>
              </w:rPr>
            </w:pPr>
          </w:p>
        </w:tc>
        <w:tc>
          <w:tcPr>
            <w:tcW w:w="1439" w:type="dxa"/>
            <w:shd w:val="clear" w:color="000000" w:fill="FFFF99"/>
            <w:vAlign w:val="center"/>
          </w:tcPr>
          <w:p w14:paraId="0CF74845" w14:textId="0B1E8349" w:rsidR="0021338C" w:rsidRPr="0021338C" w:rsidRDefault="0021338C" w:rsidP="0021338C">
            <w:pPr>
              <w:rPr>
                <w:rFonts w:eastAsia="Times New Roman"/>
                <w:b/>
                <w:sz w:val="18"/>
                <w:szCs w:val="20"/>
              </w:rPr>
            </w:pPr>
            <w:r w:rsidRPr="0021338C">
              <w:rPr>
                <w:b/>
                <w:sz w:val="20"/>
                <w:szCs w:val="20"/>
              </w:rPr>
              <w:t xml:space="preserve">u </w:t>
            </w:r>
            <w:proofErr w:type="spellStart"/>
            <w:r w:rsidRPr="0021338C">
              <w:rPr>
                <w:b/>
                <w:sz w:val="20"/>
                <w:szCs w:val="20"/>
              </w:rPr>
              <w:t>mln</w:t>
            </w:r>
            <w:proofErr w:type="spellEnd"/>
            <w:r w:rsidRPr="0021338C">
              <w:rPr>
                <w:b/>
                <w:sz w:val="20"/>
                <w:szCs w:val="20"/>
              </w:rPr>
              <w:t xml:space="preserve"> EUR</w:t>
            </w:r>
          </w:p>
        </w:tc>
        <w:tc>
          <w:tcPr>
            <w:tcW w:w="1559" w:type="dxa"/>
            <w:shd w:val="clear" w:color="000000" w:fill="FFFF99"/>
            <w:vAlign w:val="center"/>
          </w:tcPr>
          <w:p w14:paraId="35687B46" w14:textId="651AB391" w:rsidR="0021338C" w:rsidRPr="0021338C" w:rsidRDefault="0021338C" w:rsidP="0021338C">
            <w:pPr>
              <w:jc w:val="center"/>
              <w:rPr>
                <w:rFonts w:eastAsia="Times New Roman"/>
                <w:b/>
                <w:sz w:val="18"/>
                <w:szCs w:val="20"/>
              </w:rPr>
            </w:pPr>
            <w:r w:rsidRPr="0021338C">
              <w:rPr>
                <w:b/>
                <w:sz w:val="20"/>
                <w:szCs w:val="20"/>
              </w:rPr>
              <w:t xml:space="preserve">u </w:t>
            </w:r>
            <w:proofErr w:type="spellStart"/>
            <w:r w:rsidRPr="0021338C">
              <w:rPr>
                <w:b/>
                <w:sz w:val="20"/>
                <w:szCs w:val="20"/>
              </w:rPr>
              <w:t>mln</w:t>
            </w:r>
            <w:proofErr w:type="spellEnd"/>
            <w:r w:rsidRPr="0021338C">
              <w:rPr>
                <w:b/>
                <w:sz w:val="20"/>
                <w:szCs w:val="20"/>
              </w:rPr>
              <w:t xml:space="preserve"> EUR</w:t>
            </w:r>
          </w:p>
        </w:tc>
        <w:tc>
          <w:tcPr>
            <w:tcW w:w="1559" w:type="dxa"/>
            <w:shd w:val="clear" w:color="000000" w:fill="FFFF99"/>
            <w:vAlign w:val="center"/>
          </w:tcPr>
          <w:p w14:paraId="5B9ECEC3" w14:textId="3FCB5159" w:rsidR="0021338C" w:rsidRPr="0021338C" w:rsidRDefault="0021338C" w:rsidP="0021338C">
            <w:pPr>
              <w:jc w:val="center"/>
              <w:rPr>
                <w:rFonts w:eastAsia="Times New Roman"/>
                <w:b/>
                <w:sz w:val="18"/>
                <w:szCs w:val="20"/>
              </w:rPr>
            </w:pPr>
            <w:r w:rsidRPr="0021338C">
              <w:rPr>
                <w:b/>
                <w:sz w:val="20"/>
                <w:szCs w:val="20"/>
              </w:rPr>
              <w:t xml:space="preserve">u </w:t>
            </w:r>
            <w:proofErr w:type="spellStart"/>
            <w:r w:rsidRPr="0021338C">
              <w:rPr>
                <w:b/>
                <w:sz w:val="20"/>
                <w:szCs w:val="20"/>
              </w:rPr>
              <w:t>mln</w:t>
            </w:r>
            <w:proofErr w:type="spellEnd"/>
            <w:r w:rsidRPr="0021338C">
              <w:rPr>
                <w:b/>
                <w:sz w:val="20"/>
                <w:szCs w:val="20"/>
              </w:rPr>
              <w:t xml:space="preserve"> EUR</w:t>
            </w:r>
          </w:p>
        </w:tc>
      </w:tr>
      <w:tr w:rsidR="0021338C" w:rsidRPr="0021338C" w14:paraId="2B611AE0" w14:textId="77777777" w:rsidTr="0021338C">
        <w:trPr>
          <w:trHeight w:val="40"/>
        </w:trPr>
        <w:tc>
          <w:tcPr>
            <w:tcW w:w="3376" w:type="dxa"/>
            <w:shd w:val="clear" w:color="auto" w:fill="auto"/>
            <w:noWrap/>
            <w:vAlign w:val="center"/>
            <w:hideMark/>
          </w:tcPr>
          <w:p w14:paraId="4B00B1D5" w14:textId="77777777" w:rsidR="0021338C" w:rsidRPr="0021338C" w:rsidRDefault="0021338C" w:rsidP="0021338C">
            <w:pPr>
              <w:rPr>
                <w:rFonts w:eastAsia="Times New Roman"/>
                <w:b/>
                <w:bCs/>
                <w:sz w:val="20"/>
                <w:szCs w:val="20"/>
              </w:rPr>
            </w:pPr>
            <w:r w:rsidRPr="0021338C">
              <w:rPr>
                <w:rFonts w:eastAsia="Times New Roman"/>
                <w:b/>
                <w:bCs/>
                <w:sz w:val="20"/>
                <w:szCs w:val="20"/>
              </w:rPr>
              <w:t>A1</w:t>
            </w:r>
            <w:r w:rsidRPr="0021338C">
              <w:rPr>
                <w:rFonts w:eastAsia="Times New Roman"/>
                <w:sz w:val="20"/>
                <w:szCs w:val="20"/>
              </w:rPr>
              <w:t xml:space="preserve"> subvencije</w:t>
            </w:r>
          </w:p>
        </w:tc>
        <w:tc>
          <w:tcPr>
            <w:tcW w:w="1439" w:type="dxa"/>
            <w:vAlign w:val="center"/>
          </w:tcPr>
          <w:p w14:paraId="570650BE" w14:textId="232C41CE" w:rsidR="0021338C" w:rsidRPr="0021338C" w:rsidRDefault="0021338C" w:rsidP="0021338C">
            <w:pPr>
              <w:jc w:val="right"/>
              <w:rPr>
                <w:sz w:val="20"/>
                <w:szCs w:val="14"/>
              </w:rPr>
            </w:pPr>
            <w:r w:rsidRPr="0021338C">
              <w:rPr>
                <w:sz w:val="20"/>
                <w:szCs w:val="20"/>
              </w:rPr>
              <w:t>71,7</w:t>
            </w:r>
          </w:p>
        </w:tc>
        <w:tc>
          <w:tcPr>
            <w:tcW w:w="1559" w:type="dxa"/>
            <w:vAlign w:val="center"/>
          </w:tcPr>
          <w:p w14:paraId="3C9EC16B" w14:textId="64E7561A" w:rsidR="0021338C" w:rsidRPr="0021338C" w:rsidRDefault="0021338C" w:rsidP="0021338C">
            <w:pPr>
              <w:jc w:val="right"/>
              <w:rPr>
                <w:sz w:val="20"/>
                <w:szCs w:val="14"/>
              </w:rPr>
            </w:pPr>
            <w:r w:rsidRPr="0021338C">
              <w:rPr>
                <w:sz w:val="20"/>
                <w:szCs w:val="20"/>
              </w:rPr>
              <w:t>33,8</w:t>
            </w:r>
          </w:p>
        </w:tc>
        <w:tc>
          <w:tcPr>
            <w:tcW w:w="1559" w:type="dxa"/>
            <w:vAlign w:val="center"/>
          </w:tcPr>
          <w:p w14:paraId="1800CB77" w14:textId="7DA04505" w:rsidR="0021338C" w:rsidRPr="0021338C" w:rsidRDefault="0021338C" w:rsidP="0021338C">
            <w:pPr>
              <w:jc w:val="right"/>
              <w:rPr>
                <w:sz w:val="20"/>
                <w:szCs w:val="14"/>
              </w:rPr>
            </w:pPr>
            <w:r w:rsidRPr="0021338C">
              <w:rPr>
                <w:sz w:val="20"/>
                <w:szCs w:val="20"/>
              </w:rPr>
              <w:t>193,4</w:t>
            </w:r>
          </w:p>
        </w:tc>
      </w:tr>
      <w:tr w:rsidR="0021338C" w:rsidRPr="0021338C" w14:paraId="7D5A2DEC" w14:textId="77777777" w:rsidTr="0021338C">
        <w:trPr>
          <w:trHeight w:val="40"/>
        </w:trPr>
        <w:tc>
          <w:tcPr>
            <w:tcW w:w="3376" w:type="dxa"/>
            <w:shd w:val="clear" w:color="auto" w:fill="auto"/>
            <w:noWrap/>
            <w:vAlign w:val="center"/>
            <w:hideMark/>
          </w:tcPr>
          <w:p w14:paraId="4750C3AA" w14:textId="77777777" w:rsidR="0021338C" w:rsidRPr="0021338C" w:rsidRDefault="0021338C" w:rsidP="0021338C">
            <w:pPr>
              <w:rPr>
                <w:rFonts w:eastAsia="Times New Roman"/>
                <w:b/>
                <w:bCs/>
                <w:sz w:val="20"/>
                <w:szCs w:val="20"/>
              </w:rPr>
            </w:pPr>
            <w:r w:rsidRPr="0021338C">
              <w:rPr>
                <w:rFonts w:eastAsia="Times New Roman"/>
                <w:b/>
                <w:bCs/>
                <w:sz w:val="20"/>
                <w:szCs w:val="20"/>
              </w:rPr>
              <w:t>A2</w:t>
            </w:r>
            <w:r w:rsidRPr="0021338C">
              <w:rPr>
                <w:rFonts w:eastAsia="Times New Roman"/>
                <w:sz w:val="20"/>
                <w:szCs w:val="20"/>
              </w:rPr>
              <w:t xml:space="preserve"> porezne olakšice</w:t>
            </w:r>
          </w:p>
        </w:tc>
        <w:tc>
          <w:tcPr>
            <w:tcW w:w="1439" w:type="dxa"/>
            <w:vAlign w:val="center"/>
          </w:tcPr>
          <w:p w14:paraId="47B7F196" w14:textId="73E5469D" w:rsidR="0021338C" w:rsidRPr="0021338C" w:rsidRDefault="0021338C" w:rsidP="0021338C">
            <w:pPr>
              <w:jc w:val="right"/>
              <w:rPr>
                <w:sz w:val="20"/>
                <w:szCs w:val="14"/>
              </w:rPr>
            </w:pPr>
            <w:r w:rsidRPr="0021338C">
              <w:rPr>
                <w:sz w:val="20"/>
                <w:szCs w:val="20"/>
              </w:rPr>
              <w:t>2,1</w:t>
            </w:r>
          </w:p>
        </w:tc>
        <w:tc>
          <w:tcPr>
            <w:tcW w:w="1559" w:type="dxa"/>
            <w:vAlign w:val="center"/>
          </w:tcPr>
          <w:p w14:paraId="0718E00A" w14:textId="19DF0ED2" w:rsidR="0021338C" w:rsidRPr="0021338C" w:rsidRDefault="0021338C" w:rsidP="0021338C">
            <w:pPr>
              <w:jc w:val="right"/>
              <w:rPr>
                <w:sz w:val="20"/>
                <w:szCs w:val="14"/>
              </w:rPr>
            </w:pPr>
            <w:r w:rsidRPr="0021338C">
              <w:rPr>
                <w:sz w:val="20"/>
                <w:szCs w:val="20"/>
              </w:rPr>
              <w:t>2,1</w:t>
            </w:r>
          </w:p>
        </w:tc>
        <w:tc>
          <w:tcPr>
            <w:tcW w:w="1559" w:type="dxa"/>
            <w:vAlign w:val="center"/>
          </w:tcPr>
          <w:p w14:paraId="5FD40919" w14:textId="0884D705" w:rsidR="0021338C" w:rsidRPr="0021338C" w:rsidRDefault="0021338C" w:rsidP="0021338C">
            <w:pPr>
              <w:jc w:val="right"/>
              <w:rPr>
                <w:sz w:val="20"/>
                <w:szCs w:val="14"/>
              </w:rPr>
            </w:pPr>
            <w:r w:rsidRPr="0021338C">
              <w:rPr>
                <w:sz w:val="20"/>
                <w:szCs w:val="20"/>
              </w:rPr>
              <w:t>0,0</w:t>
            </w:r>
          </w:p>
        </w:tc>
      </w:tr>
      <w:tr w:rsidR="0021338C" w:rsidRPr="0021338C" w14:paraId="549AB409" w14:textId="77777777" w:rsidTr="0021338C">
        <w:trPr>
          <w:trHeight w:val="40"/>
        </w:trPr>
        <w:tc>
          <w:tcPr>
            <w:tcW w:w="3376" w:type="dxa"/>
            <w:shd w:val="clear" w:color="000000" w:fill="FFFF99"/>
            <w:noWrap/>
            <w:vAlign w:val="center"/>
            <w:hideMark/>
          </w:tcPr>
          <w:p w14:paraId="07A0A482" w14:textId="77777777" w:rsidR="0021338C" w:rsidRPr="0021338C" w:rsidRDefault="0021338C" w:rsidP="0021338C">
            <w:pPr>
              <w:rPr>
                <w:rFonts w:eastAsia="Times New Roman"/>
                <w:b/>
                <w:bCs/>
                <w:sz w:val="20"/>
                <w:szCs w:val="20"/>
              </w:rPr>
            </w:pPr>
            <w:r w:rsidRPr="0021338C">
              <w:rPr>
                <w:rFonts w:eastAsia="Times New Roman"/>
                <w:b/>
                <w:bCs/>
                <w:sz w:val="20"/>
                <w:szCs w:val="20"/>
              </w:rPr>
              <w:t>UKUPNO</w:t>
            </w:r>
          </w:p>
        </w:tc>
        <w:tc>
          <w:tcPr>
            <w:tcW w:w="1439" w:type="dxa"/>
            <w:shd w:val="clear" w:color="000000" w:fill="FFFF99"/>
            <w:vAlign w:val="center"/>
          </w:tcPr>
          <w:p w14:paraId="22A055F5" w14:textId="3DD2D984" w:rsidR="0021338C" w:rsidRPr="0021338C" w:rsidRDefault="0021338C" w:rsidP="0021338C">
            <w:pPr>
              <w:jc w:val="right"/>
              <w:rPr>
                <w:b/>
                <w:sz w:val="20"/>
                <w:szCs w:val="14"/>
              </w:rPr>
            </w:pPr>
            <w:r w:rsidRPr="0021338C">
              <w:rPr>
                <w:b/>
                <w:sz w:val="20"/>
                <w:szCs w:val="20"/>
              </w:rPr>
              <w:t>73,8</w:t>
            </w:r>
          </w:p>
        </w:tc>
        <w:tc>
          <w:tcPr>
            <w:tcW w:w="1559" w:type="dxa"/>
            <w:shd w:val="clear" w:color="000000" w:fill="FFFF99"/>
            <w:vAlign w:val="center"/>
          </w:tcPr>
          <w:p w14:paraId="1A462FC3" w14:textId="1D484CEE" w:rsidR="0021338C" w:rsidRPr="0021338C" w:rsidRDefault="0021338C" w:rsidP="0021338C">
            <w:pPr>
              <w:jc w:val="right"/>
              <w:rPr>
                <w:b/>
                <w:sz w:val="20"/>
                <w:szCs w:val="14"/>
              </w:rPr>
            </w:pPr>
            <w:r w:rsidRPr="0021338C">
              <w:rPr>
                <w:b/>
                <w:sz w:val="20"/>
                <w:szCs w:val="20"/>
              </w:rPr>
              <w:t>35,9</w:t>
            </w:r>
          </w:p>
        </w:tc>
        <w:tc>
          <w:tcPr>
            <w:tcW w:w="1559" w:type="dxa"/>
            <w:shd w:val="clear" w:color="000000" w:fill="FFFF99"/>
            <w:vAlign w:val="center"/>
          </w:tcPr>
          <w:p w14:paraId="68DE5643" w14:textId="6B398B25" w:rsidR="0021338C" w:rsidRPr="0021338C" w:rsidRDefault="0021338C" w:rsidP="0021338C">
            <w:pPr>
              <w:jc w:val="right"/>
              <w:rPr>
                <w:b/>
                <w:sz w:val="20"/>
                <w:szCs w:val="14"/>
              </w:rPr>
            </w:pPr>
            <w:r w:rsidRPr="0021338C">
              <w:rPr>
                <w:b/>
                <w:sz w:val="20"/>
                <w:szCs w:val="20"/>
              </w:rPr>
              <w:t>193,4</w:t>
            </w:r>
          </w:p>
        </w:tc>
      </w:tr>
      <w:tr w:rsidR="0021338C" w:rsidRPr="0021338C" w14:paraId="5C5A5A86" w14:textId="7211C062" w:rsidTr="0021338C">
        <w:trPr>
          <w:trHeight w:val="40"/>
        </w:trPr>
        <w:tc>
          <w:tcPr>
            <w:tcW w:w="3376" w:type="dxa"/>
            <w:shd w:val="clear" w:color="auto" w:fill="auto"/>
            <w:vAlign w:val="center"/>
            <w:hideMark/>
          </w:tcPr>
          <w:p w14:paraId="4DF995E9" w14:textId="77777777" w:rsidR="0021338C" w:rsidRPr="0021338C" w:rsidRDefault="0021338C" w:rsidP="0021338C">
            <w:pPr>
              <w:rPr>
                <w:rFonts w:eastAsia="Times New Roman"/>
                <w:sz w:val="20"/>
                <w:szCs w:val="20"/>
              </w:rPr>
            </w:pPr>
            <w:r w:rsidRPr="0021338C">
              <w:rPr>
                <w:rFonts w:eastAsia="Times New Roman"/>
                <w:sz w:val="20"/>
                <w:szCs w:val="20"/>
              </w:rPr>
              <w:t>udio (%) u horizontalnim ciljevima</w:t>
            </w:r>
          </w:p>
        </w:tc>
        <w:tc>
          <w:tcPr>
            <w:tcW w:w="1439" w:type="dxa"/>
            <w:vAlign w:val="center"/>
          </w:tcPr>
          <w:p w14:paraId="4BBD3BFE" w14:textId="42FC05D7" w:rsidR="0021338C" w:rsidRPr="0021338C" w:rsidRDefault="0021338C" w:rsidP="0021338C">
            <w:pPr>
              <w:jc w:val="center"/>
              <w:rPr>
                <w:sz w:val="20"/>
                <w:szCs w:val="14"/>
              </w:rPr>
            </w:pPr>
            <w:r w:rsidRPr="0021338C">
              <w:rPr>
                <w:sz w:val="20"/>
                <w:szCs w:val="20"/>
              </w:rPr>
              <w:t>25,80</w:t>
            </w:r>
          </w:p>
        </w:tc>
        <w:tc>
          <w:tcPr>
            <w:tcW w:w="1559" w:type="dxa"/>
            <w:vAlign w:val="center"/>
          </w:tcPr>
          <w:p w14:paraId="35911371" w14:textId="54D84FFE" w:rsidR="0021338C" w:rsidRPr="0021338C" w:rsidRDefault="0021338C" w:rsidP="0021338C">
            <w:pPr>
              <w:jc w:val="center"/>
              <w:rPr>
                <w:sz w:val="20"/>
                <w:szCs w:val="14"/>
              </w:rPr>
            </w:pPr>
            <w:r w:rsidRPr="0021338C">
              <w:rPr>
                <w:sz w:val="20"/>
                <w:szCs w:val="20"/>
              </w:rPr>
              <w:t>36,10</w:t>
            </w:r>
          </w:p>
        </w:tc>
        <w:tc>
          <w:tcPr>
            <w:tcW w:w="1559" w:type="dxa"/>
            <w:vAlign w:val="center"/>
          </w:tcPr>
          <w:p w14:paraId="01E9A6BE" w14:textId="0C349445" w:rsidR="0021338C" w:rsidRPr="0021338C" w:rsidRDefault="0021338C" w:rsidP="0021338C">
            <w:pPr>
              <w:jc w:val="center"/>
              <w:rPr>
                <w:sz w:val="20"/>
                <w:szCs w:val="14"/>
              </w:rPr>
            </w:pPr>
            <w:r w:rsidRPr="0021338C">
              <w:rPr>
                <w:sz w:val="20"/>
                <w:szCs w:val="20"/>
              </w:rPr>
              <w:t>72,24</w:t>
            </w:r>
          </w:p>
        </w:tc>
      </w:tr>
      <w:tr w:rsidR="0021338C" w:rsidRPr="0021338C" w14:paraId="37DDA4EB" w14:textId="7A48CA90" w:rsidTr="0021338C">
        <w:trPr>
          <w:trHeight w:val="90"/>
        </w:trPr>
        <w:tc>
          <w:tcPr>
            <w:tcW w:w="3376" w:type="dxa"/>
            <w:shd w:val="clear" w:color="auto" w:fill="auto"/>
            <w:vAlign w:val="center"/>
            <w:hideMark/>
          </w:tcPr>
          <w:p w14:paraId="114FA552" w14:textId="77777777" w:rsidR="0021338C" w:rsidRPr="0021338C" w:rsidRDefault="0021338C" w:rsidP="0021338C">
            <w:pPr>
              <w:rPr>
                <w:rFonts w:eastAsia="Times New Roman"/>
                <w:sz w:val="20"/>
                <w:szCs w:val="20"/>
              </w:rPr>
            </w:pPr>
            <w:r w:rsidRPr="0021338C">
              <w:rPr>
                <w:rFonts w:eastAsia="Times New Roman"/>
                <w:sz w:val="20"/>
                <w:szCs w:val="20"/>
              </w:rPr>
              <w:t>udio (%) u ukupnim potporama (bez poljoprivrede i ribarstva)</w:t>
            </w:r>
          </w:p>
        </w:tc>
        <w:tc>
          <w:tcPr>
            <w:tcW w:w="1439" w:type="dxa"/>
            <w:vAlign w:val="center"/>
          </w:tcPr>
          <w:p w14:paraId="3D8DF246" w14:textId="5978ED6F" w:rsidR="0021338C" w:rsidRPr="0021338C" w:rsidRDefault="0021338C" w:rsidP="0021338C">
            <w:pPr>
              <w:jc w:val="center"/>
              <w:rPr>
                <w:sz w:val="20"/>
                <w:szCs w:val="14"/>
              </w:rPr>
            </w:pPr>
            <w:r w:rsidRPr="0021338C">
              <w:rPr>
                <w:sz w:val="20"/>
                <w:szCs w:val="20"/>
              </w:rPr>
              <w:t>3,81</w:t>
            </w:r>
          </w:p>
        </w:tc>
        <w:tc>
          <w:tcPr>
            <w:tcW w:w="1559" w:type="dxa"/>
            <w:vAlign w:val="center"/>
          </w:tcPr>
          <w:p w14:paraId="3851C77C" w14:textId="09819386" w:rsidR="0021338C" w:rsidRPr="0021338C" w:rsidRDefault="0021338C" w:rsidP="0021338C">
            <w:pPr>
              <w:jc w:val="center"/>
              <w:rPr>
                <w:sz w:val="20"/>
                <w:szCs w:val="14"/>
              </w:rPr>
            </w:pPr>
            <w:r w:rsidRPr="0021338C">
              <w:rPr>
                <w:sz w:val="20"/>
                <w:szCs w:val="20"/>
              </w:rPr>
              <w:t>1,76</w:t>
            </w:r>
          </w:p>
        </w:tc>
        <w:tc>
          <w:tcPr>
            <w:tcW w:w="1559" w:type="dxa"/>
            <w:vAlign w:val="center"/>
          </w:tcPr>
          <w:p w14:paraId="71E8B7CA" w14:textId="5828D6A2" w:rsidR="0021338C" w:rsidRPr="0021338C" w:rsidRDefault="0021338C" w:rsidP="0021338C">
            <w:pPr>
              <w:jc w:val="center"/>
              <w:rPr>
                <w:sz w:val="20"/>
                <w:szCs w:val="14"/>
              </w:rPr>
            </w:pPr>
            <w:r w:rsidRPr="0021338C">
              <w:rPr>
                <w:sz w:val="20"/>
                <w:szCs w:val="20"/>
              </w:rPr>
              <w:t>9,83</w:t>
            </w:r>
          </w:p>
        </w:tc>
      </w:tr>
      <w:tr w:rsidR="0021338C" w:rsidRPr="0021338C" w14:paraId="564102FB" w14:textId="0EC5D991" w:rsidTr="0021338C">
        <w:trPr>
          <w:trHeight w:val="40"/>
        </w:trPr>
        <w:tc>
          <w:tcPr>
            <w:tcW w:w="3376" w:type="dxa"/>
            <w:shd w:val="clear" w:color="auto" w:fill="auto"/>
            <w:vAlign w:val="center"/>
            <w:hideMark/>
          </w:tcPr>
          <w:p w14:paraId="4D0CAD9A" w14:textId="77777777" w:rsidR="0021338C" w:rsidRPr="0021338C" w:rsidRDefault="0021338C" w:rsidP="0021338C">
            <w:pPr>
              <w:rPr>
                <w:rFonts w:eastAsia="Times New Roman"/>
                <w:sz w:val="20"/>
                <w:szCs w:val="20"/>
              </w:rPr>
            </w:pPr>
            <w:r w:rsidRPr="0021338C">
              <w:rPr>
                <w:rFonts w:eastAsia="Times New Roman"/>
                <w:sz w:val="20"/>
                <w:szCs w:val="20"/>
              </w:rPr>
              <w:t>udio (%) u ukupnim potporama</w:t>
            </w:r>
          </w:p>
        </w:tc>
        <w:tc>
          <w:tcPr>
            <w:tcW w:w="1439" w:type="dxa"/>
            <w:vAlign w:val="center"/>
          </w:tcPr>
          <w:p w14:paraId="1902F572" w14:textId="0F399D7C" w:rsidR="0021338C" w:rsidRPr="0021338C" w:rsidRDefault="0021338C" w:rsidP="0021338C">
            <w:pPr>
              <w:jc w:val="center"/>
              <w:rPr>
                <w:sz w:val="20"/>
                <w:szCs w:val="14"/>
              </w:rPr>
            </w:pPr>
            <w:r w:rsidRPr="0021338C">
              <w:rPr>
                <w:sz w:val="20"/>
                <w:szCs w:val="20"/>
              </w:rPr>
              <w:t>2,51</w:t>
            </w:r>
          </w:p>
        </w:tc>
        <w:tc>
          <w:tcPr>
            <w:tcW w:w="1559" w:type="dxa"/>
            <w:vAlign w:val="center"/>
          </w:tcPr>
          <w:p w14:paraId="2D3137A0" w14:textId="4B0543C3" w:rsidR="0021338C" w:rsidRPr="0021338C" w:rsidRDefault="0021338C" w:rsidP="0021338C">
            <w:pPr>
              <w:jc w:val="center"/>
              <w:rPr>
                <w:sz w:val="20"/>
                <w:szCs w:val="14"/>
              </w:rPr>
            </w:pPr>
            <w:r w:rsidRPr="0021338C">
              <w:rPr>
                <w:sz w:val="20"/>
                <w:szCs w:val="20"/>
              </w:rPr>
              <w:t>1,19</w:t>
            </w:r>
          </w:p>
        </w:tc>
        <w:tc>
          <w:tcPr>
            <w:tcW w:w="1559" w:type="dxa"/>
            <w:vAlign w:val="center"/>
          </w:tcPr>
          <w:p w14:paraId="2C0EE1B5" w14:textId="31BEEE34" w:rsidR="0021338C" w:rsidRPr="0021338C" w:rsidRDefault="0021338C" w:rsidP="0021338C">
            <w:pPr>
              <w:jc w:val="center"/>
              <w:rPr>
                <w:sz w:val="20"/>
                <w:szCs w:val="14"/>
              </w:rPr>
            </w:pPr>
            <w:r w:rsidRPr="0021338C">
              <w:rPr>
                <w:sz w:val="20"/>
                <w:szCs w:val="20"/>
              </w:rPr>
              <w:t>6,37</w:t>
            </w:r>
          </w:p>
        </w:tc>
      </w:tr>
      <w:tr w:rsidR="0021338C" w:rsidRPr="0021338C" w14:paraId="02734573" w14:textId="27E77923" w:rsidTr="0021338C">
        <w:trPr>
          <w:trHeight w:val="40"/>
        </w:trPr>
        <w:tc>
          <w:tcPr>
            <w:tcW w:w="3376" w:type="dxa"/>
            <w:shd w:val="clear" w:color="auto" w:fill="auto"/>
            <w:vAlign w:val="center"/>
            <w:hideMark/>
          </w:tcPr>
          <w:p w14:paraId="171C3F69" w14:textId="77777777" w:rsidR="0021338C" w:rsidRPr="0021338C" w:rsidRDefault="0021338C" w:rsidP="0021338C">
            <w:pPr>
              <w:rPr>
                <w:rFonts w:eastAsia="Times New Roman"/>
                <w:sz w:val="20"/>
                <w:szCs w:val="20"/>
              </w:rPr>
            </w:pPr>
            <w:r w:rsidRPr="0021338C">
              <w:rPr>
                <w:rFonts w:eastAsia="Times New Roman"/>
                <w:sz w:val="20"/>
                <w:szCs w:val="20"/>
              </w:rPr>
              <w:t>udio (%) u BDP-u</w:t>
            </w:r>
          </w:p>
        </w:tc>
        <w:tc>
          <w:tcPr>
            <w:tcW w:w="1439" w:type="dxa"/>
            <w:vAlign w:val="center"/>
          </w:tcPr>
          <w:p w14:paraId="007EE380" w14:textId="305B4F93" w:rsidR="0021338C" w:rsidRPr="0021338C" w:rsidRDefault="0021338C" w:rsidP="0021338C">
            <w:pPr>
              <w:jc w:val="center"/>
              <w:rPr>
                <w:sz w:val="20"/>
                <w:szCs w:val="14"/>
              </w:rPr>
            </w:pPr>
            <w:r w:rsidRPr="0021338C">
              <w:rPr>
                <w:sz w:val="20"/>
                <w:szCs w:val="20"/>
              </w:rPr>
              <w:t>0,13</w:t>
            </w:r>
          </w:p>
        </w:tc>
        <w:tc>
          <w:tcPr>
            <w:tcW w:w="1559" w:type="dxa"/>
            <w:vAlign w:val="center"/>
          </w:tcPr>
          <w:p w14:paraId="48CD6F48" w14:textId="24055FA4" w:rsidR="0021338C" w:rsidRPr="0021338C" w:rsidRDefault="0021338C" w:rsidP="0021338C">
            <w:pPr>
              <w:jc w:val="center"/>
              <w:rPr>
                <w:sz w:val="20"/>
                <w:szCs w:val="14"/>
              </w:rPr>
            </w:pPr>
            <w:r w:rsidRPr="0021338C">
              <w:rPr>
                <w:sz w:val="20"/>
                <w:szCs w:val="20"/>
              </w:rPr>
              <w:t>0,05</w:t>
            </w:r>
          </w:p>
        </w:tc>
        <w:tc>
          <w:tcPr>
            <w:tcW w:w="1559" w:type="dxa"/>
            <w:vAlign w:val="center"/>
          </w:tcPr>
          <w:p w14:paraId="5A6D96C3" w14:textId="04C50335" w:rsidR="0021338C" w:rsidRPr="0021338C" w:rsidRDefault="0021338C" w:rsidP="0021338C">
            <w:pPr>
              <w:jc w:val="center"/>
              <w:rPr>
                <w:sz w:val="20"/>
                <w:szCs w:val="14"/>
              </w:rPr>
            </w:pPr>
            <w:r w:rsidRPr="0021338C">
              <w:rPr>
                <w:sz w:val="20"/>
                <w:szCs w:val="20"/>
              </w:rPr>
              <w:t>0,25</w:t>
            </w:r>
          </w:p>
        </w:tc>
      </w:tr>
    </w:tbl>
    <w:p w14:paraId="1B3BEDAC" w14:textId="77777777" w:rsidR="00BD1011" w:rsidRPr="0021338C" w:rsidRDefault="00BD1011" w:rsidP="00BE487D">
      <w:pPr>
        <w:contextualSpacing/>
        <w:jc w:val="both"/>
        <w:rPr>
          <w:i/>
          <w:sz w:val="20"/>
        </w:rPr>
      </w:pPr>
      <w:r w:rsidRPr="0021338C">
        <w:rPr>
          <w:i/>
          <w:sz w:val="20"/>
        </w:rPr>
        <w:t>Izvor: Ministarstvo financija i davatelji potpora; podaci obrađeni u Ministarstvu financija</w:t>
      </w:r>
    </w:p>
    <w:p w14:paraId="524303F8" w14:textId="77777777" w:rsidR="003A1C6B" w:rsidRPr="0021338C" w:rsidRDefault="003A1C6B" w:rsidP="004C3637"/>
    <w:p w14:paraId="040C1315" w14:textId="77777777" w:rsidR="003E4E58" w:rsidRDefault="00A16DBC" w:rsidP="00BE487D">
      <w:pPr>
        <w:jc w:val="both"/>
      </w:pPr>
      <w:r w:rsidRPr="00BD4EEB">
        <w:t>Udio potpora za istraživanje i razvoj i inovacije u BDP-u u 202</w:t>
      </w:r>
      <w:r w:rsidR="00BD4EEB" w:rsidRPr="00BD4EEB">
        <w:t>3</w:t>
      </w:r>
      <w:r w:rsidRPr="00BD4EEB">
        <w:t>. godini iznosio je 0,</w:t>
      </w:r>
      <w:r w:rsidR="00BD4EEB" w:rsidRPr="00BD4EEB">
        <w:t>25</w:t>
      </w:r>
      <w:r w:rsidRPr="00BD4EEB">
        <w:t xml:space="preserve"> posto, u 202</w:t>
      </w:r>
      <w:r w:rsidR="00BD4EEB" w:rsidRPr="00BD4EEB">
        <w:t>2</w:t>
      </w:r>
      <w:r w:rsidRPr="00BD4EEB">
        <w:t>. godini iznosio je 0,</w:t>
      </w:r>
      <w:r w:rsidR="00BD4EEB" w:rsidRPr="00BD4EEB">
        <w:t>05</w:t>
      </w:r>
      <w:r w:rsidRPr="00BD4EEB">
        <w:t xml:space="preserve"> posto</w:t>
      </w:r>
      <w:r w:rsidR="00BD4EEB" w:rsidRPr="00BD4EEB">
        <w:t xml:space="preserve">, dok je </w:t>
      </w:r>
      <w:r w:rsidRPr="00BD4EEB">
        <w:t>u 20</w:t>
      </w:r>
      <w:r w:rsidR="00BD4EEB" w:rsidRPr="00BD4EEB">
        <w:t>21</w:t>
      </w:r>
      <w:r w:rsidRPr="00BD4EEB">
        <w:t xml:space="preserve">. godini </w:t>
      </w:r>
      <w:r w:rsidRPr="00A64EBE">
        <w:t>iznosio 0,</w:t>
      </w:r>
      <w:r w:rsidR="00BD4EEB" w:rsidRPr="00A64EBE">
        <w:t>13</w:t>
      </w:r>
      <w:r w:rsidRPr="00A64EBE">
        <w:t xml:space="preserve"> posto. Udio navedenih potpora u 202</w:t>
      </w:r>
      <w:r w:rsidR="00BD4EEB" w:rsidRPr="00A64EBE">
        <w:t>3</w:t>
      </w:r>
      <w:r w:rsidRPr="00A64EBE">
        <w:t xml:space="preserve">. godini u </w:t>
      </w:r>
      <w:r w:rsidR="0023321A" w:rsidRPr="00A64EBE">
        <w:t xml:space="preserve">ukupno dodijeljenim potporama iznosio je </w:t>
      </w:r>
      <w:r w:rsidR="00BD4EEB" w:rsidRPr="00A64EBE">
        <w:t>6,4</w:t>
      </w:r>
      <w:r w:rsidR="0023321A" w:rsidRPr="00A64EBE">
        <w:t xml:space="preserve"> posto, </w:t>
      </w:r>
      <w:r w:rsidR="003E4E58">
        <w:t>u</w:t>
      </w:r>
      <w:r w:rsidR="00A64EBE" w:rsidRPr="00A64EBE">
        <w:t xml:space="preserve">dio </w:t>
      </w:r>
      <w:r w:rsidR="0023321A" w:rsidRPr="00A64EBE">
        <w:t xml:space="preserve">u dodijeljenim potporama u sektoru industrije i usluga </w:t>
      </w:r>
      <w:r w:rsidR="00A64EBE" w:rsidRPr="00A64EBE">
        <w:t xml:space="preserve">u 2023. godini </w:t>
      </w:r>
      <w:r w:rsidR="0023321A" w:rsidRPr="00A64EBE">
        <w:t xml:space="preserve">iznosio je </w:t>
      </w:r>
      <w:r w:rsidR="00A64EBE" w:rsidRPr="00A64EBE">
        <w:t>9,8</w:t>
      </w:r>
      <w:r w:rsidR="0023321A" w:rsidRPr="00A64EBE">
        <w:t xml:space="preserve"> posto, </w:t>
      </w:r>
      <w:r w:rsidR="003E4E58">
        <w:t>dok je u</w:t>
      </w:r>
      <w:r w:rsidR="00A64EBE" w:rsidRPr="00A64EBE">
        <w:t>dio navedenih potpora u horizontalnim ciljevima u 2023. godini iznosio 72,2 posto</w:t>
      </w:r>
      <w:r w:rsidR="003E4E58">
        <w:t>.</w:t>
      </w:r>
    </w:p>
    <w:p w14:paraId="11ADFCFB" w14:textId="1059DA85" w:rsidR="00A64EBE" w:rsidRPr="00A64EBE" w:rsidRDefault="00A64EBE" w:rsidP="00BE487D">
      <w:pPr>
        <w:jc w:val="both"/>
      </w:pPr>
    </w:p>
    <w:p w14:paraId="24A8C203" w14:textId="51347FC5" w:rsidR="00A64EBE" w:rsidRPr="00A64EBE" w:rsidRDefault="00A64EBE" w:rsidP="00A64EBE">
      <w:pPr>
        <w:jc w:val="both"/>
        <w:rPr>
          <w:rFonts w:eastAsia="Times New Roman"/>
          <w:lang w:eastAsia="hr-HR"/>
        </w:rPr>
      </w:pPr>
      <w:r w:rsidRPr="00A64EBE">
        <w:t xml:space="preserve">U 2023. godini davatelji potpora za istraživanje i razvoj i inovacije, koje su dodijeljene u iznosu od 193,4 milijuna eura su Ministarstvo mora, prometa i infrastrukture u iznosu od 179,5 </w:t>
      </w:r>
      <w:r w:rsidRPr="00A64EBE">
        <w:rPr>
          <w:rFonts w:eastAsia="Times New Roman"/>
          <w:lang w:eastAsia="hr-HR"/>
        </w:rPr>
        <w:t xml:space="preserve">milijuna eura i </w:t>
      </w:r>
      <w:r w:rsidRPr="00A64EBE">
        <w:t xml:space="preserve">Ministarstvo gospodarstva i održivog razvoja u iznosu od 13,9 </w:t>
      </w:r>
      <w:r w:rsidRPr="00A64EBE">
        <w:rPr>
          <w:rFonts w:eastAsia="Times New Roman"/>
          <w:lang w:eastAsia="hr-HR"/>
        </w:rPr>
        <w:t>milijuna eura.</w:t>
      </w:r>
    </w:p>
    <w:p w14:paraId="3B0B174E" w14:textId="186FAAA9" w:rsidR="00A64EBE" w:rsidRPr="00A64EBE" w:rsidRDefault="00A64EBE" w:rsidP="00BE487D">
      <w:pPr>
        <w:jc w:val="both"/>
      </w:pPr>
    </w:p>
    <w:p w14:paraId="6B6DF7AC" w14:textId="79288F2D" w:rsidR="00A64EBE" w:rsidRPr="00833D45" w:rsidRDefault="00A64EBE" w:rsidP="00A64EBE">
      <w:pPr>
        <w:jc w:val="both"/>
        <w:rPr>
          <w:spacing w:val="-2"/>
        </w:rPr>
      </w:pPr>
      <w:r w:rsidRPr="00B9741D">
        <w:rPr>
          <w:u w:val="single"/>
        </w:rPr>
        <w:t>Ministarstvo mora, prometa i infrastrukture</w:t>
      </w:r>
      <w:r w:rsidRPr="00833D45">
        <w:rPr>
          <w:spacing w:val="-2"/>
        </w:rPr>
        <w:t xml:space="preserve"> </w:t>
      </w:r>
      <w:r w:rsidR="00833D45" w:rsidRPr="00833D45">
        <w:rPr>
          <w:spacing w:val="-2"/>
        </w:rPr>
        <w:t xml:space="preserve">dodijelilo je u 2023. godini </w:t>
      </w:r>
      <w:r w:rsidRPr="00833D45">
        <w:rPr>
          <w:spacing w:val="-2"/>
        </w:rPr>
        <w:t>potpor</w:t>
      </w:r>
      <w:r w:rsidR="00833D45" w:rsidRPr="00833D45">
        <w:rPr>
          <w:spacing w:val="-2"/>
        </w:rPr>
        <w:t>e</w:t>
      </w:r>
      <w:r w:rsidRPr="00833D45">
        <w:rPr>
          <w:spacing w:val="-2"/>
        </w:rPr>
        <w:t xml:space="preserve"> za istraživanje i razvoj i inovacije</w:t>
      </w:r>
      <w:r w:rsidR="00833D45" w:rsidRPr="00833D45">
        <w:rPr>
          <w:spacing w:val="-2"/>
        </w:rPr>
        <w:t xml:space="preserve"> </w:t>
      </w:r>
      <w:r w:rsidR="00833D45">
        <w:rPr>
          <w:spacing w:val="-2"/>
        </w:rPr>
        <w:t xml:space="preserve">putem subvencija </w:t>
      </w:r>
      <w:r w:rsidR="00833D45" w:rsidRPr="00833D45">
        <w:rPr>
          <w:spacing w:val="-2"/>
        </w:rPr>
        <w:t>u iznosu od 179,5</w:t>
      </w:r>
      <w:r w:rsidRPr="00833D45">
        <w:rPr>
          <w:spacing w:val="-2"/>
        </w:rPr>
        <w:t xml:space="preserve"> milijuna </w:t>
      </w:r>
      <w:r w:rsidR="00833D45" w:rsidRPr="00833D45">
        <w:rPr>
          <w:spacing w:val="-2"/>
        </w:rPr>
        <w:t>eura</w:t>
      </w:r>
      <w:r w:rsidRPr="00833D45">
        <w:rPr>
          <w:spacing w:val="-2"/>
        </w:rPr>
        <w:t xml:space="preserve"> temeljem Programa dodjele državnih potpora za </w:t>
      </w:r>
      <w:r w:rsidR="00833D45" w:rsidRPr="00833D45">
        <w:t>Projekt C1.4. R5</w:t>
      </w:r>
      <w:r w:rsidR="00833D45" w:rsidRPr="00833D45">
        <w:rPr>
          <w:spacing w:val="-2"/>
        </w:rPr>
        <w:t>–</w:t>
      </w:r>
      <w:r w:rsidR="00833D45" w:rsidRPr="00833D45">
        <w:t xml:space="preserve">I2 Istraživanje, razvoj i proizvodnja vozila nove mobilnosti i prateće infrastrukture, </w:t>
      </w:r>
      <w:r w:rsidRPr="00833D45">
        <w:rPr>
          <w:rFonts w:eastAsia="Times New Roman"/>
          <w:color w:val="000000"/>
          <w:spacing w:val="-2"/>
          <w:lang w:eastAsia="hr-HR"/>
        </w:rPr>
        <w:t xml:space="preserve">kojeg je Europska komisija odobrila pod brojem </w:t>
      </w:r>
      <w:r w:rsidRPr="00833D45">
        <w:rPr>
          <w:spacing w:val="-2"/>
        </w:rPr>
        <w:t>SA.</w:t>
      </w:r>
      <w:r w:rsidR="00833D45" w:rsidRPr="00833D45">
        <w:rPr>
          <w:spacing w:val="-2"/>
        </w:rPr>
        <w:t>101759</w:t>
      </w:r>
      <w:r w:rsidRPr="00833D45">
        <w:rPr>
          <w:spacing w:val="-2"/>
        </w:rPr>
        <w:t>.</w:t>
      </w:r>
    </w:p>
    <w:p w14:paraId="2B75B06E" w14:textId="77777777" w:rsidR="00833D45" w:rsidRPr="00833D45" w:rsidRDefault="00833D45" w:rsidP="00A64EBE">
      <w:pPr>
        <w:jc w:val="both"/>
        <w:rPr>
          <w:spacing w:val="-2"/>
        </w:rPr>
      </w:pPr>
    </w:p>
    <w:p w14:paraId="22B94AA2" w14:textId="1D73D95C" w:rsidR="004F0BE7" w:rsidRDefault="00F249F4" w:rsidP="00833D45">
      <w:pPr>
        <w:jc w:val="both"/>
      </w:pPr>
      <w:r w:rsidRPr="00B9741D">
        <w:rPr>
          <w:spacing w:val="-2"/>
          <w:u w:val="single"/>
        </w:rPr>
        <w:t>Ministarstvo gospodarstva i održivog razvoja</w:t>
      </w:r>
      <w:r w:rsidRPr="00833D45">
        <w:rPr>
          <w:spacing w:val="-2"/>
        </w:rPr>
        <w:t xml:space="preserve"> </w:t>
      </w:r>
      <w:r w:rsidR="00833D45" w:rsidRPr="00833D45">
        <w:rPr>
          <w:spacing w:val="-2"/>
        </w:rPr>
        <w:t xml:space="preserve">dodijelilo je u 2023. godini potpore za istraživanje i razvoj i inovacije putem subvencija u iznosu od 13,9 milijuna eura temeljem </w:t>
      </w:r>
      <w:r w:rsidRPr="00833D45">
        <w:rPr>
          <w:spacing w:val="-2"/>
        </w:rPr>
        <w:t>Programa dodjele državnih potpora za mjeru C1.1.2. R2–I5 Komercijalizacija inovacija</w:t>
      </w:r>
      <w:r w:rsidR="004F0BE7" w:rsidRPr="00833D45">
        <w:rPr>
          <w:rFonts w:eastAsia="Times New Roman"/>
          <w:color w:val="000000"/>
          <w:spacing w:val="-2"/>
          <w:lang w:eastAsia="hr-HR"/>
        </w:rPr>
        <w:t xml:space="preserve"> </w:t>
      </w:r>
      <w:r w:rsidR="00833D45" w:rsidRPr="00833D45">
        <w:rPr>
          <w:rFonts w:eastAsia="Times New Roman"/>
          <w:color w:val="000000"/>
          <w:spacing w:val="-2"/>
          <w:lang w:eastAsia="hr-HR"/>
        </w:rPr>
        <w:t xml:space="preserve">u iznosu od 13,8 milijuna eura, </w:t>
      </w:r>
      <w:r w:rsidR="004F0BE7" w:rsidRPr="00833D45">
        <w:rPr>
          <w:rFonts w:eastAsia="Times New Roman"/>
          <w:color w:val="000000"/>
          <w:spacing w:val="-2"/>
          <w:lang w:eastAsia="hr-HR"/>
        </w:rPr>
        <w:t xml:space="preserve">kojeg je Europska komisija odobrila pod brojem </w:t>
      </w:r>
      <w:r w:rsidR="00833D45" w:rsidRPr="00833D45">
        <w:rPr>
          <w:spacing w:val="-2"/>
        </w:rPr>
        <w:t xml:space="preserve">SA.102407 te temeljem </w:t>
      </w:r>
      <w:r w:rsidR="00833D45" w:rsidRPr="00833D45">
        <w:t>Programa dodjele državnih potpora za provedbu aktivnosti Europskih digitalnih inovacijskih centara usmjerenih na pružanje usluga poduzetnicima</w:t>
      </w:r>
      <w:r w:rsidR="00833D45" w:rsidRPr="00833D45">
        <w:rPr>
          <w:rFonts w:eastAsia="Times New Roman"/>
          <w:color w:val="000000"/>
          <w:spacing w:val="-2"/>
          <w:lang w:eastAsia="hr-HR"/>
        </w:rPr>
        <w:t xml:space="preserve"> u iznosu od </w:t>
      </w:r>
      <w:r w:rsidR="00833D45" w:rsidRPr="00833D45">
        <w:t xml:space="preserve">74.340,00 </w:t>
      </w:r>
      <w:r w:rsidR="00833D45" w:rsidRPr="00833D45">
        <w:rPr>
          <w:rFonts w:eastAsia="Times New Roman"/>
          <w:color w:val="000000"/>
          <w:spacing w:val="-2"/>
          <w:lang w:eastAsia="hr-HR"/>
        </w:rPr>
        <w:t xml:space="preserve">eura, a o kojem je </w:t>
      </w:r>
      <w:r w:rsidR="00833D45" w:rsidRPr="00833D45">
        <w:t>Europska komisija obaviještena pod brojem SA.106444.</w:t>
      </w:r>
    </w:p>
    <w:p w14:paraId="247A96DD" w14:textId="77777777" w:rsidR="005B0EE6" w:rsidRPr="00727AB3" w:rsidRDefault="005B0EE6" w:rsidP="00BE487D">
      <w:pPr>
        <w:jc w:val="both"/>
        <w:rPr>
          <w:lang w:eastAsia="hr-HR"/>
        </w:rPr>
      </w:pPr>
    </w:p>
    <w:p w14:paraId="0DFA55E9" w14:textId="3ECF059D" w:rsidR="00E668F9" w:rsidRDefault="00E668F9" w:rsidP="00BE487D">
      <w:pPr>
        <w:jc w:val="both"/>
        <w:rPr>
          <w:lang w:eastAsia="hr-HR"/>
        </w:rPr>
      </w:pPr>
    </w:p>
    <w:p w14:paraId="271735EC" w14:textId="77777777" w:rsidR="00B9741D" w:rsidRPr="00727AB3" w:rsidRDefault="00B9741D" w:rsidP="00BE487D">
      <w:pPr>
        <w:jc w:val="both"/>
        <w:rPr>
          <w:lang w:eastAsia="hr-HR"/>
        </w:rPr>
      </w:pPr>
    </w:p>
    <w:p w14:paraId="57BE72E8" w14:textId="1CEA74AF" w:rsidR="00A64E3B" w:rsidRPr="00727AB3" w:rsidRDefault="00A64E3B" w:rsidP="00A64E3B">
      <w:pPr>
        <w:pStyle w:val="Heading3"/>
        <w:numPr>
          <w:ilvl w:val="2"/>
          <w:numId w:val="1"/>
        </w:numPr>
        <w:spacing w:before="0"/>
        <w:jc w:val="both"/>
        <w:rPr>
          <w:rFonts w:ascii="Times New Roman" w:hAnsi="Times New Roman" w:cs="Times New Roman"/>
          <w:b/>
          <w:i/>
          <w:color w:val="auto"/>
          <w:lang w:eastAsia="hr-HR"/>
        </w:rPr>
      </w:pPr>
      <w:bookmarkStart w:id="14" w:name="_Toc184635845"/>
      <w:r w:rsidRPr="00727AB3">
        <w:rPr>
          <w:rFonts w:ascii="Times New Roman" w:hAnsi="Times New Roman" w:cs="Times New Roman"/>
          <w:b/>
          <w:i/>
          <w:color w:val="auto"/>
          <w:lang w:eastAsia="hr-HR"/>
        </w:rPr>
        <w:lastRenderedPageBreak/>
        <w:t>Potpore za zapošljavanje</w:t>
      </w:r>
      <w:bookmarkEnd w:id="14"/>
    </w:p>
    <w:p w14:paraId="404B0F04" w14:textId="77777777" w:rsidR="00E668F9" w:rsidRPr="00727AB3" w:rsidRDefault="00E668F9" w:rsidP="00BE487D">
      <w:pPr>
        <w:jc w:val="both"/>
      </w:pPr>
    </w:p>
    <w:p w14:paraId="1A8BD30A" w14:textId="77777777" w:rsidR="00E668F9" w:rsidRPr="00727AB3" w:rsidRDefault="00E668F9" w:rsidP="00BE487D">
      <w:pPr>
        <w:jc w:val="both"/>
      </w:pPr>
    </w:p>
    <w:p w14:paraId="012BDE29" w14:textId="62585032" w:rsidR="00D06629" w:rsidRPr="008149B5" w:rsidRDefault="00DC6C76" w:rsidP="00BE487D">
      <w:pPr>
        <w:jc w:val="both"/>
        <w:rPr>
          <w:highlight w:val="red"/>
        </w:rPr>
      </w:pPr>
      <w:r w:rsidRPr="003E4E58">
        <w:t>Potpore za zapošljavanje</w:t>
      </w:r>
      <w:r w:rsidRPr="003E4E58">
        <w:rPr>
          <w:rStyle w:val="FootnoteReference"/>
        </w:rPr>
        <w:footnoteReference w:id="25"/>
      </w:r>
      <w:r w:rsidRPr="003E4E58">
        <w:t xml:space="preserve"> </w:t>
      </w:r>
      <w:r w:rsidR="009060E7" w:rsidRPr="003E4E58">
        <w:t xml:space="preserve">su </w:t>
      </w:r>
      <w:r w:rsidR="003E4E58" w:rsidRPr="003E4E58">
        <w:t>dodijeljene u 2023. godini u iznosu od 42,4 milijuna eura, što je povećanje za 4,4 milijuna eura ili za 11,5 posto u odnosu na 2022. godinu, kada su navedene potpore iznosile 38 milijuna eura, te je smanjenje za 5,3 milijuna eura ili za 11,2 posto u odnosu na 2021. godinu kada su potpore za zapošljavanje iznosile 47,7 milijuna eura.</w:t>
      </w:r>
    </w:p>
    <w:p w14:paraId="79D0EC45" w14:textId="77777777" w:rsidR="003E4E58" w:rsidRDefault="003E4E58" w:rsidP="00BE487D">
      <w:pPr>
        <w:jc w:val="both"/>
        <w:rPr>
          <w:highlight w:val="red"/>
        </w:rPr>
      </w:pPr>
    </w:p>
    <w:p w14:paraId="2B07CEF5" w14:textId="41F0B089" w:rsidR="00DC6C76" w:rsidRPr="00AD6FF6" w:rsidRDefault="00DC6C76" w:rsidP="00BE487D">
      <w:pPr>
        <w:jc w:val="both"/>
      </w:pPr>
      <w:r w:rsidRPr="00AD6FF6">
        <w:t xml:space="preserve">Tablica </w:t>
      </w:r>
      <w:r w:rsidR="00381995" w:rsidRPr="00AD6FF6">
        <w:t>9</w:t>
      </w:r>
      <w:r w:rsidRPr="00AD6FF6">
        <w:t xml:space="preserve">. Potpore </w:t>
      </w:r>
      <w:r w:rsidR="007A7C7C" w:rsidRPr="00AD6FF6">
        <w:t xml:space="preserve">dodijeljene </w:t>
      </w:r>
      <w:r w:rsidRPr="00AD6FF6">
        <w:t xml:space="preserve">za zapošljavanje </w:t>
      </w:r>
      <w:r w:rsidR="007A7C7C" w:rsidRPr="00AD6FF6">
        <w:t>u</w:t>
      </w:r>
      <w:r w:rsidRPr="00AD6FF6">
        <w:t xml:space="preserve"> razdoblj</w:t>
      </w:r>
      <w:r w:rsidR="007A7C7C" w:rsidRPr="00AD6FF6">
        <w:t>u</w:t>
      </w:r>
      <w:r w:rsidRPr="00AD6FF6">
        <w:t xml:space="preserve"> od 20</w:t>
      </w:r>
      <w:r w:rsidR="004C3637" w:rsidRPr="00AD6FF6">
        <w:t>2</w:t>
      </w:r>
      <w:r w:rsidR="00381995" w:rsidRPr="00AD6FF6">
        <w:t>1</w:t>
      </w:r>
      <w:r w:rsidRPr="00AD6FF6">
        <w:t>. do 202</w:t>
      </w:r>
      <w:r w:rsidR="00381995" w:rsidRPr="00AD6FF6">
        <w:t>3</w:t>
      </w:r>
      <w:r w:rsidRPr="00AD6FF6">
        <w:t>. godine</w:t>
      </w:r>
    </w:p>
    <w:p w14:paraId="659B5499" w14:textId="77777777" w:rsidR="00DC6C76" w:rsidRPr="008149B5" w:rsidRDefault="00DC6C76"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7A7C7C" w:rsidRPr="007A7C7C" w14:paraId="29D6A4F0" w14:textId="77777777" w:rsidTr="007A7C7C">
        <w:trPr>
          <w:trHeight w:val="38"/>
        </w:trPr>
        <w:tc>
          <w:tcPr>
            <w:tcW w:w="3376" w:type="dxa"/>
            <w:vMerge w:val="restart"/>
            <w:shd w:val="clear" w:color="000000" w:fill="FFFF99"/>
            <w:noWrap/>
            <w:vAlign w:val="center"/>
            <w:hideMark/>
          </w:tcPr>
          <w:p w14:paraId="2ED26487" w14:textId="02C49B7D" w:rsidR="00727AB3" w:rsidRPr="007A7C7C" w:rsidRDefault="007A7C7C" w:rsidP="007A7C7C">
            <w:pPr>
              <w:rPr>
                <w:rFonts w:eastAsia="Times New Roman"/>
                <w:b/>
                <w:bCs/>
                <w:sz w:val="20"/>
                <w:szCs w:val="20"/>
              </w:rPr>
            </w:pPr>
            <w:r w:rsidRPr="007A7C7C">
              <w:rPr>
                <w:rFonts w:eastAsia="Times New Roman"/>
                <w:b/>
                <w:bCs/>
                <w:sz w:val="20"/>
              </w:rPr>
              <w:t>Zapošljavanje</w:t>
            </w:r>
          </w:p>
        </w:tc>
        <w:tc>
          <w:tcPr>
            <w:tcW w:w="1439" w:type="dxa"/>
            <w:shd w:val="clear" w:color="000000" w:fill="FFFF99"/>
            <w:vAlign w:val="center"/>
          </w:tcPr>
          <w:p w14:paraId="58675BEB" w14:textId="77777777" w:rsidR="00727AB3" w:rsidRPr="007A7C7C" w:rsidRDefault="00727AB3" w:rsidP="007A7C7C">
            <w:pPr>
              <w:jc w:val="center"/>
              <w:rPr>
                <w:rFonts w:eastAsia="Times New Roman"/>
                <w:b/>
                <w:bCs/>
                <w:sz w:val="20"/>
                <w:szCs w:val="20"/>
              </w:rPr>
            </w:pPr>
            <w:r w:rsidRPr="007A7C7C">
              <w:rPr>
                <w:b/>
                <w:sz w:val="20"/>
                <w:szCs w:val="20"/>
              </w:rPr>
              <w:t>2021.</w:t>
            </w:r>
          </w:p>
        </w:tc>
        <w:tc>
          <w:tcPr>
            <w:tcW w:w="1559" w:type="dxa"/>
            <w:shd w:val="clear" w:color="000000" w:fill="FFFF99"/>
            <w:vAlign w:val="center"/>
          </w:tcPr>
          <w:p w14:paraId="103E2E26" w14:textId="77777777" w:rsidR="00727AB3" w:rsidRPr="007A7C7C" w:rsidRDefault="00727AB3" w:rsidP="007A7C7C">
            <w:pPr>
              <w:jc w:val="center"/>
              <w:rPr>
                <w:rFonts w:eastAsia="Times New Roman"/>
                <w:b/>
                <w:bCs/>
                <w:sz w:val="20"/>
                <w:szCs w:val="20"/>
              </w:rPr>
            </w:pPr>
            <w:r w:rsidRPr="007A7C7C">
              <w:rPr>
                <w:b/>
                <w:sz w:val="20"/>
                <w:szCs w:val="20"/>
              </w:rPr>
              <w:t>2022.</w:t>
            </w:r>
          </w:p>
        </w:tc>
        <w:tc>
          <w:tcPr>
            <w:tcW w:w="1559" w:type="dxa"/>
            <w:shd w:val="clear" w:color="000000" w:fill="FFFF99"/>
            <w:vAlign w:val="center"/>
          </w:tcPr>
          <w:p w14:paraId="3C7D313C" w14:textId="77777777" w:rsidR="00727AB3" w:rsidRPr="007A7C7C" w:rsidRDefault="00727AB3" w:rsidP="007A7C7C">
            <w:pPr>
              <w:jc w:val="center"/>
              <w:rPr>
                <w:rFonts w:eastAsia="Times New Roman"/>
                <w:b/>
                <w:bCs/>
                <w:sz w:val="20"/>
                <w:szCs w:val="20"/>
              </w:rPr>
            </w:pPr>
            <w:r w:rsidRPr="007A7C7C">
              <w:rPr>
                <w:b/>
                <w:sz w:val="20"/>
                <w:szCs w:val="20"/>
              </w:rPr>
              <w:t>2023.</w:t>
            </w:r>
          </w:p>
        </w:tc>
      </w:tr>
      <w:tr w:rsidR="007A7C7C" w:rsidRPr="007A7C7C" w14:paraId="255D1F89" w14:textId="77777777" w:rsidTr="007A7C7C">
        <w:trPr>
          <w:trHeight w:val="212"/>
        </w:trPr>
        <w:tc>
          <w:tcPr>
            <w:tcW w:w="3376" w:type="dxa"/>
            <w:vMerge/>
            <w:vAlign w:val="center"/>
            <w:hideMark/>
          </w:tcPr>
          <w:p w14:paraId="2A82525F" w14:textId="77777777" w:rsidR="00727AB3" w:rsidRPr="007A7C7C" w:rsidRDefault="00727AB3" w:rsidP="007A7C7C">
            <w:pPr>
              <w:rPr>
                <w:rFonts w:eastAsia="Times New Roman"/>
                <w:b/>
                <w:bCs/>
                <w:sz w:val="20"/>
                <w:szCs w:val="20"/>
              </w:rPr>
            </w:pPr>
          </w:p>
        </w:tc>
        <w:tc>
          <w:tcPr>
            <w:tcW w:w="1439" w:type="dxa"/>
            <w:shd w:val="clear" w:color="000000" w:fill="FFFF99"/>
            <w:vAlign w:val="center"/>
          </w:tcPr>
          <w:p w14:paraId="649ECF6A" w14:textId="77777777" w:rsidR="00727AB3" w:rsidRPr="007A7C7C" w:rsidRDefault="00727AB3" w:rsidP="007A7C7C">
            <w:pPr>
              <w:rPr>
                <w:rFonts w:eastAsia="Times New Roman"/>
                <w:b/>
                <w:sz w:val="18"/>
                <w:szCs w:val="20"/>
              </w:rPr>
            </w:pPr>
            <w:r w:rsidRPr="007A7C7C">
              <w:rPr>
                <w:b/>
                <w:sz w:val="20"/>
                <w:szCs w:val="20"/>
              </w:rPr>
              <w:t xml:space="preserve">u </w:t>
            </w:r>
            <w:proofErr w:type="spellStart"/>
            <w:r w:rsidRPr="007A7C7C">
              <w:rPr>
                <w:b/>
                <w:sz w:val="20"/>
                <w:szCs w:val="20"/>
              </w:rPr>
              <w:t>mln</w:t>
            </w:r>
            <w:proofErr w:type="spellEnd"/>
            <w:r w:rsidRPr="007A7C7C">
              <w:rPr>
                <w:b/>
                <w:sz w:val="20"/>
                <w:szCs w:val="20"/>
              </w:rPr>
              <w:t xml:space="preserve"> EUR</w:t>
            </w:r>
          </w:p>
        </w:tc>
        <w:tc>
          <w:tcPr>
            <w:tcW w:w="1559" w:type="dxa"/>
            <w:shd w:val="clear" w:color="000000" w:fill="FFFF99"/>
            <w:vAlign w:val="center"/>
          </w:tcPr>
          <w:p w14:paraId="3B880B98" w14:textId="77777777" w:rsidR="00727AB3" w:rsidRPr="007A7C7C" w:rsidRDefault="00727AB3" w:rsidP="007A7C7C">
            <w:pPr>
              <w:jc w:val="center"/>
              <w:rPr>
                <w:rFonts w:eastAsia="Times New Roman"/>
                <w:b/>
                <w:sz w:val="18"/>
                <w:szCs w:val="20"/>
              </w:rPr>
            </w:pPr>
            <w:r w:rsidRPr="007A7C7C">
              <w:rPr>
                <w:b/>
                <w:sz w:val="20"/>
                <w:szCs w:val="20"/>
              </w:rPr>
              <w:t xml:space="preserve">u </w:t>
            </w:r>
            <w:proofErr w:type="spellStart"/>
            <w:r w:rsidRPr="007A7C7C">
              <w:rPr>
                <w:b/>
                <w:sz w:val="20"/>
                <w:szCs w:val="20"/>
              </w:rPr>
              <w:t>mln</w:t>
            </w:r>
            <w:proofErr w:type="spellEnd"/>
            <w:r w:rsidRPr="007A7C7C">
              <w:rPr>
                <w:b/>
                <w:sz w:val="20"/>
                <w:szCs w:val="20"/>
              </w:rPr>
              <w:t xml:space="preserve"> EUR</w:t>
            </w:r>
          </w:p>
        </w:tc>
        <w:tc>
          <w:tcPr>
            <w:tcW w:w="1559" w:type="dxa"/>
            <w:shd w:val="clear" w:color="000000" w:fill="FFFF99"/>
            <w:vAlign w:val="center"/>
          </w:tcPr>
          <w:p w14:paraId="6D31AA3F" w14:textId="77777777" w:rsidR="00727AB3" w:rsidRPr="007A7C7C" w:rsidRDefault="00727AB3" w:rsidP="007A7C7C">
            <w:pPr>
              <w:jc w:val="center"/>
              <w:rPr>
                <w:rFonts w:eastAsia="Times New Roman"/>
                <w:b/>
                <w:sz w:val="18"/>
                <w:szCs w:val="20"/>
              </w:rPr>
            </w:pPr>
            <w:r w:rsidRPr="007A7C7C">
              <w:rPr>
                <w:b/>
                <w:sz w:val="20"/>
                <w:szCs w:val="20"/>
              </w:rPr>
              <w:t xml:space="preserve">u </w:t>
            </w:r>
            <w:proofErr w:type="spellStart"/>
            <w:r w:rsidRPr="007A7C7C">
              <w:rPr>
                <w:b/>
                <w:sz w:val="20"/>
                <w:szCs w:val="20"/>
              </w:rPr>
              <w:t>mln</w:t>
            </w:r>
            <w:proofErr w:type="spellEnd"/>
            <w:r w:rsidRPr="007A7C7C">
              <w:rPr>
                <w:b/>
                <w:sz w:val="20"/>
                <w:szCs w:val="20"/>
              </w:rPr>
              <w:t xml:space="preserve"> EUR</w:t>
            </w:r>
          </w:p>
        </w:tc>
      </w:tr>
      <w:tr w:rsidR="007A7C7C" w:rsidRPr="007A7C7C" w14:paraId="3583D99B" w14:textId="77777777" w:rsidTr="007A7C7C">
        <w:trPr>
          <w:trHeight w:val="40"/>
        </w:trPr>
        <w:tc>
          <w:tcPr>
            <w:tcW w:w="3376" w:type="dxa"/>
            <w:shd w:val="clear" w:color="auto" w:fill="auto"/>
            <w:noWrap/>
            <w:vAlign w:val="center"/>
            <w:hideMark/>
          </w:tcPr>
          <w:p w14:paraId="008F8CEF" w14:textId="77777777" w:rsidR="007A7C7C" w:rsidRPr="007A7C7C" w:rsidRDefault="007A7C7C" w:rsidP="007A7C7C">
            <w:pPr>
              <w:rPr>
                <w:rFonts w:eastAsia="Times New Roman"/>
                <w:b/>
                <w:bCs/>
                <w:sz w:val="20"/>
                <w:szCs w:val="20"/>
              </w:rPr>
            </w:pPr>
            <w:r w:rsidRPr="007A7C7C">
              <w:rPr>
                <w:rFonts w:eastAsia="Times New Roman"/>
                <w:b/>
                <w:bCs/>
                <w:sz w:val="20"/>
                <w:szCs w:val="20"/>
              </w:rPr>
              <w:t>A1</w:t>
            </w:r>
            <w:r w:rsidRPr="007A7C7C">
              <w:rPr>
                <w:rFonts w:eastAsia="Times New Roman"/>
                <w:sz w:val="20"/>
                <w:szCs w:val="20"/>
              </w:rPr>
              <w:t xml:space="preserve"> subvencije</w:t>
            </w:r>
          </w:p>
        </w:tc>
        <w:tc>
          <w:tcPr>
            <w:tcW w:w="1439" w:type="dxa"/>
            <w:vAlign w:val="center"/>
          </w:tcPr>
          <w:p w14:paraId="1E1E6F37" w14:textId="770944A7" w:rsidR="007A7C7C" w:rsidRPr="007A7C7C" w:rsidRDefault="007A7C7C" w:rsidP="007A7C7C">
            <w:pPr>
              <w:jc w:val="right"/>
              <w:rPr>
                <w:sz w:val="20"/>
                <w:szCs w:val="14"/>
              </w:rPr>
            </w:pPr>
            <w:r w:rsidRPr="007A7C7C">
              <w:rPr>
                <w:rFonts w:eastAsia="Times New Roman"/>
                <w:sz w:val="20"/>
                <w:szCs w:val="20"/>
                <w:lang w:eastAsia="hr-HR"/>
              </w:rPr>
              <w:t>47,7</w:t>
            </w:r>
          </w:p>
        </w:tc>
        <w:tc>
          <w:tcPr>
            <w:tcW w:w="1559" w:type="dxa"/>
            <w:vAlign w:val="center"/>
          </w:tcPr>
          <w:p w14:paraId="109D41EA" w14:textId="0A78E785" w:rsidR="007A7C7C" w:rsidRPr="007A7C7C" w:rsidRDefault="007A7C7C" w:rsidP="007A7C7C">
            <w:pPr>
              <w:jc w:val="right"/>
              <w:rPr>
                <w:sz w:val="20"/>
                <w:szCs w:val="14"/>
              </w:rPr>
            </w:pPr>
            <w:r w:rsidRPr="007A7C7C">
              <w:rPr>
                <w:rFonts w:eastAsia="Times New Roman"/>
                <w:sz w:val="20"/>
                <w:szCs w:val="20"/>
                <w:lang w:eastAsia="hr-HR"/>
              </w:rPr>
              <w:t>38,0</w:t>
            </w:r>
          </w:p>
        </w:tc>
        <w:tc>
          <w:tcPr>
            <w:tcW w:w="1559" w:type="dxa"/>
            <w:vAlign w:val="center"/>
          </w:tcPr>
          <w:p w14:paraId="7BF65E12" w14:textId="3C22790E" w:rsidR="007A7C7C" w:rsidRPr="007A7C7C" w:rsidRDefault="007A7C7C" w:rsidP="007A7C7C">
            <w:pPr>
              <w:jc w:val="right"/>
              <w:rPr>
                <w:sz w:val="20"/>
                <w:szCs w:val="14"/>
              </w:rPr>
            </w:pPr>
            <w:r w:rsidRPr="007A7C7C">
              <w:rPr>
                <w:rFonts w:eastAsia="Times New Roman"/>
                <w:sz w:val="20"/>
                <w:szCs w:val="20"/>
                <w:lang w:eastAsia="hr-HR"/>
              </w:rPr>
              <w:t>42,4</w:t>
            </w:r>
          </w:p>
        </w:tc>
      </w:tr>
      <w:tr w:rsidR="007A7C7C" w:rsidRPr="007A7C7C" w14:paraId="30F18CA0" w14:textId="77777777" w:rsidTr="007A7C7C">
        <w:trPr>
          <w:trHeight w:val="40"/>
        </w:trPr>
        <w:tc>
          <w:tcPr>
            <w:tcW w:w="3376" w:type="dxa"/>
            <w:shd w:val="clear" w:color="000000" w:fill="FFFF99"/>
            <w:noWrap/>
            <w:vAlign w:val="center"/>
            <w:hideMark/>
          </w:tcPr>
          <w:p w14:paraId="7C9158AD" w14:textId="77777777" w:rsidR="007A7C7C" w:rsidRPr="007A7C7C" w:rsidRDefault="007A7C7C" w:rsidP="007A7C7C">
            <w:pPr>
              <w:rPr>
                <w:rFonts w:eastAsia="Times New Roman"/>
                <w:b/>
                <w:bCs/>
                <w:sz w:val="20"/>
                <w:szCs w:val="20"/>
              </w:rPr>
            </w:pPr>
            <w:r w:rsidRPr="007A7C7C">
              <w:rPr>
                <w:rFonts w:eastAsia="Times New Roman"/>
                <w:b/>
                <w:bCs/>
                <w:sz w:val="20"/>
                <w:szCs w:val="20"/>
              </w:rPr>
              <w:t>UKUPNO</w:t>
            </w:r>
          </w:p>
        </w:tc>
        <w:tc>
          <w:tcPr>
            <w:tcW w:w="1439" w:type="dxa"/>
            <w:shd w:val="clear" w:color="000000" w:fill="FFFF99"/>
            <w:vAlign w:val="center"/>
          </w:tcPr>
          <w:p w14:paraId="6F03CF9E" w14:textId="399BB15B" w:rsidR="007A7C7C" w:rsidRPr="007A7C7C" w:rsidRDefault="007A7C7C" w:rsidP="007A7C7C">
            <w:pPr>
              <w:jc w:val="right"/>
              <w:rPr>
                <w:b/>
                <w:sz w:val="20"/>
                <w:szCs w:val="14"/>
              </w:rPr>
            </w:pPr>
            <w:r w:rsidRPr="007A7C7C">
              <w:rPr>
                <w:rFonts w:eastAsia="Times New Roman"/>
                <w:b/>
                <w:bCs/>
                <w:sz w:val="20"/>
                <w:szCs w:val="20"/>
                <w:lang w:eastAsia="hr-HR"/>
              </w:rPr>
              <w:t>47,7</w:t>
            </w:r>
          </w:p>
        </w:tc>
        <w:tc>
          <w:tcPr>
            <w:tcW w:w="1559" w:type="dxa"/>
            <w:shd w:val="clear" w:color="000000" w:fill="FFFF99"/>
            <w:vAlign w:val="center"/>
          </w:tcPr>
          <w:p w14:paraId="0040DA76" w14:textId="5B568513" w:rsidR="007A7C7C" w:rsidRPr="007A7C7C" w:rsidRDefault="007A7C7C" w:rsidP="007A7C7C">
            <w:pPr>
              <w:jc w:val="right"/>
              <w:rPr>
                <w:b/>
                <w:sz w:val="20"/>
                <w:szCs w:val="14"/>
              </w:rPr>
            </w:pPr>
            <w:r w:rsidRPr="007A7C7C">
              <w:rPr>
                <w:rFonts w:eastAsia="Times New Roman"/>
                <w:b/>
                <w:bCs/>
                <w:sz w:val="20"/>
                <w:szCs w:val="20"/>
                <w:lang w:eastAsia="hr-HR"/>
              </w:rPr>
              <w:t>38,0</w:t>
            </w:r>
          </w:p>
        </w:tc>
        <w:tc>
          <w:tcPr>
            <w:tcW w:w="1559" w:type="dxa"/>
            <w:shd w:val="clear" w:color="000000" w:fill="FFFF99"/>
            <w:vAlign w:val="center"/>
          </w:tcPr>
          <w:p w14:paraId="5309904C" w14:textId="118ADE7D" w:rsidR="007A7C7C" w:rsidRPr="007A7C7C" w:rsidRDefault="007A7C7C" w:rsidP="007A7C7C">
            <w:pPr>
              <w:jc w:val="right"/>
              <w:rPr>
                <w:b/>
                <w:sz w:val="20"/>
                <w:szCs w:val="14"/>
              </w:rPr>
            </w:pPr>
            <w:r w:rsidRPr="007A7C7C">
              <w:rPr>
                <w:rFonts w:eastAsia="Times New Roman"/>
                <w:b/>
                <w:bCs/>
                <w:sz w:val="20"/>
                <w:szCs w:val="20"/>
                <w:lang w:eastAsia="hr-HR"/>
              </w:rPr>
              <w:t>42,4</w:t>
            </w:r>
          </w:p>
        </w:tc>
      </w:tr>
      <w:tr w:rsidR="007A7C7C" w:rsidRPr="007A7C7C" w14:paraId="44430359" w14:textId="77777777" w:rsidTr="007A7C7C">
        <w:trPr>
          <w:trHeight w:val="40"/>
        </w:trPr>
        <w:tc>
          <w:tcPr>
            <w:tcW w:w="3376" w:type="dxa"/>
            <w:shd w:val="clear" w:color="auto" w:fill="auto"/>
            <w:vAlign w:val="center"/>
            <w:hideMark/>
          </w:tcPr>
          <w:p w14:paraId="3DACB642" w14:textId="77777777" w:rsidR="007A7C7C" w:rsidRPr="007A7C7C" w:rsidRDefault="007A7C7C" w:rsidP="007A7C7C">
            <w:pPr>
              <w:rPr>
                <w:rFonts w:eastAsia="Times New Roman"/>
                <w:sz w:val="20"/>
                <w:szCs w:val="20"/>
              </w:rPr>
            </w:pPr>
            <w:r w:rsidRPr="007A7C7C">
              <w:rPr>
                <w:rFonts w:eastAsia="Times New Roman"/>
                <w:sz w:val="20"/>
                <w:szCs w:val="20"/>
              </w:rPr>
              <w:t>udio (%) u horizontalnim ciljevima</w:t>
            </w:r>
          </w:p>
        </w:tc>
        <w:tc>
          <w:tcPr>
            <w:tcW w:w="1439" w:type="dxa"/>
            <w:vAlign w:val="center"/>
          </w:tcPr>
          <w:p w14:paraId="25D8DD8A" w14:textId="2563D9E2" w:rsidR="007A7C7C" w:rsidRPr="007A7C7C" w:rsidRDefault="007A7C7C" w:rsidP="007A7C7C">
            <w:pPr>
              <w:jc w:val="center"/>
              <w:rPr>
                <w:sz w:val="20"/>
                <w:szCs w:val="14"/>
              </w:rPr>
            </w:pPr>
            <w:r w:rsidRPr="007A7C7C">
              <w:rPr>
                <w:rFonts w:eastAsia="Times New Roman"/>
                <w:sz w:val="20"/>
                <w:szCs w:val="20"/>
                <w:lang w:eastAsia="hr-HR"/>
              </w:rPr>
              <w:t>16,69</w:t>
            </w:r>
          </w:p>
        </w:tc>
        <w:tc>
          <w:tcPr>
            <w:tcW w:w="1559" w:type="dxa"/>
            <w:vAlign w:val="center"/>
          </w:tcPr>
          <w:p w14:paraId="0BB7CFA0" w14:textId="02AA6994" w:rsidR="007A7C7C" w:rsidRPr="007A7C7C" w:rsidRDefault="007A7C7C" w:rsidP="007A7C7C">
            <w:pPr>
              <w:jc w:val="center"/>
              <w:rPr>
                <w:sz w:val="20"/>
                <w:szCs w:val="14"/>
              </w:rPr>
            </w:pPr>
            <w:r w:rsidRPr="007A7C7C">
              <w:rPr>
                <w:rFonts w:eastAsia="Times New Roman"/>
                <w:sz w:val="20"/>
                <w:szCs w:val="20"/>
                <w:lang w:eastAsia="hr-HR"/>
              </w:rPr>
              <w:t>38,18</w:t>
            </w:r>
          </w:p>
        </w:tc>
        <w:tc>
          <w:tcPr>
            <w:tcW w:w="1559" w:type="dxa"/>
            <w:vAlign w:val="center"/>
          </w:tcPr>
          <w:p w14:paraId="25A4F475" w14:textId="5EA10843" w:rsidR="007A7C7C" w:rsidRPr="007A7C7C" w:rsidRDefault="007A7C7C" w:rsidP="007A7C7C">
            <w:pPr>
              <w:jc w:val="center"/>
              <w:rPr>
                <w:sz w:val="20"/>
                <w:szCs w:val="14"/>
              </w:rPr>
            </w:pPr>
            <w:r w:rsidRPr="007A7C7C">
              <w:rPr>
                <w:rFonts w:eastAsia="Times New Roman"/>
                <w:sz w:val="20"/>
                <w:szCs w:val="20"/>
                <w:lang w:eastAsia="hr-HR"/>
              </w:rPr>
              <w:t>15,83</w:t>
            </w:r>
          </w:p>
        </w:tc>
      </w:tr>
      <w:tr w:rsidR="007A7C7C" w:rsidRPr="007A7C7C" w14:paraId="1FE70038" w14:textId="77777777" w:rsidTr="007A7C7C">
        <w:trPr>
          <w:trHeight w:val="90"/>
        </w:trPr>
        <w:tc>
          <w:tcPr>
            <w:tcW w:w="3376" w:type="dxa"/>
            <w:shd w:val="clear" w:color="auto" w:fill="auto"/>
            <w:vAlign w:val="center"/>
            <w:hideMark/>
          </w:tcPr>
          <w:p w14:paraId="59E434D0" w14:textId="77777777" w:rsidR="007A7C7C" w:rsidRPr="007A7C7C" w:rsidRDefault="007A7C7C" w:rsidP="007A7C7C">
            <w:pPr>
              <w:rPr>
                <w:rFonts w:eastAsia="Times New Roman"/>
                <w:sz w:val="20"/>
                <w:szCs w:val="20"/>
              </w:rPr>
            </w:pPr>
            <w:r w:rsidRPr="007A7C7C">
              <w:rPr>
                <w:rFonts w:eastAsia="Times New Roman"/>
                <w:sz w:val="20"/>
                <w:szCs w:val="20"/>
              </w:rPr>
              <w:t>udio (%) u ukupnim potporama (bez poljoprivrede i ribarstva)</w:t>
            </w:r>
          </w:p>
        </w:tc>
        <w:tc>
          <w:tcPr>
            <w:tcW w:w="1439" w:type="dxa"/>
            <w:vAlign w:val="center"/>
          </w:tcPr>
          <w:p w14:paraId="22CAF458" w14:textId="62C6E6B4" w:rsidR="007A7C7C" w:rsidRPr="007A7C7C" w:rsidRDefault="007A7C7C" w:rsidP="007A7C7C">
            <w:pPr>
              <w:jc w:val="center"/>
              <w:rPr>
                <w:sz w:val="20"/>
                <w:szCs w:val="14"/>
              </w:rPr>
            </w:pPr>
            <w:r w:rsidRPr="007A7C7C">
              <w:rPr>
                <w:rFonts w:eastAsia="Times New Roman"/>
                <w:sz w:val="20"/>
                <w:szCs w:val="20"/>
                <w:lang w:eastAsia="hr-HR"/>
              </w:rPr>
              <w:t>2,47</w:t>
            </w:r>
          </w:p>
        </w:tc>
        <w:tc>
          <w:tcPr>
            <w:tcW w:w="1559" w:type="dxa"/>
            <w:vAlign w:val="center"/>
          </w:tcPr>
          <w:p w14:paraId="5F0C9335" w14:textId="038D7B9C" w:rsidR="007A7C7C" w:rsidRPr="007A7C7C" w:rsidRDefault="007A7C7C" w:rsidP="007A7C7C">
            <w:pPr>
              <w:jc w:val="center"/>
              <w:rPr>
                <w:sz w:val="20"/>
                <w:szCs w:val="14"/>
              </w:rPr>
            </w:pPr>
            <w:r w:rsidRPr="007A7C7C">
              <w:rPr>
                <w:rFonts w:eastAsia="Times New Roman"/>
                <w:sz w:val="20"/>
                <w:szCs w:val="20"/>
                <w:lang w:eastAsia="hr-HR"/>
              </w:rPr>
              <w:t>1,86</w:t>
            </w:r>
          </w:p>
        </w:tc>
        <w:tc>
          <w:tcPr>
            <w:tcW w:w="1559" w:type="dxa"/>
            <w:vAlign w:val="center"/>
          </w:tcPr>
          <w:p w14:paraId="00783DC9" w14:textId="65CBB895" w:rsidR="007A7C7C" w:rsidRPr="007A7C7C" w:rsidRDefault="007A7C7C" w:rsidP="007A7C7C">
            <w:pPr>
              <w:jc w:val="center"/>
              <w:rPr>
                <w:sz w:val="20"/>
                <w:szCs w:val="14"/>
              </w:rPr>
            </w:pPr>
            <w:r w:rsidRPr="007A7C7C">
              <w:rPr>
                <w:rFonts w:eastAsia="Times New Roman"/>
                <w:sz w:val="20"/>
                <w:szCs w:val="20"/>
                <w:lang w:eastAsia="hr-HR"/>
              </w:rPr>
              <w:t>2,15</w:t>
            </w:r>
          </w:p>
        </w:tc>
      </w:tr>
      <w:tr w:rsidR="007A7C7C" w:rsidRPr="007A7C7C" w14:paraId="78C5D0E7" w14:textId="77777777" w:rsidTr="007A7C7C">
        <w:trPr>
          <w:trHeight w:val="40"/>
        </w:trPr>
        <w:tc>
          <w:tcPr>
            <w:tcW w:w="3376" w:type="dxa"/>
            <w:shd w:val="clear" w:color="auto" w:fill="auto"/>
            <w:vAlign w:val="center"/>
            <w:hideMark/>
          </w:tcPr>
          <w:p w14:paraId="7C0020A9" w14:textId="77777777" w:rsidR="007A7C7C" w:rsidRPr="007A7C7C" w:rsidRDefault="007A7C7C" w:rsidP="007A7C7C">
            <w:pPr>
              <w:rPr>
                <w:rFonts w:eastAsia="Times New Roman"/>
                <w:sz w:val="20"/>
                <w:szCs w:val="20"/>
              </w:rPr>
            </w:pPr>
            <w:r w:rsidRPr="007A7C7C">
              <w:rPr>
                <w:rFonts w:eastAsia="Times New Roman"/>
                <w:sz w:val="20"/>
                <w:szCs w:val="20"/>
              </w:rPr>
              <w:t>udio (%) u ukupnim potporama</w:t>
            </w:r>
          </w:p>
        </w:tc>
        <w:tc>
          <w:tcPr>
            <w:tcW w:w="1439" w:type="dxa"/>
            <w:vAlign w:val="center"/>
          </w:tcPr>
          <w:p w14:paraId="2BF1E134" w14:textId="53750CB6" w:rsidR="007A7C7C" w:rsidRPr="007A7C7C" w:rsidRDefault="007A7C7C" w:rsidP="007A7C7C">
            <w:pPr>
              <w:jc w:val="center"/>
              <w:rPr>
                <w:sz w:val="20"/>
                <w:szCs w:val="14"/>
              </w:rPr>
            </w:pPr>
            <w:r w:rsidRPr="007A7C7C">
              <w:rPr>
                <w:rFonts w:eastAsia="Times New Roman"/>
                <w:sz w:val="20"/>
                <w:szCs w:val="20"/>
                <w:lang w:eastAsia="hr-HR"/>
              </w:rPr>
              <w:t>1,62</w:t>
            </w:r>
          </w:p>
        </w:tc>
        <w:tc>
          <w:tcPr>
            <w:tcW w:w="1559" w:type="dxa"/>
            <w:vAlign w:val="center"/>
          </w:tcPr>
          <w:p w14:paraId="7959560A" w14:textId="4C758120" w:rsidR="007A7C7C" w:rsidRPr="007A7C7C" w:rsidRDefault="007A7C7C" w:rsidP="007A7C7C">
            <w:pPr>
              <w:jc w:val="center"/>
              <w:rPr>
                <w:sz w:val="20"/>
                <w:szCs w:val="14"/>
              </w:rPr>
            </w:pPr>
            <w:r w:rsidRPr="007A7C7C">
              <w:rPr>
                <w:rFonts w:eastAsia="Times New Roman"/>
                <w:sz w:val="20"/>
                <w:szCs w:val="20"/>
                <w:lang w:eastAsia="hr-HR"/>
              </w:rPr>
              <w:t>1,26</w:t>
            </w:r>
          </w:p>
        </w:tc>
        <w:tc>
          <w:tcPr>
            <w:tcW w:w="1559" w:type="dxa"/>
            <w:vAlign w:val="center"/>
          </w:tcPr>
          <w:p w14:paraId="7346A8C7" w14:textId="52E78EC0" w:rsidR="007A7C7C" w:rsidRPr="007A7C7C" w:rsidRDefault="007A7C7C" w:rsidP="007A7C7C">
            <w:pPr>
              <w:jc w:val="center"/>
              <w:rPr>
                <w:sz w:val="20"/>
                <w:szCs w:val="14"/>
              </w:rPr>
            </w:pPr>
            <w:r w:rsidRPr="007A7C7C">
              <w:rPr>
                <w:rFonts w:eastAsia="Times New Roman"/>
                <w:sz w:val="20"/>
                <w:szCs w:val="20"/>
                <w:lang w:eastAsia="hr-HR"/>
              </w:rPr>
              <w:t>1,40</w:t>
            </w:r>
          </w:p>
        </w:tc>
      </w:tr>
      <w:tr w:rsidR="007A7C7C" w:rsidRPr="007A7C7C" w14:paraId="111A3421" w14:textId="77777777" w:rsidTr="007A7C7C">
        <w:trPr>
          <w:trHeight w:val="40"/>
        </w:trPr>
        <w:tc>
          <w:tcPr>
            <w:tcW w:w="3376" w:type="dxa"/>
            <w:shd w:val="clear" w:color="auto" w:fill="auto"/>
            <w:vAlign w:val="center"/>
            <w:hideMark/>
          </w:tcPr>
          <w:p w14:paraId="57EC1C70" w14:textId="77777777" w:rsidR="007A7C7C" w:rsidRPr="007A7C7C" w:rsidRDefault="007A7C7C" w:rsidP="007A7C7C">
            <w:pPr>
              <w:rPr>
                <w:rFonts w:eastAsia="Times New Roman"/>
                <w:sz w:val="20"/>
                <w:szCs w:val="20"/>
              </w:rPr>
            </w:pPr>
            <w:r w:rsidRPr="007A7C7C">
              <w:rPr>
                <w:rFonts w:eastAsia="Times New Roman"/>
                <w:sz w:val="20"/>
                <w:szCs w:val="20"/>
              </w:rPr>
              <w:t>udio (%) u BDP-u</w:t>
            </w:r>
          </w:p>
        </w:tc>
        <w:tc>
          <w:tcPr>
            <w:tcW w:w="1439" w:type="dxa"/>
            <w:vAlign w:val="center"/>
          </w:tcPr>
          <w:p w14:paraId="180BCB88" w14:textId="185C4BB2" w:rsidR="007A7C7C" w:rsidRPr="007A7C7C" w:rsidRDefault="007A7C7C" w:rsidP="007A7C7C">
            <w:pPr>
              <w:jc w:val="center"/>
              <w:rPr>
                <w:sz w:val="20"/>
                <w:szCs w:val="14"/>
              </w:rPr>
            </w:pPr>
            <w:r w:rsidRPr="007A7C7C">
              <w:rPr>
                <w:rFonts w:eastAsia="Times New Roman"/>
                <w:sz w:val="20"/>
                <w:szCs w:val="20"/>
                <w:lang w:eastAsia="hr-HR"/>
              </w:rPr>
              <w:t>0,08</w:t>
            </w:r>
          </w:p>
        </w:tc>
        <w:tc>
          <w:tcPr>
            <w:tcW w:w="1559" w:type="dxa"/>
            <w:vAlign w:val="center"/>
          </w:tcPr>
          <w:p w14:paraId="178BE7E4" w14:textId="27D0AD61" w:rsidR="007A7C7C" w:rsidRPr="007A7C7C" w:rsidRDefault="007A7C7C" w:rsidP="007A7C7C">
            <w:pPr>
              <w:jc w:val="center"/>
              <w:rPr>
                <w:sz w:val="20"/>
                <w:szCs w:val="14"/>
              </w:rPr>
            </w:pPr>
            <w:r w:rsidRPr="007A7C7C">
              <w:rPr>
                <w:rFonts w:eastAsia="Times New Roman"/>
                <w:sz w:val="20"/>
                <w:szCs w:val="20"/>
                <w:lang w:eastAsia="hr-HR"/>
              </w:rPr>
              <w:t>0,06</w:t>
            </w:r>
          </w:p>
        </w:tc>
        <w:tc>
          <w:tcPr>
            <w:tcW w:w="1559" w:type="dxa"/>
            <w:vAlign w:val="center"/>
          </w:tcPr>
          <w:p w14:paraId="6D4BD43E" w14:textId="0B98212E" w:rsidR="007A7C7C" w:rsidRPr="007A7C7C" w:rsidRDefault="007A7C7C" w:rsidP="007A7C7C">
            <w:pPr>
              <w:jc w:val="center"/>
              <w:rPr>
                <w:sz w:val="20"/>
                <w:szCs w:val="14"/>
              </w:rPr>
            </w:pPr>
            <w:r w:rsidRPr="007A7C7C">
              <w:rPr>
                <w:rFonts w:eastAsia="Times New Roman"/>
                <w:sz w:val="20"/>
                <w:szCs w:val="20"/>
                <w:lang w:eastAsia="hr-HR"/>
              </w:rPr>
              <w:t>0,06</w:t>
            </w:r>
          </w:p>
        </w:tc>
      </w:tr>
    </w:tbl>
    <w:p w14:paraId="2D1B8310" w14:textId="77777777" w:rsidR="007A7C7C" w:rsidRPr="007A7C7C" w:rsidRDefault="007A7C7C" w:rsidP="007A7C7C">
      <w:pPr>
        <w:contextualSpacing/>
        <w:jc w:val="both"/>
        <w:rPr>
          <w:i/>
          <w:sz w:val="20"/>
        </w:rPr>
      </w:pPr>
      <w:r w:rsidRPr="007A7C7C">
        <w:rPr>
          <w:i/>
          <w:sz w:val="20"/>
        </w:rPr>
        <w:t>Izvor: Ministarstvo financija i davatelji potpora; podaci obrađeni u Ministarstvu financija</w:t>
      </w:r>
    </w:p>
    <w:p w14:paraId="61786356" w14:textId="77777777" w:rsidR="003A1C6B" w:rsidRPr="007A7C7C" w:rsidRDefault="003A1C6B" w:rsidP="00BE487D">
      <w:pPr>
        <w:jc w:val="both"/>
      </w:pPr>
    </w:p>
    <w:p w14:paraId="25619775" w14:textId="43BE7D4C" w:rsidR="00A93951" w:rsidRPr="00B311AD" w:rsidRDefault="00EC283D" w:rsidP="00A93951">
      <w:pPr>
        <w:jc w:val="both"/>
      </w:pPr>
      <w:r w:rsidRPr="00B311AD">
        <w:t xml:space="preserve">Udio potpora za zapošljavanje u BDP-u </w:t>
      </w:r>
      <w:r w:rsidR="00B311AD" w:rsidRPr="00B311AD">
        <w:t>u 2023. godini iznosio je 0,06 posto, u 2022. godini iznosio je 0,06 posto, dok je u 2021. godini iznosio 0,08 posto. Udio navedenih potpora u 2023. godini u ukupno dodijeljenim potporama iznosio je 1,4 posto, udio u dodijeljenim potporama u sektoru industrije i usluga u 2023. godini iznosio je 2,2 posto, dok je udio navedenih potpora u horizontalnim ciljevima u 2023. godini iznosio 15,8 posto.</w:t>
      </w:r>
    </w:p>
    <w:p w14:paraId="2BFC39E6" w14:textId="0C8579A9" w:rsidR="00E54C1A" w:rsidRPr="00F355D6" w:rsidRDefault="00E54C1A" w:rsidP="00F355D6">
      <w:pPr>
        <w:jc w:val="both"/>
      </w:pPr>
    </w:p>
    <w:p w14:paraId="310DDFA7" w14:textId="628124B0" w:rsidR="00F355D6" w:rsidRPr="007957FD" w:rsidRDefault="00F355D6" w:rsidP="00F355D6">
      <w:pPr>
        <w:jc w:val="both"/>
        <w:rPr>
          <w:spacing w:val="-4"/>
        </w:rPr>
      </w:pPr>
      <w:r w:rsidRPr="007957FD">
        <w:rPr>
          <w:spacing w:val="-4"/>
        </w:rPr>
        <w:t>U 2023. godini davatelji potpora za zapošljavanje, koje su dodijeljene u iznosu od 42,4 milijuna eura</w:t>
      </w:r>
      <w:r w:rsidR="007957FD" w:rsidRPr="007957FD">
        <w:rPr>
          <w:spacing w:val="-4"/>
        </w:rPr>
        <w:t>,</w:t>
      </w:r>
      <w:r w:rsidRPr="007957FD">
        <w:rPr>
          <w:spacing w:val="-4"/>
        </w:rPr>
        <w:t xml:space="preserve"> su Zavod za vještačenje, profesionalnu rehabilitaciju i zapošljavanje osoba s invaliditetom </w:t>
      </w:r>
      <w:r w:rsidR="007957FD" w:rsidRPr="007957FD">
        <w:rPr>
          <w:spacing w:val="-4"/>
        </w:rPr>
        <w:t xml:space="preserve">s iznosom </w:t>
      </w:r>
      <w:r w:rsidRPr="007957FD">
        <w:rPr>
          <w:spacing w:val="-4"/>
        </w:rPr>
        <w:t xml:space="preserve">od 21,3 milijuna eura i Hrvatski zavod za zapošljavanje </w:t>
      </w:r>
      <w:r w:rsidR="007957FD" w:rsidRPr="007957FD">
        <w:rPr>
          <w:spacing w:val="-4"/>
        </w:rPr>
        <w:t xml:space="preserve">s iznosom </w:t>
      </w:r>
      <w:r w:rsidRPr="007957FD">
        <w:rPr>
          <w:spacing w:val="-4"/>
        </w:rPr>
        <w:t>od 21,1 milijun eura.</w:t>
      </w:r>
    </w:p>
    <w:p w14:paraId="38ADF4F6" w14:textId="5195000B" w:rsidR="00F355D6" w:rsidRPr="00F355D6" w:rsidRDefault="00F355D6" w:rsidP="00F355D6"/>
    <w:p w14:paraId="4FF18138" w14:textId="044A9AAD" w:rsidR="00F355D6" w:rsidRPr="00F355D6" w:rsidRDefault="00F355D6" w:rsidP="00F355D6">
      <w:pPr>
        <w:jc w:val="both"/>
      </w:pPr>
      <w:r w:rsidRPr="00AD6FF6">
        <w:rPr>
          <w:u w:val="single"/>
        </w:rPr>
        <w:t>Zavod za vještačenje, profesionalnu rehabilitaciju i zapošljavanje osoba s invaliditetom</w:t>
      </w:r>
      <w:r w:rsidRPr="00F355D6">
        <w:t xml:space="preserve"> </w:t>
      </w:r>
      <w:r w:rsidRPr="00F355D6">
        <w:rPr>
          <w:spacing w:val="-2"/>
        </w:rPr>
        <w:t xml:space="preserve">dodijelio je u 2023. godini potpore za </w:t>
      </w:r>
      <w:r w:rsidRPr="00F355D6">
        <w:t xml:space="preserve">zapošljavanje </w:t>
      </w:r>
      <w:r w:rsidRPr="00F355D6">
        <w:rPr>
          <w:spacing w:val="-2"/>
        </w:rPr>
        <w:t xml:space="preserve">putem </w:t>
      </w:r>
      <w:r w:rsidRPr="00C82B2A">
        <w:rPr>
          <w:spacing w:val="-2"/>
        </w:rPr>
        <w:t>subvencija u iznosu od 21,3 milijuna eura temeljem</w:t>
      </w:r>
      <w:r w:rsidRPr="00C82B2A">
        <w:t xml:space="preserve"> Programa poticaja pri zapošljavanju osoba s invaliditetom za razdoblje od 2021. do 2023. godine, </w:t>
      </w:r>
      <w:r w:rsidR="00C82B2A" w:rsidRPr="00C82B2A">
        <w:rPr>
          <w:spacing w:val="-2"/>
        </w:rPr>
        <w:t>o</w:t>
      </w:r>
      <w:r w:rsidR="00C82B2A">
        <w:rPr>
          <w:spacing w:val="-2"/>
        </w:rPr>
        <w:t xml:space="preserve"> </w:t>
      </w:r>
      <w:r w:rsidR="00C82B2A" w:rsidRPr="00C82B2A">
        <w:t>kojem</w:t>
      </w:r>
      <w:r w:rsidRPr="00C82B2A">
        <w:t xml:space="preserve"> je Europska komisija obav</w:t>
      </w:r>
      <w:r w:rsidR="00C82B2A" w:rsidRPr="00C82B2A">
        <w:t>iještena pod brojem SA.60944.</w:t>
      </w:r>
    </w:p>
    <w:p w14:paraId="267D0DAC" w14:textId="77777777" w:rsidR="00F355D6" w:rsidRPr="00AD3F4E" w:rsidRDefault="00F355D6" w:rsidP="00BE487D">
      <w:pPr>
        <w:jc w:val="both"/>
      </w:pPr>
    </w:p>
    <w:p w14:paraId="59D8C4FE" w14:textId="2D9DEA1B" w:rsidR="00CF0529" w:rsidRPr="0000477C" w:rsidRDefault="00DC6C76" w:rsidP="00CF0529">
      <w:pPr>
        <w:jc w:val="both"/>
      </w:pPr>
      <w:r w:rsidRPr="00AD6FF6">
        <w:rPr>
          <w:u w:val="single"/>
        </w:rPr>
        <w:t>Hrvatski zavod za zapošljavanje</w:t>
      </w:r>
      <w:r w:rsidRPr="0000477C">
        <w:t xml:space="preserve"> </w:t>
      </w:r>
      <w:r w:rsidR="00AD3F4E" w:rsidRPr="0000477C">
        <w:rPr>
          <w:spacing w:val="-2"/>
        </w:rPr>
        <w:t xml:space="preserve">dodijelio je u 2023. godini potpore za </w:t>
      </w:r>
      <w:r w:rsidR="00AD3F4E" w:rsidRPr="0000477C">
        <w:t xml:space="preserve">zapošljavanje </w:t>
      </w:r>
      <w:r w:rsidR="00AD3F4E" w:rsidRPr="0000477C">
        <w:rPr>
          <w:spacing w:val="-2"/>
        </w:rPr>
        <w:t xml:space="preserve">putem subvencija u ukupnom iznosu od 21,1 milijun eura temeljem </w:t>
      </w:r>
      <w:r w:rsidR="00AD3F4E" w:rsidRPr="0000477C">
        <w:t xml:space="preserve">Programa </w:t>
      </w:r>
      <w:r w:rsidR="009F24FE" w:rsidRPr="0000477C">
        <w:t xml:space="preserve">državnih potpora za zapošljavanje i usavršavanje u nadležnosti Hrvatskog zavoda za zapošljavanje </w:t>
      </w:r>
      <w:r w:rsidR="00A93951" w:rsidRPr="0000477C">
        <w:t xml:space="preserve">u razdoblju od 2021. do 2023. godine, </w:t>
      </w:r>
      <w:r w:rsidR="00BD1054">
        <w:t>o kojem je</w:t>
      </w:r>
      <w:r w:rsidR="00A93951" w:rsidRPr="0000477C">
        <w:t xml:space="preserve"> </w:t>
      </w:r>
      <w:r w:rsidR="009F24FE" w:rsidRPr="0000477C">
        <w:t>Europska komisija obaviještena pod brojem</w:t>
      </w:r>
      <w:r w:rsidR="00C45035" w:rsidRPr="0000477C">
        <w:t xml:space="preserve"> SA.</w:t>
      </w:r>
      <w:r w:rsidR="00A93951" w:rsidRPr="0000477C">
        <w:t>60830</w:t>
      </w:r>
      <w:r w:rsidR="00DF2FF9" w:rsidRPr="0000477C">
        <w:t xml:space="preserve"> te i o njegov</w:t>
      </w:r>
      <w:r w:rsidR="00AD3F4E" w:rsidRPr="0000477C">
        <w:t>im</w:t>
      </w:r>
      <w:r w:rsidR="00DF2FF9" w:rsidRPr="0000477C">
        <w:t xml:space="preserve"> kasnij</w:t>
      </w:r>
      <w:r w:rsidR="00AD3F4E" w:rsidRPr="0000477C">
        <w:t>im</w:t>
      </w:r>
      <w:r w:rsidR="00DF2FF9" w:rsidRPr="0000477C">
        <w:t xml:space="preserve"> izmjen</w:t>
      </w:r>
      <w:r w:rsidR="00AD3F4E" w:rsidRPr="0000477C">
        <w:t>ama</w:t>
      </w:r>
      <w:r w:rsidR="00DF2FF9" w:rsidRPr="0000477C">
        <w:t xml:space="preserve"> pod broje</w:t>
      </w:r>
      <w:r w:rsidR="00AD3F4E" w:rsidRPr="0000477C">
        <w:t>vima</w:t>
      </w:r>
      <w:r w:rsidR="00DF2FF9" w:rsidRPr="0000477C">
        <w:t xml:space="preserve"> SA.101955</w:t>
      </w:r>
      <w:r w:rsidR="0000477C" w:rsidRPr="0000477C">
        <w:t xml:space="preserve"> i SA.106112</w:t>
      </w:r>
      <w:r w:rsidR="00DF2FF9" w:rsidRPr="0000477C">
        <w:t>.</w:t>
      </w:r>
    </w:p>
    <w:p w14:paraId="4D918F64" w14:textId="77777777" w:rsidR="00951AFC" w:rsidRPr="00C82B2A" w:rsidRDefault="00951AFC" w:rsidP="00BE487D">
      <w:pPr>
        <w:jc w:val="both"/>
      </w:pPr>
    </w:p>
    <w:p w14:paraId="13BE4B2A" w14:textId="2ED3F121" w:rsidR="00005410" w:rsidRPr="00C82B2A" w:rsidRDefault="00005410" w:rsidP="0051514E">
      <w:pPr>
        <w:jc w:val="both"/>
      </w:pPr>
      <w:r w:rsidRPr="00AD6FF6">
        <w:rPr>
          <w:u w:val="single"/>
        </w:rPr>
        <w:t>Potpore male vrijednosti</w:t>
      </w:r>
      <w:r w:rsidRPr="00C82B2A">
        <w:t xml:space="preserve"> za zapošljavanje </w:t>
      </w:r>
      <w:r w:rsidR="00C82B2A" w:rsidRPr="00C82B2A">
        <w:t xml:space="preserve">su u 2023. godini </w:t>
      </w:r>
      <w:r w:rsidRPr="00C82B2A">
        <w:t xml:space="preserve">dodijeljene u iznosu od </w:t>
      </w:r>
      <w:r w:rsidR="00C82B2A" w:rsidRPr="00C82B2A">
        <w:t>101,5</w:t>
      </w:r>
      <w:r w:rsidR="0051514E" w:rsidRPr="00C82B2A">
        <w:t xml:space="preserve"> </w:t>
      </w:r>
      <w:r w:rsidRPr="00C82B2A">
        <w:t xml:space="preserve">milijuna </w:t>
      </w:r>
      <w:r w:rsidR="00C82B2A" w:rsidRPr="00C82B2A">
        <w:t>eura</w:t>
      </w:r>
      <w:r w:rsidRPr="00C82B2A">
        <w:t xml:space="preserve">, te </w:t>
      </w:r>
      <w:r w:rsidR="00C82B2A" w:rsidRPr="00C82B2A">
        <w:t xml:space="preserve">ukoliko bi se navedene potpore male vrijednosti pribrojile </w:t>
      </w:r>
      <w:r w:rsidRPr="00C82B2A">
        <w:t xml:space="preserve">dodijeljenim potporama za </w:t>
      </w:r>
      <w:r w:rsidR="00243641" w:rsidRPr="00C82B2A">
        <w:t xml:space="preserve">zapošljavanje </w:t>
      </w:r>
      <w:r w:rsidRPr="00C82B2A">
        <w:t xml:space="preserve">u iznosu od </w:t>
      </w:r>
      <w:r w:rsidR="00C82B2A" w:rsidRPr="00C82B2A">
        <w:t>42,4</w:t>
      </w:r>
      <w:r w:rsidR="0051514E" w:rsidRPr="00C82B2A">
        <w:t xml:space="preserve"> </w:t>
      </w:r>
      <w:r w:rsidRPr="00C82B2A">
        <w:t xml:space="preserve">milijuna </w:t>
      </w:r>
      <w:r w:rsidR="00C82B2A" w:rsidRPr="00C82B2A">
        <w:t>eura</w:t>
      </w:r>
      <w:r w:rsidRPr="00C82B2A">
        <w:t xml:space="preserve">, </w:t>
      </w:r>
      <w:r w:rsidR="00C82B2A" w:rsidRPr="00C82B2A">
        <w:t xml:space="preserve">ukupan iznos svih dodijeljenih potpora </w:t>
      </w:r>
      <w:r w:rsidRPr="00C82B2A">
        <w:t xml:space="preserve">za </w:t>
      </w:r>
      <w:r w:rsidR="00243641" w:rsidRPr="00C82B2A">
        <w:t xml:space="preserve">zapošljavanje </w:t>
      </w:r>
      <w:r w:rsidRPr="00C82B2A">
        <w:t>u 202</w:t>
      </w:r>
      <w:r w:rsidR="00C82B2A" w:rsidRPr="00C82B2A">
        <w:t>3</w:t>
      </w:r>
      <w:r w:rsidRPr="00C82B2A">
        <w:t>. godini iznosi</w:t>
      </w:r>
      <w:r w:rsidR="001E7AE2">
        <w:t>o</w:t>
      </w:r>
      <w:r w:rsidR="00C82B2A" w:rsidRPr="00C82B2A">
        <w:t xml:space="preserve"> bi</w:t>
      </w:r>
      <w:r w:rsidRPr="00C82B2A">
        <w:t xml:space="preserve"> </w:t>
      </w:r>
      <w:r w:rsidR="00C82B2A" w:rsidRPr="00C82B2A">
        <w:t>143,9</w:t>
      </w:r>
      <w:r w:rsidRPr="00C82B2A">
        <w:t xml:space="preserve"> milijuna </w:t>
      </w:r>
      <w:r w:rsidR="00C82B2A" w:rsidRPr="00C82B2A">
        <w:t>eura</w:t>
      </w:r>
      <w:r w:rsidRPr="00C82B2A">
        <w:t xml:space="preserve">. </w:t>
      </w:r>
    </w:p>
    <w:p w14:paraId="149D262F" w14:textId="1129F37A" w:rsidR="009B5376" w:rsidRPr="007A7C7C" w:rsidRDefault="009B5376" w:rsidP="0051514E"/>
    <w:p w14:paraId="116E589A" w14:textId="77777777" w:rsidR="009B5376" w:rsidRPr="007A7C7C" w:rsidRDefault="009B5376" w:rsidP="0051514E"/>
    <w:p w14:paraId="37FDCAC7" w14:textId="77777777" w:rsidR="004009E5" w:rsidRPr="007A7C7C" w:rsidRDefault="004009E5" w:rsidP="00BE487D">
      <w:pPr>
        <w:jc w:val="both"/>
      </w:pPr>
    </w:p>
    <w:p w14:paraId="57079C79" w14:textId="75439CE0" w:rsidR="00BE0817" w:rsidRPr="007A7C7C" w:rsidRDefault="00E668F9" w:rsidP="00BE487D">
      <w:pPr>
        <w:pStyle w:val="Heading3"/>
        <w:numPr>
          <w:ilvl w:val="2"/>
          <w:numId w:val="1"/>
        </w:numPr>
        <w:spacing w:before="0"/>
        <w:jc w:val="both"/>
        <w:rPr>
          <w:rFonts w:ascii="Times New Roman" w:hAnsi="Times New Roman" w:cs="Times New Roman"/>
          <w:b/>
          <w:color w:val="auto"/>
        </w:rPr>
      </w:pPr>
      <w:bookmarkStart w:id="15" w:name="_Toc184635846"/>
      <w:r w:rsidRPr="007A7C7C">
        <w:rPr>
          <w:rFonts w:ascii="Times New Roman" w:hAnsi="Times New Roman" w:cs="Times New Roman"/>
          <w:b/>
          <w:i/>
          <w:color w:val="auto"/>
          <w:lang w:eastAsia="hr-HR"/>
        </w:rPr>
        <w:lastRenderedPageBreak/>
        <w:t>Potpore za usavršavanje</w:t>
      </w:r>
      <w:bookmarkEnd w:id="15"/>
    </w:p>
    <w:p w14:paraId="5A0ABF9F" w14:textId="77777777" w:rsidR="00E668F9" w:rsidRPr="007A7C7C" w:rsidRDefault="00E668F9" w:rsidP="00BE487D">
      <w:pPr>
        <w:jc w:val="both"/>
      </w:pPr>
    </w:p>
    <w:p w14:paraId="696625A7" w14:textId="77777777" w:rsidR="00E668F9" w:rsidRPr="007A7C7C" w:rsidRDefault="00E668F9" w:rsidP="00BE487D">
      <w:pPr>
        <w:jc w:val="both"/>
      </w:pPr>
    </w:p>
    <w:p w14:paraId="0EBF7148" w14:textId="5669F187" w:rsidR="00124E4C" w:rsidRPr="003E4E58" w:rsidRDefault="00124E4C" w:rsidP="00BE487D">
      <w:pPr>
        <w:jc w:val="both"/>
      </w:pPr>
      <w:r w:rsidRPr="003E4E58">
        <w:t>Potpore za usavršavanje</w:t>
      </w:r>
      <w:r w:rsidRPr="003E4E58">
        <w:rPr>
          <w:rStyle w:val="FootnoteReference"/>
        </w:rPr>
        <w:footnoteReference w:id="26"/>
      </w:r>
      <w:r w:rsidRPr="003E4E58">
        <w:t xml:space="preserve"> </w:t>
      </w:r>
      <w:r w:rsidR="003E4E58" w:rsidRPr="003E4E58">
        <w:t>su dodijeljene u 2023. godini u iznosu od 29.259,60 eura, što je smanjenje za 3,7 milijuna eura ili za 99,2 posto u odnosu na 2022. godinu, kada su navedene potpore iznosile 3,7 milijuna eura, te je smanjenje za 3,2 milijuna eura ili za 99,1 posto u odnosu na 2021. godinu kada su potpore za usavršavanje iznosile 3,2 milijuna eura</w:t>
      </w:r>
      <w:r w:rsidRPr="003E4E58">
        <w:t>.</w:t>
      </w:r>
    </w:p>
    <w:p w14:paraId="188C318B" w14:textId="77777777" w:rsidR="00951AFC" w:rsidRPr="003E4E58" w:rsidRDefault="00951AFC" w:rsidP="00BE487D">
      <w:pPr>
        <w:jc w:val="both"/>
      </w:pPr>
    </w:p>
    <w:p w14:paraId="27D5E796" w14:textId="408F0303" w:rsidR="00124E4C" w:rsidRPr="00AD6FF6" w:rsidRDefault="00124E4C" w:rsidP="00BE487D">
      <w:pPr>
        <w:autoSpaceDE w:val="0"/>
        <w:autoSpaceDN w:val="0"/>
        <w:adjustRightInd w:val="0"/>
        <w:contextualSpacing/>
        <w:jc w:val="both"/>
        <w:rPr>
          <w:bCs/>
          <w:lang w:eastAsia="hr-HR"/>
        </w:rPr>
      </w:pPr>
      <w:r w:rsidRPr="00AD6FF6">
        <w:rPr>
          <w:bCs/>
          <w:lang w:eastAsia="hr-HR"/>
        </w:rPr>
        <w:t xml:space="preserve">Tablica </w:t>
      </w:r>
      <w:r w:rsidR="00381995" w:rsidRPr="00AD6FF6">
        <w:rPr>
          <w:bCs/>
          <w:lang w:eastAsia="hr-HR"/>
        </w:rPr>
        <w:t>10</w:t>
      </w:r>
      <w:r w:rsidRPr="00AD6FF6">
        <w:rPr>
          <w:bCs/>
          <w:lang w:eastAsia="hr-HR"/>
        </w:rPr>
        <w:t xml:space="preserve">. Potpore za usavršavanje za razdoblje </w:t>
      </w:r>
      <w:r w:rsidRPr="00AD6FF6">
        <w:t>od 20</w:t>
      </w:r>
      <w:r w:rsidR="004C3637" w:rsidRPr="00AD6FF6">
        <w:t>2</w:t>
      </w:r>
      <w:r w:rsidR="00381995" w:rsidRPr="00AD6FF6">
        <w:t>1</w:t>
      </w:r>
      <w:r w:rsidRPr="00AD6FF6">
        <w:t>. do 202</w:t>
      </w:r>
      <w:r w:rsidR="00381995" w:rsidRPr="00AD6FF6">
        <w:t>3</w:t>
      </w:r>
      <w:r w:rsidRPr="00AD6FF6">
        <w:t>. godine</w:t>
      </w:r>
    </w:p>
    <w:p w14:paraId="5422391C" w14:textId="77777777" w:rsidR="00124E4C" w:rsidRPr="008149B5" w:rsidRDefault="00124E4C"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7A7C7C" w:rsidRPr="003E4E58" w14:paraId="1FCAAA15" w14:textId="77777777" w:rsidTr="007A7C7C">
        <w:trPr>
          <w:trHeight w:val="38"/>
        </w:trPr>
        <w:tc>
          <w:tcPr>
            <w:tcW w:w="3376" w:type="dxa"/>
            <w:vMerge w:val="restart"/>
            <w:shd w:val="clear" w:color="000000" w:fill="FFFF99"/>
            <w:noWrap/>
            <w:vAlign w:val="center"/>
            <w:hideMark/>
          </w:tcPr>
          <w:p w14:paraId="63D9CCEB" w14:textId="7755104D" w:rsidR="007A7C7C" w:rsidRPr="003E4E58" w:rsidRDefault="00F80C16" w:rsidP="007A7C7C">
            <w:pPr>
              <w:rPr>
                <w:rFonts w:eastAsia="Times New Roman"/>
                <w:b/>
                <w:bCs/>
                <w:sz w:val="20"/>
                <w:szCs w:val="20"/>
              </w:rPr>
            </w:pPr>
            <w:r w:rsidRPr="003E4E58">
              <w:rPr>
                <w:rFonts w:eastAsia="Times New Roman"/>
                <w:b/>
                <w:bCs/>
                <w:sz w:val="20"/>
              </w:rPr>
              <w:t>Usavršavanje</w:t>
            </w:r>
          </w:p>
        </w:tc>
        <w:tc>
          <w:tcPr>
            <w:tcW w:w="1439" w:type="dxa"/>
            <w:shd w:val="clear" w:color="000000" w:fill="FFFF99"/>
            <w:vAlign w:val="center"/>
          </w:tcPr>
          <w:p w14:paraId="3597438A" w14:textId="77777777" w:rsidR="007A7C7C" w:rsidRPr="003E4E58" w:rsidRDefault="007A7C7C" w:rsidP="007A7C7C">
            <w:pPr>
              <w:jc w:val="center"/>
              <w:rPr>
                <w:rFonts w:eastAsia="Times New Roman"/>
                <w:b/>
                <w:bCs/>
                <w:sz w:val="20"/>
                <w:szCs w:val="20"/>
              </w:rPr>
            </w:pPr>
            <w:r w:rsidRPr="003E4E58">
              <w:rPr>
                <w:b/>
                <w:sz w:val="20"/>
                <w:szCs w:val="20"/>
              </w:rPr>
              <w:t>2021.</w:t>
            </w:r>
          </w:p>
        </w:tc>
        <w:tc>
          <w:tcPr>
            <w:tcW w:w="1559" w:type="dxa"/>
            <w:shd w:val="clear" w:color="000000" w:fill="FFFF99"/>
            <w:vAlign w:val="center"/>
          </w:tcPr>
          <w:p w14:paraId="0706DBC1" w14:textId="77777777" w:rsidR="007A7C7C" w:rsidRPr="003E4E58" w:rsidRDefault="007A7C7C" w:rsidP="007A7C7C">
            <w:pPr>
              <w:jc w:val="center"/>
              <w:rPr>
                <w:rFonts w:eastAsia="Times New Roman"/>
                <w:b/>
                <w:bCs/>
                <w:sz w:val="20"/>
                <w:szCs w:val="20"/>
              </w:rPr>
            </w:pPr>
            <w:r w:rsidRPr="003E4E58">
              <w:rPr>
                <w:b/>
                <w:sz w:val="20"/>
                <w:szCs w:val="20"/>
              </w:rPr>
              <w:t>2022.</w:t>
            </w:r>
          </w:p>
        </w:tc>
        <w:tc>
          <w:tcPr>
            <w:tcW w:w="1559" w:type="dxa"/>
            <w:shd w:val="clear" w:color="000000" w:fill="FFFF99"/>
            <w:vAlign w:val="center"/>
          </w:tcPr>
          <w:p w14:paraId="2D292DB1" w14:textId="77777777" w:rsidR="007A7C7C" w:rsidRPr="003E4E58" w:rsidRDefault="007A7C7C" w:rsidP="007A7C7C">
            <w:pPr>
              <w:jc w:val="center"/>
              <w:rPr>
                <w:rFonts w:eastAsia="Times New Roman"/>
                <w:b/>
                <w:bCs/>
                <w:sz w:val="20"/>
                <w:szCs w:val="20"/>
              </w:rPr>
            </w:pPr>
            <w:r w:rsidRPr="003E4E58">
              <w:rPr>
                <w:b/>
                <w:sz w:val="20"/>
                <w:szCs w:val="20"/>
              </w:rPr>
              <w:t>2023.</w:t>
            </w:r>
          </w:p>
        </w:tc>
      </w:tr>
      <w:tr w:rsidR="007A7C7C" w:rsidRPr="003E4E58" w14:paraId="4E2D4323" w14:textId="77777777" w:rsidTr="007A7C7C">
        <w:trPr>
          <w:trHeight w:val="212"/>
        </w:trPr>
        <w:tc>
          <w:tcPr>
            <w:tcW w:w="3376" w:type="dxa"/>
            <w:vMerge/>
            <w:vAlign w:val="center"/>
            <w:hideMark/>
          </w:tcPr>
          <w:p w14:paraId="3CEBA5BF" w14:textId="77777777" w:rsidR="007A7C7C" w:rsidRPr="003E4E58" w:rsidRDefault="007A7C7C" w:rsidP="007A7C7C">
            <w:pPr>
              <w:rPr>
                <w:rFonts w:eastAsia="Times New Roman"/>
                <w:b/>
                <w:bCs/>
                <w:sz w:val="20"/>
                <w:szCs w:val="20"/>
              </w:rPr>
            </w:pPr>
          </w:p>
        </w:tc>
        <w:tc>
          <w:tcPr>
            <w:tcW w:w="1439" w:type="dxa"/>
            <w:shd w:val="clear" w:color="000000" w:fill="FFFF99"/>
            <w:vAlign w:val="center"/>
          </w:tcPr>
          <w:p w14:paraId="37425A1E" w14:textId="77777777" w:rsidR="007A7C7C" w:rsidRPr="003E4E58" w:rsidRDefault="007A7C7C" w:rsidP="007A7C7C">
            <w:pPr>
              <w:rPr>
                <w:rFonts w:eastAsia="Times New Roman"/>
                <w:b/>
                <w:sz w:val="18"/>
                <w:szCs w:val="20"/>
              </w:rPr>
            </w:pPr>
            <w:r w:rsidRPr="003E4E58">
              <w:rPr>
                <w:b/>
                <w:sz w:val="20"/>
                <w:szCs w:val="20"/>
              </w:rPr>
              <w:t xml:space="preserve">u </w:t>
            </w:r>
            <w:proofErr w:type="spellStart"/>
            <w:r w:rsidRPr="003E4E58">
              <w:rPr>
                <w:b/>
                <w:sz w:val="20"/>
                <w:szCs w:val="20"/>
              </w:rPr>
              <w:t>mln</w:t>
            </w:r>
            <w:proofErr w:type="spellEnd"/>
            <w:r w:rsidRPr="003E4E58">
              <w:rPr>
                <w:b/>
                <w:sz w:val="20"/>
                <w:szCs w:val="20"/>
              </w:rPr>
              <w:t xml:space="preserve"> EUR</w:t>
            </w:r>
          </w:p>
        </w:tc>
        <w:tc>
          <w:tcPr>
            <w:tcW w:w="1559" w:type="dxa"/>
            <w:shd w:val="clear" w:color="000000" w:fill="FFFF99"/>
            <w:vAlign w:val="center"/>
          </w:tcPr>
          <w:p w14:paraId="0788008D" w14:textId="77777777" w:rsidR="007A7C7C" w:rsidRPr="003E4E58" w:rsidRDefault="007A7C7C" w:rsidP="007A7C7C">
            <w:pPr>
              <w:jc w:val="center"/>
              <w:rPr>
                <w:rFonts w:eastAsia="Times New Roman"/>
                <w:b/>
                <w:sz w:val="18"/>
                <w:szCs w:val="20"/>
              </w:rPr>
            </w:pPr>
            <w:r w:rsidRPr="003E4E58">
              <w:rPr>
                <w:b/>
                <w:sz w:val="20"/>
                <w:szCs w:val="20"/>
              </w:rPr>
              <w:t xml:space="preserve">u </w:t>
            </w:r>
            <w:proofErr w:type="spellStart"/>
            <w:r w:rsidRPr="003E4E58">
              <w:rPr>
                <w:b/>
                <w:sz w:val="20"/>
                <w:szCs w:val="20"/>
              </w:rPr>
              <w:t>mln</w:t>
            </w:r>
            <w:proofErr w:type="spellEnd"/>
            <w:r w:rsidRPr="003E4E58">
              <w:rPr>
                <w:b/>
                <w:sz w:val="20"/>
                <w:szCs w:val="20"/>
              </w:rPr>
              <w:t xml:space="preserve"> EUR</w:t>
            </w:r>
          </w:p>
        </w:tc>
        <w:tc>
          <w:tcPr>
            <w:tcW w:w="1559" w:type="dxa"/>
            <w:shd w:val="clear" w:color="000000" w:fill="FFFF99"/>
            <w:vAlign w:val="center"/>
          </w:tcPr>
          <w:p w14:paraId="0789D7ED" w14:textId="77777777" w:rsidR="007A7C7C" w:rsidRPr="003E4E58" w:rsidRDefault="007A7C7C" w:rsidP="007A7C7C">
            <w:pPr>
              <w:jc w:val="center"/>
              <w:rPr>
                <w:rFonts w:eastAsia="Times New Roman"/>
                <w:b/>
                <w:sz w:val="18"/>
                <w:szCs w:val="20"/>
              </w:rPr>
            </w:pPr>
            <w:r w:rsidRPr="003E4E58">
              <w:rPr>
                <w:b/>
                <w:sz w:val="20"/>
                <w:szCs w:val="20"/>
              </w:rPr>
              <w:t xml:space="preserve">u </w:t>
            </w:r>
            <w:proofErr w:type="spellStart"/>
            <w:r w:rsidRPr="003E4E58">
              <w:rPr>
                <w:b/>
                <w:sz w:val="20"/>
                <w:szCs w:val="20"/>
              </w:rPr>
              <w:t>mln</w:t>
            </w:r>
            <w:proofErr w:type="spellEnd"/>
            <w:r w:rsidRPr="003E4E58">
              <w:rPr>
                <w:b/>
                <w:sz w:val="20"/>
                <w:szCs w:val="20"/>
              </w:rPr>
              <w:t xml:space="preserve"> EUR</w:t>
            </w:r>
          </w:p>
        </w:tc>
      </w:tr>
      <w:tr w:rsidR="00F80C16" w:rsidRPr="003E4E58" w14:paraId="369B441C" w14:textId="77777777" w:rsidTr="007A7C7C">
        <w:trPr>
          <w:trHeight w:val="40"/>
        </w:trPr>
        <w:tc>
          <w:tcPr>
            <w:tcW w:w="3376" w:type="dxa"/>
            <w:shd w:val="clear" w:color="auto" w:fill="auto"/>
            <w:noWrap/>
            <w:vAlign w:val="center"/>
            <w:hideMark/>
          </w:tcPr>
          <w:p w14:paraId="39757DB7" w14:textId="77777777" w:rsidR="00F80C16" w:rsidRPr="003E4E58" w:rsidRDefault="00F80C16" w:rsidP="00F80C16">
            <w:pPr>
              <w:rPr>
                <w:rFonts w:eastAsia="Times New Roman"/>
                <w:b/>
                <w:bCs/>
                <w:sz w:val="20"/>
                <w:szCs w:val="20"/>
              </w:rPr>
            </w:pPr>
            <w:r w:rsidRPr="003E4E58">
              <w:rPr>
                <w:rFonts w:eastAsia="Times New Roman"/>
                <w:b/>
                <w:bCs/>
                <w:sz w:val="20"/>
                <w:szCs w:val="20"/>
              </w:rPr>
              <w:t>A1</w:t>
            </w:r>
            <w:r w:rsidRPr="003E4E58">
              <w:rPr>
                <w:rFonts w:eastAsia="Times New Roman"/>
                <w:sz w:val="20"/>
                <w:szCs w:val="20"/>
              </w:rPr>
              <w:t xml:space="preserve"> subvencije</w:t>
            </w:r>
          </w:p>
        </w:tc>
        <w:tc>
          <w:tcPr>
            <w:tcW w:w="1439" w:type="dxa"/>
            <w:vAlign w:val="center"/>
          </w:tcPr>
          <w:p w14:paraId="6B64B3D0" w14:textId="3CF12EF0" w:rsidR="00F80C16" w:rsidRPr="003E4E58" w:rsidRDefault="00F80C16" w:rsidP="00F80C16">
            <w:pPr>
              <w:jc w:val="right"/>
              <w:rPr>
                <w:sz w:val="20"/>
                <w:szCs w:val="14"/>
              </w:rPr>
            </w:pPr>
            <w:r w:rsidRPr="003E4E58">
              <w:rPr>
                <w:rFonts w:eastAsia="Times New Roman"/>
                <w:sz w:val="20"/>
                <w:szCs w:val="20"/>
                <w:lang w:eastAsia="hr-HR"/>
              </w:rPr>
              <w:t>3,2</w:t>
            </w:r>
          </w:p>
        </w:tc>
        <w:tc>
          <w:tcPr>
            <w:tcW w:w="1559" w:type="dxa"/>
            <w:vAlign w:val="center"/>
          </w:tcPr>
          <w:p w14:paraId="115326B4" w14:textId="44E03A57" w:rsidR="00F80C16" w:rsidRPr="003E4E58" w:rsidRDefault="00F80C16" w:rsidP="00F80C16">
            <w:pPr>
              <w:jc w:val="right"/>
              <w:rPr>
                <w:sz w:val="20"/>
                <w:szCs w:val="14"/>
              </w:rPr>
            </w:pPr>
            <w:r w:rsidRPr="003E4E58">
              <w:rPr>
                <w:rFonts w:eastAsia="Times New Roman"/>
                <w:sz w:val="20"/>
                <w:szCs w:val="20"/>
                <w:lang w:eastAsia="hr-HR"/>
              </w:rPr>
              <w:t>3,7</w:t>
            </w:r>
          </w:p>
        </w:tc>
        <w:tc>
          <w:tcPr>
            <w:tcW w:w="1559" w:type="dxa"/>
            <w:vAlign w:val="center"/>
          </w:tcPr>
          <w:p w14:paraId="3E008FD9" w14:textId="0BE1BB99" w:rsidR="00F80C16" w:rsidRPr="003E4E58" w:rsidRDefault="00F80C16" w:rsidP="00F80C16">
            <w:pPr>
              <w:jc w:val="right"/>
              <w:rPr>
                <w:sz w:val="20"/>
                <w:szCs w:val="14"/>
              </w:rPr>
            </w:pPr>
            <w:r w:rsidRPr="003E4E58">
              <w:rPr>
                <w:rFonts w:eastAsia="Times New Roman"/>
                <w:sz w:val="20"/>
                <w:szCs w:val="20"/>
                <w:lang w:eastAsia="hr-HR"/>
              </w:rPr>
              <w:t>0,03</w:t>
            </w:r>
          </w:p>
        </w:tc>
      </w:tr>
      <w:tr w:rsidR="00F80C16" w:rsidRPr="003E4E58" w14:paraId="6BB02045" w14:textId="77777777" w:rsidTr="007A7C7C">
        <w:trPr>
          <w:trHeight w:val="40"/>
        </w:trPr>
        <w:tc>
          <w:tcPr>
            <w:tcW w:w="3376" w:type="dxa"/>
            <w:shd w:val="clear" w:color="000000" w:fill="FFFF99"/>
            <w:noWrap/>
            <w:vAlign w:val="center"/>
            <w:hideMark/>
          </w:tcPr>
          <w:p w14:paraId="2C09E616" w14:textId="77777777" w:rsidR="00F80C16" w:rsidRPr="003E4E58" w:rsidRDefault="00F80C16" w:rsidP="00F80C16">
            <w:pPr>
              <w:rPr>
                <w:rFonts w:eastAsia="Times New Roman"/>
                <w:b/>
                <w:bCs/>
                <w:sz w:val="20"/>
                <w:szCs w:val="20"/>
              </w:rPr>
            </w:pPr>
            <w:r w:rsidRPr="003E4E58">
              <w:rPr>
                <w:rFonts w:eastAsia="Times New Roman"/>
                <w:b/>
                <w:bCs/>
                <w:sz w:val="20"/>
                <w:szCs w:val="20"/>
              </w:rPr>
              <w:t>UKUPNO</w:t>
            </w:r>
          </w:p>
        </w:tc>
        <w:tc>
          <w:tcPr>
            <w:tcW w:w="1439" w:type="dxa"/>
            <w:shd w:val="clear" w:color="000000" w:fill="FFFF99"/>
            <w:vAlign w:val="center"/>
          </w:tcPr>
          <w:p w14:paraId="12CCB170" w14:textId="0BA28D40" w:rsidR="00F80C16" w:rsidRPr="003E4E58" w:rsidRDefault="00F80C16" w:rsidP="00F80C16">
            <w:pPr>
              <w:jc w:val="right"/>
              <w:rPr>
                <w:b/>
                <w:sz w:val="20"/>
                <w:szCs w:val="14"/>
              </w:rPr>
            </w:pPr>
            <w:r w:rsidRPr="003E4E58">
              <w:rPr>
                <w:rFonts w:eastAsia="Times New Roman"/>
                <w:b/>
                <w:bCs/>
                <w:sz w:val="20"/>
                <w:szCs w:val="20"/>
                <w:lang w:eastAsia="hr-HR"/>
              </w:rPr>
              <w:t>3,2</w:t>
            </w:r>
          </w:p>
        </w:tc>
        <w:tc>
          <w:tcPr>
            <w:tcW w:w="1559" w:type="dxa"/>
            <w:shd w:val="clear" w:color="000000" w:fill="FFFF99"/>
            <w:vAlign w:val="center"/>
          </w:tcPr>
          <w:p w14:paraId="51BFC830" w14:textId="692AF6A4" w:rsidR="00F80C16" w:rsidRPr="003E4E58" w:rsidRDefault="00F80C16" w:rsidP="00F80C16">
            <w:pPr>
              <w:jc w:val="right"/>
              <w:rPr>
                <w:b/>
                <w:sz w:val="20"/>
                <w:szCs w:val="14"/>
              </w:rPr>
            </w:pPr>
            <w:r w:rsidRPr="003E4E58">
              <w:rPr>
                <w:rFonts w:eastAsia="Times New Roman"/>
                <w:b/>
                <w:bCs/>
                <w:sz w:val="20"/>
                <w:szCs w:val="20"/>
                <w:lang w:eastAsia="hr-HR"/>
              </w:rPr>
              <w:t>3,7</w:t>
            </w:r>
          </w:p>
        </w:tc>
        <w:tc>
          <w:tcPr>
            <w:tcW w:w="1559" w:type="dxa"/>
            <w:shd w:val="clear" w:color="000000" w:fill="FFFF99"/>
            <w:vAlign w:val="center"/>
          </w:tcPr>
          <w:p w14:paraId="456FC39C" w14:textId="6DE698F9" w:rsidR="00F80C16" w:rsidRPr="003E4E58" w:rsidRDefault="00F80C16" w:rsidP="00F80C16">
            <w:pPr>
              <w:jc w:val="right"/>
              <w:rPr>
                <w:b/>
                <w:sz w:val="20"/>
                <w:szCs w:val="14"/>
              </w:rPr>
            </w:pPr>
            <w:r w:rsidRPr="003E4E58">
              <w:rPr>
                <w:rFonts w:eastAsia="Times New Roman"/>
                <w:b/>
                <w:bCs/>
                <w:sz w:val="20"/>
                <w:szCs w:val="20"/>
                <w:lang w:eastAsia="hr-HR"/>
              </w:rPr>
              <w:t>0,03</w:t>
            </w:r>
          </w:p>
        </w:tc>
      </w:tr>
      <w:tr w:rsidR="00F80C16" w:rsidRPr="003E4E58" w14:paraId="40402C0E" w14:textId="77777777" w:rsidTr="007A7C7C">
        <w:trPr>
          <w:trHeight w:val="40"/>
        </w:trPr>
        <w:tc>
          <w:tcPr>
            <w:tcW w:w="3376" w:type="dxa"/>
            <w:shd w:val="clear" w:color="auto" w:fill="auto"/>
            <w:vAlign w:val="center"/>
            <w:hideMark/>
          </w:tcPr>
          <w:p w14:paraId="5ED2E6C8" w14:textId="77777777" w:rsidR="00F80C16" w:rsidRPr="003E4E58" w:rsidRDefault="00F80C16" w:rsidP="00F80C16">
            <w:pPr>
              <w:rPr>
                <w:rFonts w:eastAsia="Times New Roman"/>
                <w:sz w:val="20"/>
                <w:szCs w:val="20"/>
              </w:rPr>
            </w:pPr>
            <w:r w:rsidRPr="003E4E58">
              <w:rPr>
                <w:rFonts w:eastAsia="Times New Roman"/>
                <w:sz w:val="20"/>
                <w:szCs w:val="20"/>
              </w:rPr>
              <w:t>udio (%) u horizontalnim ciljevima</w:t>
            </w:r>
          </w:p>
        </w:tc>
        <w:tc>
          <w:tcPr>
            <w:tcW w:w="1439" w:type="dxa"/>
            <w:vAlign w:val="center"/>
          </w:tcPr>
          <w:p w14:paraId="5BEC8043" w14:textId="351B3D7C" w:rsidR="00F80C16" w:rsidRPr="003E4E58" w:rsidRDefault="00F80C16" w:rsidP="00F80C16">
            <w:pPr>
              <w:jc w:val="center"/>
              <w:rPr>
                <w:sz w:val="20"/>
                <w:szCs w:val="14"/>
              </w:rPr>
            </w:pPr>
            <w:r w:rsidRPr="003E4E58">
              <w:rPr>
                <w:rFonts w:eastAsia="Times New Roman"/>
                <w:sz w:val="20"/>
                <w:szCs w:val="20"/>
                <w:lang w:eastAsia="hr-HR"/>
              </w:rPr>
              <w:t>1,13</w:t>
            </w:r>
          </w:p>
        </w:tc>
        <w:tc>
          <w:tcPr>
            <w:tcW w:w="1559" w:type="dxa"/>
            <w:vAlign w:val="center"/>
          </w:tcPr>
          <w:p w14:paraId="1B0182FA" w14:textId="71128587" w:rsidR="00F80C16" w:rsidRPr="003E4E58" w:rsidRDefault="00F80C16" w:rsidP="00F80C16">
            <w:pPr>
              <w:jc w:val="center"/>
              <w:rPr>
                <w:sz w:val="20"/>
                <w:szCs w:val="14"/>
              </w:rPr>
            </w:pPr>
            <w:r w:rsidRPr="003E4E58">
              <w:rPr>
                <w:rFonts w:eastAsia="Times New Roman"/>
                <w:sz w:val="20"/>
                <w:szCs w:val="20"/>
                <w:lang w:eastAsia="hr-HR"/>
              </w:rPr>
              <w:t>3,70</w:t>
            </w:r>
          </w:p>
        </w:tc>
        <w:tc>
          <w:tcPr>
            <w:tcW w:w="1559" w:type="dxa"/>
            <w:vAlign w:val="center"/>
          </w:tcPr>
          <w:p w14:paraId="240A753B" w14:textId="6E9970D2" w:rsidR="00F80C16" w:rsidRPr="003E4E58" w:rsidRDefault="00F80C16" w:rsidP="00F80C16">
            <w:pPr>
              <w:jc w:val="center"/>
              <w:rPr>
                <w:sz w:val="20"/>
                <w:szCs w:val="14"/>
              </w:rPr>
            </w:pPr>
            <w:r w:rsidRPr="003E4E58">
              <w:rPr>
                <w:rFonts w:eastAsia="Times New Roman"/>
                <w:sz w:val="20"/>
                <w:szCs w:val="20"/>
                <w:lang w:eastAsia="hr-HR"/>
              </w:rPr>
              <w:t>0,01</w:t>
            </w:r>
          </w:p>
        </w:tc>
      </w:tr>
      <w:tr w:rsidR="00F80C16" w:rsidRPr="003E4E58" w14:paraId="52AF0A5B" w14:textId="77777777" w:rsidTr="007A7C7C">
        <w:trPr>
          <w:trHeight w:val="90"/>
        </w:trPr>
        <w:tc>
          <w:tcPr>
            <w:tcW w:w="3376" w:type="dxa"/>
            <w:shd w:val="clear" w:color="auto" w:fill="auto"/>
            <w:vAlign w:val="center"/>
            <w:hideMark/>
          </w:tcPr>
          <w:p w14:paraId="78E6E3D5" w14:textId="77777777" w:rsidR="00F80C16" w:rsidRPr="003E4E58" w:rsidRDefault="00F80C16" w:rsidP="00F80C16">
            <w:pPr>
              <w:rPr>
                <w:rFonts w:eastAsia="Times New Roman"/>
                <w:sz w:val="20"/>
                <w:szCs w:val="20"/>
              </w:rPr>
            </w:pPr>
            <w:r w:rsidRPr="003E4E58">
              <w:rPr>
                <w:rFonts w:eastAsia="Times New Roman"/>
                <w:sz w:val="20"/>
                <w:szCs w:val="20"/>
              </w:rPr>
              <w:t>udio (%) u ukupnim potporama (bez poljoprivrede i ribarstva)</w:t>
            </w:r>
          </w:p>
        </w:tc>
        <w:tc>
          <w:tcPr>
            <w:tcW w:w="1439" w:type="dxa"/>
            <w:vAlign w:val="center"/>
          </w:tcPr>
          <w:p w14:paraId="4CBF5EE9" w14:textId="0F8A0DF8" w:rsidR="00F80C16" w:rsidRPr="003E4E58" w:rsidRDefault="00F80C16" w:rsidP="00F80C16">
            <w:pPr>
              <w:jc w:val="center"/>
              <w:rPr>
                <w:sz w:val="20"/>
                <w:szCs w:val="14"/>
              </w:rPr>
            </w:pPr>
            <w:r w:rsidRPr="003E4E58">
              <w:rPr>
                <w:rFonts w:eastAsia="Times New Roman"/>
                <w:sz w:val="20"/>
                <w:szCs w:val="20"/>
                <w:lang w:eastAsia="hr-HR"/>
              </w:rPr>
              <w:t>0,17</w:t>
            </w:r>
          </w:p>
        </w:tc>
        <w:tc>
          <w:tcPr>
            <w:tcW w:w="1559" w:type="dxa"/>
            <w:vAlign w:val="center"/>
          </w:tcPr>
          <w:p w14:paraId="64A8E649" w14:textId="3E46A94D" w:rsidR="00F80C16" w:rsidRPr="003E4E58" w:rsidRDefault="00F80C16" w:rsidP="00F80C16">
            <w:pPr>
              <w:jc w:val="center"/>
              <w:rPr>
                <w:sz w:val="20"/>
                <w:szCs w:val="14"/>
              </w:rPr>
            </w:pPr>
            <w:r w:rsidRPr="003E4E58">
              <w:rPr>
                <w:rFonts w:eastAsia="Times New Roman"/>
                <w:sz w:val="20"/>
                <w:szCs w:val="20"/>
                <w:lang w:eastAsia="hr-HR"/>
              </w:rPr>
              <w:t>0,18</w:t>
            </w:r>
          </w:p>
        </w:tc>
        <w:tc>
          <w:tcPr>
            <w:tcW w:w="1559" w:type="dxa"/>
            <w:vAlign w:val="center"/>
          </w:tcPr>
          <w:p w14:paraId="3E976FF6" w14:textId="37D9D061" w:rsidR="00F80C16" w:rsidRPr="003E4E58" w:rsidRDefault="00F80C16" w:rsidP="00F80C16">
            <w:pPr>
              <w:jc w:val="center"/>
              <w:rPr>
                <w:sz w:val="20"/>
                <w:szCs w:val="14"/>
              </w:rPr>
            </w:pPr>
            <w:r w:rsidRPr="003E4E58">
              <w:rPr>
                <w:rFonts w:eastAsia="Times New Roman"/>
                <w:sz w:val="20"/>
                <w:szCs w:val="20"/>
                <w:lang w:eastAsia="hr-HR"/>
              </w:rPr>
              <w:t>0,001</w:t>
            </w:r>
          </w:p>
        </w:tc>
      </w:tr>
      <w:tr w:rsidR="00F80C16" w:rsidRPr="003E4E58" w14:paraId="6ABF999F" w14:textId="77777777" w:rsidTr="007A7C7C">
        <w:trPr>
          <w:trHeight w:val="40"/>
        </w:trPr>
        <w:tc>
          <w:tcPr>
            <w:tcW w:w="3376" w:type="dxa"/>
            <w:shd w:val="clear" w:color="auto" w:fill="auto"/>
            <w:vAlign w:val="center"/>
            <w:hideMark/>
          </w:tcPr>
          <w:p w14:paraId="202D24AB" w14:textId="77777777" w:rsidR="00F80C16" w:rsidRPr="003E4E58" w:rsidRDefault="00F80C16" w:rsidP="00F80C16">
            <w:pPr>
              <w:rPr>
                <w:rFonts w:eastAsia="Times New Roman"/>
                <w:sz w:val="20"/>
                <w:szCs w:val="20"/>
              </w:rPr>
            </w:pPr>
            <w:r w:rsidRPr="003E4E58">
              <w:rPr>
                <w:rFonts w:eastAsia="Times New Roman"/>
                <w:sz w:val="20"/>
                <w:szCs w:val="20"/>
              </w:rPr>
              <w:t>udio (%) u ukupnim potporama</w:t>
            </w:r>
          </w:p>
        </w:tc>
        <w:tc>
          <w:tcPr>
            <w:tcW w:w="1439" w:type="dxa"/>
            <w:vAlign w:val="center"/>
          </w:tcPr>
          <w:p w14:paraId="7EE48544" w14:textId="3A1BF82C" w:rsidR="00F80C16" w:rsidRPr="003E4E58" w:rsidRDefault="00F80C16" w:rsidP="00F80C16">
            <w:pPr>
              <w:jc w:val="center"/>
              <w:rPr>
                <w:sz w:val="20"/>
                <w:szCs w:val="14"/>
              </w:rPr>
            </w:pPr>
            <w:r w:rsidRPr="003E4E58">
              <w:rPr>
                <w:rFonts w:eastAsia="Times New Roman"/>
                <w:sz w:val="20"/>
                <w:szCs w:val="20"/>
                <w:lang w:eastAsia="hr-HR"/>
              </w:rPr>
              <w:t>0,11</w:t>
            </w:r>
          </w:p>
        </w:tc>
        <w:tc>
          <w:tcPr>
            <w:tcW w:w="1559" w:type="dxa"/>
            <w:vAlign w:val="center"/>
          </w:tcPr>
          <w:p w14:paraId="1FD9770B" w14:textId="5E0C8F24" w:rsidR="00F80C16" w:rsidRPr="003E4E58" w:rsidRDefault="00F80C16" w:rsidP="00F80C16">
            <w:pPr>
              <w:jc w:val="center"/>
              <w:rPr>
                <w:sz w:val="20"/>
                <w:szCs w:val="14"/>
              </w:rPr>
            </w:pPr>
            <w:r w:rsidRPr="003E4E58">
              <w:rPr>
                <w:rFonts w:eastAsia="Times New Roman"/>
                <w:sz w:val="20"/>
                <w:szCs w:val="20"/>
                <w:lang w:eastAsia="hr-HR"/>
              </w:rPr>
              <w:t>0,12</w:t>
            </w:r>
          </w:p>
        </w:tc>
        <w:tc>
          <w:tcPr>
            <w:tcW w:w="1559" w:type="dxa"/>
            <w:vAlign w:val="center"/>
          </w:tcPr>
          <w:p w14:paraId="74B8A5DA" w14:textId="22DC4C25" w:rsidR="00F80C16" w:rsidRPr="003E4E58" w:rsidRDefault="00F80C16" w:rsidP="00F80C16">
            <w:pPr>
              <w:jc w:val="center"/>
              <w:rPr>
                <w:sz w:val="20"/>
                <w:szCs w:val="14"/>
              </w:rPr>
            </w:pPr>
            <w:r w:rsidRPr="003E4E58">
              <w:rPr>
                <w:rFonts w:eastAsia="Times New Roman"/>
                <w:sz w:val="20"/>
                <w:szCs w:val="20"/>
                <w:lang w:eastAsia="hr-HR"/>
              </w:rPr>
              <w:t>0,001</w:t>
            </w:r>
          </w:p>
        </w:tc>
      </w:tr>
      <w:tr w:rsidR="00F80C16" w:rsidRPr="003E4E58" w14:paraId="3168AAA3" w14:textId="77777777" w:rsidTr="007A7C7C">
        <w:trPr>
          <w:trHeight w:val="40"/>
        </w:trPr>
        <w:tc>
          <w:tcPr>
            <w:tcW w:w="3376" w:type="dxa"/>
            <w:shd w:val="clear" w:color="auto" w:fill="auto"/>
            <w:vAlign w:val="center"/>
            <w:hideMark/>
          </w:tcPr>
          <w:p w14:paraId="53756BA9" w14:textId="77777777" w:rsidR="00F80C16" w:rsidRPr="003E4E58" w:rsidRDefault="00F80C16" w:rsidP="00F80C16">
            <w:pPr>
              <w:rPr>
                <w:rFonts w:eastAsia="Times New Roman"/>
                <w:sz w:val="20"/>
                <w:szCs w:val="20"/>
              </w:rPr>
            </w:pPr>
            <w:r w:rsidRPr="003E4E58">
              <w:rPr>
                <w:rFonts w:eastAsia="Times New Roman"/>
                <w:sz w:val="20"/>
                <w:szCs w:val="20"/>
              </w:rPr>
              <w:t>udio (%) u BDP-u</w:t>
            </w:r>
          </w:p>
        </w:tc>
        <w:tc>
          <w:tcPr>
            <w:tcW w:w="1439" w:type="dxa"/>
            <w:vAlign w:val="center"/>
          </w:tcPr>
          <w:p w14:paraId="5AB018BF" w14:textId="7861E8C7" w:rsidR="00F80C16" w:rsidRPr="003E4E58" w:rsidRDefault="00F80C16" w:rsidP="00F80C16">
            <w:pPr>
              <w:jc w:val="center"/>
              <w:rPr>
                <w:sz w:val="20"/>
                <w:szCs w:val="14"/>
              </w:rPr>
            </w:pPr>
            <w:r w:rsidRPr="003E4E58">
              <w:rPr>
                <w:rFonts w:eastAsia="Times New Roman"/>
                <w:sz w:val="20"/>
                <w:szCs w:val="20"/>
                <w:lang w:eastAsia="hr-HR"/>
              </w:rPr>
              <w:t>0,005</w:t>
            </w:r>
          </w:p>
        </w:tc>
        <w:tc>
          <w:tcPr>
            <w:tcW w:w="1559" w:type="dxa"/>
            <w:vAlign w:val="center"/>
          </w:tcPr>
          <w:p w14:paraId="30B235DF" w14:textId="5F2C031E" w:rsidR="00F80C16" w:rsidRPr="003E4E58" w:rsidRDefault="00F80C16" w:rsidP="00F80C16">
            <w:pPr>
              <w:jc w:val="center"/>
              <w:rPr>
                <w:sz w:val="20"/>
                <w:szCs w:val="14"/>
              </w:rPr>
            </w:pPr>
            <w:r w:rsidRPr="003E4E58">
              <w:rPr>
                <w:rFonts w:eastAsia="Times New Roman"/>
                <w:sz w:val="20"/>
                <w:szCs w:val="20"/>
                <w:lang w:eastAsia="hr-HR"/>
              </w:rPr>
              <w:t>0,005</w:t>
            </w:r>
          </w:p>
        </w:tc>
        <w:tc>
          <w:tcPr>
            <w:tcW w:w="1559" w:type="dxa"/>
            <w:vAlign w:val="center"/>
          </w:tcPr>
          <w:p w14:paraId="3FC987B9" w14:textId="3680743C" w:rsidR="00F80C16" w:rsidRPr="003E4E58" w:rsidRDefault="00F80C16" w:rsidP="00F80C16">
            <w:pPr>
              <w:jc w:val="center"/>
              <w:rPr>
                <w:sz w:val="20"/>
                <w:szCs w:val="14"/>
              </w:rPr>
            </w:pPr>
            <w:r w:rsidRPr="003E4E58">
              <w:rPr>
                <w:rFonts w:eastAsia="Times New Roman"/>
                <w:sz w:val="20"/>
                <w:szCs w:val="20"/>
                <w:lang w:eastAsia="hr-HR"/>
              </w:rPr>
              <w:t>0,00004</w:t>
            </w:r>
          </w:p>
        </w:tc>
      </w:tr>
    </w:tbl>
    <w:p w14:paraId="307736FA" w14:textId="77777777" w:rsidR="00D77BA2" w:rsidRPr="0000477C" w:rsidRDefault="00D77BA2" w:rsidP="00D77BA2">
      <w:pPr>
        <w:contextualSpacing/>
        <w:jc w:val="both"/>
        <w:rPr>
          <w:i/>
          <w:sz w:val="20"/>
        </w:rPr>
      </w:pPr>
      <w:r w:rsidRPr="00D77BA2">
        <w:rPr>
          <w:i/>
          <w:sz w:val="20"/>
        </w:rPr>
        <w:t xml:space="preserve">Izvor: Ministarstvo financija i davatelji potpora; podaci obrađeni u </w:t>
      </w:r>
      <w:r w:rsidRPr="0000477C">
        <w:rPr>
          <w:i/>
          <w:sz w:val="20"/>
        </w:rPr>
        <w:t>Ministarstvu financija</w:t>
      </w:r>
    </w:p>
    <w:p w14:paraId="76E0A4EC" w14:textId="77777777" w:rsidR="00B40C67" w:rsidRPr="0000477C" w:rsidRDefault="00B40C67" w:rsidP="00BE487D">
      <w:pPr>
        <w:jc w:val="both"/>
      </w:pPr>
    </w:p>
    <w:p w14:paraId="3130DCD2" w14:textId="1B1357AF" w:rsidR="0000477C" w:rsidRPr="0000477C" w:rsidRDefault="0060630B" w:rsidP="0060630B">
      <w:pPr>
        <w:jc w:val="both"/>
      </w:pPr>
      <w:r w:rsidRPr="0000477C">
        <w:t xml:space="preserve">Udio potpora za usavršavanje u BDP-u </w:t>
      </w:r>
      <w:r w:rsidR="0000477C" w:rsidRPr="0000477C">
        <w:t>u 2023. godini iznosio je 0,00004 posto, u 2022. godini iznosio je 0,005 posto, i u 2021. godini iznosio je 0,005 posto. Udio navedenih potpora u 2023. godini u ukupno dodijeljenim potporama iznosio je 0,001 posto, udio u dodijeljenim potporama u sektoru industrije i usluga u 2023. godini iznosio je 0,001 posto, dok je udio navedenih potpora u horizontalnim ciljevima u 2023. godini iznosio 0,01 posto.</w:t>
      </w:r>
    </w:p>
    <w:p w14:paraId="5019C17D" w14:textId="77777777" w:rsidR="0000477C" w:rsidRPr="0000477C" w:rsidRDefault="0000477C" w:rsidP="0060630B">
      <w:pPr>
        <w:jc w:val="both"/>
      </w:pPr>
    </w:p>
    <w:p w14:paraId="04A76CA5" w14:textId="01399FE8" w:rsidR="00A953EB" w:rsidRPr="000979DE" w:rsidRDefault="0000477C" w:rsidP="00A953EB">
      <w:pPr>
        <w:jc w:val="both"/>
      </w:pPr>
      <w:r w:rsidRPr="00AD6FF6">
        <w:rPr>
          <w:u w:val="single"/>
        </w:rPr>
        <w:t>Hrvatski zavod za zapošljavanje</w:t>
      </w:r>
      <w:r w:rsidRPr="000979DE">
        <w:t xml:space="preserve"> je j</w:t>
      </w:r>
      <w:r w:rsidR="00A551C2" w:rsidRPr="000979DE">
        <w:t>edini davatelj potpora za usavršavanje u 202</w:t>
      </w:r>
      <w:r w:rsidRPr="000979DE">
        <w:t>3</w:t>
      </w:r>
      <w:r w:rsidR="00A551C2" w:rsidRPr="000979DE">
        <w:t>. godini</w:t>
      </w:r>
      <w:r w:rsidR="00A551C2" w:rsidRPr="000979DE">
        <w:rPr>
          <w:b/>
        </w:rPr>
        <w:t xml:space="preserve"> </w:t>
      </w:r>
      <w:r w:rsidRPr="000979DE">
        <w:t xml:space="preserve">s dodijeljenim iznosom od 29.259,60 eura putem subvencija koje je dodijelio temeljem </w:t>
      </w:r>
      <w:r w:rsidR="00124E4C" w:rsidRPr="000979DE">
        <w:t xml:space="preserve">Programa </w:t>
      </w:r>
      <w:r w:rsidR="00A551C2" w:rsidRPr="000979DE">
        <w:t>državnih potpora za zapošljavanje i usavršavanje u nadležnosti Hrvatskog zavoda za zapošljavanje za razdoblje od 2021. do 2023. godine</w:t>
      </w:r>
      <w:r w:rsidRPr="000979DE">
        <w:t xml:space="preserve">, </w:t>
      </w:r>
      <w:r w:rsidR="00BD1054">
        <w:t xml:space="preserve">o kojem je </w:t>
      </w:r>
      <w:r w:rsidR="00A551C2" w:rsidRPr="000979DE">
        <w:t>Europska komisija o</w:t>
      </w:r>
      <w:r w:rsidR="00A953EB" w:rsidRPr="000979DE">
        <w:t xml:space="preserve">baviještena pod brojem SA.60830 </w:t>
      </w:r>
      <w:r w:rsidRPr="000979DE">
        <w:t>odnosno</w:t>
      </w:r>
      <w:r w:rsidR="00A953EB" w:rsidRPr="000979DE">
        <w:t xml:space="preserve"> SA.101955.</w:t>
      </w:r>
    </w:p>
    <w:p w14:paraId="59267010" w14:textId="5D503216" w:rsidR="003272FB" w:rsidRDefault="003272FB" w:rsidP="00BE487D">
      <w:pPr>
        <w:jc w:val="both"/>
      </w:pPr>
    </w:p>
    <w:p w14:paraId="689E6DE0" w14:textId="77777777" w:rsidR="000979DE" w:rsidRPr="00D77BA2" w:rsidRDefault="000979DE" w:rsidP="00BE487D">
      <w:pPr>
        <w:jc w:val="both"/>
      </w:pPr>
    </w:p>
    <w:p w14:paraId="07DD67C0" w14:textId="77777777" w:rsidR="001E38B5" w:rsidRPr="00D77BA2" w:rsidRDefault="001E38B5" w:rsidP="00BE487D">
      <w:pPr>
        <w:jc w:val="both"/>
      </w:pPr>
    </w:p>
    <w:p w14:paraId="53E1DDA2" w14:textId="2EEA15AE" w:rsidR="00BB6808" w:rsidRPr="00D77BA2" w:rsidRDefault="00E668F9" w:rsidP="00BE487D">
      <w:pPr>
        <w:pStyle w:val="Heading3"/>
        <w:numPr>
          <w:ilvl w:val="2"/>
          <w:numId w:val="1"/>
        </w:numPr>
        <w:spacing w:before="0"/>
        <w:jc w:val="both"/>
        <w:rPr>
          <w:rFonts w:ascii="Times New Roman" w:hAnsi="Times New Roman" w:cs="Times New Roman"/>
          <w:b/>
          <w:color w:val="auto"/>
        </w:rPr>
      </w:pPr>
      <w:bookmarkStart w:id="16" w:name="_Toc184635847"/>
      <w:r w:rsidRPr="00D77BA2">
        <w:rPr>
          <w:rFonts w:ascii="Times New Roman" w:hAnsi="Times New Roman" w:cs="Times New Roman"/>
          <w:b/>
          <w:i/>
          <w:color w:val="auto"/>
          <w:lang w:eastAsia="hr-HR"/>
        </w:rPr>
        <w:t>Potpore malim i srednjim poduzetnicima</w:t>
      </w:r>
      <w:bookmarkEnd w:id="16"/>
    </w:p>
    <w:p w14:paraId="1B006DA0" w14:textId="77777777" w:rsidR="00E668F9" w:rsidRPr="00D77BA2" w:rsidRDefault="00E668F9" w:rsidP="00BE487D">
      <w:pPr>
        <w:jc w:val="both"/>
      </w:pPr>
    </w:p>
    <w:p w14:paraId="7A7A6624" w14:textId="77777777" w:rsidR="00E668F9" w:rsidRPr="00D77BA2" w:rsidRDefault="00E668F9" w:rsidP="00BE487D">
      <w:pPr>
        <w:jc w:val="both"/>
      </w:pPr>
    </w:p>
    <w:p w14:paraId="4B3DB927" w14:textId="72173D07" w:rsidR="000979DE" w:rsidRPr="000979DE" w:rsidRDefault="004972DA" w:rsidP="00BE487D">
      <w:pPr>
        <w:jc w:val="both"/>
      </w:pPr>
      <w:r w:rsidRPr="000979DE">
        <w:t>Potpore malim i srednjim poduzetnicima</w:t>
      </w:r>
      <w:r w:rsidRPr="000979DE">
        <w:rPr>
          <w:rStyle w:val="FootnoteReference"/>
        </w:rPr>
        <w:footnoteReference w:id="27"/>
      </w:r>
      <w:r w:rsidRPr="000979DE">
        <w:t xml:space="preserve"> </w:t>
      </w:r>
      <w:r w:rsidR="000979DE" w:rsidRPr="000979DE">
        <w:t>su dodijeljene u 2023. godini u iznosu od 7,8 milijuna eura, što je povećanje za 5 milijuna eura ili za 181 posto u odnosu na 2022. godinu, kada su navedene potpore iznosile 2,8 milijuna eura, te je smanjenje za 131,4 milijuna eura ili za 94,4 posto u odnosu na 2021. godinu kada su potpore malim i srednjim poduzetnicima iznosile 139,2 milijuna eura</w:t>
      </w:r>
      <w:r w:rsidR="000979DE">
        <w:t>.</w:t>
      </w:r>
    </w:p>
    <w:p w14:paraId="38D45E84" w14:textId="77777777" w:rsidR="005F1DB3" w:rsidRPr="000979DE" w:rsidRDefault="005F1DB3" w:rsidP="00BE487D">
      <w:pPr>
        <w:jc w:val="both"/>
      </w:pPr>
    </w:p>
    <w:p w14:paraId="6E023A92" w14:textId="77777777" w:rsidR="00AD6FF6" w:rsidRDefault="00AD6FF6">
      <w:pPr>
        <w:rPr>
          <w:b/>
        </w:rPr>
      </w:pPr>
      <w:r>
        <w:rPr>
          <w:b/>
        </w:rPr>
        <w:br w:type="page"/>
      </w:r>
    </w:p>
    <w:p w14:paraId="1729B1D9" w14:textId="310A2A37" w:rsidR="004972DA" w:rsidRPr="00AD6FF6" w:rsidRDefault="004972DA" w:rsidP="00BE487D">
      <w:pPr>
        <w:jc w:val="both"/>
      </w:pPr>
      <w:r w:rsidRPr="00AD6FF6">
        <w:lastRenderedPageBreak/>
        <w:t xml:space="preserve">Tablica </w:t>
      </w:r>
      <w:r w:rsidR="00381995" w:rsidRPr="00AD6FF6">
        <w:t>11</w:t>
      </w:r>
      <w:r w:rsidRPr="00AD6FF6">
        <w:t>. Potpore malim i srednjim poduzetnicima u razdoblju od 20</w:t>
      </w:r>
      <w:r w:rsidR="00AB080D" w:rsidRPr="00AD6FF6">
        <w:t>2</w:t>
      </w:r>
      <w:r w:rsidR="00381995" w:rsidRPr="00AD6FF6">
        <w:t>1</w:t>
      </w:r>
      <w:r w:rsidRPr="00AD6FF6">
        <w:t>. do 202</w:t>
      </w:r>
      <w:r w:rsidR="00381995" w:rsidRPr="00AD6FF6">
        <w:t>3</w:t>
      </w:r>
      <w:r w:rsidRPr="00AD6FF6">
        <w:t>. godine</w:t>
      </w:r>
    </w:p>
    <w:p w14:paraId="41639C7C" w14:textId="2F7C4AE9" w:rsidR="007D617C" w:rsidRPr="000979DE" w:rsidRDefault="007D617C" w:rsidP="00BE487D">
      <w:pPr>
        <w:jc w:val="both"/>
        <w:rPr>
          <w:rFonts w:eastAsia="Calibri"/>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1560"/>
        <w:gridCol w:w="1417"/>
      </w:tblGrid>
      <w:tr w:rsidR="00D77BA2" w:rsidRPr="00D77BA2" w14:paraId="306C8442" w14:textId="77777777" w:rsidTr="00D77BA2">
        <w:trPr>
          <w:trHeight w:val="38"/>
        </w:trPr>
        <w:tc>
          <w:tcPr>
            <w:tcW w:w="4106" w:type="dxa"/>
            <w:vMerge w:val="restart"/>
            <w:shd w:val="clear" w:color="000000" w:fill="FFFF99"/>
            <w:noWrap/>
            <w:vAlign w:val="center"/>
            <w:hideMark/>
          </w:tcPr>
          <w:p w14:paraId="7DAD0D5F" w14:textId="2DC093E8" w:rsidR="00D77BA2" w:rsidRPr="00D77BA2" w:rsidRDefault="00D77BA2" w:rsidP="007A7C7C">
            <w:pPr>
              <w:rPr>
                <w:rFonts w:eastAsia="Times New Roman"/>
                <w:b/>
                <w:bCs/>
                <w:sz w:val="20"/>
                <w:szCs w:val="20"/>
              </w:rPr>
            </w:pPr>
            <w:r w:rsidRPr="00D77BA2">
              <w:rPr>
                <w:rFonts w:eastAsia="Times New Roman"/>
                <w:b/>
                <w:bCs/>
                <w:sz w:val="20"/>
                <w:szCs w:val="20"/>
              </w:rPr>
              <w:t>Mali i srednji poduzetnici</w:t>
            </w:r>
          </w:p>
        </w:tc>
        <w:tc>
          <w:tcPr>
            <w:tcW w:w="1559" w:type="dxa"/>
            <w:shd w:val="clear" w:color="000000" w:fill="FFFF99"/>
            <w:vAlign w:val="center"/>
          </w:tcPr>
          <w:p w14:paraId="72E6F39D" w14:textId="1A816F0B" w:rsidR="00D77BA2" w:rsidRPr="00D77BA2" w:rsidRDefault="00D77BA2" w:rsidP="00D77BA2">
            <w:pPr>
              <w:jc w:val="center"/>
              <w:rPr>
                <w:rFonts w:eastAsia="Times New Roman"/>
                <w:b/>
                <w:bCs/>
                <w:sz w:val="20"/>
                <w:szCs w:val="20"/>
              </w:rPr>
            </w:pPr>
            <w:r w:rsidRPr="00D77BA2">
              <w:rPr>
                <w:b/>
                <w:sz w:val="20"/>
                <w:szCs w:val="20"/>
              </w:rPr>
              <w:t>2021.</w:t>
            </w:r>
          </w:p>
        </w:tc>
        <w:tc>
          <w:tcPr>
            <w:tcW w:w="1560" w:type="dxa"/>
            <w:shd w:val="clear" w:color="000000" w:fill="FFFF99"/>
            <w:vAlign w:val="center"/>
          </w:tcPr>
          <w:p w14:paraId="211CC2DA" w14:textId="77777777" w:rsidR="00D77BA2" w:rsidRPr="00D77BA2" w:rsidRDefault="00D77BA2" w:rsidP="007A7C7C">
            <w:pPr>
              <w:jc w:val="center"/>
              <w:rPr>
                <w:rFonts w:eastAsia="Times New Roman"/>
                <w:b/>
                <w:bCs/>
                <w:sz w:val="20"/>
                <w:szCs w:val="20"/>
              </w:rPr>
            </w:pPr>
            <w:r w:rsidRPr="00D77BA2">
              <w:rPr>
                <w:b/>
                <w:sz w:val="20"/>
                <w:szCs w:val="20"/>
              </w:rPr>
              <w:t>2022.</w:t>
            </w:r>
          </w:p>
        </w:tc>
        <w:tc>
          <w:tcPr>
            <w:tcW w:w="1417" w:type="dxa"/>
            <w:shd w:val="clear" w:color="000000" w:fill="FFFF99"/>
            <w:vAlign w:val="center"/>
          </w:tcPr>
          <w:p w14:paraId="676BDF90" w14:textId="77777777" w:rsidR="00D77BA2" w:rsidRPr="00D77BA2" w:rsidRDefault="00D77BA2" w:rsidP="007A7C7C">
            <w:pPr>
              <w:jc w:val="center"/>
              <w:rPr>
                <w:rFonts w:eastAsia="Times New Roman"/>
                <w:b/>
                <w:bCs/>
                <w:sz w:val="20"/>
                <w:szCs w:val="20"/>
              </w:rPr>
            </w:pPr>
            <w:r w:rsidRPr="00D77BA2">
              <w:rPr>
                <w:b/>
                <w:sz w:val="20"/>
                <w:szCs w:val="20"/>
              </w:rPr>
              <w:t>2023.</w:t>
            </w:r>
          </w:p>
        </w:tc>
      </w:tr>
      <w:tr w:rsidR="00D77BA2" w:rsidRPr="00D77BA2" w14:paraId="423ADF20" w14:textId="77777777" w:rsidTr="00D77BA2">
        <w:trPr>
          <w:trHeight w:val="212"/>
        </w:trPr>
        <w:tc>
          <w:tcPr>
            <w:tcW w:w="4106" w:type="dxa"/>
            <w:vMerge/>
            <w:vAlign w:val="center"/>
            <w:hideMark/>
          </w:tcPr>
          <w:p w14:paraId="4E1AB5DC" w14:textId="77777777" w:rsidR="00D77BA2" w:rsidRPr="00D77BA2" w:rsidRDefault="00D77BA2" w:rsidP="007A7C7C">
            <w:pPr>
              <w:rPr>
                <w:rFonts w:eastAsia="Times New Roman"/>
                <w:b/>
                <w:bCs/>
                <w:sz w:val="20"/>
                <w:szCs w:val="20"/>
              </w:rPr>
            </w:pPr>
          </w:p>
        </w:tc>
        <w:tc>
          <w:tcPr>
            <w:tcW w:w="1559" w:type="dxa"/>
            <w:shd w:val="clear" w:color="000000" w:fill="FFFF99"/>
            <w:vAlign w:val="center"/>
          </w:tcPr>
          <w:p w14:paraId="71BFA99C" w14:textId="3FAB74CD" w:rsidR="00D77BA2" w:rsidRPr="00D77BA2" w:rsidRDefault="00D77BA2" w:rsidP="00D77BA2">
            <w:pPr>
              <w:jc w:val="center"/>
              <w:rPr>
                <w:rFonts w:eastAsia="Times New Roman"/>
                <w:b/>
                <w:sz w:val="18"/>
                <w:szCs w:val="20"/>
              </w:rPr>
            </w:pPr>
            <w:r w:rsidRPr="00D77BA2">
              <w:rPr>
                <w:b/>
                <w:sz w:val="20"/>
                <w:szCs w:val="20"/>
              </w:rPr>
              <w:t xml:space="preserve">u </w:t>
            </w:r>
            <w:proofErr w:type="spellStart"/>
            <w:r w:rsidRPr="00D77BA2">
              <w:rPr>
                <w:b/>
                <w:sz w:val="20"/>
                <w:szCs w:val="20"/>
              </w:rPr>
              <w:t>mln</w:t>
            </w:r>
            <w:proofErr w:type="spellEnd"/>
            <w:r w:rsidRPr="00D77BA2">
              <w:rPr>
                <w:b/>
                <w:sz w:val="20"/>
                <w:szCs w:val="20"/>
              </w:rPr>
              <w:t xml:space="preserve"> EUR</w:t>
            </w:r>
          </w:p>
        </w:tc>
        <w:tc>
          <w:tcPr>
            <w:tcW w:w="1560" w:type="dxa"/>
            <w:shd w:val="clear" w:color="000000" w:fill="FFFF99"/>
            <w:vAlign w:val="center"/>
          </w:tcPr>
          <w:p w14:paraId="60DACD11" w14:textId="77777777" w:rsidR="00D77BA2" w:rsidRPr="00D77BA2" w:rsidRDefault="00D77BA2" w:rsidP="007A7C7C">
            <w:pPr>
              <w:jc w:val="center"/>
              <w:rPr>
                <w:rFonts w:eastAsia="Times New Roman"/>
                <w:b/>
                <w:sz w:val="18"/>
                <w:szCs w:val="20"/>
              </w:rPr>
            </w:pPr>
            <w:r w:rsidRPr="00D77BA2">
              <w:rPr>
                <w:b/>
                <w:sz w:val="20"/>
                <w:szCs w:val="20"/>
              </w:rPr>
              <w:t xml:space="preserve">u </w:t>
            </w:r>
            <w:proofErr w:type="spellStart"/>
            <w:r w:rsidRPr="00D77BA2">
              <w:rPr>
                <w:b/>
                <w:sz w:val="20"/>
                <w:szCs w:val="20"/>
              </w:rPr>
              <w:t>mln</w:t>
            </w:r>
            <w:proofErr w:type="spellEnd"/>
            <w:r w:rsidRPr="00D77BA2">
              <w:rPr>
                <w:b/>
                <w:sz w:val="20"/>
                <w:szCs w:val="20"/>
              </w:rPr>
              <w:t xml:space="preserve"> EUR</w:t>
            </w:r>
          </w:p>
        </w:tc>
        <w:tc>
          <w:tcPr>
            <w:tcW w:w="1417" w:type="dxa"/>
            <w:shd w:val="clear" w:color="000000" w:fill="FFFF99"/>
            <w:vAlign w:val="center"/>
          </w:tcPr>
          <w:p w14:paraId="44F9E7B5" w14:textId="77777777" w:rsidR="00D77BA2" w:rsidRPr="00D77BA2" w:rsidRDefault="00D77BA2" w:rsidP="007A7C7C">
            <w:pPr>
              <w:jc w:val="center"/>
              <w:rPr>
                <w:rFonts w:eastAsia="Times New Roman"/>
                <w:b/>
                <w:sz w:val="18"/>
                <w:szCs w:val="20"/>
              </w:rPr>
            </w:pPr>
            <w:r w:rsidRPr="00D77BA2">
              <w:rPr>
                <w:b/>
                <w:sz w:val="20"/>
                <w:szCs w:val="20"/>
              </w:rPr>
              <w:t xml:space="preserve">u </w:t>
            </w:r>
            <w:proofErr w:type="spellStart"/>
            <w:r w:rsidRPr="00D77BA2">
              <w:rPr>
                <w:b/>
                <w:sz w:val="20"/>
                <w:szCs w:val="20"/>
              </w:rPr>
              <w:t>mln</w:t>
            </w:r>
            <w:proofErr w:type="spellEnd"/>
            <w:r w:rsidRPr="00D77BA2">
              <w:rPr>
                <w:b/>
                <w:sz w:val="20"/>
                <w:szCs w:val="20"/>
              </w:rPr>
              <w:t xml:space="preserve"> EUR</w:t>
            </w:r>
          </w:p>
        </w:tc>
      </w:tr>
      <w:tr w:rsidR="00D77BA2" w:rsidRPr="00D77BA2" w14:paraId="3FE8218E" w14:textId="77777777" w:rsidTr="00D77BA2">
        <w:trPr>
          <w:trHeight w:val="40"/>
        </w:trPr>
        <w:tc>
          <w:tcPr>
            <w:tcW w:w="4106" w:type="dxa"/>
            <w:shd w:val="clear" w:color="auto" w:fill="auto"/>
            <w:noWrap/>
            <w:vAlign w:val="center"/>
            <w:hideMark/>
          </w:tcPr>
          <w:p w14:paraId="678E9654" w14:textId="16B64B31" w:rsidR="00D77BA2" w:rsidRPr="00D77BA2" w:rsidRDefault="00D77BA2" w:rsidP="00D77BA2">
            <w:pPr>
              <w:rPr>
                <w:rFonts w:eastAsia="Times New Roman"/>
                <w:b/>
                <w:bCs/>
                <w:sz w:val="20"/>
                <w:szCs w:val="20"/>
              </w:rPr>
            </w:pPr>
            <w:r w:rsidRPr="00D77BA2">
              <w:rPr>
                <w:rFonts w:eastAsia="Times New Roman"/>
                <w:b/>
                <w:bCs/>
                <w:sz w:val="20"/>
                <w:szCs w:val="20"/>
              </w:rPr>
              <w:t>A1</w:t>
            </w:r>
            <w:r w:rsidRPr="00D77BA2">
              <w:rPr>
                <w:rFonts w:eastAsia="Times New Roman"/>
                <w:sz w:val="20"/>
                <w:szCs w:val="20"/>
              </w:rPr>
              <w:t xml:space="preserve"> subvencije i neposredne subvencije kamata</w:t>
            </w:r>
          </w:p>
        </w:tc>
        <w:tc>
          <w:tcPr>
            <w:tcW w:w="1559" w:type="dxa"/>
            <w:vAlign w:val="center"/>
          </w:tcPr>
          <w:p w14:paraId="642A0E33" w14:textId="7B586416" w:rsidR="00D77BA2" w:rsidRPr="00D77BA2" w:rsidRDefault="00D77BA2" w:rsidP="00D77BA2">
            <w:pPr>
              <w:jc w:val="right"/>
              <w:rPr>
                <w:sz w:val="20"/>
                <w:szCs w:val="14"/>
              </w:rPr>
            </w:pPr>
            <w:r w:rsidRPr="00D77BA2">
              <w:rPr>
                <w:sz w:val="20"/>
                <w:szCs w:val="20"/>
              </w:rPr>
              <w:t>135,0</w:t>
            </w:r>
          </w:p>
        </w:tc>
        <w:tc>
          <w:tcPr>
            <w:tcW w:w="1560" w:type="dxa"/>
            <w:vAlign w:val="center"/>
          </w:tcPr>
          <w:p w14:paraId="3C6F93C4" w14:textId="3513D8E8" w:rsidR="00D77BA2" w:rsidRPr="00D77BA2" w:rsidRDefault="00D77BA2" w:rsidP="00D77BA2">
            <w:pPr>
              <w:jc w:val="right"/>
              <w:rPr>
                <w:sz w:val="20"/>
                <w:szCs w:val="14"/>
              </w:rPr>
            </w:pPr>
            <w:r w:rsidRPr="00D77BA2">
              <w:rPr>
                <w:sz w:val="20"/>
                <w:szCs w:val="20"/>
              </w:rPr>
              <w:t>1,2</w:t>
            </w:r>
          </w:p>
        </w:tc>
        <w:tc>
          <w:tcPr>
            <w:tcW w:w="1417" w:type="dxa"/>
            <w:vAlign w:val="center"/>
          </w:tcPr>
          <w:p w14:paraId="1F84ACDB" w14:textId="668EC146" w:rsidR="00D77BA2" w:rsidRPr="00D77BA2" w:rsidRDefault="00D77BA2" w:rsidP="00D77BA2">
            <w:pPr>
              <w:jc w:val="right"/>
              <w:rPr>
                <w:sz w:val="20"/>
                <w:szCs w:val="14"/>
              </w:rPr>
            </w:pPr>
            <w:r w:rsidRPr="00D77BA2">
              <w:rPr>
                <w:sz w:val="20"/>
                <w:szCs w:val="20"/>
              </w:rPr>
              <w:t>4,7</w:t>
            </w:r>
          </w:p>
        </w:tc>
      </w:tr>
      <w:tr w:rsidR="00D77BA2" w:rsidRPr="00D77BA2" w14:paraId="0096C120" w14:textId="77777777" w:rsidTr="00D77BA2">
        <w:trPr>
          <w:trHeight w:val="40"/>
        </w:trPr>
        <w:tc>
          <w:tcPr>
            <w:tcW w:w="4106" w:type="dxa"/>
            <w:shd w:val="clear" w:color="auto" w:fill="auto"/>
            <w:noWrap/>
            <w:vAlign w:val="center"/>
          </w:tcPr>
          <w:p w14:paraId="2B7B2BC3" w14:textId="6352F8A1" w:rsidR="00D77BA2" w:rsidRPr="00D77BA2" w:rsidRDefault="00D77BA2" w:rsidP="00D77BA2">
            <w:pPr>
              <w:rPr>
                <w:rFonts w:eastAsia="Times New Roman"/>
                <w:b/>
                <w:bCs/>
                <w:sz w:val="20"/>
                <w:szCs w:val="20"/>
              </w:rPr>
            </w:pPr>
            <w:r w:rsidRPr="00D77BA2">
              <w:rPr>
                <w:rFonts w:eastAsia="Times New Roman"/>
                <w:b/>
                <w:bCs/>
                <w:sz w:val="20"/>
                <w:szCs w:val="20"/>
              </w:rPr>
              <w:t xml:space="preserve">C1 </w:t>
            </w:r>
            <w:r w:rsidRPr="00D77BA2">
              <w:rPr>
                <w:rFonts w:eastAsia="Times New Roman"/>
                <w:sz w:val="20"/>
                <w:szCs w:val="20"/>
              </w:rPr>
              <w:t>povoljniji zajmovi</w:t>
            </w:r>
          </w:p>
        </w:tc>
        <w:tc>
          <w:tcPr>
            <w:tcW w:w="1559" w:type="dxa"/>
            <w:vAlign w:val="center"/>
          </w:tcPr>
          <w:p w14:paraId="2F4AA4CB" w14:textId="09048CDE" w:rsidR="00D77BA2" w:rsidRPr="00D77BA2" w:rsidRDefault="00D77BA2" w:rsidP="00D77BA2">
            <w:pPr>
              <w:jc w:val="right"/>
              <w:rPr>
                <w:sz w:val="20"/>
                <w:szCs w:val="14"/>
              </w:rPr>
            </w:pPr>
            <w:r w:rsidRPr="00D77BA2">
              <w:rPr>
                <w:sz w:val="20"/>
                <w:szCs w:val="20"/>
              </w:rPr>
              <w:t>0,0</w:t>
            </w:r>
          </w:p>
        </w:tc>
        <w:tc>
          <w:tcPr>
            <w:tcW w:w="1560" w:type="dxa"/>
            <w:vAlign w:val="center"/>
          </w:tcPr>
          <w:p w14:paraId="5DA0C820" w14:textId="55750ABB" w:rsidR="00D77BA2" w:rsidRPr="00D77BA2" w:rsidRDefault="00D77BA2" w:rsidP="00D77BA2">
            <w:pPr>
              <w:jc w:val="right"/>
              <w:rPr>
                <w:sz w:val="20"/>
                <w:szCs w:val="14"/>
              </w:rPr>
            </w:pPr>
            <w:r w:rsidRPr="00D77BA2">
              <w:rPr>
                <w:sz w:val="20"/>
                <w:szCs w:val="20"/>
              </w:rPr>
              <w:t>0,0</w:t>
            </w:r>
          </w:p>
        </w:tc>
        <w:tc>
          <w:tcPr>
            <w:tcW w:w="1417" w:type="dxa"/>
            <w:vAlign w:val="center"/>
          </w:tcPr>
          <w:p w14:paraId="7C2A5F4B" w14:textId="0D99964A" w:rsidR="00D77BA2" w:rsidRPr="00D77BA2" w:rsidRDefault="00D77BA2" w:rsidP="00D77BA2">
            <w:pPr>
              <w:jc w:val="right"/>
              <w:rPr>
                <w:sz w:val="20"/>
                <w:szCs w:val="14"/>
              </w:rPr>
            </w:pPr>
            <w:r w:rsidRPr="00D77BA2">
              <w:rPr>
                <w:sz w:val="20"/>
                <w:szCs w:val="20"/>
              </w:rPr>
              <w:t>1,1</w:t>
            </w:r>
          </w:p>
        </w:tc>
      </w:tr>
      <w:tr w:rsidR="00D77BA2" w:rsidRPr="00D77BA2" w14:paraId="2262F3BC" w14:textId="77777777" w:rsidTr="00D77BA2">
        <w:trPr>
          <w:trHeight w:val="40"/>
        </w:trPr>
        <w:tc>
          <w:tcPr>
            <w:tcW w:w="4106" w:type="dxa"/>
            <w:shd w:val="clear" w:color="auto" w:fill="auto"/>
            <w:noWrap/>
            <w:vAlign w:val="center"/>
          </w:tcPr>
          <w:p w14:paraId="475C0FD0" w14:textId="011922D1" w:rsidR="00D77BA2" w:rsidRPr="00D77BA2" w:rsidRDefault="00D77BA2" w:rsidP="00D77BA2">
            <w:pPr>
              <w:rPr>
                <w:rFonts w:eastAsia="Times New Roman"/>
                <w:b/>
                <w:bCs/>
                <w:sz w:val="20"/>
                <w:szCs w:val="20"/>
              </w:rPr>
            </w:pPr>
            <w:r w:rsidRPr="00D77BA2">
              <w:rPr>
                <w:rFonts w:eastAsia="Times New Roman"/>
                <w:b/>
                <w:bCs/>
                <w:sz w:val="20"/>
                <w:szCs w:val="20"/>
              </w:rPr>
              <w:t>D1</w:t>
            </w:r>
            <w:r w:rsidRPr="00D77BA2">
              <w:rPr>
                <w:rFonts w:eastAsia="Times New Roman"/>
                <w:sz w:val="20"/>
                <w:szCs w:val="20"/>
              </w:rPr>
              <w:t xml:space="preserve"> jamstva</w:t>
            </w:r>
          </w:p>
        </w:tc>
        <w:tc>
          <w:tcPr>
            <w:tcW w:w="1559" w:type="dxa"/>
            <w:vAlign w:val="center"/>
          </w:tcPr>
          <w:p w14:paraId="31D7867D" w14:textId="0E9CD148" w:rsidR="00D77BA2" w:rsidRPr="00D77BA2" w:rsidRDefault="00D77BA2" w:rsidP="00D77BA2">
            <w:pPr>
              <w:jc w:val="right"/>
              <w:rPr>
                <w:sz w:val="20"/>
                <w:szCs w:val="14"/>
              </w:rPr>
            </w:pPr>
            <w:r w:rsidRPr="00D77BA2">
              <w:rPr>
                <w:sz w:val="20"/>
                <w:szCs w:val="20"/>
              </w:rPr>
              <w:t>4,3</w:t>
            </w:r>
          </w:p>
        </w:tc>
        <w:tc>
          <w:tcPr>
            <w:tcW w:w="1560" w:type="dxa"/>
            <w:vAlign w:val="center"/>
          </w:tcPr>
          <w:p w14:paraId="344F40C7" w14:textId="06298898" w:rsidR="00D77BA2" w:rsidRPr="00D77BA2" w:rsidRDefault="00D77BA2" w:rsidP="00D77BA2">
            <w:pPr>
              <w:jc w:val="right"/>
              <w:rPr>
                <w:sz w:val="20"/>
                <w:szCs w:val="14"/>
              </w:rPr>
            </w:pPr>
            <w:r w:rsidRPr="00D77BA2">
              <w:rPr>
                <w:sz w:val="20"/>
                <w:szCs w:val="20"/>
              </w:rPr>
              <w:t>1,5</w:t>
            </w:r>
          </w:p>
        </w:tc>
        <w:tc>
          <w:tcPr>
            <w:tcW w:w="1417" w:type="dxa"/>
            <w:vAlign w:val="center"/>
          </w:tcPr>
          <w:p w14:paraId="5F74E430" w14:textId="58275206" w:rsidR="00D77BA2" w:rsidRPr="00D77BA2" w:rsidRDefault="00D77BA2" w:rsidP="00D77BA2">
            <w:pPr>
              <w:jc w:val="right"/>
              <w:rPr>
                <w:sz w:val="20"/>
                <w:szCs w:val="14"/>
              </w:rPr>
            </w:pPr>
            <w:r w:rsidRPr="00D77BA2">
              <w:rPr>
                <w:sz w:val="20"/>
                <w:szCs w:val="20"/>
              </w:rPr>
              <w:t>2,0</w:t>
            </w:r>
          </w:p>
        </w:tc>
      </w:tr>
      <w:tr w:rsidR="00D77BA2" w:rsidRPr="00D77BA2" w14:paraId="4D2C2731" w14:textId="77777777" w:rsidTr="00D77BA2">
        <w:trPr>
          <w:trHeight w:val="40"/>
        </w:trPr>
        <w:tc>
          <w:tcPr>
            <w:tcW w:w="4106" w:type="dxa"/>
            <w:shd w:val="clear" w:color="000000" w:fill="FFFF99"/>
            <w:noWrap/>
            <w:vAlign w:val="center"/>
            <w:hideMark/>
          </w:tcPr>
          <w:p w14:paraId="492D3529" w14:textId="77777777" w:rsidR="00D77BA2" w:rsidRPr="00D77BA2" w:rsidRDefault="00D77BA2" w:rsidP="00D77BA2">
            <w:pPr>
              <w:rPr>
                <w:rFonts w:eastAsia="Times New Roman"/>
                <w:b/>
                <w:bCs/>
                <w:sz w:val="20"/>
                <w:szCs w:val="20"/>
              </w:rPr>
            </w:pPr>
            <w:r w:rsidRPr="00D77BA2">
              <w:rPr>
                <w:rFonts w:eastAsia="Times New Roman"/>
                <w:b/>
                <w:bCs/>
                <w:sz w:val="20"/>
                <w:szCs w:val="20"/>
              </w:rPr>
              <w:t>UKUPNO</w:t>
            </w:r>
          </w:p>
        </w:tc>
        <w:tc>
          <w:tcPr>
            <w:tcW w:w="1559" w:type="dxa"/>
            <w:shd w:val="clear" w:color="000000" w:fill="FFFF99"/>
            <w:vAlign w:val="center"/>
          </w:tcPr>
          <w:p w14:paraId="665D32C5" w14:textId="31156636" w:rsidR="00D77BA2" w:rsidRPr="00D77BA2" w:rsidRDefault="00D77BA2" w:rsidP="00D77BA2">
            <w:pPr>
              <w:jc w:val="right"/>
              <w:rPr>
                <w:b/>
                <w:sz w:val="20"/>
                <w:szCs w:val="14"/>
              </w:rPr>
            </w:pPr>
            <w:r w:rsidRPr="00D77BA2">
              <w:rPr>
                <w:b/>
                <w:sz w:val="20"/>
                <w:szCs w:val="20"/>
              </w:rPr>
              <w:t>139,2</w:t>
            </w:r>
          </w:p>
        </w:tc>
        <w:tc>
          <w:tcPr>
            <w:tcW w:w="1560" w:type="dxa"/>
            <w:shd w:val="clear" w:color="000000" w:fill="FFFF99"/>
            <w:vAlign w:val="center"/>
          </w:tcPr>
          <w:p w14:paraId="20719758" w14:textId="0269EED6" w:rsidR="00D77BA2" w:rsidRPr="00D77BA2" w:rsidRDefault="00D77BA2" w:rsidP="00D77BA2">
            <w:pPr>
              <w:jc w:val="right"/>
              <w:rPr>
                <w:b/>
                <w:sz w:val="20"/>
                <w:szCs w:val="14"/>
              </w:rPr>
            </w:pPr>
            <w:r w:rsidRPr="00D77BA2">
              <w:rPr>
                <w:b/>
                <w:sz w:val="20"/>
                <w:szCs w:val="20"/>
              </w:rPr>
              <w:t>2,8</w:t>
            </w:r>
          </w:p>
        </w:tc>
        <w:tc>
          <w:tcPr>
            <w:tcW w:w="1417" w:type="dxa"/>
            <w:shd w:val="clear" w:color="000000" w:fill="FFFF99"/>
            <w:vAlign w:val="center"/>
          </w:tcPr>
          <w:p w14:paraId="40C7D466" w14:textId="77829268" w:rsidR="00D77BA2" w:rsidRPr="00D77BA2" w:rsidRDefault="00D77BA2" w:rsidP="00D77BA2">
            <w:pPr>
              <w:jc w:val="right"/>
              <w:rPr>
                <w:b/>
                <w:sz w:val="20"/>
                <w:szCs w:val="14"/>
              </w:rPr>
            </w:pPr>
            <w:r w:rsidRPr="00D77BA2">
              <w:rPr>
                <w:b/>
                <w:sz w:val="20"/>
                <w:szCs w:val="20"/>
              </w:rPr>
              <w:t>7,8</w:t>
            </w:r>
          </w:p>
        </w:tc>
      </w:tr>
      <w:tr w:rsidR="00D77BA2" w:rsidRPr="00D77BA2" w14:paraId="720B2EA2" w14:textId="77777777" w:rsidTr="00D77BA2">
        <w:trPr>
          <w:trHeight w:val="40"/>
        </w:trPr>
        <w:tc>
          <w:tcPr>
            <w:tcW w:w="4106" w:type="dxa"/>
            <w:shd w:val="clear" w:color="auto" w:fill="auto"/>
            <w:vAlign w:val="center"/>
            <w:hideMark/>
          </w:tcPr>
          <w:p w14:paraId="31E87059" w14:textId="77777777" w:rsidR="00D77BA2" w:rsidRPr="00D77BA2" w:rsidRDefault="00D77BA2" w:rsidP="00D77BA2">
            <w:pPr>
              <w:rPr>
                <w:rFonts w:eastAsia="Times New Roman"/>
                <w:sz w:val="20"/>
                <w:szCs w:val="20"/>
              </w:rPr>
            </w:pPr>
            <w:r w:rsidRPr="00D77BA2">
              <w:rPr>
                <w:rFonts w:eastAsia="Times New Roman"/>
                <w:sz w:val="20"/>
                <w:szCs w:val="20"/>
              </w:rPr>
              <w:t>udio (%) u horizontalnim ciljevima</w:t>
            </w:r>
          </w:p>
        </w:tc>
        <w:tc>
          <w:tcPr>
            <w:tcW w:w="1559" w:type="dxa"/>
            <w:vAlign w:val="center"/>
          </w:tcPr>
          <w:p w14:paraId="3D2ACF3D" w14:textId="552C0159" w:rsidR="00D77BA2" w:rsidRPr="00D77BA2" w:rsidRDefault="00D77BA2" w:rsidP="00D77BA2">
            <w:pPr>
              <w:jc w:val="center"/>
              <w:rPr>
                <w:sz w:val="20"/>
                <w:szCs w:val="14"/>
              </w:rPr>
            </w:pPr>
            <w:r w:rsidRPr="00D77BA2">
              <w:rPr>
                <w:sz w:val="20"/>
                <w:szCs w:val="20"/>
              </w:rPr>
              <w:t>48,69</w:t>
            </w:r>
          </w:p>
        </w:tc>
        <w:tc>
          <w:tcPr>
            <w:tcW w:w="1560" w:type="dxa"/>
            <w:vAlign w:val="center"/>
          </w:tcPr>
          <w:p w14:paraId="2E5D26E3" w14:textId="143C9258" w:rsidR="00D77BA2" w:rsidRPr="00D77BA2" w:rsidRDefault="00D77BA2" w:rsidP="00D77BA2">
            <w:pPr>
              <w:jc w:val="center"/>
              <w:rPr>
                <w:sz w:val="20"/>
                <w:szCs w:val="14"/>
              </w:rPr>
            </w:pPr>
            <w:r w:rsidRPr="00D77BA2">
              <w:rPr>
                <w:sz w:val="20"/>
                <w:szCs w:val="20"/>
              </w:rPr>
              <w:t>2,80</w:t>
            </w:r>
          </w:p>
        </w:tc>
        <w:tc>
          <w:tcPr>
            <w:tcW w:w="1417" w:type="dxa"/>
            <w:vAlign w:val="center"/>
          </w:tcPr>
          <w:p w14:paraId="46A99021" w14:textId="72C6F9BB" w:rsidR="00D77BA2" w:rsidRPr="00D77BA2" w:rsidRDefault="00D77BA2" w:rsidP="00D77BA2">
            <w:pPr>
              <w:jc w:val="center"/>
              <w:rPr>
                <w:sz w:val="20"/>
                <w:szCs w:val="14"/>
              </w:rPr>
            </w:pPr>
            <w:r w:rsidRPr="00D77BA2">
              <w:rPr>
                <w:sz w:val="20"/>
                <w:szCs w:val="20"/>
              </w:rPr>
              <w:t>2,93</w:t>
            </w:r>
          </w:p>
        </w:tc>
      </w:tr>
      <w:tr w:rsidR="00D77BA2" w:rsidRPr="00D77BA2" w14:paraId="57BC51FD" w14:textId="77777777" w:rsidTr="00D77BA2">
        <w:trPr>
          <w:trHeight w:val="90"/>
        </w:trPr>
        <w:tc>
          <w:tcPr>
            <w:tcW w:w="4106" w:type="dxa"/>
            <w:shd w:val="clear" w:color="auto" w:fill="auto"/>
            <w:vAlign w:val="center"/>
            <w:hideMark/>
          </w:tcPr>
          <w:p w14:paraId="3208E53A" w14:textId="77777777" w:rsidR="00D77BA2" w:rsidRPr="00D77BA2" w:rsidRDefault="00D77BA2" w:rsidP="00D77BA2">
            <w:pPr>
              <w:rPr>
                <w:rFonts w:eastAsia="Times New Roman"/>
                <w:sz w:val="20"/>
                <w:szCs w:val="20"/>
              </w:rPr>
            </w:pPr>
            <w:r w:rsidRPr="00D77BA2">
              <w:rPr>
                <w:rFonts w:eastAsia="Times New Roman"/>
                <w:sz w:val="20"/>
                <w:szCs w:val="20"/>
              </w:rPr>
              <w:t>udio (%) u ukupnim potporama (bez poljoprivrede i ribarstva)</w:t>
            </w:r>
          </w:p>
        </w:tc>
        <w:tc>
          <w:tcPr>
            <w:tcW w:w="1559" w:type="dxa"/>
            <w:vAlign w:val="center"/>
          </w:tcPr>
          <w:p w14:paraId="1A4EBCF6" w14:textId="56676AE0" w:rsidR="00D77BA2" w:rsidRPr="00D77BA2" w:rsidRDefault="00D77BA2" w:rsidP="00D77BA2">
            <w:pPr>
              <w:jc w:val="center"/>
              <w:rPr>
                <w:sz w:val="20"/>
                <w:szCs w:val="14"/>
              </w:rPr>
            </w:pPr>
            <w:r w:rsidRPr="00D77BA2">
              <w:rPr>
                <w:sz w:val="20"/>
                <w:szCs w:val="20"/>
              </w:rPr>
              <w:t>7,20</w:t>
            </w:r>
          </w:p>
        </w:tc>
        <w:tc>
          <w:tcPr>
            <w:tcW w:w="1560" w:type="dxa"/>
            <w:vAlign w:val="center"/>
          </w:tcPr>
          <w:p w14:paraId="59B3E981" w14:textId="587BFB99" w:rsidR="00D77BA2" w:rsidRPr="00D77BA2" w:rsidRDefault="00D77BA2" w:rsidP="00D77BA2">
            <w:pPr>
              <w:jc w:val="center"/>
              <w:rPr>
                <w:sz w:val="20"/>
                <w:szCs w:val="14"/>
              </w:rPr>
            </w:pPr>
            <w:r w:rsidRPr="00D77BA2">
              <w:rPr>
                <w:sz w:val="20"/>
                <w:szCs w:val="20"/>
              </w:rPr>
              <w:t>0,14</w:t>
            </w:r>
          </w:p>
        </w:tc>
        <w:tc>
          <w:tcPr>
            <w:tcW w:w="1417" w:type="dxa"/>
            <w:vAlign w:val="center"/>
          </w:tcPr>
          <w:p w14:paraId="6611E648" w14:textId="27700FD3" w:rsidR="00D77BA2" w:rsidRPr="00D77BA2" w:rsidRDefault="00D77BA2" w:rsidP="00D77BA2">
            <w:pPr>
              <w:jc w:val="center"/>
              <w:rPr>
                <w:sz w:val="20"/>
                <w:szCs w:val="14"/>
              </w:rPr>
            </w:pPr>
            <w:r w:rsidRPr="00D77BA2">
              <w:rPr>
                <w:sz w:val="20"/>
                <w:szCs w:val="20"/>
              </w:rPr>
              <w:t>0,40</w:t>
            </w:r>
          </w:p>
        </w:tc>
      </w:tr>
      <w:tr w:rsidR="00D77BA2" w:rsidRPr="00D77BA2" w14:paraId="48311B21" w14:textId="77777777" w:rsidTr="00D77BA2">
        <w:trPr>
          <w:trHeight w:val="40"/>
        </w:trPr>
        <w:tc>
          <w:tcPr>
            <w:tcW w:w="4106" w:type="dxa"/>
            <w:shd w:val="clear" w:color="auto" w:fill="auto"/>
            <w:vAlign w:val="center"/>
            <w:hideMark/>
          </w:tcPr>
          <w:p w14:paraId="6EA23E15" w14:textId="77777777" w:rsidR="00D77BA2" w:rsidRPr="00D77BA2" w:rsidRDefault="00D77BA2" w:rsidP="00D77BA2">
            <w:pPr>
              <w:rPr>
                <w:rFonts w:eastAsia="Times New Roman"/>
                <w:sz w:val="20"/>
                <w:szCs w:val="20"/>
              </w:rPr>
            </w:pPr>
            <w:r w:rsidRPr="00D77BA2">
              <w:rPr>
                <w:rFonts w:eastAsia="Times New Roman"/>
                <w:sz w:val="20"/>
                <w:szCs w:val="20"/>
              </w:rPr>
              <w:t>udio (%) u ukupnim potporama</w:t>
            </w:r>
          </w:p>
        </w:tc>
        <w:tc>
          <w:tcPr>
            <w:tcW w:w="1559" w:type="dxa"/>
            <w:vAlign w:val="center"/>
          </w:tcPr>
          <w:p w14:paraId="6134B066" w14:textId="111BD311" w:rsidR="00D77BA2" w:rsidRPr="00D77BA2" w:rsidRDefault="00D77BA2" w:rsidP="00D77BA2">
            <w:pPr>
              <w:jc w:val="center"/>
              <w:rPr>
                <w:sz w:val="20"/>
                <w:szCs w:val="14"/>
              </w:rPr>
            </w:pPr>
            <w:r w:rsidRPr="00D77BA2">
              <w:rPr>
                <w:sz w:val="20"/>
                <w:szCs w:val="20"/>
              </w:rPr>
              <w:t>4,74</w:t>
            </w:r>
          </w:p>
        </w:tc>
        <w:tc>
          <w:tcPr>
            <w:tcW w:w="1560" w:type="dxa"/>
            <w:vAlign w:val="center"/>
          </w:tcPr>
          <w:p w14:paraId="3D60342A" w14:textId="737CFC9A" w:rsidR="00D77BA2" w:rsidRPr="00D77BA2" w:rsidRDefault="00D77BA2" w:rsidP="00D77BA2">
            <w:pPr>
              <w:jc w:val="center"/>
              <w:rPr>
                <w:sz w:val="20"/>
                <w:szCs w:val="14"/>
              </w:rPr>
            </w:pPr>
            <w:r w:rsidRPr="00D77BA2">
              <w:rPr>
                <w:sz w:val="20"/>
                <w:szCs w:val="20"/>
              </w:rPr>
              <w:t>0,09</w:t>
            </w:r>
          </w:p>
        </w:tc>
        <w:tc>
          <w:tcPr>
            <w:tcW w:w="1417" w:type="dxa"/>
            <w:vAlign w:val="center"/>
          </w:tcPr>
          <w:p w14:paraId="2EBDF372" w14:textId="1CF3A073" w:rsidR="00D77BA2" w:rsidRPr="00D77BA2" w:rsidRDefault="00D77BA2" w:rsidP="00D77BA2">
            <w:pPr>
              <w:jc w:val="center"/>
              <w:rPr>
                <w:sz w:val="20"/>
                <w:szCs w:val="14"/>
              </w:rPr>
            </w:pPr>
            <w:r w:rsidRPr="00D77BA2">
              <w:rPr>
                <w:sz w:val="20"/>
                <w:szCs w:val="20"/>
              </w:rPr>
              <w:t>0,26</w:t>
            </w:r>
          </w:p>
        </w:tc>
      </w:tr>
      <w:tr w:rsidR="00D77BA2" w:rsidRPr="00D77BA2" w14:paraId="57564F0C" w14:textId="77777777" w:rsidTr="00D77BA2">
        <w:trPr>
          <w:trHeight w:val="40"/>
        </w:trPr>
        <w:tc>
          <w:tcPr>
            <w:tcW w:w="4106" w:type="dxa"/>
            <w:shd w:val="clear" w:color="auto" w:fill="auto"/>
            <w:vAlign w:val="center"/>
            <w:hideMark/>
          </w:tcPr>
          <w:p w14:paraId="1EEA9C1A" w14:textId="77777777" w:rsidR="00D77BA2" w:rsidRPr="00D77BA2" w:rsidRDefault="00D77BA2" w:rsidP="00D77BA2">
            <w:pPr>
              <w:rPr>
                <w:rFonts w:eastAsia="Times New Roman"/>
                <w:sz w:val="20"/>
                <w:szCs w:val="20"/>
              </w:rPr>
            </w:pPr>
            <w:r w:rsidRPr="00D77BA2">
              <w:rPr>
                <w:rFonts w:eastAsia="Times New Roman"/>
                <w:sz w:val="20"/>
                <w:szCs w:val="20"/>
              </w:rPr>
              <w:t>udio (%) u BDP-u</w:t>
            </w:r>
          </w:p>
        </w:tc>
        <w:tc>
          <w:tcPr>
            <w:tcW w:w="1559" w:type="dxa"/>
            <w:vAlign w:val="center"/>
          </w:tcPr>
          <w:p w14:paraId="2973667E" w14:textId="495F2309" w:rsidR="00D77BA2" w:rsidRPr="00D77BA2" w:rsidRDefault="00D77BA2" w:rsidP="00D77BA2">
            <w:pPr>
              <w:jc w:val="center"/>
              <w:rPr>
                <w:sz w:val="20"/>
                <w:szCs w:val="14"/>
              </w:rPr>
            </w:pPr>
            <w:r w:rsidRPr="00D77BA2">
              <w:rPr>
                <w:sz w:val="20"/>
                <w:szCs w:val="20"/>
              </w:rPr>
              <w:t>0,24</w:t>
            </w:r>
          </w:p>
        </w:tc>
        <w:tc>
          <w:tcPr>
            <w:tcW w:w="1560" w:type="dxa"/>
            <w:vAlign w:val="center"/>
          </w:tcPr>
          <w:p w14:paraId="4B2FA978" w14:textId="3432CA6C" w:rsidR="00D77BA2" w:rsidRPr="00D77BA2" w:rsidRDefault="00D77BA2" w:rsidP="00D77BA2">
            <w:pPr>
              <w:jc w:val="center"/>
              <w:rPr>
                <w:sz w:val="20"/>
                <w:szCs w:val="14"/>
              </w:rPr>
            </w:pPr>
            <w:r w:rsidRPr="00D77BA2">
              <w:rPr>
                <w:sz w:val="20"/>
                <w:szCs w:val="20"/>
              </w:rPr>
              <w:t>0,004</w:t>
            </w:r>
          </w:p>
        </w:tc>
        <w:tc>
          <w:tcPr>
            <w:tcW w:w="1417" w:type="dxa"/>
            <w:vAlign w:val="center"/>
          </w:tcPr>
          <w:p w14:paraId="7E85352F" w14:textId="7ED6B70A" w:rsidR="00D77BA2" w:rsidRPr="00D77BA2" w:rsidRDefault="00D77BA2" w:rsidP="00D77BA2">
            <w:pPr>
              <w:jc w:val="center"/>
              <w:rPr>
                <w:sz w:val="20"/>
                <w:szCs w:val="14"/>
              </w:rPr>
            </w:pPr>
            <w:r w:rsidRPr="00D77BA2">
              <w:rPr>
                <w:sz w:val="20"/>
                <w:szCs w:val="20"/>
              </w:rPr>
              <w:t>0,01</w:t>
            </w:r>
          </w:p>
        </w:tc>
      </w:tr>
    </w:tbl>
    <w:p w14:paraId="3FEEB4C8" w14:textId="77777777" w:rsidR="00D77BA2" w:rsidRPr="00D77BA2" w:rsidRDefault="00D77BA2" w:rsidP="00D77BA2">
      <w:pPr>
        <w:contextualSpacing/>
        <w:jc w:val="both"/>
        <w:rPr>
          <w:i/>
          <w:sz w:val="20"/>
        </w:rPr>
      </w:pPr>
      <w:r w:rsidRPr="00D77BA2">
        <w:rPr>
          <w:i/>
          <w:sz w:val="20"/>
        </w:rPr>
        <w:t>Izvor: Ministarstvo financija i davatelji potpora; podaci obrađeni u Ministarstvu financija</w:t>
      </w:r>
    </w:p>
    <w:p w14:paraId="0E509E49" w14:textId="77777777" w:rsidR="00B40C67" w:rsidRPr="00147EA1" w:rsidRDefault="00B40C67" w:rsidP="00BE487D">
      <w:pPr>
        <w:jc w:val="both"/>
        <w:rPr>
          <w:rFonts w:eastAsia="Calibri"/>
        </w:rPr>
      </w:pPr>
    </w:p>
    <w:p w14:paraId="7B6D0AEA" w14:textId="2ABCC889" w:rsidR="003D6C3B" w:rsidRPr="00147EA1" w:rsidRDefault="00A27F01" w:rsidP="003D6C3B">
      <w:pPr>
        <w:jc w:val="both"/>
      </w:pPr>
      <w:r w:rsidRPr="00147EA1">
        <w:t xml:space="preserve">Udio potpora malim i srednjim poduzetnicima u BDP-u </w:t>
      </w:r>
      <w:r w:rsidR="003D6C3B" w:rsidRPr="00147EA1">
        <w:t>u 2023. godini iznosio je 0,</w:t>
      </w:r>
      <w:r w:rsidR="00147EA1" w:rsidRPr="00147EA1">
        <w:t>01</w:t>
      </w:r>
      <w:r w:rsidR="003D6C3B" w:rsidRPr="00147EA1">
        <w:t xml:space="preserve"> posto, u 2022. godini iznosio je 0,0</w:t>
      </w:r>
      <w:r w:rsidR="00147EA1" w:rsidRPr="00147EA1">
        <w:t>04</w:t>
      </w:r>
      <w:r w:rsidR="003D6C3B" w:rsidRPr="00147EA1">
        <w:t xml:space="preserve"> posto, dok je u 2021. godini iznosio 0,</w:t>
      </w:r>
      <w:r w:rsidR="00147EA1" w:rsidRPr="00147EA1">
        <w:t>24</w:t>
      </w:r>
      <w:r w:rsidR="003D6C3B" w:rsidRPr="00147EA1">
        <w:t xml:space="preserve"> posto. Udio navedenih potpora u 2023. godini u ukupno dodijeljenim potporama iznosio je </w:t>
      </w:r>
      <w:r w:rsidR="00147EA1" w:rsidRPr="00147EA1">
        <w:t xml:space="preserve">0,3 </w:t>
      </w:r>
      <w:r w:rsidR="003D6C3B" w:rsidRPr="00147EA1">
        <w:t xml:space="preserve">posto, udio u dodijeljenim potporama u sektoru industrije i usluga u 2023. godini iznosio je </w:t>
      </w:r>
      <w:r w:rsidR="00147EA1" w:rsidRPr="00147EA1">
        <w:t>0,4</w:t>
      </w:r>
      <w:r w:rsidR="003D6C3B" w:rsidRPr="00147EA1">
        <w:t xml:space="preserve"> posto, dok je udio navedenih potpora u horizontalnim ciljevima u 2023. godini iznosio </w:t>
      </w:r>
      <w:r w:rsidR="00147EA1" w:rsidRPr="00147EA1">
        <w:t>2,9</w:t>
      </w:r>
      <w:r w:rsidR="003D6C3B" w:rsidRPr="00147EA1">
        <w:t xml:space="preserve"> posto.</w:t>
      </w:r>
    </w:p>
    <w:p w14:paraId="276608F0" w14:textId="3C295C1F" w:rsidR="00147EA1" w:rsidRPr="00147EA1" w:rsidRDefault="00147EA1" w:rsidP="003D6C3B">
      <w:pPr>
        <w:jc w:val="both"/>
      </w:pPr>
    </w:p>
    <w:p w14:paraId="50A51500" w14:textId="47957A3E" w:rsidR="00A27F01" w:rsidRPr="003D6C3B" w:rsidRDefault="003D6C3B" w:rsidP="00A27F01">
      <w:pPr>
        <w:jc w:val="both"/>
      </w:pPr>
      <w:r w:rsidRPr="003D6C3B">
        <w:t>U 2023. godini p</w:t>
      </w:r>
      <w:r w:rsidR="00A27F01" w:rsidRPr="003D6C3B">
        <w:t xml:space="preserve">otpore </w:t>
      </w:r>
      <w:r w:rsidR="0047113C" w:rsidRPr="003D6C3B">
        <w:t xml:space="preserve">malim i srednjim poduzetnicima </w:t>
      </w:r>
      <w:r w:rsidRPr="003D6C3B">
        <w:t xml:space="preserve">su </w:t>
      </w:r>
      <w:r w:rsidR="00DF1CF8" w:rsidRPr="003D6C3B">
        <w:t xml:space="preserve">dodijeljene u iznosu od </w:t>
      </w:r>
      <w:r w:rsidRPr="003D6C3B">
        <w:t>7,8</w:t>
      </w:r>
      <w:r w:rsidR="00DF1CF8" w:rsidRPr="003D6C3B">
        <w:t xml:space="preserve"> milijun</w:t>
      </w:r>
      <w:r w:rsidRPr="003D6C3B">
        <w:t>a</w:t>
      </w:r>
      <w:r w:rsidR="00DF1CF8" w:rsidRPr="003D6C3B">
        <w:t xml:space="preserve"> </w:t>
      </w:r>
      <w:r w:rsidRPr="003D6C3B">
        <w:t>eura</w:t>
      </w:r>
      <w:r w:rsidR="00A27F01" w:rsidRPr="003D6C3B">
        <w:t xml:space="preserve">, </w:t>
      </w:r>
      <w:r w:rsidRPr="003D6C3B">
        <w:t xml:space="preserve">te su </w:t>
      </w:r>
      <w:r w:rsidR="00A27F01" w:rsidRPr="003D6C3B">
        <w:t xml:space="preserve">najvećim dijelom dodjeljivane putem </w:t>
      </w:r>
      <w:r w:rsidRPr="003D6C3B">
        <w:t xml:space="preserve">subvencija i neposrednih subvencija kamata u iznosu od 4,7 milijuna eura ili s udjelom od 60,1 posto u dodijeljenim potporama malim i srednjim poduzetnicima, slijede </w:t>
      </w:r>
      <w:r w:rsidR="00DF1CF8" w:rsidRPr="003D6C3B">
        <w:t>izdan</w:t>
      </w:r>
      <w:r w:rsidRPr="003D6C3B">
        <w:t>a</w:t>
      </w:r>
      <w:r w:rsidR="00DF1CF8" w:rsidRPr="003D6C3B">
        <w:t xml:space="preserve"> jamstva u iznosu od </w:t>
      </w:r>
      <w:r w:rsidRPr="003D6C3B">
        <w:t>2</w:t>
      </w:r>
      <w:r w:rsidR="00DF1CF8" w:rsidRPr="003D6C3B">
        <w:t xml:space="preserve"> milijuna </w:t>
      </w:r>
      <w:r w:rsidRPr="003D6C3B">
        <w:t xml:space="preserve">eura </w:t>
      </w:r>
      <w:r w:rsidR="00DF1CF8" w:rsidRPr="003D6C3B">
        <w:t xml:space="preserve">ili </w:t>
      </w:r>
      <w:r w:rsidRPr="003D6C3B">
        <w:t>25,9</w:t>
      </w:r>
      <w:r w:rsidR="00DF1CF8" w:rsidRPr="003D6C3B">
        <w:t xml:space="preserve"> posto</w:t>
      </w:r>
      <w:r w:rsidRPr="003D6C3B">
        <w:t xml:space="preserve"> i </w:t>
      </w:r>
      <w:r w:rsidR="0047113C" w:rsidRPr="003D6C3B">
        <w:t xml:space="preserve">povoljniji zajmovi </w:t>
      </w:r>
      <w:r w:rsidR="00A27F01" w:rsidRPr="003D6C3B">
        <w:t xml:space="preserve">u iznosu od </w:t>
      </w:r>
      <w:r w:rsidRPr="003D6C3B">
        <w:t>1,1 milijun</w:t>
      </w:r>
      <w:r w:rsidR="00DF1CF8" w:rsidRPr="003D6C3B">
        <w:t xml:space="preserve"> </w:t>
      </w:r>
      <w:r w:rsidRPr="003D6C3B">
        <w:t xml:space="preserve">eura </w:t>
      </w:r>
      <w:r w:rsidR="00A27F01" w:rsidRPr="003D6C3B">
        <w:t xml:space="preserve">ili </w:t>
      </w:r>
      <w:r w:rsidRPr="003D6C3B">
        <w:t>s udjelom od 14</w:t>
      </w:r>
      <w:r w:rsidR="00A27F01" w:rsidRPr="003D6C3B">
        <w:t xml:space="preserve"> posto.</w:t>
      </w:r>
    </w:p>
    <w:p w14:paraId="6823912A" w14:textId="77777777" w:rsidR="00DF1CF8" w:rsidRPr="003D6C3B" w:rsidRDefault="00DF1CF8" w:rsidP="00BE487D">
      <w:pPr>
        <w:jc w:val="both"/>
      </w:pPr>
    </w:p>
    <w:p w14:paraId="030E4682" w14:textId="19346700" w:rsidR="003D6C3B" w:rsidRPr="00147EA1" w:rsidRDefault="003D6C3B" w:rsidP="00147EA1">
      <w:pPr>
        <w:jc w:val="both"/>
      </w:pPr>
      <w:r w:rsidRPr="00147EA1">
        <w:t xml:space="preserve">U 2023. godini davatelji potpora </w:t>
      </w:r>
      <w:r w:rsidR="00147EA1" w:rsidRPr="00147EA1">
        <w:t>malim i srednjim poduzetnicima</w:t>
      </w:r>
      <w:r w:rsidRPr="00147EA1">
        <w:t xml:space="preserve">, koje su dodijeljene u iznosu od </w:t>
      </w:r>
      <w:r w:rsidR="00147EA1" w:rsidRPr="00147EA1">
        <w:t>7,8</w:t>
      </w:r>
      <w:r w:rsidRPr="00147EA1">
        <w:t xml:space="preserve"> milijuna eura</w:t>
      </w:r>
      <w:r w:rsidR="00147EA1" w:rsidRPr="00147EA1">
        <w:t>,</w:t>
      </w:r>
      <w:r w:rsidRPr="00147EA1">
        <w:t xml:space="preserve"> su </w:t>
      </w:r>
      <w:r w:rsidR="00147EA1" w:rsidRPr="00147EA1">
        <w:t xml:space="preserve">HBOR </w:t>
      </w:r>
      <w:r w:rsidR="007957FD" w:rsidRPr="007957FD">
        <w:t xml:space="preserve">s iznosom </w:t>
      </w:r>
      <w:r w:rsidRPr="00147EA1">
        <w:t xml:space="preserve">od </w:t>
      </w:r>
      <w:r w:rsidR="00147EA1" w:rsidRPr="00147EA1">
        <w:t>5</w:t>
      </w:r>
      <w:r w:rsidRPr="00147EA1">
        <w:t xml:space="preserve"> </w:t>
      </w:r>
      <w:r w:rsidRPr="00147EA1">
        <w:rPr>
          <w:rFonts w:eastAsia="Times New Roman"/>
          <w:lang w:eastAsia="hr-HR"/>
        </w:rPr>
        <w:t xml:space="preserve">milijuna eura i </w:t>
      </w:r>
      <w:r w:rsidR="00147EA1" w:rsidRPr="00147EA1">
        <w:t xml:space="preserve">HAMAG </w:t>
      </w:r>
      <w:r w:rsidR="005B3CF0">
        <w:t>–</w:t>
      </w:r>
      <w:r w:rsidR="00147EA1" w:rsidRPr="00147EA1">
        <w:t xml:space="preserve"> BICRO</w:t>
      </w:r>
      <w:r w:rsidRPr="00147EA1">
        <w:t xml:space="preserve"> </w:t>
      </w:r>
      <w:r w:rsidR="007957FD" w:rsidRPr="007957FD">
        <w:t xml:space="preserve">s iznosom </w:t>
      </w:r>
      <w:r w:rsidRPr="00147EA1">
        <w:t xml:space="preserve">od </w:t>
      </w:r>
      <w:r w:rsidR="00147EA1" w:rsidRPr="00147EA1">
        <w:t>2,8</w:t>
      </w:r>
      <w:r w:rsidRPr="00147EA1">
        <w:t xml:space="preserve"> </w:t>
      </w:r>
      <w:r w:rsidRPr="00147EA1">
        <w:rPr>
          <w:rFonts w:eastAsia="Times New Roman"/>
          <w:lang w:eastAsia="hr-HR"/>
        </w:rPr>
        <w:t>milijuna eura.</w:t>
      </w:r>
    </w:p>
    <w:p w14:paraId="38DC130F" w14:textId="04AD7F98" w:rsidR="00147EA1" w:rsidRPr="00147EA1" w:rsidRDefault="00147EA1" w:rsidP="00147EA1"/>
    <w:p w14:paraId="243DE966" w14:textId="087A81A0" w:rsidR="001E7AE2" w:rsidRDefault="00147EA1" w:rsidP="001E7AE2">
      <w:pPr>
        <w:jc w:val="both"/>
        <w:rPr>
          <w:rFonts w:eastAsia="Times New Roman"/>
          <w:color w:val="000000"/>
          <w:highlight w:val="red"/>
          <w:lang w:eastAsia="hr-HR"/>
        </w:rPr>
      </w:pPr>
      <w:r w:rsidRPr="00AD6FF6">
        <w:rPr>
          <w:u w:val="single"/>
        </w:rPr>
        <w:t>HBOR</w:t>
      </w:r>
      <w:r w:rsidRPr="00147EA1">
        <w:t xml:space="preserve"> je dodijelilo malim i srednjim poduzetnicima u 2023. godini 5 milijuna </w:t>
      </w:r>
      <w:r w:rsidRPr="00147EA1">
        <w:rPr>
          <w:rFonts w:eastAsia="Times New Roman"/>
          <w:lang w:eastAsia="hr-HR"/>
        </w:rPr>
        <w:t xml:space="preserve">eura </w:t>
      </w:r>
      <w:r w:rsidRPr="00147EA1">
        <w:t xml:space="preserve">putem neposrednih subvencija </w:t>
      </w:r>
      <w:r w:rsidRPr="001E7AE2">
        <w:t>kamata i povoljnih zajmova, temeljem Programa dodjele državnih potpora Hrvatske banke za obnovu i razvitak</w:t>
      </w:r>
      <w:r w:rsidR="001E7AE2" w:rsidRPr="001E7AE2">
        <w:t xml:space="preserve"> te njegovih izmjena</w:t>
      </w:r>
      <w:r w:rsidR="00BD1054">
        <w:t xml:space="preserve">, o kojem je </w:t>
      </w:r>
      <w:r w:rsidRPr="001E7AE2">
        <w:t>Europska komisija obaviještena pod brojem SA.</w:t>
      </w:r>
      <w:r w:rsidR="001E7AE2" w:rsidRPr="001E7AE2">
        <w:t>109743</w:t>
      </w:r>
      <w:r w:rsidRPr="001E7AE2">
        <w:rPr>
          <w:rFonts w:eastAsia="Times New Roman"/>
          <w:color w:val="000000"/>
          <w:lang w:eastAsia="hr-HR"/>
        </w:rPr>
        <w:t>.</w:t>
      </w:r>
    </w:p>
    <w:p w14:paraId="3F4FFFBC" w14:textId="77777777" w:rsidR="001E7AE2" w:rsidRPr="008149B5" w:rsidRDefault="001E7AE2" w:rsidP="00147EA1">
      <w:pPr>
        <w:rPr>
          <w:highlight w:val="red"/>
        </w:rPr>
      </w:pPr>
    </w:p>
    <w:p w14:paraId="40E0F639" w14:textId="1D717388" w:rsidR="00D34461" w:rsidRPr="001E7AE2" w:rsidRDefault="005B3CF0" w:rsidP="00D34461">
      <w:pPr>
        <w:jc w:val="both"/>
      </w:pPr>
      <w:r w:rsidRPr="00AD6FF6">
        <w:rPr>
          <w:u w:val="single"/>
        </w:rPr>
        <w:t xml:space="preserve">HAMAG </w:t>
      </w:r>
      <w:r w:rsidR="00372075" w:rsidRPr="00AD6FF6">
        <w:rPr>
          <w:u w:val="single"/>
        </w:rPr>
        <w:t>– BICRO</w:t>
      </w:r>
      <w:r w:rsidR="00372075" w:rsidRPr="001E7AE2">
        <w:t xml:space="preserve"> </w:t>
      </w:r>
      <w:r w:rsidR="00794F40" w:rsidRPr="001E7AE2">
        <w:t xml:space="preserve">je </w:t>
      </w:r>
      <w:r w:rsidR="001E7AE2" w:rsidRPr="001E7AE2">
        <w:t xml:space="preserve">u 2023. godini </w:t>
      </w:r>
      <w:r w:rsidR="00372075" w:rsidRPr="001E7AE2">
        <w:t xml:space="preserve">putem </w:t>
      </w:r>
      <w:r w:rsidR="001E7AE2" w:rsidRPr="001E7AE2">
        <w:t xml:space="preserve">subvencija te </w:t>
      </w:r>
      <w:r w:rsidR="00372075" w:rsidRPr="001E7AE2">
        <w:t xml:space="preserve">izdanih jamstava </w:t>
      </w:r>
      <w:r w:rsidR="00794F40" w:rsidRPr="001E7AE2">
        <w:t xml:space="preserve">dodijelilo malim i srednjim poduzetnicima </w:t>
      </w:r>
      <w:r w:rsidR="001E7AE2" w:rsidRPr="001E7AE2">
        <w:t>2,8</w:t>
      </w:r>
      <w:r w:rsidR="00794F40" w:rsidRPr="001E7AE2">
        <w:t xml:space="preserve"> milijun</w:t>
      </w:r>
      <w:r w:rsidR="00D34461" w:rsidRPr="001E7AE2">
        <w:t>a</w:t>
      </w:r>
      <w:r w:rsidR="00794F40" w:rsidRPr="001E7AE2">
        <w:t xml:space="preserve"> </w:t>
      </w:r>
      <w:r w:rsidR="001E7AE2" w:rsidRPr="001E7AE2">
        <w:t>eura</w:t>
      </w:r>
      <w:r w:rsidR="00794F40" w:rsidRPr="001E7AE2">
        <w:t xml:space="preserve"> temeljem </w:t>
      </w:r>
      <w:r w:rsidR="00372075" w:rsidRPr="001E7AE2">
        <w:t>Programa dodjele državnih potpora Hrvatske agencije za malo gospodarstvo, inovacije i investicije</w:t>
      </w:r>
      <w:r w:rsidR="001E7AE2" w:rsidRPr="001E7AE2">
        <w:t xml:space="preserve">, </w:t>
      </w:r>
      <w:r w:rsidR="00BD1054">
        <w:t xml:space="preserve">o kojem je </w:t>
      </w:r>
      <w:r w:rsidR="00794F40" w:rsidRPr="001E7AE2">
        <w:t>Europska komisija obaviještena pod brojem SA.</w:t>
      </w:r>
      <w:r w:rsidR="00372075" w:rsidRPr="001E7AE2">
        <w:t xml:space="preserve">40955 te </w:t>
      </w:r>
      <w:r w:rsidR="00372075" w:rsidRPr="001E7AE2">
        <w:rPr>
          <w:rFonts w:eastAsia="Times New Roman"/>
          <w:color w:val="000000"/>
          <w:lang w:eastAsia="hr-HR"/>
        </w:rPr>
        <w:t>njegove kasnije izmjene koje je Europska komisija odobrila pod brojem SA.60617.</w:t>
      </w:r>
    </w:p>
    <w:p w14:paraId="1152CD31" w14:textId="64ACC411" w:rsidR="00D34461" w:rsidRPr="001E7AE2" w:rsidRDefault="00D34461" w:rsidP="00D34461"/>
    <w:p w14:paraId="59045B75" w14:textId="5BE2E215" w:rsidR="001E7AE2" w:rsidRPr="00AD6FF6" w:rsidRDefault="001E7AE2" w:rsidP="001E7AE2">
      <w:pPr>
        <w:jc w:val="both"/>
        <w:rPr>
          <w:spacing w:val="-2"/>
        </w:rPr>
      </w:pPr>
      <w:r w:rsidRPr="00AD6FF6">
        <w:rPr>
          <w:spacing w:val="-2"/>
          <w:u w:val="single"/>
        </w:rPr>
        <w:t>Potpore male vrijednosti</w:t>
      </w:r>
      <w:r w:rsidRPr="00AD6FF6">
        <w:rPr>
          <w:spacing w:val="-2"/>
        </w:rPr>
        <w:t xml:space="preserve"> malim i srednjim poduzetnicima su u 2023. godini dodijeljene u iznosu od 77,3 milijuna eura, te ukoliko bi se navedene potpore male vrijednosti pribrojile dodijeljenim potporama malim i srednjim poduzetnicima u iznosu od 7,8 milijuna eura, ukupan iznos svih dodijeljenih potpora malim i srednjim poduzetnicima u 2023. godini iznosio bi 85,1 milijun eura. </w:t>
      </w:r>
    </w:p>
    <w:p w14:paraId="5C9EBA74" w14:textId="1848C66C" w:rsidR="009B5376" w:rsidRPr="007E0295" w:rsidRDefault="009B5376" w:rsidP="003272FB"/>
    <w:p w14:paraId="55DA9A20" w14:textId="77777777" w:rsidR="00A953EB" w:rsidRPr="007E0295" w:rsidRDefault="00A953EB" w:rsidP="003272FB"/>
    <w:p w14:paraId="074619F3" w14:textId="3B5FAAD8" w:rsidR="00E668F9" w:rsidRPr="007E0295" w:rsidRDefault="00AD6FF6" w:rsidP="003272FB">
      <w:r>
        <w:br w:type="page"/>
      </w:r>
    </w:p>
    <w:p w14:paraId="453D1528" w14:textId="77777777" w:rsidR="00BE0817" w:rsidRPr="007E0295" w:rsidRDefault="00C45D8A" w:rsidP="00BE487D">
      <w:pPr>
        <w:pStyle w:val="Heading3"/>
        <w:numPr>
          <w:ilvl w:val="2"/>
          <w:numId w:val="1"/>
        </w:numPr>
        <w:spacing w:before="0"/>
        <w:jc w:val="both"/>
        <w:rPr>
          <w:rFonts w:ascii="Times New Roman" w:hAnsi="Times New Roman" w:cs="Times New Roman"/>
          <w:b/>
          <w:i/>
          <w:color w:val="auto"/>
        </w:rPr>
      </w:pPr>
      <w:bookmarkStart w:id="17" w:name="_Toc184635848"/>
      <w:r w:rsidRPr="007E0295">
        <w:rPr>
          <w:rFonts w:ascii="Times New Roman" w:hAnsi="Times New Roman" w:cs="Times New Roman"/>
          <w:b/>
          <w:i/>
          <w:color w:val="auto"/>
        </w:rPr>
        <w:lastRenderedPageBreak/>
        <w:t>Potpore k</w:t>
      </w:r>
      <w:r w:rsidR="00BE0817" w:rsidRPr="007E0295">
        <w:rPr>
          <w:rFonts w:ascii="Times New Roman" w:hAnsi="Times New Roman" w:cs="Times New Roman"/>
          <w:b/>
          <w:i/>
          <w:color w:val="auto"/>
        </w:rPr>
        <w:t>ultur</w:t>
      </w:r>
      <w:r w:rsidRPr="007E0295">
        <w:rPr>
          <w:rFonts w:ascii="Times New Roman" w:hAnsi="Times New Roman" w:cs="Times New Roman"/>
          <w:b/>
          <w:i/>
          <w:color w:val="auto"/>
        </w:rPr>
        <w:t>i</w:t>
      </w:r>
      <w:bookmarkEnd w:id="17"/>
      <w:r w:rsidR="00BE0817" w:rsidRPr="007E0295">
        <w:rPr>
          <w:rFonts w:ascii="Times New Roman" w:hAnsi="Times New Roman" w:cs="Times New Roman"/>
          <w:b/>
          <w:i/>
          <w:color w:val="auto"/>
        </w:rPr>
        <w:t xml:space="preserve"> </w:t>
      </w:r>
    </w:p>
    <w:p w14:paraId="5361727A" w14:textId="77777777" w:rsidR="00E668F9" w:rsidRPr="007E0295" w:rsidRDefault="00E668F9" w:rsidP="003272FB"/>
    <w:p w14:paraId="5C718F15" w14:textId="77777777" w:rsidR="00E668F9" w:rsidRPr="007E0295" w:rsidRDefault="00E668F9" w:rsidP="003272FB"/>
    <w:p w14:paraId="0B8AED87" w14:textId="4029C2FE" w:rsidR="00E0194C" w:rsidRPr="00D64718" w:rsidRDefault="002D1E37" w:rsidP="00E0194C">
      <w:pPr>
        <w:jc w:val="both"/>
      </w:pPr>
      <w:r w:rsidRPr="00D64718">
        <w:t xml:space="preserve">Potpore za kulturu </w:t>
      </w:r>
      <w:r w:rsidR="00E0194C" w:rsidRPr="00D64718">
        <w:t xml:space="preserve">su </w:t>
      </w:r>
      <w:r w:rsidR="00D64718" w:rsidRPr="00D64718">
        <w:t>dodijeljene u 2023. godini u iznosu od 24,1 milijun eura, što je povećanje za 4,9 milijuna eura ili za 25,7 posto u odnosu na 2022. godinu, kada su navedene potpore iznosile 19,1 milijun eura, te je povećanje za 2 milijuna eura ili za 9,3 posto u odnosu na 2021. godinu kada su potpore za kulturu iznosile 22 milijuna eura.</w:t>
      </w:r>
    </w:p>
    <w:p w14:paraId="6BC6FFCC" w14:textId="77777777" w:rsidR="00E74783" w:rsidRPr="00D64718" w:rsidRDefault="00E74783" w:rsidP="00E0194C">
      <w:pPr>
        <w:jc w:val="both"/>
      </w:pPr>
    </w:p>
    <w:p w14:paraId="4C50384F" w14:textId="537BCD06" w:rsidR="002D1E37" w:rsidRPr="00B75A66" w:rsidRDefault="002D1E37" w:rsidP="00BE487D">
      <w:pPr>
        <w:autoSpaceDE w:val="0"/>
        <w:autoSpaceDN w:val="0"/>
        <w:adjustRightInd w:val="0"/>
        <w:contextualSpacing/>
        <w:jc w:val="both"/>
        <w:rPr>
          <w:bCs/>
          <w:lang w:eastAsia="hr-HR"/>
        </w:rPr>
      </w:pPr>
      <w:r w:rsidRPr="00B75A66">
        <w:rPr>
          <w:bCs/>
          <w:lang w:eastAsia="hr-HR"/>
        </w:rPr>
        <w:t xml:space="preserve">Tablica </w:t>
      </w:r>
      <w:r w:rsidR="00381995" w:rsidRPr="00B75A66">
        <w:rPr>
          <w:bCs/>
          <w:lang w:eastAsia="hr-HR"/>
        </w:rPr>
        <w:t>12</w:t>
      </w:r>
      <w:r w:rsidRPr="00B75A66">
        <w:rPr>
          <w:bCs/>
          <w:lang w:eastAsia="hr-HR"/>
        </w:rPr>
        <w:t>. Potpore</w:t>
      </w:r>
      <w:r w:rsidR="007E0295" w:rsidRPr="00B75A66">
        <w:rPr>
          <w:bCs/>
          <w:lang w:eastAsia="hr-HR"/>
        </w:rPr>
        <w:t xml:space="preserve"> dodijeljene</w:t>
      </w:r>
      <w:r w:rsidRPr="00B75A66">
        <w:rPr>
          <w:bCs/>
          <w:lang w:eastAsia="hr-HR"/>
        </w:rPr>
        <w:t xml:space="preserve"> za kulturu u razdoblju </w:t>
      </w:r>
      <w:r w:rsidRPr="00B75A66">
        <w:t>od 20</w:t>
      </w:r>
      <w:r w:rsidR="00D3445F" w:rsidRPr="00B75A66">
        <w:t>2</w:t>
      </w:r>
      <w:r w:rsidR="00381995" w:rsidRPr="00B75A66">
        <w:t>1</w:t>
      </w:r>
      <w:r w:rsidRPr="00B75A66">
        <w:t>. do 202</w:t>
      </w:r>
      <w:r w:rsidR="00381995" w:rsidRPr="00B75A66">
        <w:t>3</w:t>
      </w:r>
      <w:r w:rsidRPr="00B75A66">
        <w:t>. godine</w:t>
      </w:r>
    </w:p>
    <w:p w14:paraId="3C8D0AA3" w14:textId="77777777" w:rsidR="002D1E37" w:rsidRPr="008149B5" w:rsidRDefault="002D1E37"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7A7C7C" w:rsidRPr="00CE5537" w14:paraId="664D3BC6" w14:textId="77777777" w:rsidTr="007A7C7C">
        <w:trPr>
          <w:trHeight w:val="38"/>
        </w:trPr>
        <w:tc>
          <w:tcPr>
            <w:tcW w:w="3376" w:type="dxa"/>
            <w:vMerge w:val="restart"/>
            <w:shd w:val="clear" w:color="000000" w:fill="FFFF99"/>
            <w:noWrap/>
            <w:vAlign w:val="center"/>
            <w:hideMark/>
          </w:tcPr>
          <w:p w14:paraId="5842E952" w14:textId="66AA7EF0" w:rsidR="007A7C7C" w:rsidRPr="00CE5537" w:rsidRDefault="007E0295" w:rsidP="007A7C7C">
            <w:pPr>
              <w:rPr>
                <w:rFonts w:eastAsia="Times New Roman"/>
                <w:b/>
                <w:bCs/>
                <w:sz w:val="20"/>
                <w:szCs w:val="20"/>
              </w:rPr>
            </w:pPr>
            <w:r w:rsidRPr="00CE5537">
              <w:rPr>
                <w:rFonts w:eastAsia="Times New Roman"/>
                <w:b/>
                <w:bCs/>
                <w:sz w:val="20"/>
              </w:rPr>
              <w:t>Kultura</w:t>
            </w:r>
          </w:p>
        </w:tc>
        <w:tc>
          <w:tcPr>
            <w:tcW w:w="1439" w:type="dxa"/>
            <w:shd w:val="clear" w:color="000000" w:fill="FFFF99"/>
            <w:vAlign w:val="center"/>
          </w:tcPr>
          <w:p w14:paraId="19FDDF2F" w14:textId="77777777" w:rsidR="007A7C7C" w:rsidRPr="00CE5537" w:rsidRDefault="007A7C7C" w:rsidP="007A7C7C">
            <w:pPr>
              <w:jc w:val="center"/>
              <w:rPr>
                <w:rFonts w:eastAsia="Times New Roman"/>
                <w:b/>
                <w:bCs/>
                <w:sz w:val="20"/>
                <w:szCs w:val="20"/>
              </w:rPr>
            </w:pPr>
            <w:r w:rsidRPr="00CE5537">
              <w:rPr>
                <w:b/>
                <w:sz w:val="20"/>
                <w:szCs w:val="20"/>
              </w:rPr>
              <w:t>2021.</w:t>
            </w:r>
          </w:p>
        </w:tc>
        <w:tc>
          <w:tcPr>
            <w:tcW w:w="1559" w:type="dxa"/>
            <w:shd w:val="clear" w:color="000000" w:fill="FFFF99"/>
            <w:vAlign w:val="center"/>
          </w:tcPr>
          <w:p w14:paraId="3B67D33C" w14:textId="77777777" w:rsidR="007A7C7C" w:rsidRPr="00CE5537" w:rsidRDefault="007A7C7C" w:rsidP="007A7C7C">
            <w:pPr>
              <w:jc w:val="center"/>
              <w:rPr>
                <w:rFonts w:eastAsia="Times New Roman"/>
                <w:b/>
                <w:bCs/>
                <w:sz w:val="20"/>
                <w:szCs w:val="20"/>
              </w:rPr>
            </w:pPr>
            <w:r w:rsidRPr="00CE5537">
              <w:rPr>
                <w:b/>
                <w:sz w:val="20"/>
                <w:szCs w:val="20"/>
              </w:rPr>
              <w:t>2022.</w:t>
            </w:r>
          </w:p>
        </w:tc>
        <w:tc>
          <w:tcPr>
            <w:tcW w:w="1559" w:type="dxa"/>
            <w:shd w:val="clear" w:color="000000" w:fill="FFFF99"/>
            <w:vAlign w:val="center"/>
          </w:tcPr>
          <w:p w14:paraId="191F7160" w14:textId="77777777" w:rsidR="007A7C7C" w:rsidRPr="00CE5537" w:rsidRDefault="007A7C7C" w:rsidP="007A7C7C">
            <w:pPr>
              <w:jc w:val="center"/>
              <w:rPr>
                <w:rFonts w:eastAsia="Times New Roman"/>
                <w:b/>
                <w:bCs/>
                <w:sz w:val="20"/>
                <w:szCs w:val="20"/>
              </w:rPr>
            </w:pPr>
            <w:r w:rsidRPr="00CE5537">
              <w:rPr>
                <w:b/>
                <w:sz w:val="20"/>
                <w:szCs w:val="20"/>
              </w:rPr>
              <w:t>2023.</w:t>
            </w:r>
          </w:p>
        </w:tc>
      </w:tr>
      <w:tr w:rsidR="00CE5537" w:rsidRPr="00CE5537" w14:paraId="4C20FAD3" w14:textId="77777777" w:rsidTr="007A7C7C">
        <w:trPr>
          <w:trHeight w:val="212"/>
        </w:trPr>
        <w:tc>
          <w:tcPr>
            <w:tcW w:w="3376" w:type="dxa"/>
            <w:vMerge/>
            <w:vAlign w:val="center"/>
            <w:hideMark/>
          </w:tcPr>
          <w:p w14:paraId="3BFB1B35" w14:textId="77777777" w:rsidR="007A7C7C" w:rsidRPr="00CE5537" w:rsidRDefault="007A7C7C" w:rsidP="007A7C7C">
            <w:pPr>
              <w:rPr>
                <w:rFonts w:eastAsia="Times New Roman"/>
                <w:b/>
                <w:bCs/>
                <w:sz w:val="20"/>
                <w:szCs w:val="20"/>
              </w:rPr>
            </w:pPr>
          </w:p>
        </w:tc>
        <w:tc>
          <w:tcPr>
            <w:tcW w:w="1439" w:type="dxa"/>
            <w:shd w:val="clear" w:color="000000" w:fill="FFFF99"/>
            <w:vAlign w:val="center"/>
          </w:tcPr>
          <w:p w14:paraId="2B4F98E5" w14:textId="77777777" w:rsidR="007A7C7C" w:rsidRPr="00CE5537" w:rsidRDefault="007A7C7C" w:rsidP="007A7C7C">
            <w:pPr>
              <w:rPr>
                <w:rFonts w:eastAsia="Times New Roman"/>
                <w:b/>
                <w:sz w:val="18"/>
                <w:szCs w:val="20"/>
              </w:rPr>
            </w:pPr>
            <w:r w:rsidRPr="00CE5537">
              <w:rPr>
                <w:b/>
                <w:sz w:val="20"/>
                <w:szCs w:val="20"/>
              </w:rPr>
              <w:t xml:space="preserve">u </w:t>
            </w:r>
            <w:proofErr w:type="spellStart"/>
            <w:r w:rsidRPr="00CE5537">
              <w:rPr>
                <w:b/>
                <w:sz w:val="20"/>
                <w:szCs w:val="20"/>
              </w:rPr>
              <w:t>mln</w:t>
            </w:r>
            <w:proofErr w:type="spellEnd"/>
            <w:r w:rsidRPr="00CE5537">
              <w:rPr>
                <w:b/>
                <w:sz w:val="20"/>
                <w:szCs w:val="20"/>
              </w:rPr>
              <w:t xml:space="preserve"> EUR</w:t>
            </w:r>
          </w:p>
        </w:tc>
        <w:tc>
          <w:tcPr>
            <w:tcW w:w="1559" w:type="dxa"/>
            <w:shd w:val="clear" w:color="000000" w:fill="FFFF99"/>
            <w:vAlign w:val="center"/>
          </w:tcPr>
          <w:p w14:paraId="27A95E76" w14:textId="77777777" w:rsidR="007A7C7C" w:rsidRPr="00CE5537" w:rsidRDefault="007A7C7C" w:rsidP="007A7C7C">
            <w:pPr>
              <w:jc w:val="center"/>
              <w:rPr>
                <w:rFonts w:eastAsia="Times New Roman"/>
                <w:b/>
                <w:sz w:val="18"/>
                <w:szCs w:val="20"/>
              </w:rPr>
            </w:pPr>
            <w:r w:rsidRPr="00CE5537">
              <w:rPr>
                <w:b/>
                <w:sz w:val="20"/>
                <w:szCs w:val="20"/>
              </w:rPr>
              <w:t xml:space="preserve">u </w:t>
            </w:r>
            <w:proofErr w:type="spellStart"/>
            <w:r w:rsidRPr="00CE5537">
              <w:rPr>
                <w:b/>
                <w:sz w:val="20"/>
                <w:szCs w:val="20"/>
              </w:rPr>
              <w:t>mln</w:t>
            </w:r>
            <w:proofErr w:type="spellEnd"/>
            <w:r w:rsidRPr="00CE5537">
              <w:rPr>
                <w:b/>
                <w:sz w:val="20"/>
                <w:szCs w:val="20"/>
              </w:rPr>
              <w:t xml:space="preserve"> EUR</w:t>
            </w:r>
          </w:p>
        </w:tc>
        <w:tc>
          <w:tcPr>
            <w:tcW w:w="1559" w:type="dxa"/>
            <w:shd w:val="clear" w:color="000000" w:fill="FFFF99"/>
            <w:vAlign w:val="center"/>
          </w:tcPr>
          <w:p w14:paraId="2799A378" w14:textId="77777777" w:rsidR="007A7C7C" w:rsidRPr="00CE5537" w:rsidRDefault="007A7C7C" w:rsidP="007A7C7C">
            <w:pPr>
              <w:jc w:val="center"/>
              <w:rPr>
                <w:rFonts w:eastAsia="Times New Roman"/>
                <w:b/>
                <w:sz w:val="18"/>
                <w:szCs w:val="20"/>
              </w:rPr>
            </w:pPr>
            <w:r w:rsidRPr="00CE5537">
              <w:rPr>
                <w:b/>
                <w:sz w:val="20"/>
                <w:szCs w:val="20"/>
              </w:rPr>
              <w:t xml:space="preserve">u </w:t>
            </w:r>
            <w:proofErr w:type="spellStart"/>
            <w:r w:rsidRPr="00CE5537">
              <w:rPr>
                <w:b/>
                <w:sz w:val="20"/>
                <w:szCs w:val="20"/>
              </w:rPr>
              <w:t>mln</w:t>
            </w:r>
            <w:proofErr w:type="spellEnd"/>
            <w:r w:rsidRPr="00CE5537">
              <w:rPr>
                <w:b/>
                <w:sz w:val="20"/>
                <w:szCs w:val="20"/>
              </w:rPr>
              <w:t xml:space="preserve"> EUR</w:t>
            </w:r>
          </w:p>
        </w:tc>
      </w:tr>
      <w:tr w:rsidR="007E0295" w:rsidRPr="00CE5537" w14:paraId="49A890C1" w14:textId="77777777" w:rsidTr="007A7C7C">
        <w:trPr>
          <w:trHeight w:val="40"/>
        </w:trPr>
        <w:tc>
          <w:tcPr>
            <w:tcW w:w="3376" w:type="dxa"/>
            <w:shd w:val="clear" w:color="auto" w:fill="auto"/>
            <w:noWrap/>
            <w:vAlign w:val="center"/>
            <w:hideMark/>
          </w:tcPr>
          <w:p w14:paraId="28434E64" w14:textId="77777777" w:rsidR="007E0295" w:rsidRPr="00CE5537" w:rsidRDefault="007E0295" w:rsidP="007E0295">
            <w:pPr>
              <w:rPr>
                <w:rFonts w:eastAsia="Times New Roman"/>
                <w:b/>
                <w:bCs/>
                <w:sz w:val="20"/>
                <w:szCs w:val="20"/>
              </w:rPr>
            </w:pPr>
            <w:r w:rsidRPr="00CE5537">
              <w:rPr>
                <w:rFonts w:eastAsia="Times New Roman"/>
                <w:b/>
                <w:bCs/>
                <w:sz w:val="20"/>
                <w:szCs w:val="20"/>
              </w:rPr>
              <w:t>A1</w:t>
            </w:r>
            <w:r w:rsidRPr="00CE5537">
              <w:rPr>
                <w:rFonts w:eastAsia="Times New Roman"/>
                <w:sz w:val="20"/>
                <w:szCs w:val="20"/>
              </w:rPr>
              <w:t xml:space="preserve"> subvencije</w:t>
            </w:r>
          </w:p>
        </w:tc>
        <w:tc>
          <w:tcPr>
            <w:tcW w:w="1439" w:type="dxa"/>
            <w:vAlign w:val="center"/>
          </w:tcPr>
          <w:p w14:paraId="39230EB9" w14:textId="26839588" w:rsidR="007E0295" w:rsidRPr="00CE5537" w:rsidRDefault="007E0295" w:rsidP="007E0295">
            <w:pPr>
              <w:jc w:val="right"/>
              <w:rPr>
                <w:sz w:val="20"/>
                <w:szCs w:val="14"/>
              </w:rPr>
            </w:pPr>
            <w:r w:rsidRPr="00CE5537">
              <w:rPr>
                <w:sz w:val="20"/>
                <w:szCs w:val="20"/>
              </w:rPr>
              <w:t>22,0</w:t>
            </w:r>
          </w:p>
        </w:tc>
        <w:tc>
          <w:tcPr>
            <w:tcW w:w="1559" w:type="dxa"/>
            <w:vAlign w:val="center"/>
          </w:tcPr>
          <w:p w14:paraId="10F8921F" w14:textId="50D00C86" w:rsidR="007E0295" w:rsidRPr="00CE5537" w:rsidRDefault="007E0295" w:rsidP="007E0295">
            <w:pPr>
              <w:jc w:val="right"/>
              <w:rPr>
                <w:sz w:val="20"/>
                <w:szCs w:val="14"/>
              </w:rPr>
            </w:pPr>
            <w:r w:rsidRPr="00CE5537">
              <w:rPr>
                <w:sz w:val="20"/>
                <w:szCs w:val="20"/>
              </w:rPr>
              <w:t>19,1</w:t>
            </w:r>
          </w:p>
        </w:tc>
        <w:tc>
          <w:tcPr>
            <w:tcW w:w="1559" w:type="dxa"/>
            <w:vAlign w:val="center"/>
          </w:tcPr>
          <w:p w14:paraId="2B0A6A9B" w14:textId="383B1EAC" w:rsidR="007E0295" w:rsidRPr="00CE5537" w:rsidRDefault="007E0295" w:rsidP="007E0295">
            <w:pPr>
              <w:jc w:val="right"/>
              <w:rPr>
                <w:sz w:val="20"/>
                <w:szCs w:val="14"/>
              </w:rPr>
            </w:pPr>
            <w:r w:rsidRPr="00CE5537">
              <w:rPr>
                <w:sz w:val="20"/>
                <w:szCs w:val="20"/>
              </w:rPr>
              <w:t>24,1</w:t>
            </w:r>
          </w:p>
        </w:tc>
      </w:tr>
      <w:tr w:rsidR="007E0295" w:rsidRPr="00CE5537" w14:paraId="66E0625A" w14:textId="77777777" w:rsidTr="007A7C7C">
        <w:trPr>
          <w:trHeight w:val="40"/>
        </w:trPr>
        <w:tc>
          <w:tcPr>
            <w:tcW w:w="3376" w:type="dxa"/>
            <w:shd w:val="clear" w:color="000000" w:fill="FFFF99"/>
            <w:noWrap/>
            <w:vAlign w:val="center"/>
            <w:hideMark/>
          </w:tcPr>
          <w:p w14:paraId="033086D7" w14:textId="77777777" w:rsidR="007E0295" w:rsidRPr="00CE5537" w:rsidRDefault="007E0295" w:rsidP="007E0295">
            <w:pPr>
              <w:rPr>
                <w:rFonts w:eastAsia="Times New Roman"/>
                <w:b/>
                <w:bCs/>
                <w:sz w:val="20"/>
                <w:szCs w:val="20"/>
              </w:rPr>
            </w:pPr>
            <w:r w:rsidRPr="00CE5537">
              <w:rPr>
                <w:rFonts w:eastAsia="Times New Roman"/>
                <w:b/>
                <w:bCs/>
                <w:sz w:val="20"/>
                <w:szCs w:val="20"/>
              </w:rPr>
              <w:t>UKUPNO</w:t>
            </w:r>
          </w:p>
        </w:tc>
        <w:tc>
          <w:tcPr>
            <w:tcW w:w="1439" w:type="dxa"/>
            <w:shd w:val="clear" w:color="000000" w:fill="FFFF99"/>
            <w:vAlign w:val="center"/>
          </w:tcPr>
          <w:p w14:paraId="77B1960E" w14:textId="210C5222" w:rsidR="007E0295" w:rsidRPr="00CE5537" w:rsidRDefault="007E0295" w:rsidP="007E0295">
            <w:pPr>
              <w:jc w:val="right"/>
              <w:rPr>
                <w:b/>
                <w:sz w:val="20"/>
                <w:szCs w:val="14"/>
              </w:rPr>
            </w:pPr>
            <w:r w:rsidRPr="00CE5537">
              <w:rPr>
                <w:b/>
                <w:sz w:val="20"/>
                <w:szCs w:val="20"/>
              </w:rPr>
              <w:t>22,0</w:t>
            </w:r>
          </w:p>
        </w:tc>
        <w:tc>
          <w:tcPr>
            <w:tcW w:w="1559" w:type="dxa"/>
            <w:shd w:val="clear" w:color="000000" w:fill="FFFF99"/>
            <w:vAlign w:val="center"/>
          </w:tcPr>
          <w:p w14:paraId="72D6A0E1" w14:textId="587D42F3" w:rsidR="007E0295" w:rsidRPr="00CE5537" w:rsidRDefault="007E0295" w:rsidP="007E0295">
            <w:pPr>
              <w:jc w:val="right"/>
              <w:rPr>
                <w:b/>
                <w:sz w:val="20"/>
                <w:szCs w:val="14"/>
              </w:rPr>
            </w:pPr>
            <w:r w:rsidRPr="00CE5537">
              <w:rPr>
                <w:b/>
                <w:sz w:val="20"/>
                <w:szCs w:val="20"/>
              </w:rPr>
              <w:t>19,1</w:t>
            </w:r>
          </w:p>
        </w:tc>
        <w:tc>
          <w:tcPr>
            <w:tcW w:w="1559" w:type="dxa"/>
            <w:shd w:val="clear" w:color="000000" w:fill="FFFF99"/>
            <w:vAlign w:val="center"/>
          </w:tcPr>
          <w:p w14:paraId="2EE6CA01" w14:textId="4F14741D" w:rsidR="007E0295" w:rsidRPr="00CE5537" w:rsidRDefault="007E0295" w:rsidP="007E0295">
            <w:pPr>
              <w:jc w:val="right"/>
              <w:rPr>
                <w:b/>
                <w:sz w:val="20"/>
                <w:szCs w:val="14"/>
              </w:rPr>
            </w:pPr>
            <w:r w:rsidRPr="00CE5537">
              <w:rPr>
                <w:b/>
                <w:sz w:val="20"/>
                <w:szCs w:val="20"/>
              </w:rPr>
              <w:t>24,1</w:t>
            </w:r>
          </w:p>
        </w:tc>
      </w:tr>
      <w:tr w:rsidR="007E0295" w:rsidRPr="00CE5537" w14:paraId="675994F5" w14:textId="77777777" w:rsidTr="007A7C7C">
        <w:trPr>
          <w:trHeight w:val="40"/>
        </w:trPr>
        <w:tc>
          <w:tcPr>
            <w:tcW w:w="3376" w:type="dxa"/>
            <w:shd w:val="clear" w:color="auto" w:fill="auto"/>
            <w:vAlign w:val="center"/>
            <w:hideMark/>
          </w:tcPr>
          <w:p w14:paraId="4929F64E" w14:textId="77777777" w:rsidR="007E0295" w:rsidRPr="00CE5537" w:rsidRDefault="007E0295" w:rsidP="007E0295">
            <w:pPr>
              <w:rPr>
                <w:rFonts w:eastAsia="Times New Roman"/>
                <w:sz w:val="20"/>
                <w:szCs w:val="20"/>
              </w:rPr>
            </w:pPr>
            <w:r w:rsidRPr="00CE5537">
              <w:rPr>
                <w:rFonts w:eastAsia="Times New Roman"/>
                <w:sz w:val="20"/>
                <w:szCs w:val="20"/>
              </w:rPr>
              <w:t>udio (%) u horizontalnim ciljevima</w:t>
            </w:r>
          </w:p>
        </w:tc>
        <w:tc>
          <w:tcPr>
            <w:tcW w:w="1439" w:type="dxa"/>
            <w:vAlign w:val="center"/>
          </w:tcPr>
          <w:p w14:paraId="69DADF7B" w14:textId="6505BA18" w:rsidR="007E0295" w:rsidRPr="00CE5537" w:rsidRDefault="007E0295" w:rsidP="007E0295">
            <w:pPr>
              <w:jc w:val="center"/>
              <w:rPr>
                <w:sz w:val="20"/>
                <w:szCs w:val="14"/>
              </w:rPr>
            </w:pPr>
            <w:r w:rsidRPr="00CE5537">
              <w:rPr>
                <w:sz w:val="20"/>
                <w:szCs w:val="20"/>
              </w:rPr>
              <w:t>7,70</w:t>
            </w:r>
          </w:p>
        </w:tc>
        <w:tc>
          <w:tcPr>
            <w:tcW w:w="1559" w:type="dxa"/>
            <w:vAlign w:val="center"/>
          </w:tcPr>
          <w:p w14:paraId="0CBC6706" w14:textId="27C126F4" w:rsidR="007E0295" w:rsidRPr="00CE5537" w:rsidRDefault="007E0295" w:rsidP="007E0295">
            <w:pPr>
              <w:jc w:val="center"/>
              <w:rPr>
                <w:sz w:val="20"/>
                <w:szCs w:val="14"/>
              </w:rPr>
            </w:pPr>
            <w:r w:rsidRPr="00CE5537">
              <w:rPr>
                <w:sz w:val="20"/>
                <w:szCs w:val="20"/>
              </w:rPr>
              <w:t>19,22</w:t>
            </w:r>
          </w:p>
        </w:tc>
        <w:tc>
          <w:tcPr>
            <w:tcW w:w="1559" w:type="dxa"/>
            <w:vAlign w:val="center"/>
          </w:tcPr>
          <w:p w14:paraId="32C915E4" w14:textId="38001843" w:rsidR="007E0295" w:rsidRPr="00CE5537" w:rsidRDefault="007E0295" w:rsidP="007E0295">
            <w:pPr>
              <w:jc w:val="center"/>
              <w:rPr>
                <w:sz w:val="20"/>
                <w:szCs w:val="14"/>
              </w:rPr>
            </w:pPr>
            <w:r w:rsidRPr="00CE5537">
              <w:rPr>
                <w:sz w:val="20"/>
                <w:szCs w:val="20"/>
              </w:rPr>
              <w:t>8,99</w:t>
            </w:r>
          </w:p>
        </w:tc>
      </w:tr>
      <w:tr w:rsidR="007E0295" w:rsidRPr="00CE5537" w14:paraId="31B673F6" w14:textId="77777777" w:rsidTr="007A7C7C">
        <w:trPr>
          <w:trHeight w:val="90"/>
        </w:trPr>
        <w:tc>
          <w:tcPr>
            <w:tcW w:w="3376" w:type="dxa"/>
            <w:shd w:val="clear" w:color="auto" w:fill="auto"/>
            <w:vAlign w:val="center"/>
            <w:hideMark/>
          </w:tcPr>
          <w:p w14:paraId="72B45FA1" w14:textId="77777777" w:rsidR="007E0295" w:rsidRPr="00CE5537" w:rsidRDefault="007E0295" w:rsidP="007E0295">
            <w:pPr>
              <w:rPr>
                <w:rFonts w:eastAsia="Times New Roman"/>
                <w:sz w:val="20"/>
                <w:szCs w:val="20"/>
              </w:rPr>
            </w:pPr>
            <w:r w:rsidRPr="00CE5537">
              <w:rPr>
                <w:rFonts w:eastAsia="Times New Roman"/>
                <w:sz w:val="20"/>
                <w:szCs w:val="20"/>
              </w:rPr>
              <w:t>udio (%) u ukupnim potporama (bez poljoprivrede i ribarstva)</w:t>
            </w:r>
          </w:p>
        </w:tc>
        <w:tc>
          <w:tcPr>
            <w:tcW w:w="1439" w:type="dxa"/>
            <w:vAlign w:val="center"/>
          </w:tcPr>
          <w:p w14:paraId="0CC5A185" w14:textId="76AF8FF6" w:rsidR="007E0295" w:rsidRPr="00CE5537" w:rsidRDefault="007E0295" w:rsidP="007E0295">
            <w:pPr>
              <w:jc w:val="center"/>
              <w:rPr>
                <w:sz w:val="20"/>
                <w:szCs w:val="14"/>
              </w:rPr>
            </w:pPr>
            <w:r w:rsidRPr="00CE5537">
              <w:rPr>
                <w:sz w:val="20"/>
                <w:szCs w:val="20"/>
              </w:rPr>
              <w:t>1,14</w:t>
            </w:r>
          </w:p>
        </w:tc>
        <w:tc>
          <w:tcPr>
            <w:tcW w:w="1559" w:type="dxa"/>
            <w:vAlign w:val="center"/>
          </w:tcPr>
          <w:p w14:paraId="14D232E0" w14:textId="4832D776" w:rsidR="007E0295" w:rsidRPr="00CE5537" w:rsidRDefault="007E0295" w:rsidP="007E0295">
            <w:pPr>
              <w:jc w:val="center"/>
              <w:rPr>
                <w:sz w:val="20"/>
                <w:szCs w:val="14"/>
              </w:rPr>
            </w:pPr>
            <w:r w:rsidRPr="00CE5537">
              <w:rPr>
                <w:sz w:val="20"/>
                <w:szCs w:val="20"/>
              </w:rPr>
              <w:t>0,94</w:t>
            </w:r>
          </w:p>
        </w:tc>
        <w:tc>
          <w:tcPr>
            <w:tcW w:w="1559" w:type="dxa"/>
            <w:vAlign w:val="center"/>
          </w:tcPr>
          <w:p w14:paraId="5EF680C2" w14:textId="6180B6E3" w:rsidR="007E0295" w:rsidRPr="00CE5537" w:rsidRDefault="007E0295" w:rsidP="007E0295">
            <w:pPr>
              <w:jc w:val="center"/>
              <w:rPr>
                <w:sz w:val="20"/>
                <w:szCs w:val="14"/>
              </w:rPr>
            </w:pPr>
            <w:r w:rsidRPr="00CE5537">
              <w:rPr>
                <w:sz w:val="20"/>
                <w:szCs w:val="20"/>
              </w:rPr>
              <w:t>1,22</w:t>
            </w:r>
          </w:p>
        </w:tc>
      </w:tr>
      <w:tr w:rsidR="007E0295" w:rsidRPr="00CE5537" w14:paraId="63966073" w14:textId="77777777" w:rsidTr="007A7C7C">
        <w:trPr>
          <w:trHeight w:val="40"/>
        </w:trPr>
        <w:tc>
          <w:tcPr>
            <w:tcW w:w="3376" w:type="dxa"/>
            <w:shd w:val="clear" w:color="auto" w:fill="auto"/>
            <w:vAlign w:val="center"/>
            <w:hideMark/>
          </w:tcPr>
          <w:p w14:paraId="3F8B63E8" w14:textId="77777777" w:rsidR="007E0295" w:rsidRPr="00CE5537" w:rsidRDefault="007E0295" w:rsidP="007E0295">
            <w:pPr>
              <w:rPr>
                <w:rFonts w:eastAsia="Times New Roman"/>
                <w:sz w:val="20"/>
                <w:szCs w:val="20"/>
              </w:rPr>
            </w:pPr>
            <w:r w:rsidRPr="00CE5537">
              <w:rPr>
                <w:rFonts w:eastAsia="Times New Roman"/>
                <w:sz w:val="20"/>
                <w:szCs w:val="20"/>
              </w:rPr>
              <w:t>udio (%) u ukupnim potporama</w:t>
            </w:r>
          </w:p>
        </w:tc>
        <w:tc>
          <w:tcPr>
            <w:tcW w:w="1439" w:type="dxa"/>
            <w:vAlign w:val="center"/>
          </w:tcPr>
          <w:p w14:paraId="61849651" w14:textId="21F50752" w:rsidR="007E0295" w:rsidRPr="00CE5537" w:rsidRDefault="007E0295" w:rsidP="007E0295">
            <w:pPr>
              <w:jc w:val="center"/>
              <w:rPr>
                <w:sz w:val="20"/>
                <w:szCs w:val="14"/>
              </w:rPr>
            </w:pPr>
            <w:r w:rsidRPr="00CE5537">
              <w:rPr>
                <w:sz w:val="20"/>
                <w:szCs w:val="20"/>
              </w:rPr>
              <w:t>0,75</w:t>
            </w:r>
          </w:p>
        </w:tc>
        <w:tc>
          <w:tcPr>
            <w:tcW w:w="1559" w:type="dxa"/>
            <w:vAlign w:val="center"/>
          </w:tcPr>
          <w:p w14:paraId="368795DE" w14:textId="50269AFF" w:rsidR="007E0295" w:rsidRPr="00CE5537" w:rsidRDefault="007E0295" w:rsidP="007E0295">
            <w:pPr>
              <w:jc w:val="center"/>
              <w:rPr>
                <w:sz w:val="20"/>
                <w:szCs w:val="14"/>
              </w:rPr>
            </w:pPr>
            <w:r w:rsidRPr="00CE5537">
              <w:rPr>
                <w:sz w:val="20"/>
                <w:szCs w:val="20"/>
              </w:rPr>
              <w:t>0,63</w:t>
            </w:r>
          </w:p>
        </w:tc>
        <w:tc>
          <w:tcPr>
            <w:tcW w:w="1559" w:type="dxa"/>
            <w:vAlign w:val="center"/>
          </w:tcPr>
          <w:p w14:paraId="0A8D2378" w14:textId="74150A0A" w:rsidR="007E0295" w:rsidRPr="00CE5537" w:rsidRDefault="007E0295" w:rsidP="007E0295">
            <w:pPr>
              <w:jc w:val="center"/>
              <w:rPr>
                <w:sz w:val="20"/>
                <w:szCs w:val="14"/>
              </w:rPr>
            </w:pPr>
            <w:r w:rsidRPr="00CE5537">
              <w:rPr>
                <w:sz w:val="20"/>
                <w:szCs w:val="20"/>
              </w:rPr>
              <w:t>0,79</w:t>
            </w:r>
          </w:p>
        </w:tc>
      </w:tr>
      <w:tr w:rsidR="007E0295" w:rsidRPr="00CE5537" w14:paraId="3ED411B0" w14:textId="77777777" w:rsidTr="007A7C7C">
        <w:trPr>
          <w:trHeight w:val="40"/>
        </w:trPr>
        <w:tc>
          <w:tcPr>
            <w:tcW w:w="3376" w:type="dxa"/>
            <w:shd w:val="clear" w:color="auto" w:fill="auto"/>
            <w:vAlign w:val="center"/>
            <w:hideMark/>
          </w:tcPr>
          <w:p w14:paraId="1AFEFBEA" w14:textId="77777777" w:rsidR="007E0295" w:rsidRPr="00CE5537" w:rsidRDefault="007E0295" w:rsidP="007E0295">
            <w:pPr>
              <w:rPr>
                <w:rFonts w:eastAsia="Times New Roman"/>
                <w:sz w:val="20"/>
                <w:szCs w:val="20"/>
              </w:rPr>
            </w:pPr>
            <w:r w:rsidRPr="00CE5537">
              <w:rPr>
                <w:rFonts w:eastAsia="Times New Roman"/>
                <w:sz w:val="20"/>
                <w:szCs w:val="20"/>
              </w:rPr>
              <w:t>udio (%) u BDP-u</w:t>
            </w:r>
          </w:p>
        </w:tc>
        <w:tc>
          <w:tcPr>
            <w:tcW w:w="1439" w:type="dxa"/>
            <w:vAlign w:val="center"/>
          </w:tcPr>
          <w:p w14:paraId="4312F535" w14:textId="662F26EE" w:rsidR="007E0295" w:rsidRPr="00CE5537" w:rsidRDefault="007E0295" w:rsidP="007E0295">
            <w:pPr>
              <w:jc w:val="center"/>
              <w:rPr>
                <w:sz w:val="20"/>
                <w:szCs w:val="14"/>
              </w:rPr>
            </w:pPr>
            <w:r w:rsidRPr="00CE5537">
              <w:rPr>
                <w:sz w:val="20"/>
                <w:szCs w:val="20"/>
              </w:rPr>
              <w:t>0,04</w:t>
            </w:r>
          </w:p>
        </w:tc>
        <w:tc>
          <w:tcPr>
            <w:tcW w:w="1559" w:type="dxa"/>
            <w:vAlign w:val="center"/>
          </w:tcPr>
          <w:p w14:paraId="4955CABE" w14:textId="39F557B2" w:rsidR="007E0295" w:rsidRPr="00CE5537" w:rsidRDefault="007E0295" w:rsidP="007E0295">
            <w:pPr>
              <w:jc w:val="center"/>
              <w:rPr>
                <w:sz w:val="20"/>
                <w:szCs w:val="14"/>
              </w:rPr>
            </w:pPr>
            <w:r w:rsidRPr="00CE5537">
              <w:rPr>
                <w:sz w:val="20"/>
                <w:szCs w:val="20"/>
              </w:rPr>
              <w:t>0,03</w:t>
            </w:r>
          </w:p>
        </w:tc>
        <w:tc>
          <w:tcPr>
            <w:tcW w:w="1559" w:type="dxa"/>
            <w:vAlign w:val="center"/>
          </w:tcPr>
          <w:p w14:paraId="7B4FC8B7" w14:textId="14321C56" w:rsidR="007E0295" w:rsidRPr="00CE5537" w:rsidRDefault="007E0295" w:rsidP="007E0295">
            <w:pPr>
              <w:jc w:val="center"/>
              <w:rPr>
                <w:sz w:val="20"/>
                <w:szCs w:val="14"/>
              </w:rPr>
            </w:pPr>
            <w:r w:rsidRPr="00CE5537">
              <w:rPr>
                <w:sz w:val="20"/>
                <w:szCs w:val="20"/>
              </w:rPr>
              <w:t>0,03</w:t>
            </w:r>
          </w:p>
        </w:tc>
      </w:tr>
    </w:tbl>
    <w:p w14:paraId="0C97FAF0" w14:textId="77777777" w:rsidR="00CE5537" w:rsidRPr="00CE5537" w:rsidRDefault="00CE5537" w:rsidP="00CE5537">
      <w:pPr>
        <w:contextualSpacing/>
        <w:jc w:val="both"/>
        <w:rPr>
          <w:i/>
          <w:sz w:val="20"/>
        </w:rPr>
      </w:pPr>
      <w:r w:rsidRPr="00CE5537">
        <w:rPr>
          <w:i/>
          <w:sz w:val="20"/>
        </w:rPr>
        <w:t>Izvor: Ministarstvo financija i davatelji potpora; podaci obrađeni u Ministarstvu financija</w:t>
      </w:r>
    </w:p>
    <w:p w14:paraId="3610144B" w14:textId="77777777" w:rsidR="00CE5537" w:rsidRPr="00CE5537" w:rsidRDefault="00CE5537" w:rsidP="00CE5537"/>
    <w:p w14:paraId="438D51BC" w14:textId="6E73B4AE" w:rsidR="00D64718" w:rsidRPr="007957FD" w:rsidRDefault="00D64718" w:rsidP="00D64718">
      <w:pPr>
        <w:jc w:val="both"/>
      </w:pPr>
      <w:r w:rsidRPr="007957FD">
        <w:t>Udio potpora za kulturu u BDP-u u 2023. godini iznosio je 0,</w:t>
      </w:r>
      <w:r w:rsidR="007957FD" w:rsidRPr="007957FD">
        <w:t>03</w:t>
      </w:r>
      <w:r w:rsidRPr="007957FD">
        <w:t xml:space="preserve"> posto, u 2022. godini iznosio je </w:t>
      </w:r>
      <w:r w:rsidR="007957FD" w:rsidRPr="007957FD">
        <w:t xml:space="preserve">također </w:t>
      </w:r>
      <w:r w:rsidRPr="007957FD">
        <w:t>0,0</w:t>
      </w:r>
      <w:r w:rsidR="007957FD" w:rsidRPr="007957FD">
        <w:t>3</w:t>
      </w:r>
      <w:r w:rsidRPr="007957FD">
        <w:t xml:space="preserve"> posto, dok je u 2021. godini iznosio 0,</w:t>
      </w:r>
      <w:r w:rsidR="007957FD" w:rsidRPr="007957FD">
        <w:t>04</w:t>
      </w:r>
      <w:r w:rsidRPr="007957FD">
        <w:t xml:space="preserve"> posto. Udio navedenih potpora u 2023. godini u ukupno dodijeljenim potporama iznosio je </w:t>
      </w:r>
      <w:r w:rsidR="007957FD" w:rsidRPr="007957FD">
        <w:t>0,8</w:t>
      </w:r>
      <w:r w:rsidRPr="007957FD">
        <w:t xml:space="preserve"> posto, udio u dodijeljenim potporama u sektoru industrije i usluga u 2023. godini iznosio je </w:t>
      </w:r>
      <w:r w:rsidR="007957FD" w:rsidRPr="007957FD">
        <w:t>1,2</w:t>
      </w:r>
      <w:r w:rsidRPr="007957FD">
        <w:t xml:space="preserve"> posto, dok je udio navedenih potpora u horizontalnim ciljevima u 2023. godini iznosio </w:t>
      </w:r>
      <w:r w:rsidR="007957FD" w:rsidRPr="007957FD">
        <w:t>9</w:t>
      </w:r>
      <w:r w:rsidRPr="007957FD">
        <w:t xml:space="preserve"> posto.</w:t>
      </w:r>
    </w:p>
    <w:p w14:paraId="22815C11" w14:textId="77777777" w:rsidR="00426C8F" w:rsidRPr="007957FD" w:rsidRDefault="00426C8F" w:rsidP="00BE487D">
      <w:pPr>
        <w:jc w:val="both"/>
      </w:pPr>
    </w:p>
    <w:p w14:paraId="466F751E" w14:textId="425CBFE8" w:rsidR="00D64718" w:rsidRPr="007957FD" w:rsidRDefault="00D64718" w:rsidP="007957FD">
      <w:pPr>
        <w:jc w:val="both"/>
      </w:pPr>
      <w:r w:rsidRPr="007957FD">
        <w:t xml:space="preserve">U 2023. godini davatelji potpora </w:t>
      </w:r>
      <w:r w:rsidR="007957FD" w:rsidRPr="007957FD">
        <w:t>u kulturi</w:t>
      </w:r>
      <w:r w:rsidRPr="007957FD">
        <w:t xml:space="preserve">, koje su dodijeljene u iznosu od </w:t>
      </w:r>
      <w:r w:rsidR="007957FD" w:rsidRPr="007957FD">
        <w:t>24,1</w:t>
      </w:r>
      <w:r w:rsidRPr="007957FD">
        <w:t xml:space="preserve"> milijun eura, su </w:t>
      </w:r>
      <w:r w:rsidR="007957FD" w:rsidRPr="007957FD">
        <w:t>Hrvatski audiovizualni centar s iznosom</w:t>
      </w:r>
      <w:r w:rsidRPr="007957FD">
        <w:t xml:space="preserve"> od </w:t>
      </w:r>
      <w:r w:rsidR="007957FD" w:rsidRPr="007957FD">
        <w:t>21,6</w:t>
      </w:r>
      <w:r w:rsidRPr="007957FD">
        <w:t xml:space="preserve"> </w:t>
      </w:r>
      <w:r w:rsidRPr="007957FD">
        <w:rPr>
          <w:rFonts w:eastAsia="Times New Roman"/>
          <w:lang w:eastAsia="hr-HR"/>
        </w:rPr>
        <w:t xml:space="preserve">milijuna eura i </w:t>
      </w:r>
      <w:r w:rsidR="007957FD" w:rsidRPr="007957FD">
        <w:t>Ministarstvo kulture i medija</w:t>
      </w:r>
      <w:r w:rsidRPr="007957FD">
        <w:t xml:space="preserve"> </w:t>
      </w:r>
      <w:r w:rsidR="007957FD" w:rsidRPr="007957FD">
        <w:t xml:space="preserve">s iznosom </w:t>
      </w:r>
      <w:r w:rsidRPr="007957FD">
        <w:t xml:space="preserve">od </w:t>
      </w:r>
      <w:r w:rsidR="007957FD" w:rsidRPr="007957FD">
        <w:t>2,5</w:t>
      </w:r>
      <w:r w:rsidRPr="007957FD">
        <w:t xml:space="preserve"> </w:t>
      </w:r>
      <w:r w:rsidRPr="007957FD">
        <w:rPr>
          <w:rFonts w:eastAsia="Times New Roman"/>
          <w:lang w:eastAsia="hr-HR"/>
        </w:rPr>
        <w:t>milijuna eura.</w:t>
      </w:r>
    </w:p>
    <w:p w14:paraId="7D82F5FF" w14:textId="77777777" w:rsidR="00D64718" w:rsidRPr="007957FD" w:rsidRDefault="00D64718" w:rsidP="00BE487D">
      <w:pPr>
        <w:jc w:val="both"/>
      </w:pPr>
    </w:p>
    <w:p w14:paraId="6119CFE7" w14:textId="016FCE9B" w:rsidR="00CC5893" w:rsidRPr="00280D82" w:rsidRDefault="002F05BF" w:rsidP="00CC5893">
      <w:pPr>
        <w:jc w:val="both"/>
      </w:pPr>
      <w:r w:rsidRPr="00B75A66">
        <w:rPr>
          <w:u w:val="single"/>
        </w:rPr>
        <w:t>Hrvatski audiovizualni centar</w:t>
      </w:r>
      <w:r w:rsidRPr="007957FD">
        <w:t xml:space="preserve"> je </w:t>
      </w:r>
      <w:r w:rsidR="007957FD" w:rsidRPr="007957FD">
        <w:t xml:space="preserve">u 2023. godini </w:t>
      </w:r>
      <w:r w:rsidRPr="007957FD">
        <w:t xml:space="preserve">dodijelio </w:t>
      </w:r>
      <w:r w:rsidR="007957FD" w:rsidRPr="007957FD">
        <w:t>21,6</w:t>
      </w:r>
      <w:r w:rsidRPr="007957FD">
        <w:t xml:space="preserve"> milijun</w:t>
      </w:r>
      <w:r w:rsidR="007957FD" w:rsidRPr="007957FD">
        <w:t>a</w:t>
      </w:r>
      <w:r w:rsidRPr="007957FD">
        <w:t xml:space="preserve"> </w:t>
      </w:r>
      <w:r w:rsidR="007957FD" w:rsidRPr="007957FD">
        <w:t xml:space="preserve">eura </w:t>
      </w:r>
      <w:r w:rsidRPr="007957FD">
        <w:t xml:space="preserve">subvencija. </w:t>
      </w:r>
      <w:r w:rsidR="000A6C9E" w:rsidRPr="00D3532E">
        <w:t>Temeljem Programa državne potpore za dodjelu sredstava za promicanje audiovizualnog stvaralaštva, audiovizualne kulture i očuvanja audiovizualne baštine</w:t>
      </w:r>
      <w:r w:rsidR="007957FD" w:rsidRPr="00D3532E">
        <w:t xml:space="preserve"> i njegovih izmjena</w:t>
      </w:r>
      <w:r w:rsidR="000A6C9E" w:rsidRPr="00D3532E">
        <w:t xml:space="preserve"> dodijeljen</w:t>
      </w:r>
      <w:r w:rsidR="00D3532E" w:rsidRPr="00D3532E">
        <w:t>o</w:t>
      </w:r>
      <w:r w:rsidR="000A6C9E" w:rsidRPr="00D3532E">
        <w:t xml:space="preserve"> je </w:t>
      </w:r>
      <w:r w:rsidR="00D3532E" w:rsidRPr="00D3532E">
        <w:t>11,2</w:t>
      </w:r>
      <w:r w:rsidR="000A6C9E" w:rsidRPr="00D3532E">
        <w:t xml:space="preserve"> milijuna </w:t>
      </w:r>
      <w:r w:rsidR="00D3532E" w:rsidRPr="00D3532E">
        <w:t>eura</w:t>
      </w:r>
      <w:r w:rsidR="000A6C9E" w:rsidRPr="00D3532E">
        <w:t xml:space="preserve">, a o </w:t>
      </w:r>
      <w:r w:rsidR="00EA1E91" w:rsidRPr="00D3532E">
        <w:t xml:space="preserve">Programu </w:t>
      </w:r>
      <w:r w:rsidR="000A6C9E" w:rsidRPr="00D3532E">
        <w:t xml:space="preserve">je Europska komisija </w:t>
      </w:r>
      <w:r w:rsidR="000A6C9E" w:rsidRPr="00D3532E">
        <w:rPr>
          <w:rFonts w:eastAsia="Times New Roman"/>
          <w:lang w:eastAsia="hr-HR"/>
        </w:rPr>
        <w:t>obaviještena pod brojem SA.</w:t>
      </w:r>
      <w:r w:rsidR="000A6C9E" w:rsidRPr="00D3532E">
        <w:t xml:space="preserve">56746, te </w:t>
      </w:r>
      <w:r w:rsidR="000A6C9E" w:rsidRPr="00D3532E">
        <w:rPr>
          <w:rFonts w:eastAsia="Times New Roman"/>
          <w:color w:val="000000"/>
          <w:lang w:eastAsia="hr-HR"/>
        </w:rPr>
        <w:t xml:space="preserve">njegove kasnije izmjene koje je Europska komisija odobrila pod </w:t>
      </w:r>
      <w:r w:rsidR="000A6C9E" w:rsidRPr="00280D82">
        <w:rPr>
          <w:rFonts w:eastAsia="Times New Roman"/>
          <w:color w:val="000000"/>
          <w:lang w:eastAsia="hr-HR"/>
        </w:rPr>
        <w:t>brojevima SA.60043</w:t>
      </w:r>
      <w:r w:rsidR="00D3532E" w:rsidRPr="00280D82">
        <w:rPr>
          <w:rFonts w:eastAsia="Times New Roman"/>
          <w:color w:val="000000"/>
          <w:lang w:eastAsia="hr-HR"/>
        </w:rPr>
        <w:t>,</w:t>
      </w:r>
      <w:r w:rsidR="000A6C9E" w:rsidRPr="00280D82">
        <w:rPr>
          <w:rFonts w:eastAsia="Times New Roman"/>
          <w:color w:val="000000"/>
          <w:lang w:eastAsia="hr-HR"/>
        </w:rPr>
        <w:t xml:space="preserve"> SA.64482</w:t>
      </w:r>
      <w:r w:rsidR="00D3532E" w:rsidRPr="00280D82">
        <w:rPr>
          <w:rFonts w:eastAsia="Times New Roman"/>
          <w:color w:val="000000"/>
          <w:lang w:eastAsia="hr-HR"/>
        </w:rPr>
        <w:t xml:space="preserve"> i SA.</w:t>
      </w:r>
      <w:r w:rsidR="00D3532E" w:rsidRPr="00712C2C">
        <w:rPr>
          <w:rFonts w:eastAsia="Times New Roman"/>
          <w:color w:val="000000"/>
          <w:lang w:eastAsia="hr-HR"/>
        </w:rPr>
        <w:t>106448</w:t>
      </w:r>
      <w:r w:rsidR="000A6C9E" w:rsidRPr="00280D82">
        <w:rPr>
          <w:rFonts w:eastAsia="Times New Roman"/>
          <w:color w:val="000000"/>
          <w:lang w:eastAsia="hr-HR"/>
        </w:rPr>
        <w:t>.</w:t>
      </w:r>
      <w:r w:rsidR="00280D82" w:rsidRPr="00280D82">
        <w:rPr>
          <w:rFonts w:eastAsia="Times New Roman"/>
          <w:color w:val="000000"/>
          <w:lang w:eastAsia="hr-HR"/>
        </w:rPr>
        <w:t xml:space="preserve"> </w:t>
      </w:r>
      <w:r w:rsidR="00280D82" w:rsidRPr="00280D82">
        <w:t xml:space="preserve">Temeljem </w:t>
      </w:r>
      <w:r w:rsidRPr="00280D82">
        <w:t xml:space="preserve">Programa državne potpore za poticanje ulaganja </w:t>
      </w:r>
      <w:r w:rsidR="00280D82" w:rsidRPr="00280D82">
        <w:t xml:space="preserve">i njegovih izmjena, Hrvatski audiovizualni centar je </w:t>
      </w:r>
      <w:r w:rsidRPr="00280D82">
        <w:t>dodijel</w:t>
      </w:r>
      <w:r w:rsidR="001D3B75" w:rsidRPr="00280D82">
        <w:t>io</w:t>
      </w:r>
      <w:r w:rsidRPr="00280D82">
        <w:t xml:space="preserve"> iznos od </w:t>
      </w:r>
      <w:r w:rsidR="00280D82" w:rsidRPr="00280D82">
        <w:t>10,4</w:t>
      </w:r>
      <w:r w:rsidRPr="00280D82">
        <w:t xml:space="preserve"> milijuna </w:t>
      </w:r>
      <w:r w:rsidR="00280D82" w:rsidRPr="00280D82">
        <w:t>eura</w:t>
      </w:r>
      <w:r w:rsidRPr="00280D82">
        <w:t>, o kojem je Europska komisija obaviještena pod brojem SA.56745</w:t>
      </w:r>
      <w:r w:rsidR="000A6C9E" w:rsidRPr="00280D82">
        <w:t xml:space="preserve">, te </w:t>
      </w:r>
      <w:r w:rsidR="000A6C9E" w:rsidRPr="00280D82">
        <w:rPr>
          <w:rFonts w:eastAsia="Times New Roman"/>
          <w:color w:val="000000"/>
          <w:lang w:eastAsia="hr-HR"/>
        </w:rPr>
        <w:t>njegove kasnije izmjene koje je Europska komisija odobrila pod brojem SA.60044</w:t>
      </w:r>
      <w:r w:rsidR="00280D82" w:rsidRPr="00280D82">
        <w:rPr>
          <w:rFonts w:eastAsia="Times New Roman"/>
          <w:color w:val="000000"/>
          <w:lang w:eastAsia="hr-HR"/>
        </w:rPr>
        <w:t xml:space="preserve"> i SA.106445</w:t>
      </w:r>
      <w:r w:rsidR="000A6C9E" w:rsidRPr="00280D82">
        <w:rPr>
          <w:rFonts w:eastAsia="Times New Roman"/>
          <w:color w:val="000000"/>
          <w:lang w:eastAsia="hr-HR"/>
        </w:rPr>
        <w:t>.</w:t>
      </w:r>
      <w:r w:rsidR="000A6C9E" w:rsidRPr="00280D82">
        <w:t xml:space="preserve"> </w:t>
      </w:r>
    </w:p>
    <w:p w14:paraId="3649BF97" w14:textId="77777777" w:rsidR="00CC5893" w:rsidRPr="00280D82" w:rsidRDefault="00CC5893" w:rsidP="00BE487D">
      <w:pPr>
        <w:jc w:val="both"/>
      </w:pPr>
    </w:p>
    <w:p w14:paraId="4647C232" w14:textId="2312DC21" w:rsidR="002B6C8A" w:rsidRPr="00280D82" w:rsidRDefault="00BF264A" w:rsidP="002B6C8A">
      <w:pPr>
        <w:jc w:val="both"/>
      </w:pPr>
      <w:r w:rsidRPr="00B75A66">
        <w:rPr>
          <w:u w:val="single"/>
        </w:rPr>
        <w:t>Ministarstvo kulture i medija</w:t>
      </w:r>
      <w:r w:rsidR="002D1E37" w:rsidRPr="00280D82">
        <w:t xml:space="preserve"> je </w:t>
      </w:r>
      <w:r w:rsidR="00263D4D" w:rsidRPr="00280D82">
        <w:t>u 202</w:t>
      </w:r>
      <w:r w:rsidR="00280D82" w:rsidRPr="00280D82">
        <w:t>3</w:t>
      </w:r>
      <w:r w:rsidR="00263D4D" w:rsidRPr="00280D82">
        <w:t xml:space="preserve">. godini </w:t>
      </w:r>
      <w:r w:rsidR="002D1E37" w:rsidRPr="00280D82">
        <w:t xml:space="preserve">dodijelilo </w:t>
      </w:r>
      <w:r w:rsidR="00280D82" w:rsidRPr="00280D82">
        <w:t>2,5</w:t>
      </w:r>
      <w:r w:rsidR="002D1E37" w:rsidRPr="00280D82">
        <w:t xml:space="preserve"> milijun</w:t>
      </w:r>
      <w:r w:rsidR="00280D82" w:rsidRPr="00280D82">
        <w:t>a</w:t>
      </w:r>
      <w:r w:rsidR="002D1E37" w:rsidRPr="00280D82">
        <w:t xml:space="preserve"> </w:t>
      </w:r>
      <w:r w:rsidR="00280D82" w:rsidRPr="00280D82">
        <w:t xml:space="preserve">eura </w:t>
      </w:r>
      <w:r w:rsidR="002D1E37" w:rsidRPr="00280D82">
        <w:t xml:space="preserve">subvencija temeljem </w:t>
      </w:r>
      <w:r w:rsidR="00280D82" w:rsidRPr="00280D82">
        <w:t xml:space="preserve">Programa financiranja nakladništva </w:t>
      </w:r>
      <w:r w:rsidR="00263D4D" w:rsidRPr="00280D82">
        <w:t>koji je Europska komisija odobrila u postupku koji se vodio pod brojem SA.</w:t>
      </w:r>
      <w:r w:rsidR="00280D82" w:rsidRPr="00280D82">
        <w:t>102488</w:t>
      </w:r>
      <w:r w:rsidR="00263D4D" w:rsidRPr="00280D82">
        <w:t>.</w:t>
      </w:r>
    </w:p>
    <w:p w14:paraId="068DCC50" w14:textId="77777777" w:rsidR="00E32F59" w:rsidRPr="00D64718" w:rsidRDefault="00E32F59" w:rsidP="00263D4D">
      <w:pPr>
        <w:jc w:val="both"/>
      </w:pPr>
    </w:p>
    <w:p w14:paraId="3638ECA5" w14:textId="2D820B99" w:rsidR="009B5376" w:rsidRDefault="00073214" w:rsidP="00BE487D">
      <w:pPr>
        <w:jc w:val="both"/>
        <w:rPr>
          <w:highlight w:val="red"/>
        </w:rPr>
      </w:pPr>
      <w:r w:rsidRPr="00B75A66">
        <w:rPr>
          <w:u w:val="single"/>
        </w:rPr>
        <w:t>Potpore male vrijednosti</w:t>
      </w:r>
      <w:r w:rsidRPr="00D64718">
        <w:t xml:space="preserve"> za kulturu i zaštitu baštine su u 2023. godini dodijeljene u iznosu od </w:t>
      </w:r>
      <w:r w:rsidR="00D64718" w:rsidRPr="00D64718">
        <w:t xml:space="preserve">193.325,00 </w:t>
      </w:r>
      <w:r w:rsidRPr="00D64718">
        <w:t xml:space="preserve">eura, te ukoliko bi se navedene potpore male vrijednosti pribrojile dodijeljenim potporama za kulturu i zaštitu baštine u iznosu od </w:t>
      </w:r>
      <w:r w:rsidR="00D64718" w:rsidRPr="00D64718">
        <w:t>24,1</w:t>
      </w:r>
      <w:r w:rsidRPr="00D64718">
        <w:t xml:space="preserve"> milijun eura, ukupan iznos svih dodijeljenih potpora za kulturu i zaštitu baštine u 2023. godini iznosile bi </w:t>
      </w:r>
      <w:r w:rsidR="00D64718" w:rsidRPr="00D64718">
        <w:t>24,3</w:t>
      </w:r>
      <w:r w:rsidRPr="00D64718">
        <w:t xml:space="preserve"> milijuna eura. </w:t>
      </w:r>
      <w:bookmarkStart w:id="18" w:name="_GoBack"/>
      <w:bookmarkEnd w:id="18"/>
    </w:p>
    <w:p w14:paraId="747659F8" w14:textId="77777777" w:rsidR="00280D82" w:rsidRPr="008149B5" w:rsidRDefault="00280D82" w:rsidP="00BE487D">
      <w:pPr>
        <w:jc w:val="both"/>
        <w:rPr>
          <w:highlight w:val="red"/>
        </w:rPr>
      </w:pPr>
    </w:p>
    <w:p w14:paraId="4B150021" w14:textId="77777777" w:rsidR="001E38B5" w:rsidRPr="008149B5" w:rsidRDefault="001E38B5">
      <w:pPr>
        <w:rPr>
          <w:rFonts w:eastAsiaTheme="majorEastAsia"/>
          <w:b/>
          <w:sz w:val="28"/>
          <w:highlight w:val="red"/>
        </w:rPr>
      </w:pPr>
      <w:r w:rsidRPr="008149B5">
        <w:rPr>
          <w:b/>
          <w:sz w:val="28"/>
          <w:highlight w:val="red"/>
        </w:rPr>
        <w:br w:type="page"/>
      </w:r>
    </w:p>
    <w:p w14:paraId="7FB2D5F0" w14:textId="3985E219" w:rsidR="00BE0817" w:rsidRPr="00CE5537" w:rsidRDefault="00C45D8A" w:rsidP="00B71D98">
      <w:pPr>
        <w:pStyle w:val="Heading2"/>
        <w:ind w:left="811" w:hanging="454"/>
      </w:pPr>
      <w:r w:rsidRPr="00CE5537">
        <w:lastRenderedPageBreak/>
        <w:t xml:space="preserve"> </w:t>
      </w:r>
      <w:bookmarkStart w:id="19" w:name="_Toc184635849"/>
      <w:r w:rsidRPr="00CE5537">
        <w:t>REGIONALNE POTPORE</w:t>
      </w:r>
      <w:bookmarkEnd w:id="19"/>
    </w:p>
    <w:p w14:paraId="0AC6643B" w14:textId="77777777" w:rsidR="00E668F9" w:rsidRPr="00CE5537" w:rsidRDefault="00E668F9" w:rsidP="00BE487D">
      <w:pPr>
        <w:jc w:val="both"/>
      </w:pPr>
    </w:p>
    <w:p w14:paraId="77FFF1A3" w14:textId="77777777" w:rsidR="00E668F9" w:rsidRPr="00CE5537" w:rsidRDefault="00E668F9" w:rsidP="00BE487D">
      <w:pPr>
        <w:jc w:val="both"/>
      </w:pPr>
    </w:p>
    <w:p w14:paraId="30E601FC" w14:textId="6FB63813" w:rsidR="00891E8E" w:rsidRPr="0081441F" w:rsidRDefault="00A53D39" w:rsidP="00891E8E">
      <w:pPr>
        <w:jc w:val="both"/>
      </w:pPr>
      <w:r w:rsidRPr="0081441F">
        <w:t>Regionalne potpore</w:t>
      </w:r>
      <w:r w:rsidRPr="0081441F">
        <w:rPr>
          <w:rStyle w:val="FootnoteReference"/>
        </w:rPr>
        <w:footnoteReference w:id="28"/>
      </w:r>
      <w:r w:rsidRPr="0081441F">
        <w:t xml:space="preserve"> </w:t>
      </w:r>
      <w:r w:rsidR="00891E8E" w:rsidRPr="0081441F">
        <w:t xml:space="preserve">su dodijeljene </w:t>
      </w:r>
      <w:r w:rsidR="00140E33" w:rsidRPr="0081441F">
        <w:t xml:space="preserve">u </w:t>
      </w:r>
      <w:r w:rsidR="0081441F" w:rsidRPr="0081441F">
        <w:t>2023. godini u iznosu od 148,2 milijuna eura, što je povećanje za 41,2 milijuna eura ili za 38,5 posto u odnosu na 2022. godinu, kada su navedene potpore iznosile 107 milijuna eura, te je povećanje za 62,5 milijuna eura ili za 73,1 posto u odnosu na 2021. godinu kada su regionalne potpore iznosile 85,6 milijuna eura</w:t>
      </w:r>
      <w:r w:rsidR="00891E8E" w:rsidRPr="0081441F">
        <w:t>.</w:t>
      </w:r>
    </w:p>
    <w:p w14:paraId="4EDF5ECC" w14:textId="77777777" w:rsidR="0081441F" w:rsidRPr="0081441F" w:rsidRDefault="0081441F" w:rsidP="00BE487D"/>
    <w:p w14:paraId="72E3F0D7" w14:textId="4E255005" w:rsidR="00A53D39" w:rsidRPr="00B75A66" w:rsidRDefault="00A53D39" w:rsidP="00BE487D">
      <w:pPr>
        <w:autoSpaceDE w:val="0"/>
        <w:autoSpaceDN w:val="0"/>
        <w:adjustRightInd w:val="0"/>
        <w:contextualSpacing/>
        <w:jc w:val="both"/>
        <w:rPr>
          <w:bCs/>
          <w:lang w:eastAsia="hr-HR"/>
        </w:rPr>
      </w:pPr>
      <w:r w:rsidRPr="00B75A66">
        <w:rPr>
          <w:bCs/>
          <w:lang w:eastAsia="hr-HR"/>
        </w:rPr>
        <w:t>Tablica 1</w:t>
      </w:r>
      <w:r w:rsidR="00381995" w:rsidRPr="00B75A66">
        <w:rPr>
          <w:bCs/>
          <w:lang w:eastAsia="hr-HR"/>
        </w:rPr>
        <w:t>3</w:t>
      </w:r>
      <w:r w:rsidRPr="00B75A66">
        <w:rPr>
          <w:bCs/>
          <w:lang w:eastAsia="hr-HR"/>
        </w:rPr>
        <w:t xml:space="preserve">. Regionalne potpore za razdoblje </w:t>
      </w:r>
      <w:r w:rsidRPr="00B75A66">
        <w:t>od 20</w:t>
      </w:r>
      <w:r w:rsidR="00DE2CC0" w:rsidRPr="00B75A66">
        <w:t>2</w:t>
      </w:r>
      <w:r w:rsidR="00381995" w:rsidRPr="00B75A66">
        <w:t>1</w:t>
      </w:r>
      <w:r w:rsidRPr="00B75A66">
        <w:t>. do 202</w:t>
      </w:r>
      <w:r w:rsidR="00381995" w:rsidRPr="00B75A66">
        <w:t>3</w:t>
      </w:r>
      <w:r w:rsidRPr="00B75A66">
        <w:t>. godine</w:t>
      </w:r>
    </w:p>
    <w:p w14:paraId="2D9B5C2C" w14:textId="77777777" w:rsidR="00A53D39" w:rsidRPr="00AC352A" w:rsidRDefault="00A53D39" w:rsidP="00BE487D">
      <w:pPr>
        <w:jc w:val="both"/>
        <w:rPr>
          <w:sz w:val="20"/>
        </w:rPr>
      </w:pPr>
    </w:p>
    <w:tbl>
      <w:tblPr>
        <w:tblW w:w="8075" w:type="dxa"/>
        <w:tblLook w:val="04A0" w:firstRow="1" w:lastRow="0" w:firstColumn="1" w:lastColumn="0" w:noHBand="0" w:noVBand="1"/>
      </w:tblPr>
      <w:tblGrid>
        <w:gridCol w:w="3280"/>
        <w:gridCol w:w="1535"/>
        <w:gridCol w:w="1559"/>
        <w:gridCol w:w="1701"/>
      </w:tblGrid>
      <w:tr w:rsidR="00CE5537" w:rsidRPr="00AC352A" w14:paraId="4DB65986" w14:textId="77777777" w:rsidTr="00DE2CC0">
        <w:trPr>
          <w:trHeight w:val="51"/>
        </w:trPr>
        <w:tc>
          <w:tcPr>
            <w:tcW w:w="3280"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C2BDC53" w14:textId="6393FBDD" w:rsidR="00CE5537" w:rsidRPr="00AC352A" w:rsidRDefault="00CE5537" w:rsidP="00CE5537">
            <w:pPr>
              <w:rPr>
                <w:rFonts w:eastAsia="Times New Roman"/>
                <w:b/>
                <w:bCs/>
                <w:sz w:val="20"/>
              </w:rPr>
            </w:pPr>
            <w:r w:rsidRPr="00AC352A">
              <w:rPr>
                <w:rFonts w:eastAsia="Times New Roman"/>
                <w:b/>
                <w:bCs/>
                <w:sz w:val="20"/>
              </w:rPr>
              <w:t xml:space="preserve">Regionalne potpore </w:t>
            </w:r>
          </w:p>
        </w:tc>
        <w:tc>
          <w:tcPr>
            <w:tcW w:w="1535" w:type="dxa"/>
            <w:tcBorders>
              <w:top w:val="single" w:sz="4" w:space="0" w:color="auto"/>
              <w:left w:val="nil"/>
              <w:bottom w:val="single" w:sz="4" w:space="0" w:color="auto"/>
              <w:right w:val="single" w:sz="4" w:space="0" w:color="auto"/>
            </w:tcBorders>
            <w:shd w:val="clear" w:color="000000" w:fill="FFFF99"/>
            <w:noWrap/>
            <w:vAlign w:val="center"/>
            <w:hideMark/>
          </w:tcPr>
          <w:p w14:paraId="79B03BE8" w14:textId="2F121BB4" w:rsidR="00CE5537" w:rsidRPr="00AC352A" w:rsidRDefault="00CE5537" w:rsidP="00CE5537">
            <w:pPr>
              <w:jc w:val="center"/>
              <w:rPr>
                <w:rFonts w:eastAsia="Times New Roman"/>
                <w:b/>
                <w:bCs/>
                <w:sz w:val="20"/>
              </w:rPr>
            </w:pPr>
            <w:r w:rsidRPr="00AC352A">
              <w:rPr>
                <w:rFonts w:eastAsia="Times New Roman"/>
                <w:b/>
                <w:bCs/>
                <w:sz w:val="20"/>
                <w:szCs w:val="16"/>
                <w:lang w:eastAsia="hr-HR"/>
              </w:rPr>
              <w:t>2021.</w:t>
            </w:r>
          </w:p>
        </w:tc>
        <w:tc>
          <w:tcPr>
            <w:tcW w:w="1559" w:type="dxa"/>
            <w:tcBorders>
              <w:top w:val="single" w:sz="4" w:space="0" w:color="auto"/>
              <w:left w:val="nil"/>
              <w:bottom w:val="single" w:sz="4" w:space="0" w:color="auto"/>
              <w:right w:val="single" w:sz="4" w:space="0" w:color="auto"/>
            </w:tcBorders>
            <w:shd w:val="clear" w:color="000000" w:fill="FFFF99"/>
            <w:noWrap/>
            <w:vAlign w:val="center"/>
            <w:hideMark/>
          </w:tcPr>
          <w:p w14:paraId="78F738BA" w14:textId="570BC560" w:rsidR="00CE5537" w:rsidRPr="00AC352A" w:rsidRDefault="00CE5537" w:rsidP="00CE5537">
            <w:pPr>
              <w:jc w:val="center"/>
              <w:rPr>
                <w:rFonts w:eastAsia="Times New Roman"/>
                <w:b/>
                <w:bCs/>
                <w:sz w:val="20"/>
              </w:rPr>
            </w:pPr>
            <w:r w:rsidRPr="00AC352A">
              <w:rPr>
                <w:rFonts w:eastAsia="Times New Roman"/>
                <w:b/>
                <w:bCs/>
                <w:sz w:val="20"/>
                <w:szCs w:val="16"/>
                <w:lang w:eastAsia="hr-HR"/>
              </w:rPr>
              <w:t>2022.</w:t>
            </w:r>
          </w:p>
        </w:tc>
        <w:tc>
          <w:tcPr>
            <w:tcW w:w="1701" w:type="dxa"/>
            <w:tcBorders>
              <w:top w:val="single" w:sz="4" w:space="0" w:color="auto"/>
              <w:left w:val="nil"/>
              <w:bottom w:val="single" w:sz="4" w:space="0" w:color="auto"/>
              <w:right w:val="single" w:sz="4" w:space="0" w:color="auto"/>
            </w:tcBorders>
            <w:shd w:val="clear" w:color="000000" w:fill="FFFF99"/>
            <w:noWrap/>
            <w:vAlign w:val="center"/>
            <w:hideMark/>
          </w:tcPr>
          <w:p w14:paraId="3F4824BE" w14:textId="05417906" w:rsidR="00CE5537" w:rsidRPr="00AC352A" w:rsidRDefault="00CE5537" w:rsidP="00CE5537">
            <w:pPr>
              <w:jc w:val="center"/>
              <w:rPr>
                <w:rFonts w:eastAsia="Times New Roman"/>
                <w:b/>
                <w:bCs/>
                <w:sz w:val="20"/>
              </w:rPr>
            </w:pPr>
            <w:r w:rsidRPr="00AC352A">
              <w:rPr>
                <w:rFonts w:eastAsia="Times New Roman"/>
                <w:b/>
                <w:bCs/>
                <w:sz w:val="20"/>
                <w:szCs w:val="16"/>
                <w:lang w:eastAsia="hr-HR"/>
              </w:rPr>
              <w:t>2023.</w:t>
            </w:r>
          </w:p>
        </w:tc>
      </w:tr>
      <w:tr w:rsidR="00CE5537" w:rsidRPr="00AC352A" w14:paraId="06E2A4A9" w14:textId="77777777" w:rsidTr="001445B7">
        <w:trPr>
          <w:trHeight w:val="51"/>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679554FA" w14:textId="77777777" w:rsidR="00CE5537" w:rsidRPr="00AC352A" w:rsidRDefault="00CE5537" w:rsidP="00CE5537">
            <w:pPr>
              <w:rPr>
                <w:rFonts w:eastAsia="Times New Roman"/>
                <w:b/>
                <w:bCs/>
                <w:sz w:val="20"/>
              </w:rPr>
            </w:pPr>
          </w:p>
        </w:tc>
        <w:tc>
          <w:tcPr>
            <w:tcW w:w="1535" w:type="dxa"/>
            <w:tcBorders>
              <w:top w:val="single" w:sz="4" w:space="0" w:color="auto"/>
              <w:left w:val="nil"/>
              <w:bottom w:val="single" w:sz="4" w:space="0" w:color="auto"/>
              <w:right w:val="single" w:sz="4" w:space="0" w:color="auto"/>
            </w:tcBorders>
            <w:shd w:val="clear" w:color="000000" w:fill="FFFF99"/>
            <w:vAlign w:val="center"/>
            <w:hideMark/>
          </w:tcPr>
          <w:p w14:paraId="6208EEC8" w14:textId="77777777" w:rsidR="00CE5537" w:rsidRPr="00AC352A" w:rsidRDefault="00CE5537" w:rsidP="00CE5537">
            <w:pPr>
              <w:jc w:val="center"/>
              <w:rPr>
                <w:rFonts w:eastAsia="Times New Roman"/>
                <w:b/>
                <w:sz w:val="18"/>
              </w:rPr>
            </w:pPr>
            <w:r w:rsidRPr="00AC352A">
              <w:rPr>
                <w:rFonts w:eastAsia="Times New Roman"/>
                <w:b/>
                <w:sz w:val="18"/>
              </w:rPr>
              <w:t xml:space="preserve">u </w:t>
            </w:r>
            <w:proofErr w:type="spellStart"/>
            <w:r w:rsidRPr="00AC352A">
              <w:rPr>
                <w:rFonts w:eastAsia="Times New Roman"/>
                <w:b/>
                <w:sz w:val="18"/>
              </w:rPr>
              <w:t>mln</w:t>
            </w:r>
            <w:proofErr w:type="spellEnd"/>
          </w:p>
          <w:p w14:paraId="72DEF641" w14:textId="0BBD5A8E" w:rsidR="00CE5537" w:rsidRPr="00AC352A" w:rsidRDefault="00CE5537" w:rsidP="00CE5537">
            <w:pPr>
              <w:jc w:val="center"/>
              <w:rPr>
                <w:rFonts w:eastAsia="Times New Roman"/>
                <w:b/>
                <w:sz w:val="18"/>
              </w:rPr>
            </w:pPr>
            <w:r w:rsidRPr="00AC352A">
              <w:rPr>
                <w:rFonts w:eastAsia="Times New Roman"/>
                <w:b/>
                <w:sz w:val="18"/>
              </w:rPr>
              <w:t>EUR</w:t>
            </w:r>
          </w:p>
        </w:tc>
        <w:tc>
          <w:tcPr>
            <w:tcW w:w="1559" w:type="dxa"/>
            <w:tcBorders>
              <w:top w:val="single" w:sz="4" w:space="0" w:color="auto"/>
              <w:left w:val="nil"/>
              <w:bottom w:val="single" w:sz="4" w:space="0" w:color="auto"/>
              <w:right w:val="single" w:sz="4" w:space="0" w:color="auto"/>
            </w:tcBorders>
            <w:shd w:val="clear" w:color="000000" w:fill="FFFF99"/>
            <w:vAlign w:val="center"/>
            <w:hideMark/>
          </w:tcPr>
          <w:p w14:paraId="54A78494" w14:textId="77777777" w:rsidR="00CE5537" w:rsidRPr="00AC352A" w:rsidRDefault="00CE5537" w:rsidP="00CE5537">
            <w:pPr>
              <w:jc w:val="center"/>
              <w:rPr>
                <w:rFonts w:eastAsia="Times New Roman"/>
                <w:b/>
                <w:sz w:val="18"/>
              </w:rPr>
            </w:pPr>
            <w:r w:rsidRPr="00AC352A">
              <w:rPr>
                <w:rFonts w:eastAsia="Times New Roman"/>
                <w:b/>
                <w:sz w:val="18"/>
              </w:rPr>
              <w:t xml:space="preserve">u </w:t>
            </w:r>
            <w:proofErr w:type="spellStart"/>
            <w:r w:rsidRPr="00AC352A">
              <w:rPr>
                <w:rFonts w:eastAsia="Times New Roman"/>
                <w:b/>
                <w:sz w:val="18"/>
              </w:rPr>
              <w:t>mln</w:t>
            </w:r>
            <w:proofErr w:type="spellEnd"/>
          </w:p>
          <w:p w14:paraId="32F5E3BA" w14:textId="3996141B" w:rsidR="00CE5537" w:rsidRPr="00AC352A" w:rsidRDefault="00CE5537" w:rsidP="00CE5537">
            <w:pPr>
              <w:jc w:val="center"/>
              <w:rPr>
                <w:rFonts w:eastAsia="Times New Roman"/>
                <w:b/>
                <w:sz w:val="18"/>
              </w:rPr>
            </w:pPr>
            <w:r w:rsidRPr="00AC352A">
              <w:rPr>
                <w:rFonts w:eastAsia="Times New Roman"/>
                <w:b/>
                <w:sz w:val="18"/>
              </w:rPr>
              <w:t>EUR</w:t>
            </w:r>
          </w:p>
        </w:tc>
        <w:tc>
          <w:tcPr>
            <w:tcW w:w="1701" w:type="dxa"/>
            <w:tcBorders>
              <w:top w:val="single" w:sz="4" w:space="0" w:color="auto"/>
              <w:left w:val="nil"/>
              <w:bottom w:val="single" w:sz="4" w:space="0" w:color="auto"/>
              <w:right w:val="single" w:sz="4" w:space="0" w:color="auto"/>
            </w:tcBorders>
            <w:shd w:val="clear" w:color="000000" w:fill="FFFF99"/>
            <w:vAlign w:val="center"/>
            <w:hideMark/>
          </w:tcPr>
          <w:p w14:paraId="5AF85625" w14:textId="77777777" w:rsidR="00CE5537" w:rsidRPr="00AC352A" w:rsidRDefault="00CE5537" w:rsidP="00CE5537">
            <w:pPr>
              <w:jc w:val="center"/>
              <w:rPr>
                <w:rFonts w:eastAsia="Times New Roman"/>
                <w:b/>
                <w:sz w:val="18"/>
              </w:rPr>
            </w:pPr>
            <w:r w:rsidRPr="00AC352A">
              <w:rPr>
                <w:rFonts w:eastAsia="Times New Roman"/>
                <w:b/>
                <w:sz w:val="18"/>
              </w:rPr>
              <w:t xml:space="preserve">u </w:t>
            </w:r>
            <w:proofErr w:type="spellStart"/>
            <w:r w:rsidRPr="00AC352A">
              <w:rPr>
                <w:rFonts w:eastAsia="Times New Roman"/>
                <w:b/>
                <w:sz w:val="18"/>
              </w:rPr>
              <w:t>mln</w:t>
            </w:r>
            <w:proofErr w:type="spellEnd"/>
          </w:p>
          <w:p w14:paraId="6439579A" w14:textId="040DC095" w:rsidR="00CE5537" w:rsidRPr="00AC352A" w:rsidRDefault="00CE5537" w:rsidP="00CE5537">
            <w:pPr>
              <w:jc w:val="center"/>
              <w:rPr>
                <w:rFonts w:eastAsia="Times New Roman"/>
                <w:sz w:val="18"/>
              </w:rPr>
            </w:pPr>
            <w:r w:rsidRPr="00AC352A">
              <w:rPr>
                <w:rFonts w:eastAsia="Times New Roman"/>
                <w:b/>
                <w:sz w:val="18"/>
              </w:rPr>
              <w:t>EUR</w:t>
            </w:r>
          </w:p>
        </w:tc>
      </w:tr>
      <w:tr w:rsidR="00CE5537" w:rsidRPr="00AC352A" w14:paraId="31CB4FA1" w14:textId="77777777" w:rsidTr="001445B7">
        <w:trPr>
          <w:trHeight w:val="51"/>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FD3A895" w14:textId="77777777" w:rsidR="00CE5537" w:rsidRPr="00AC352A" w:rsidRDefault="00CE5537" w:rsidP="00CE5537">
            <w:pPr>
              <w:rPr>
                <w:rFonts w:eastAsia="Times New Roman"/>
                <w:sz w:val="20"/>
              </w:rPr>
            </w:pPr>
            <w:r w:rsidRPr="00AC352A">
              <w:rPr>
                <w:rFonts w:eastAsia="Times New Roman"/>
                <w:sz w:val="20"/>
              </w:rPr>
              <w:t>Regionalne potpore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68067AF4" w14:textId="3283AEFA" w:rsidR="00CE5537" w:rsidRPr="00AC352A" w:rsidRDefault="00CE5537" w:rsidP="00CE5537">
            <w:pPr>
              <w:jc w:val="right"/>
              <w:rPr>
                <w:b/>
                <w:sz w:val="20"/>
                <w:szCs w:val="20"/>
              </w:rPr>
            </w:pPr>
            <w:r w:rsidRPr="00AC352A">
              <w:rPr>
                <w:rFonts w:eastAsia="Times New Roman"/>
                <w:b/>
                <w:sz w:val="20"/>
                <w:szCs w:val="16"/>
                <w:lang w:eastAsia="hr-HR"/>
              </w:rPr>
              <w:t>85,6</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FBF6C48" w14:textId="0EA43E6A" w:rsidR="00CE5537" w:rsidRPr="00AC352A" w:rsidRDefault="00CE5537" w:rsidP="00CE5537">
            <w:pPr>
              <w:jc w:val="right"/>
              <w:rPr>
                <w:b/>
                <w:sz w:val="20"/>
                <w:szCs w:val="20"/>
              </w:rPr>
            </w:pPr>
            <w:r w:rsidRPr="00AC352A">
              <w:rPr>
                <w:rFonts w:eastAsia="Times New Roman"/>
                <w:b/>
                <w:sz w:val="20"/>
                <w:szCs w:val="16"/>
                <w:lang w:eastAsia="hr-HR"/>
              </w:rPr>
              <w:t>107,0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02B449" w14:textId="308C122B" w:rsidR="00CE5537" w:rsidRPr="00AC352A" w:rsidRDefault="00CE5537" w:rsidP="00CE5537">
            <w:pPr>
              <w:jc w:val="right"/>
              <w:rPr>
                <w:b/>
                <w:sz w:val="20"/>
                <w:szCs w:val="20"/>
              </w:rPr>
            </w:pPr>
            <w:r w:rsidRPr="00AC352A">
              <w:rPr>
                <w:rFonts w:eastAsia="Times New Roman"/>
                <w:b/>
                <w:sz w:val="20"/>
                <w:szCs w:val="16"/>
                <w:lang w:eastAsia="hr-HR"/>
              </w:rPr>
              <w:t>148,2</w:t>
            </w:r>
          </w:p>
        </w:tc>
      </w:tr>
      <w:tr w:rsidR="00AC352A" w:rsidRPr="00AC352A" w14:paraId="23065202" w14:textId="77777777" w:rsidTr="001445B7">
        <w:trPr>
          <w:trHeight w:val="51"/>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FBA97BF" w14:textId="77777777" w:rsidR="00AC352A" w:rsidRPr="00AC352A" w:rsidRDefault="00AC352A" w:rsidP="00AC352A">
            <w:pPr>
              <w:rPr>
                <w:rFonts w:eastAsia="Times New Roman"/>
                <w:sz w:val="20"/>
              </w:rPr>
            </w:pPr>
            <w:r w:rsidRPr="00AC352A">
              <w:rPr>
                <w:rFonts w:eastAsia="Times New Roman"/>
                <w:sz w:val="20"/>
              </w:rPr>
              <w:t>udio (%) u ukupnim potporama (bez poljoprivrede i ribarstva)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45C6670" w14:textId="76B36E8C" w:rsidR="00AC352A" w:rsidRPr="00AC352A" w:rsidRDefault="00AC352A" w:rsidP="00AC352A">
            <w:pPr>
              <w:jc w:val="center"/>
              <w:rPr>
                <w:sz w:val="20"/>
                <w:szCs w:val="20"/>
              </w:rPr>
            </w:pPr>
            <w:r w:rsidRPr="00AC352A">
              <w:rPr>
                <w:rFonts w:eastAsia="Times New Roman"/>
                <w:sz w:val="20"/>
                <w:szCs w:val="16"/>
                <w:lang w:eastAsia="hr-HR"/>
              </w:rPr>
              <w:t>4,43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D28751" w14:textId="5681DA7A" w:rsidR="00AC352A" w:rsidRPr="00AC352A" w:rsidRDefault="00AC352A" w:rsidP="00AC352A">
            <w:pPr>
              <w:jc w:val="center"/>
              <w:rPr>
                <w:sz w:val="20"/>
                <w:szCs w:val="20"/>
              </w:rPr>
            </w:pPr>
            <w:r w:rsidRPr="00AC352A">
              <w:rPr>
                <w:rFonts w:eastAsia="Times New Roman"/>
                <w:sz w:val="20"/>
                <w:szCs w:val="16"/>
                <w:lang w:eastAsia="hr-HR"/>
              </w:rPr>
              <w:t>5,24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9E03D9" w14:textId="58D4640E" w:rsidR="00AC352A" w:rsidRPr="00AC352A" w:rsidRDefault="00AC352A" w:rsidP="00AC352A">
            <w:pPr>
              <w:jc w:val="center"/>
              <w:rPr>
                <w:sz w:val="20"/>
                <w:szCs w:val="20"/>
              </w:rPr>
            </w:pPr>
            <w:r w:rsidRPr="00AC352A">
              <w:rPr>
                <w:rFonts w:eastAsia="Times New Roman"/>
                <w:sz w:val="20"/>
                <w:szCs w:val="16"/>
                <w:lang w:eastAsia="hr-HR"/>
              </w:rPr>
              <w:t>7,53</w:t>
            </w:r>
          </w:p>
        </w:tc>
      </w:tr>
      <w:tr w:rsidR="00AC352A" w:rsidRPr="00AC352A" w14:paraId="1184CDDA" w14:textId="77777777" w:rsidTr="001445B7">
        <w:trPr>
          <w:trHeight w:val="51"/>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484D6B7" w14:textId="77777777" w:rsidR="00AC352A" w:rsidRPr="00AC352A" w:rsidRDefault="00AC352A" w:rsidP="00AC352A">
            <w:pPr>
              <w:rPr>
                <w:rFonts w:eastAsia="Times New Roman"/>
                <w:sz w:val="20"/>
              </w:rPr>
            </w:pPr>
            <w:r w:rsidRPr="00AC352A">
              <w:rPr>
                <w:rFonts w:eastAsia="Times New Roman"/>
                <w:sz w:val="20"/>
              </w:rPr>
              <w:t>udio (%) u ukupnim potporama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372E08F7" w14:textId="0F792C7F" w:rsidR="00AC352A" w:rsidRPr="00AC352A" w:rsidRDefault="00AC352A" w:rsidP="00AC352A">
            <w:pPr>
              <w:jc w:val="center"/>
              <w:rPr>
                <w:sz w:val="20"/>
                <w:szCs w:val="20"/>
              </w:rPr>
            </w:pPr>
            <w:r w:rsidRPr="00AC352A">
              <w:rPr>
                <w:rFonts w:eastAsia="Times New Roman"/>
                <w:sz w:val="20"/>
                <w:szCs w:val="16"/>
                <w:lang w:eastAsia="hr-HR"/>
              </w:rPr>
              <w:t>2,91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1AC770" w14:textId="2CE88C9F" w:rsidR="00AC352A" w:rsidRPr="00AC352A" w:rsidRDefault="00AC352A" w:rsidP="00AC352A">
            <w:pPr>
              <w:jc w:val="center"/>
              <w:rPr>
                <w:sz w:val="20"/>
                <w:szCs w:val="20"/>
              </w:rPr>
            </w:pPr>
            <w:r w:rsidRPr="00AC352A">
              <w:rPr>
                <w:rFonts w:eastAsia="Times New Roman"/>
                <w:sz w:val="20"/>
                <w:szCs w:val="16"/>
                <w:lang w:eastAsia="hr-HR"/>
              </w:rPr>
              <w:t>3,55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62207B" w14:textId="396B52DF" w:rsidR="00AC352A" w:rsidRPr="00AC352A" w:rsidRDefault="00AC352A" w:rsidP="00AC352A">
            <w:pPr>
              <w:jc w:val="center"/>
              <w:rPr>
                <w:sz w:val="20"/>
                <w:szCs w:val="20"/>
              </w:rPr>
            </w:pPr>
            <w:r w:rsidRPr="00AC352A">
              <w:rPr>
                <w:rFonts w:eastAsia="Times New Roman"/>
                <w:sz w:val="20"/>
                <w:szCs w:val="16"/>
                <w:lang w:eastAsia="hr-HR"/>
              </w:rPr>
              <w:t>4,88</w:t>
            </w:r>
          </w:p>
        </w:tc>
      </w:tr>
      <w:tr w:rsidR="00AC352A" w:rsidRPr="00AC352A" w14:paraId="1308965F" w14:textId="77777777" w:rsidTr="001445B7">
        <w:trPr>
          <w:trHeight w:val="51"/>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ED9DC65" w14:textId="77777777" w:rsidR="00AC352A" w:rsidRPr="00AC352A" w:rsidRDefault="00AC352A" w:rsidP="00AC352A">
            <w:pPr>
              <w:rPr>
                <w:rFonts w:eastAsia="Times New Roman"/>
                <w:sz w:val="20"/>
              </w:rPr>
            </w:pPr>
            <w:r w:rsidRPr="00AC352A">
              <w:rPr>
                <w:rFonts w:eastAsia="Times New Roman"/>
                <w:sz w:val="20"/>
              </w:rPr>
              <w:t>udio (%) u BDP</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76E8CB01" w14:textId="2790CB93" w:rsidR="00AC352A" w:rsidRPr="00AC352A" w:rsidRDefault="00AC352A" w:rsidP="00AC352A">
            <w:pPr>
              <w:jc w:val="center"/>
              <w:rPr>
                <w:sz w:val="20"/>
                <w:szCs w:val="20"/>
              </w:rPr>
            </w:pPr>
            <w:r w:rsidRPr="00AC352A">
              <w:rPr>
                <w:rFonts w:eastAsia="Times New Roman"/>
                <w:sz w:val="20"/>
                <w:szCs w:val="16"/>
                <w:lang w:eastAsia="hr-HR"/>
              </w:rPr>
              <w:t>0,15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0EE08" w14:textId="65F172EE" w:rsidR="00AC352A" w:rsidRPr="00AC352A" w:rsidRDefault="00AC352A" w:rsidP="00AC352A">
            <w:pPr>
              <w:jc w:val="center"/>
              <w:rPr>
                <w:sz w:val="20"/>
                <w:szCs w:val="20"/>
              </w:rPr>
            </w:pPr>
            <w:r w:rsidRPr="00AC352A">
              <w:rPr>
                <w:rFonts w:eastAsia="Times New Roman"/>
                <w:sz w:val="20"/>
                <w:szCs w:val="16"/>
                <w:lang w:eastAsia="hr-HR"/>
              </w:rPr>
              <w:t>0,16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788EBD" w14:textId="5196C0F7" w:rsidR="00AC352A" w:rsidRPr="00AC352A" w:rsidRDefault="00AC352A" w:rsidP="00AC352A">
            <w:pPr>
              <w:jc w:val="center"/>
              <w:rPr>
                <w:sz w:val="20"/>
                <w:szCs w:val="20"/>
              </w:rPr>
            </w:pPr>
            <w:r w:rsidRPr="00AC352A">
              <w:rPr>
                <w:rFonts w:eastAsia="Times New Roman"/>
                <w:sz w:val="20"/>
                <w:szCs w:val="16"/>
                <w:lang w:eastAsia="hr-HR"/>
              </w:rPr>
              <w:t>0,19</w:t>
            </w:r>
          </w:p>
        </w:tc>
      </w:tr>
    </w:tbl>
    <w:p w14:paraId="4B7D6658" w14:textId="77777777" w:rsidR="00A53D39" w:rsidRPr="00AC352A" w:rsidRDefault="00A53D39" w:rsidP="00BE487D">
      <w:pPr>
        <w:contextualSpacing/>
        <w:jc w:val="both"/>
        <w:rPr>
          <w:i/>
          <w:sz w:val="20"/>
        </w:rPr>
      </w:pPr>
      <w:r w:rsidRPr="00AC352A">
        <w:rPr>
          <w:i/>
          <w:sz w:val="20"/>
        </w:rPr>
        <w:t>Izvor: Ministarstvo financija i davatelji potpora; podaci obrađeni u Ministarstvu financija</w:t>
      </w:r>
    </w:p>
    <w:p w14:paraId="642641B5" w14:textId="77777777" w:rsidR="00A51F20" w:rsidRPr="0081441F" w:rsidRDefault="00A51F20" w:rsidP="00BE487D">
      <w:pPr>
        <w:contextualSpacing/>
        <w:jc w:val="both"/>
        <w:rPr>
          <w:i/>
        </w:rPr>
      </w:pPr>
    </w:p>
    <w:p w14:paraId="75966AA4" w14:textId="77777777" w:rsidR="0081441F" w:rsidRPr="0081441F" w:rsidRDefault="0081441F" w:rsidP="0081441F">
      <w:pPr>
        <w:jc w:val="both"/>
      </w:pPr>
      <w:r w:rsidRPr="0081441F">
        <w:t>Udio regionalnih potpora u BDP-u u 2023. godini iznosio je 0,19 posto, u 2022. godini iznosio je 0,16 posto, dok je u 2021. godini iznosio 0,15 posto. Udio navedenih potpora u 2023. godini u ukupno dodijeljenim potporama iznosio je 4,9 posto, dok je udio u dodijeljenim potporama u sektoru industrije i usluga u 2023. godini iznosio 7,5 posto.</w:t>
      </w:r>
    </w:p>
    <w:p w14:paraId="00AD14DD" w14:textId="77777777" w:rsidR="00140E33" w:rsidRPr="00B75A66" w:rsidRDefault="00140E33" w:rsidP="00BE487D">
      <w:pPr>
        <w:jc w:val="both"/>
      </w:pPr>
    </w:p>
    <w:p w14:paraId="0B06159D" w14:textId="7AED04FD" w:rsidR="00A53D39" w:rsidRPr="00381995" w:rsidRDefault="00A53D39" w:rsidP="00BE487D">
      <w:pPr>
        <w:autoSpaceDE w:val="0"/>
        <w:autoSpaceDN w:val="0"/>
        <w:adjustRightInd w:val="0"/>
        <w:contextualSpacing/>
        <w:jc w:val="both"/>
        <w:rPr>
          <w:bCs/>
          <w:lang w:eastAsia="hr-HR"/>
        </w:rPr>
      </w:pPr>
      <w:r w:rsidRPr="00B75A66">
        <w:rPr>
          <w:bCs/>
          <w:lang w:eastAsia="hr-HR"/>
        </w:rPr>
        <w:t xml:space="preserve">Tablica </w:t>
      </w:r>
      <w:r w:rsidR="00381995" w:rsidRPr="00B75A66">
        <w:rPr>
          <w:bCs/>
          <w:lang w:eastAsia="hr-HR"/>
        </w:rPr>
        <w:t>14</w:t>
      </w:r>
      <w:r w:rsidRPr="00B75A66">
        <w:rPr>
          <w:bCs/>
          <w:lang w:eastAsia="hr-HR"/>
        </w:rPr>
        <w:t xml:space="preserve">. Regionalne potpore po instrumentima dodjele za razdoblje </w:t>
      </w:r>
      <w:r w:rsidRPr="00B75A66">
        <w:t>od 20</w:t>
      </w:r>
      <w:r w:rsidR="00DE2CC0" w:rsidRPr="00B75A66">
        <w:t>2</w:t>
      </w:r>
      <w:r w:rsidR="00381995" w:rsidRPr="00B75A66">
        <w:t>1</w:t>
      </w:r>
      <w:r w:rsidRPr="00B75A66">
        <w:t>. do 202</w:t>
      </w:r>
      <w:r w:rsidR="00381995" w:rsidRPr="00B75A66">
        <w:t>3</w:t>
      </w:r>
      <w:r w:rsidRPr="00B75A66">
        <w:t>.</w:t>
      </w:r>
      <w:r w:rsidRPr="00381995">
        <w:t xml:space="preserve"> godine</w:t>
      </w:r>
      <w:r w:rsidRPr="00381995">
        <w:rPr>
          <w:bCs/>
          <w:lang w:eastAsia="hr-HR"/>
        </w:rPr>
        <w:t xml:space="preserve"> (u </w:t>
      </w:r>
      <w:r w:rsidRPr="00381995">
        <w:t xml:space="preserve">milijunima </w:t>
      </w:r>
      <w:r w:rsidR="00381995" w:rsidRPr="00381995">
        <w:rPr>
          <w:bCs/>
          <w:lang w:eastAsia="hr-HR"/>
        </w:rPr>
        <w:t>eura</w:t>
      </w:r>
      <w:r w:rsidRPr="00381995">
        <w:rPr>
          <w:bCs/>
          <w:lang w:eastAsia="hr-HR"/>
        </w:rPr>
        <w:t>)</w:t>
      </w:r>
    </w:p>
    <w:p w14:paraId="0377EBC7" w14:textId="77777777" w:rsidR="00A53D39" w:rsidRPr="00AC352A" w:rsidRDefault="00A53D39" w:rsidP="00BE487D">
      <w:pPr>
        <w:autoSpaceDE w:val="0"/>
        <w:autoSpaceDN w:val="0"/>
        <w:adjustRightInd w:val="0"/>
        <w:contextualSpacing/>
        <w:jc w:val="both"/>
        <w:rPr>
          <w:bCs/>
          <w:sz w:val="20"/>
          <w:lang w:eastAsia="hr-HR"/>
        </w:rPr>
      </w:pPr>
    </w:p>
    <w:tbl>
      <w:tblPr>
        <w:tblW w:w="6220" w:type="dxa"/>
        <w:tblLook w:val="04A0" w:firstRow="1" w:lastRow="0" w:firstColumn="1" w:lastColumn="0" w:noHBand="0" w:noVBand="1"/>
      </w:tblPr>
      <w:tblGrid>
        <w:gridCol w:w="2980"/>
        <w:gridCol w:w="1080"/>
        <w:gridCol w:w="1080"/>
        <w:gridCol w:w="1080"/>
      </w:tblGrid>
      <w:tr w:rsidR="00AC352A" w:rsidRPr="00AC352A" w14:paraId="66B1AB0E" w14:textId="77777777" w:rsidTr="00DE2CC0">
        <w:trPr>
          <w:trHeight w:val="50"/>
        </w:trPr>
        <w:tc>
          <w:tcPr>
            <w:tcW w:w="298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A9CD1B3" w14:textId="77777777" w:rsidR="00AC352A" w:rsidRPr="00AC352A" w:rsidRDefault="00AC352A" w:rsidP="00AC352A">
            <w:pPr>
              <w:rPr>
                <w:b/>
                <w:sz w:val="20"/>
              </w:rPr>
            </w:pPr>
            <w:r w:rsidRPr="00AC352A">
              <w:rPr>
                <w:b/>
                <w:sz w:val="20"/>
              </w:rPr>
              <w:t>Instrument</w:t>
            </w:r>
          </w:p>
        </w:tc>
        <w:tc>
          <w:tcPr>
            <w:tcW w:w="1080" w:type="dxa"/>
            <w:tcBorders>
              <w:top w:val="single" w:sz="4" w:space="0" w:color="auto"/>
              <w:left w:val="nil"/>
              <w:bottom w:val="single" w:sz="4" w:space="0" w:color="auto"/>
              <w:right w:val="single" w:sz="4" w:space="0" w:color="auto"/>
            </w:tcBorders>
            <w:shd w:val="clear" w:color="000000" w:fill="FFFF99"/>
            <w:vAlign w:val="center"/>
            <w:hideMark/>
          </w:tcPr>
          <w:p w14:paraId="5D259C26" w14:textId="74FF1829" w:rsidR="00AC352A" w:rsidRPr="00AC352A" w:rsidRDefault="00AC352A" w:rsidP="00AC352A">
            <w:pPr>
              <w:jc w:val="center"/>
              <w:rPr>
                <w:rFonts w:eastAsia="Times New Roman"/>
                <w:b/>
                <w:bCs/>
                <w:sz w:val="20"/>
              </w:rPr>
            </w:pPr>
            <w:r w:rsidRPr="00AC352A">
              <w:rPr>
                <w:b/>
                <w:sz w:val="20"/>
                <w:szCs w:val="20"/>
              </w:rPr>
              <w:t>2021.</w:t>
            </w:r>
          </w:p>
        </w:tc>
        <w:tc>
          <w:tcPr>
            <w:tcW w:w="1080" w:type="dxa"/>
            <w:tcBorders>
              <w:top w:val="single" w:sz="4" w:space="0" w:color="auto"/>
              <w:left w:val="nil"/>
              <w:bottom w:val="single" w:sz="4" w:space="0" w:color="auto"/>
              <w:right w:val="single" w:sz="4" w:space="0" w:color="auto"/>
            </w:tcBorders>
            <w:shd w:val="clear" w:color="000000" w:fill="FFFF99"/>
            <w:vAlign w:val="center"/>
            <w:hideMark/>
          </w:tcPr>
          <w:p w14:paraId="06E45761" w14:textId="606E0672" w:rsidR="00AC352A" w:rsidRPr="00AC352A" w:rsidRDefault="00AC352A" w:rsidP="00AC352A">
            <w:pPr>
              <w:jc w:val="center"/>
              <w:rPr>
                <w:rFonts w:eastAsia="Times New Roman"/>
                <w:b/>
                <w:bCs/>
                <w:sz w:val="20"/>
              </w:rPr>
            </w:pPr>
            <w:r w:rsidRPr="00AC352A">
              <w:rPr>
                <w:b/>
                <w:sz w:val="20"/>
                <w:szCs w:val="20"/>
              </w:rPr>
              <w:t>2022.</w:t>
            </w:r>
          </w:p>
        </w:tc>
        <w:tc>
          <w:tcPr>
            <w:tcW w:w="1080" w:type="dxa"/>
            <w:tcBorders>
              <w:top w:val="single" w:sz="4" w:space="0" w:color="auto"/>
              <w:left w:val="nil"/>
              <w:bottom w:val="single" w:sz="4" w:space="0" w:color="auto"/>
              <w:right w:val="single" w:sz="4" w:space="0" w:color="auto"/>
            </w:tcBorders>
            <w:shd w:val="clear" w:color="000000" w:fill="FFFF99"/>
            <w:vAlign w:val="center"/>
            <w:hideMark/>
          </w:tcPr>
          <w:p w14:paraId="00F8DFE3" w14:textId="55B36512" w:rsidR="00AC352A" w:rsidRPr="00AC352A" w:rsidRDefault="00AC352A" w:rsidP="00AC352A">
            <w:pPr>
              <w:jc w:val="center"/>
              <w:rPr>
                <w:rFonts w:eastAsia="Times New Roman"/>
                <w:b/>
                <w:bCs/>
                <w:sz w:val="20"/>
              </w:rPr>
            </w:pPr>
            <w:r w:rsidRPr="00AC352A">
              <w:rPr>
                <w:b/>
                <w:sz w:val="20"/>
                <w:szCs w:val="20"/>
              </w:rPr>
              <w:t>2023.</w:t>
            </w:r>
          </w:p>
        </w:tc>
      </w:tr>
      <w:tr w:rsidR="00AC352A" w:rsidRPr="00AC352A" w14:paraId="39E988FA" w14:textId="77777777" w:rsidTr="00DE2CC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8FC1CA4" w14:textId="77777777" w:rsidR="00AC352A" w:rsidRPr="00AC352A" w:rsidRDefault="00AC352A" w:rsidP="00AC352A">
            <w:pPr>
              <w:rPr>
                <w:sz w:val="20"/>
              </w:rPr>
            </w:pPr>
            <w:r w:rsidRPr="00AC352A">
              <w:rPr>
                <w:sz w:val="20"/>
              </w:rPr>
              <w:t>A1 subvencije</w:t>
            </w:r>
          </w:p>
        </w:tc>
        <w:tc>
          <w:tcPr>
            <w:tcW w:w="1080" w:type="dxa"/>
            <w:tcBorders>
              <w:top w:val="nil"/>
              <w:left w:val="nil"/>
              <w:bottom w:val="single" w:sz="4" w:space="0" w:color="auto"/>
              <w:right w:val="single" w:sz="4" w:space="0" w:color="auto"/>
            </w:tcBorders>
            <w:shd w:val="clear" w:color="auto" w:fill="auto"/>
            <w:vAlign w:val="bottom"/>
            <w:hideMark/>
          </w:tcPr>
          <w:p w14:paraId="0AE39BBE" w14:textId="36566D78" w:rsidR="00AC352A" w:rsidRPr="00AC352A" w:rsidRDefault="00AC352A" w:rsidP="00AC352A">
            <w:pPr>
              <w:jc w:val="right"/>
              <w:rPr>
                <w:sz w:val="20"/>
                <w:szCs w:val="20"/>
              </w:rPr>
            </w:pPr>
            <w:r w:rsidRPr="00AC352A">
              <w:rPr>
                <w:sz w:val="20"/>
                <w:szCs w:val="20"/>
              </w:rPr>
              <w:t>14,6</w:t>
            </w:r>
          </w:p>
        </w:tc>
        <w:tc>
          <w:tcPr>
            <w:tcW w:w="1080" w:type="dxa"/>
            <w:tcBorders>
              <w:top w:val="nil"/>
              <w:left w:val="nil"/>
              <w:bottom w:val="single" w:sz="4" w:space="0" w:color="auto"/>
              <w:right w:val="single" w:sz="4" w:space="0" w:color="auto"/>
            </w:tcBorders>
            <w:shd w:val="clear" w:color="auto" w:fill="auto"/>
            <w:noWrap/>
            <w:vAlign w:val="bottom"/>
            <w:hideMark/>
          </w:tcPr>
          <w:p w14:paraId="58DA8B88" w14:textId="52777EB0" w:rsidR="00AC352A" w:rsidRPr="00AC352A" w:rsidRDefault="00AC352A" w:rsidP="00AC352A">
            <w:pPr>
              <w:jc w:val="right"/>
              <w:rPr>
                <w:sz w:val="20"/>
                <w:szCs w:val="20"/>
              </w:rPr>
            </w:pPr>
            <w:r w:rsidRPr="00AC352A">
              <w:rPr>
                <w:sz w:val="20"/>
                <w:szCs w:val="20"/>
              </w:rPr>
              <w:t>2,6</w:t>
            </w:r>
          </w:p>
        </w:tc>
        <w:tc>
          <w:tcPr>
            <w:tcW w:w="1080" w:type="dxa"/>
            <w:tcBorders>
              <w:top w:val="nil"/>
              <w:left w:val="nil"/>
              <w:bottom w:val="single" w:sz="4" w:space="0" w:color="auto"/>
              <w:right w:val="single" w:sz="4" w:space="0" w:color="auto"/>
            </w:tcBorders>
            <w:shd w:val="clear" w:color="auto" w:fill="auto"/>
            <w:noWrap/>
            <w:vAlign w:val="bottom"/>
            <w:hideMark/>
          </w:tcPr>
          <w:p w14:paraId="5327D37F" w14:textId="45BAFB53" w:rsidR="00AC352A" w:rsidRPr="00AC352A" w:rsidRDefault="00AC352A" w:rsidP="00AC352A">
            <w:pPr>
              <w:jc w:val="right"/>
              <w:rPr>
                <w:sz w:val="20"/>
                <w:szCs w:val="20"/>
              </w:rPr>
            </w:pPr>
            <w:r w:rsidRPr="00AC352A">
              <w:rPr>
                <w:sz w:val="20"/>
                <w:szCs w:val="20"/>
              </w:rPr>
              <w:t>9,8</w:t>
            </w:r>
          </w:p>
        </w:tc>
      </w:tr>
      <w:tr w:rsidR="00AC352A" w:rsidRPr="00AC352A" w14:paraId="0F135C74" w14:textId="77777777" w:rsidTr="00DE2CC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F38B07E" w14:textId="77777777" w:rsidR="00AC352A" w:rsidRPr="00AC352A" w:rsidRDefault="00AC352A" w:rsidP="00AC352A">
            <w:pPr>
              <w:rPr>
                <w:sz w:val="20"/>
              </w:rPr>
            </w:pPr>
            <w:r w:rsidRPr="00AC352A">
              <w:rPr>
                <w:sz w:val="20"/>
              </w:rPr>
              <w:t>A2 porezne olakšice</w:t>
            </w:r>
          </w:p>
        </w:tc>
        <w:tc>
          <w:tcPr>
            <w:tcW w:w="1080" w:type="dxa"/>
            <w:tcBorders>
              <w:top w:val="nil"/>
              <w:left w:val="nil"/>
              <w:bottom w:val="single" w:sz="4" w:space="0" w:color="auto"/>
              <w:right w:val="single" w:sz="4" w:space="0" w:color="auto"/>
            </w:tcBorders>
            <w:shd w:val="clear" w:color="auto" w:fill="auto"/>
            <w:vAlign w:val="bottom"/>
            <w:hideMark/>
          </w:tcPr>
          <w:p w14:paraId="4CD7AB2A" w14:textId="08ACAFB2" w:rsidR="00AC352A" w:rsidRPr="00AC352A" w:rsidRDefault="00AC352A" w:rsidP="00AC352A">
            <w:pPr>
              <w:jc w:val="right"/>
              <w:rPr>
                <w:sz w:val="20"/>
                <w:szCs w:val="20"/>
              </w:rPr>
            </w:pPr>
            <w:r w:rsidRPr="00AC352A">
              <w:rPr>
                <w:sz w:val="20"/>
                <w:szCs w:val="20"/>
              </w:rPr>
              <w:t>70,8</w:t>
            </w:r>
          </w:p>
        </w:tc>
        <w:tc>
          <w:tcPr>
            <w:tcW w:w="1080" w:type="dxa"/>
            <w:tcBorders>
              <w:top w:val="nil"/>
              <w:left w:val="nil"/>
              <w:bottom w:val="single" w:sz="4" w:space="0" w:color="auto"/>
              <w:right w:val="single" w:sz="4" w:space="0" w:color="auto"/>
            </w:tcBorders>
            <w:shd w:val="clear" w:color="auto" w:fill="auto"/>
            <w:noWrap/>
            <w:vAlign w:val="bottom"/>
            <w:hideMark/>
          </w:tcPr>
          <w:p w14:paraId="08CE387D" w14:textId="2D126D24" w:rsidR="00AC352A" w:rsidRPr="00AC352A" w:rsidRDefault="00AC352A" w:rsidP="00AC352A">
            <w:pPr>
              <w:jc w:val="right"/>
              <w:rPr>
                <w:sz w:val="20"/>
                <w:szCs w:val="20"/>
              </w:rPr>
            </w:pPr>
            <w:r w:rsidRPr="00AC352A">
              <w:rPr>
                <w:sz w:val="20"/>
                <w:szCs w:val="20"/>
              </w:rPr>
              <w:t>101,5</w:t>
            </w:r>
          </w:p>
        </w:tc>
        <w:tc>
          <w:tcPr>
            <w:tcW w:w="1080" w:type="dxa"/>
            <w:tcBorders>
              <w:top w:val="nil"/>
              <w:left w:val="nil"/>
              <w:bottom w:val="single" w:sz="4" w:space="0" w:color="auto"/>
              <w:right w:val="single" w:sz="4" w:space="0" w:color="auto"/>
            </w:tcBorders>
            <w:shd w:val="clear" w:color="auto" w:fill="auto"/>
            <w:noWrap/>
            <w:vAlign w:val="bottom"/>
            <w:hideMark/>
          </w:tcPr>
          <w:p w14:paraId="6A59B8CC" w14:textId="75A4D32C" w:rsidR="00AC352A" w:rsidRPr="00AC352A" w:rsidRDefault="00AC352A" w:rsidP="00AC352A">
            <w:pPr>
              <w:jc w:val="right"/>
              <w:rPr>
                <w:sz w:val="20"/>
                <w:szCs w:val="20"/>
              </w:rPr>
            </w:pPr>
            <w:r w:rsidRPr="00AC352A">
              <w:rPr>
                <w:sz w:val="20"/>
                <w:szCs w:val="20"/>
              </w:rPr>
              <w:t>117,4</w:t>
            </w:r>
          </w:p>
        </w:tc>
      </w:tr>
      <w:tr w:rsidR="00AC352A" w:rsidRPr="00AC352A" w14:paraId="54E1C760" w14:textId="77777777" w:rsidTr="001445B7">
        <w:trPr>
          <w:trHeight w:val="5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4CE88A8" w14:textId="7AE5C08E" w:rsidR="00AC352A" w:rsidRPr="00AC352A" w:rsidRDefault="00AC352A" w:rsidP="00AC352A">
            <w:pPr>
              <w:rPr>
                <w:sz w:val="20"/>
              </w:rPr>
            </w:pPr>
            <w:r w:rsidRPr="00AC352A">
              <w:rPr>
                <w:sz w:val="20"/>
                <w:szCs w:val="20"/>
              </w:rPr>
              <w:t>C1 povoljni zajmovi</w:t>
            </w:r>
          </w:p>
        </w:tc>
        <w:tc>
          <w:tcPr>
            <w:tcW w:w="1080" w:type="dxa"/>
            <w:tcBorders>
              <w:top w:val="nil"/>
              <w:left w:val="nil"/>
              <w:bottom w:val="single" w:sz="4" w:space="0" w:color="auto"/>
              <w:right w:val="single" w:sz="4" w:space="0" w:color="auto"/>
            </w:tcBorders>
            <w:shd w:val="clear" w:color="auto" w:fill="auto"/>
            <w:vAlign w:val="bottom"/>
            <w:hideMark/>
          </w:tcPr>
          <w:p w14:paraId="325D8FEA" w14:textId="1D6AD87E" w:rsidR="00AC352A" w:rsidRPr="00AC352A" w:rsidRDefault="00AC352A" w:rsidP="00AC352A">
            <w:pPr>
              <w:jc w:val="right"/>
              <w:rPr>
                <w:sz w:val="20"/>
                <w:szCs w:val="20"/>
              </w:rPr>
            </w:pPr>
            <w:r w:rsidRPr="00AC352A">
              <w:rPr>
                <w:sz w:val="20"/>
                <w:szCs w:val="20"/>
              </w:rPr>
              <w:t>0,2</w:t>
            </w:r>
          </w:p>
        </w:tc>
        <w:tc>
          <w:tcPr>
            <w:tcW w:w="1080" w:type="dxa"/>
            <w:tcBorders>
              <w:top w:val="nil"/>
              <w:left w:val="nil"/>
              <w:bottom w:val="single" w:sz="4" w:space="0" w:color="auto"/>
              <w:right w:val="single" w:sz="4" w:space="0" w:color="auto"/>
            </w:tcBorders>
            <w:shd w:val="clear" w:color="auto" w:fill="auto"/>
            <w:noWrap/>
            <w:vAlign w:val="bottom"/>
            <w:hideMark/>
          </w:tcPr>
          <w:p w14:paraId="4A66D9A7" w14:textId="482020E3" w:rsidR="00AC352A" w:rsidRPr="00AC352A" w:rsidRDefault="00AC352A" w:rsidP="00AC352A">
            <w:pPr>
              <w:jc w:val="right"/>
              <w:rPr>
                <w:sz w:val="20"/>
                <w:szCs w:val="20"/>
              </w:rPr>
            </w:pPr>
            <w:r w:rsidRPr="00AC352A">
              <w:rPr>
                <w:sz w:val="20"/>
                <w:szCs w:val="20"/>
              </w:rPr>
              <w:t>2,9</w:t>
            </w:r>
          </w:p>
        </w:tc>
        <w:tc>
          <w:tcPr>
            <w:tcW w:w="1080" w:type="dxa"/>
            <w:tcBorders>
              <w:top w:val="nil"/>
              <w:left w:val="nil"/>
              <w:bottom w:val="single" w:sz="4" w:space="0" w:color="auto"/>
              <w:right w:val="single" w:sz="4" w:space="0" w:color="auto"/>
            </w:tcBorders>
            <w:shd w:val="clear" w:color="auto" w:fill="auto"/>
            <w:noWrap/>
            <w:vAlign w:val="bottom"/>
            <w:hideMark/>
          </w:tcPr>
          <w:p w14:paraId="66B8A6BE" w14:textId="29A9FF79" w:rsidR="00AC352A" w:rsidRPr="00AC352A" w:rsidRDefault="00AC352A" w:rsidP="00AC352A">
            <w:pPr>
              <w:jc w:val="right"/>
              <w:rPr>
                <w:sz w:val="20"/>
                <w:szCs w:val="20"/>
              </w:rPr>
            </w:pPr>
            <w:r w:rsidRPr="00AC352A">
              <w:rPr>
                <w:sz w:val="20"/>
                <w:szCs w:val="20"/>
              </w:rPr>
              <w:t>20,8</w:t>
            </w:r>
          </w:p>
        </w:tc>
      </w:tr>
      <w:tr w:rsidR="00AC352A" w:rsidRPr="00AC352A" w14:paraId="0ACC059D" w14:textId="77777777" w:rsidTr="00DE2CC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tcPr>
          <w:p w14:paraId="1BB0945E" w14:textId="5B1910A1" w:rsidR="00AC352A" w:rsidRPr="00AC352A" w:rsidRDefault="00AC352A" w:rsidP="00AC352A">
            <w:pPr>
              <w:rPr>
                <w:sz w:val="20"/>
              </w:rPr>
            </w:pPr>
            <w:r w:rsidRPr="00AC352A">
              <w:rPr>
                <w:sz w:val="20"/>
                <w:szCs w:val="20"/>
              </w:rPr>
              <w:t>D jamstva</w:t>
            </w:r>
          </w:p>
        </w:tc>
        <w:tc>
          <w:tcPr>
            <w:tcW w:w="1080" w:type="dxa"/>
            <w:tcBorders>
              <w:top w:val="nil"/>
              <w:left w:val="nil"/>
              <w:bottom w:val="single" w:sz="4" w:space="0" w:color="auto"/>
              <w:right w:val="single" w:sz="4" w:space="0" w:color="auto"/>
            </w:tcBorders>
            <w:shd w:val="clear" w:color="auto" w:fill="auto"/>
            <w:vAlign w:val="bottom"/>
          </w:tcPr>
          <w:p w14:paraId="6038A17B" w14:textId="70F7EBD4" w:rsidR="00AC352A" w:rsidRPr="00AC352A" w:rsidRDefault="00AC352A" w:rsidP="00AC352A">
            <w:pPr>
              <w:jc w:val="right"/>
              <w:rPr>
                <w:sz w:val="20"/>
                <w:szCs w:val="20"/>
              </w:rPr>
            </w:pPr>
            <w:r w:rsidRPr="00AC352A">
              <w:rPr>
                <w:sz w:val="20"/>
                <w:szCs w:val="20"/>
              </w:rPr>
              <w:t>-</w:t>
            </w:r>
          </w:p>
        </w:tc>
        <w:tc>
          <w:tcPr>
            <w:tcW w:w="1080" w:type="dxa"/>
            <w:tcBorders>
              <w:top w:val="nil"/>
              <w:left w:val="nil"/>
              <w:bottom w:val="single" w:sz="4" w:space="0" w:color="auto"/>
              <w:right w:val="single" w:sz="4" w:space="0" w:color="auto"/>
            </w:tcBorders>
            <w:shd w:val="clear" w:color="auto" w:fill="auto"/>
            <w:noWrap/>
            <w:vAlign w:val="bottom"/>
          </w:tcPr>
          <w:p w14:paraId="7797C286" w14:textId="54E51E99" w:rsidR="00AC352A" w:rsidRPr="00AC352A" w:rsidRDefault="00AC352A" w:rsidP="00AC352A">
            <w:pPr>
              <w:jc w:val="right"/>
              <w:rPr>
                <w:sz w:val="20"/>
                <w:szCs w:val="20"/>
              </w:rPr>
            </w:pPr>
            <w:r w:rsidRPr="00AC352A">
              <w:rPr>
                <w:sz w:val="20"/>
                <w:szCs w:val="20"/>
              </w:rPr>
              <w:t>-</w:t>
            </w:r>
          </w:p>
        </w:tc>
        <w:tc>
          <w:tcPr>
            <w:tcW w:w="1080" w:type="dxa"/>
            <w:tcBorders>
              <w:top w:val="nil"/>
              <w:left w:val="nil"/>
              <w:bottom w:val="single" w:sz="4" w:space="0" w:color="auto"/>
              <w:right w:val="single" w:sz="4" w:space="0" w:color="auto"/>
            </w:tcBorders>
            <w:shd w:val="clear" w:color="auto" w:fill="auto"/>
            <w:noWrap/>
            <w:vAlign w:val="bottom"/>
          </w:tcPr>
          <w:p w14:paraId="140E7C87" w14:textId="407E54E2" w:rsidR="00AC352A" w:rsidRPr="00AC352A" w:rsidRDefault="00AC352A" w:rsidP="00AC352A">
            <w:pPr>
              <w:jc w:val="right"/>
              <w:rPr>
                <w:sz w:val="20"/>
                <w:szCs w:val="20"/>
              </w:rPr>
            </w:pPr>
            <w:r w:rsidRPr="00AC352A">
              <w:rPr>
                <w:sz w:val="20"/>
                <w:szCs w:val="20"/>
              </w:rPr>
              <w:t>0,1</w:t>
            </w:r>
          </w:p>
        </w:tc>
      </w:tr>
      <w:tr w:rsidR="00AC352A" w:rsidRPr="00AC352A" w14:paraId="632EED67" w14:textId="77777777" w:rsidTr="00DE2CC0">
        <w:trPr>
          <w:trHeight w:val="50"/>
        </w:trPr>
        <w:tc>
          <w:tcPr>
            <w:tcW w:w="2980" w:type="dxa"/>
            <w:tcBorders>
              <w:top w:val="nil"/>
              <w:left w:val="single" w:sz="4" w:space="0" w:color="auto"/>
              <w:bottom w:val="single" w:sz="4" w:space="0" w:color="auto"/>
              <w:right w:val="single" w:sz="4" w:space="0" w:color="auto"/>
            </w:tcBorders>
            <w:shd w:val="clear" w:color="000000" w:fill="FFFF99"/>
            <w:noWrap/>
            <w:vAlign w:val="bottom"/>
            <w:hideMark/>
          </w:tcPr>
          <w:p w14:paraId="74AA8D7B" w14:textId="77777777" w:rsidR="00AC352A" w:rsidRPr="00AC352A" w:rsidRDefault="00AC352A" w:rsidP="00AC352A">
            <w:pPr>
              <w:rPr>
                <w:sz w:val="20"/>
              </w:rPr>
            </w:pPr>
            <w:r w:rsidRPr="00AC352A">
              <w:rPr>
                <w:b/>
                <w:sz w:val="20"/>
              </w:rPr>
              <w:t>UKUPNO</w:t>
            </w:r>
          </w:p>
        </w:tc>
        <w:tc>
          <w:tcPr>
            <w:tcW w:w="1080" w:type="dxa"/>
            <w:tcBorders>
              <w:top w:val="nil"/>
              <w:left w:val="nil"/>
              <w:bottom w:val="single" w:sz="4" w:space="0" w:color="auto"/>
              <w:right w:val="single" w:sz="4" w:space="0" w:color="auto"/>
            </w:tcBorders>
            <w:shd w:val="clear" w:color="000000" w:fill="FFFF99"/>
            <w:vAlign w:val="bottom"/>
            <w:hideMark/>
          </w:tcPr>
          <w:p w14:paraId="4E029F32" w14:textId="61052752" w:rsidR="00AC352A" w:rsidRPr="00AC352A" w:rsidRDefault="00AC352A" w:rsidP="00AC352A">
            <w:pPr>
              <w:jc w:val="right"/>
              <w:rPr>
                <w:b/>
                <w:sz w:val="20"/>
                <w:szCs w:val="20"/>
              </w:rPr>
            </w:pPr>
            <w:r w:rsidRPr="00AC352A">
              <w:rPr>
                <w:b/>
                <w:sz w:val="20"/>
                <w:szCs w:val="20"/>
              </w:rPr>
              <w:t>85,6</w:t>
            </w:r>
          </w:p>
        </w:tc>
        <w:tc>
          <w:tcPr>
            <w:tcW w:w="1080" w:type="dxa"/>
            <w:tcBorders>
              <w:top w:val="nil"/>
              <w:left w:val="nil"/>
              <w:bottom w:val="single" w:sz="4" w:space="0" w:color="auto"/>
              <w:right w:val="single" w:sz="4" w:space="0" w:color="auto"/>
            </w:tcBorders>
            <w:shd w:val="clear" w:color="000000" w:fill="FFFF99"/>
            <w:vAlign w:val="bottom"/>
            <w:hideMark/>
          </w:tcPr>
          <w:p w14:paraId="55A21036" w14:textId="47400F42" w:rsidR="00AC352A" w:rsidRPr="00AC352A" w:rsidRDefault="00AC352A" w:rsidP="00AC352A">
            <w:pPr>
              <w:jc w:val="right"/>
              <w:rPr>
                <w:b/>
                <w:sz w:val="20"/>
                <w:szCs w:val="20"/>
              </w:rPr>
            </w:pPr>
            <w:r w:rsidRPr="00AC352A">
              <w:rPr>
                <w:b/>
                <w:sz w:val="20"/>
                <w:szCs w:val="20"/>
              </w:rPr>
              <w:t>107,0</w:t>
            </w:r>
          </w:p>
        </w:tc>
        <w:tc>
          <w:tcPr>
            <w:tcW w:w="1080" w:type="dxa"/>
            <w:tcBorders>
              <w:top w:val="nil"/>
              <w:left w:val="nil"/>
              <w:bottom w:val="single" w:sz="4" w:space="0" w:color="auto"/>
              <w:right w:val="single" w:sz="4" w:space="0" w:color="auto"/>
            </w:tcBorders>
            <w:shd w:val="clear" w:color="000000" w:fill="FFFF99"/>
            <w:vAlign w:val="bottom"/>
            <w:hideMark/>
          </w:tcPr>
          <w:p w14:paraId="4554D9A8" w14:textId="3E4365F6" w:rsidR="00AC352A" w:rsidRPr="00AC352A" w:rsidRDefault="00AC352A" w:rsidP="00AC352A">
            <w:pPr>
              <w:jc w:val="right"/>
              <w:rPr>
                <w:b/>
                <w:sz w:val="20"/>
                <w:szCs w:val="20"/>
              </w:rPr>
            </w:pPr>
            <w:r w:rsidRPr="00AC352A">
              <w:rPr>
                <w:b/>
                <w:sz w:val="20"/>
                <w:szCs w:val="20"/>
              </w:rPr>
              <w:t>148,2</w:t>
            </w:r>
          </w:p>
        </w:tc>
      </w:tr>
    </w:tbl>
    <w:p w14:paraId="1A566D6D" w14:textId="77777777" w:rsidR="00A53D39" w:rsidRPr="00AC352A" w:rsidRDefault="00A53D39" w:rsidP="00BE487D">
      <w:pPr>
        <w:contextualSpacing/>
        <w:jc w:val="both"/>
        <w:rPr>
          <w:i/>
          <w:sz w:val="20"/>
        </w:rPr>
      </w:pPr>
      <w:r w:rsidRPr="00AC352A">
        <w:rPr>
          <w:i/>
          <w:sz w:val="20"/>
        </w:rPr>
        <w:t>Izvor: Ministarstvo financija i davatelji potpora; podaci obrađeni u Ministarstvu financija</w:t>
      </w:r>
    </w:p>
    <w:p w14:paraId="43894EB5" w14:textId="77777777" w:rsidR="00A51F20" w:rsidRPr="00CE41AA" w:rsidRDefault="00A51F20" w:rsidP="00BE487D"/>
    <w:p w14:paraId="126C0E68" w14:textId="69121FE4" w:rsidR="00891E8E" w:rsidRPr="00CE41AA" w:rsidRDefault="0081441F" w:rsidP="00891E8E">
      <w:pPr>
        <w:jc w:val="both"/>
      </w:pPr>
      <w:r w:rsidRPr="00CE41AA">
        <w:t>U 2023. godini, r</w:t>
      </w:r>
      <w:r w:rsidR="009011E3" w:rsidRPr="00CE41AA">
        <w:t>egionalne p</w:t>
      </w:r>
      <w:r w:rsidR="00891E8E" w:rsidRPr="00CE41AA">
        <w:t xml:space="preserve">otpore dodijeljene </w:t>
      </w:r>
      <w:r w:rsidR="00CE41AA" w:rsidRPr="00CE41AA">
        <w:t xml:space="preserve">su </w:t>
      </w:r>
      <w:r w:rsidR="00891E8E" w:rsidRPr="00CE41AA">
        <w:t xml:space="preserve">u iznosu od </w:t>
      </w:r>
      <w:r w:rsidR="00CE41AA" w:rsidRPr="00CE41AA">
        <w:t>148,2</w:t>
      </w:r>
      <w:r w:rsidR="009011E3" w:rsidRPr="00CE41AA">
        <w:t xml:space="preserve"> </w:t>
      </w:r>
      <w:r w:rsidR="00891E8E" w:rsidRPr="00CE41AA">
        <w:t>milijun</w:t>
      </w:r>
      <w:r w:rsidR="00140E33" w:rsidRPr="00CE41AA">
        <w:t>a</w:t>
      </w:r>
      <w:r w:rsidR="00891E8E" w:rsidRPr="00CE41AA">
        <w:t xml:space="preserve"> </w:t>
      </w:r>
      <w:r w:rsidR="00CE41AA" w:rsidRPr="00CE41AA">
        <w:t>eura</w:t>
      </w:r>
      <w:r w:rsidR="00140E33" w:rsidRPr="00CE41AA">
        <w:t>,</w:t>
      </w:r>
      <w:r w:rsidR="00891E8E" w:rsidRPr="00CE41AA">
        <w:t xml:space="preserve"> </w:t>
      </w:r>
      <w:r w:rsidR="00CE41AA" w:rsidRPr="00CE41AA">
        <w:t xml:space="preserve">a </w:t>
      </w:r>
      <w:r w:rsidR="00891E8E" w:rsidRPr="00CE41AA">
        <w:t xml:space="preserve">najvećim dijelom dodjeljivane su </w:t>
      </w:r>
      <w:r w:rsidR="009011E3" w:rsidRPr="00CE41AA">
        <w:t>kroz</w:t>
      </w:r>
      <w:r w:rsidR="00891E8E" w:rsidRPr="00CE41AA">
        <w:t xml:space="preserve"> </w:t>
      </w:r>
      <w:r w:rsidR="009011E3" w:rsidRPr="00CE41AA">
        <w:t xml:space="preserve">porezne olakšice </w:t>
      </w:r>
      <w:r w:rsidR="00891E8E" w:rsidRPr="00CE41AA">
        <w:t xml:space="preserve">u iznosu od </w:t>
      </w:r>
      <w:r w:rsidR="00CE41AA" w:rsidRPr="00CE41AA">
        <w:t xml:space="preserve">117,4 </w:t>
      </w:r>
      <w:r w:rsidR="00891E8E" w:rsidRPr="00CE41AA">
        <w:t xml:space="preserve">milijuna </w:t>
      </w:r>
      <w:r w:rsidR="00CE41AA" w:rsidRPr="00CE41AA">
        <w:t xml:space="preserve">eura </w:t>
      </w:r>
      <w:r w:rsidR="00891E8E" w:rsidRPr="00CE41AA">
        <w:t xml:space="preserve">odnosno s udjelom od </w:t>
      </w:r>
      <w:r w:rsidR="00CE41AA" w:rsidRPr="00CE41AA">
        <w:t>79,3</w:t>
      </w:r>
      <w:r w:rsidR="00140E33" w:rsidRPr="00CE41AA">
        <w:t xml:space="preserve"> </w:t>
      </w:r>
      <w:r w:rsidR="00891E8E" w:rsidRPr="00CE41AA">
        <w:t xml:space="preserve">posto u </w:t>
      </w:r>
      <w:r w:rsidR="009011E3" w:rsidRPr="00CE41AA">
        <w:t>dodijeljenim regionalnim potporama</w:t>
      </w:r>
      <w:r w:rsidR="00891E8E" w:rsidRPr="00CE41AA">
        <w:t xml:space="preserve">, </w:t>
      </w:r>
      <w:r w:rsidR="00140E33" w:rsidRPr="00CE41AA">
        <w:t xml:space="preserve">slijede povoljni zajmovi u iznosu od </w:t>
      </w:r>
      <w:r w:rsidR="00CE41AA" w:rsidRPr="00CE41AA">
        <w:t xml:space="preserve">20,8 </w:t>
      </w:r>
      <w:r w:rsidR="00140E33" w:rsidRPr="00CE41AA">
        <w:t xml:space="preserve">milijuna </w:t>
      </w:r>
      <w:r w:rsidR="00CE41AA" w:rsidRPr="00CE41AA">
        <w:t xml:space="preserve">eura </w:t>
      </w:r>
      <w:r w:rsidR="00140E33" w:rsidRPr="00CE41AA">
        <w:t xml:space="preserve">ili </w:t>
      </w:r>
      <w:r w:rsidR="00CE41AA" w:rsidRPr="00CE41AA">
        <w:t>14</w:t>
      </w:r>
      <w:r w:rsidR="00140E33" w:rsidRPr="00CE41AA">
        <w:t xml:space="preserve"> posto</w:t>
      </w:r>
      <w:r w:rsidR="00CE41AA" w:rsidRPr="00CE41AA">
        <w:t xml:space="preserve">, </w:t>
      </w:r>
      <w:r w:rsidR="009011E3" w:rsidRPr="00CE41AA">
        <w:t xml:space="preserve">subvencije </w:t>
      </w:r>
      <w:r w:rsidR="00891E8E" w:rsidRPr="00CE41AA">
        <w:t xml:space="preserve">u iznosu od </w:t>
      </w:r>
      <w:r w:rsidR="00CE41AA" w:rsidRPr="00CE41AA">
        <w:t>9,8</w:t>
      </w:r>
      <w:r w:rsidR="00140E33" w:rsidRPr="00CE41AA">
        <w:t xml:space="preserve"> </w:t>
      </w:r>
      <w:r w:rsidR="00891E8E" w:rsidRPr="00CE41AA">
        <w:t xml:space="preserve">milijuna </w:t>
      </w:r>
      <w:r w:rsidR="00CE41AA" w:rsidRPr="00CE41AA">
        <w:t xml:space="preserve">eura </w:t>
      </w:r>
      <w:r w:rsidR="00891E8E" w:rsidRPr="00CE41AA">
        <w:t xml:space="preserve">ili </w:t>
      </w:r>
      <w:r w:rsidR="00CE41AA" w:rsidRPr="00CE41AA">
        <w:t>6,6 posto te je kroz izdana jamstva dodijeljeno 111.568,40 eura ili 0,1 posto.</w:t>
      </w:r>
    </w:p>
    <w:p w14:paraId="775E5274" w14:textId="15658130" w:rsidR="00CE41AA" w:rsidRPr="00CE41AA" w:rsidRDefault="00CE41AA" w:rsidP="00891E8E">
      <w:pPr>
        <w:jc w:val="both"/>
      </w:pPr>
    </w:p>
    <w:p w14:paraId="489CF164" w14:textId="77777777" w:rsidR="00CE41AA" w:rsidRDefault="00CE41AA">
      <w:pPr>
        <w:rPr>
          <w:b/>
          <w:bCs/>
          <w:lang w:eastAsia="hr-HR"/>
        </w:rPr>
      </w:pPr>
      <w:r>
        <w:rPr>
          <w:b/>
          <w:bCs/>
          <w:lang w:eastAsia="hr-HR"/>
        </w:rPr>
        <w:br w:type="page"/>
      </w:r>
    </w:p>
    <w:p w14:paraId="5F979146" w14:textId="10347C9B" w:rsidR="00A53D39" w:rsidRPr="00382DD2" w:rsidRDefault="00A53D39" w:rsidP="00BE487D">
      <w:pPr>
        <w:jc w:val="both"/>
        <w:rPr>
          <w:bCs/>
          <w:lang w:eastAsia="hr-HR"/>
        </w:rPr>
      </w:pPr>
      <w:r w:rsidRPr="00B75A66">
        <w:rPr>
          <w:bCs/>
          <w:lang w:eastAsia="hr-HR"/>
        </w:rPr>
        <w:lastRenderedPageBreak/>
        <w:t>Slika 1</w:t>
      </w:r>
      <w:r w:rsidR="00381995" w:rsidRPr="00B75A66">
        <w:rPr>
          <w:bCs/>
          <w:lang w:eastAsia="hr-HR"/>
        </w:rPr>
        <w:t>2</w:t>
      </w:r>
      <w:r w:rsidRPr="00B75A66">
        <w:rPr>
          <w:bCs/>
          <w:lang w:eastAsia="hr-HR"/>
        </w:rPr>
        <w:t xml:space="preserve">. Regionalne potpore </w:t>
      </w:r>
      <w:r w:rsidR="00382DD2" w:rsidRPr="00B75A66">
        <w:rPr>
          <w:bCs/>
          <w:lang w:eastAsia="hr-HR"/>
        </w:rPr>
        <w:t xml:space="preserve">prikazane </w:t>
      </w:r>
      <w:r w:rsidRPr="00B75A66">
        <w:rPr>
          <w:bCs/>
          <w:lang w:eastAsia="hr-HR"/>
        </w:rPr>
        <w:t xml:space="preserve">prema instrumentima dodjele </w:t>
      </w:r>
      <w:r w:rsidR="00382DD2" w:rsidRPr="00B75A66">
        <w:rPr>
          <w:bCs/>
          <w:lang w:eastAsia="hr-HR"/>
        </w:rPr>
        <w:t>u</w:t>
      </w:r>
      <w:r w:rsidRPr="00B75A66">
        <w:rPr>
          <w:bCs/>
          <w:lang w:eastAsia="hr-HR"/>
        </w:rPr>
        <w:t xml:space="preserve"> razdoblj</w:t>
      </w:r>
      <w:r w:rsidR="00382DD2" w:rsidRPr="00B75A66">
        <w:rPr>
          <w:bCs/>
          <w:lang w:eastAsia="hr-HR"/>
        </w:rPr>
        <w:t>u</w:t>
      </w:r>
      <w:r w:rsidRPr="00B75A66">
        <w:rPr>
          <w:bCs/>
          <w:lang w:eastAsia="hr-HR"/>
        </w:rPr>
        <w:t xml:space="preserve"> </w:t>
      </w:r>
      <w:r w:rsidRPr="00B75A66">
        <w:t>od 20</w:t>
      </w:r>
      <w:r w:rsidR="002611AD" w:rsidRPr="00B75A66">
        <w:t>2</w:t>
      </w:r>
      <w:r w:rsidR="00381995" w:rsidRPr="00B75A66">
        <w:t>1</w:t>
      </w:r>
      <w:r w:rsidRPr="00B75A66">
        <w:t>. do</w:t>
      </w:r>
      <w:r w:rsidRPr="00381995">
        <w:t xml:space="preserve"> 202</w:t>
      </w:r>
      <w:r w:rsidR="00381995" w:rsidRPr="00381995">
        <w:t>3</w:t>
      </w:r>
      <w:r w:rsidRPr="00381995">
        <w:t xml:space="preserve">. </w:t>
      </w:r>
      <w:r w:rsidRPr="00382DD2">
        <w:t>godine</w:t>
      </w:r>
      <w:r w:rsidRPr="00382DD2">
        <w:rPr>
          <w:bCs/>
          <w:lang w:eastAsia="hr-HR"/>
        </w:rPr>
        <w:t xml:space="preserve"> (u milijunima </w:t>
      </w:r>
      <w:r w:rsidR="00381995" w:rsidRPr="00382DD2">
        <w:rPr>
          <w:bCs/>
          <w:lang w:eastAsia="hr-HR"/>
        </w:rPr>
        <w:t>eura</w:t>
      </w:r>
      <w:r w:rsidRPr="00382DD2">
        <w:rPr>
          <w:bCs/>
          <w:lang w:eastAsia="hr-HR"/>
        </w:rPr>
        <w:t>)</w:t>
      </w:r>
    </w:p>
    <w:p w14:paraId="6E14FAD8" w14:textId="3958BAED" w:rsidR="002611AD" w:rsidRPr="00382DD2" w:rsidRDefault="002611AD" w:rsidP="00BE487D">
      <w:pPr>
        <w:jc w:val="both"/>
      </w:pPr>
    </w:p>
    <w:p w14:paraId="4B0AB10E" w14:textId="00A11305" w:rsidR="00A51F20" w:rsidRPr="00382DD2" w:rsidRDefault="00A51F20" w:rsidP="00BE487D">
      <w:pPr>
        <w:jc w:val="both"/>
      </w:pPr>
      <w:r w:rsidRPr="00382DD2">
        <w:rPr>
          <w:noProof/>
          <w:sz w:val="18"/>
          <w:szCs w:val="16"/>
          <w:lang w:eastAsia="hr-HR"/>
        </w:rPr>
        <w:drawing>
          <wp:inline distT="0" distB="0" distL="0" distR="0" wp14:anchorId="3E635845" wp14:editId="3DC1D1C3">
            <wp:extent cx="5379720" cy="2255520"/>
            <wp:effectExtent l="0" t="0" r="0" b="0"/>
            <wp:docPr id="29" name="Grafikon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E499CC" w14:textId="77777777" w:rsidR="00382DD2" w:rsidRPr="00382DD2" w:rsidRDefault="00382DD2" w:rsidP="00382DD2">
      <w:pPr>
        <w:contextualSpacing/>
        <w:jc w:val="center"/>
        <w:rPr>
          <w:i/>
          <w:sz w:val="20"/>
        </w:rPr>
      </w:pPr>
      <w:r w:rsidRPr="00382DD2">
        <w:rPr>
          <w:i/>
          <w:sz w:val="20"/>
        </w:rPr>
        <w:t>Izvor: Ministarstvo financija i davatelji potpora; podaci obrađeni u Ministarstvu financija</w:t>
      </w:r>
    </w:p>
    <w:p w14:paraId="26967F76" w14:textId="77777777" w:rsidR="00A51F20" w:rsidRPr="00382DD2" w:rsidRDefault="00A51F20" w:rsidP="00BE487D">
      <w:pPr>
        <w:jc w:val="both"/>
      </w:pPr>
    </w:p>
    <w:p w14:paraId="370C79E5" w14:textId="75B10ABF" w:rsidR="00A6392E" w:rsidRPr="00A6392E" w:rsidRDefault="00A6392E" w:rsidP="00A6392E">
      <w:pPr>
        <w:jc w:val="both"/>
      </w:pPr>
      <w:r w:rsidRPr="00A6392E">
        <w:t xml:space="preserve">U 2023. godini davatelji regionalnih potpora, koje su dodijeljene u iznosu od 148,2 milijuna eura, su Ministarstvo gospodarstva i održivog razvoja s iznosom od 118,7 </w:t>
      </w:r>
      <w:r w:rsidRPr="00A6392E">
        <w:rPr>
          <w:rFonts w:eastAsia="Times New Roman"/>
          <w:lang w:eastAsia="hr-HR"/>
        </w:rPr>
        <w:t xml:space="preserve">milijuna eura i </w:t>
      </w:r>
      <w:r w:rsidRPr="00A6392E">
        <w:t xml:space="preserve">HBOR s iznosom od 29,5 </w:t>
      </w:r>
      <w:r w:rsidRPr="00A6392E">
        <w:rPr>
          <w:rFonts w:eastAsia="Times New Roman"/>
          <w:lang w:eastAsia="hr-HR"/>
        </w:rPr>
        <w:t>milijuna eura.</w:t>
      </w:r>
    </w:p>
    <w:p w14:paraId="03179BA4" w14:textId="77777777" w:rsidR="00CE41AA" w:rsidRPr="00A6392E" w:rsidRDefault="00CE41AA" w:rsidP="00BE487D">
      <w:pPr>
        <w:jc w:val="both"/>
      </w:pPr>
    </w:p>
    <w:p w14:paraId="1C2B3D49" w14:textId="02687088" w:rsidR="000A3565" w:rsidRPr="008149B5" w:rsidRDefault="00A31EA7" w:rsidP="000A3565">
      <w:pPr>
        <w:jc w:val="both"/>
        <w:rPr>
          <w:highlight w:val="red"/>
        </w:rPr>
      </w:pPr>
      <w:r w:rsidRPr="00B75A66">
        <w:rPr>
          <w:u w:val="single"/>
        </w:rPr>
        <w:t xml:space="preserve">Ministarstvo </w:t>
      </w:r>
      <w:r w:rsidR="00873670" w:rsidRPr="00B75A66">
        <w:rPr>
          <w:u w:val="single"/>
        </w:rPr>
        <w:t>gospodarstva i održivog razvoja</w:t>
      </w:r>
      <w:r w:rsidR="00873670" w:rsidRPr="009C7D80">
        <w:t xml:space="preserve"> </w:t>
      </w:r>
      <w:r w:rsidR="00A53D39" w:rsidRPr="009C7D80">
        <w:t xml:space="preserve">je </w:t>
      </w:r>
      <w:r w:rsidR="009C7D80" w:rsidRPr="009C7D80">
        <w:t xml:space="preserve">u 2023. godini </w:t>
      </w:r>
      <w:r w:rsidR="00A53D39" w:rsidRPr="009C7D80">
        <w:t xml:space="preserve">dodijelilo </w:t>
      </w:r>
      <w:r w:rsidR="00024D75" w:rsidRPr="009C7D80">
        <w:t xml:space="preserve">regionalne potpore u iznosu od </w:t>
      </w:r>
      <w:r w:rsidR="009C7D80" w:rsidRPr="009C7D80">
        <w:t xml:space="preserve">118,7 </w:t>
      </w:r>
      <w:r w:rsidR="009C7D80" w:rsidRPr="009C7D80">
        <w:rPr>
          <w:rFonts w:eastAsia="Times New Roman"/>
          <w:lang w:eastAsia="hr-HR"/>
        </w:rPr>
        <w:t xml:space="preserve">milijuna eura </w:t>
      </w:r>
      <w:r w:rsidR="00A53D39" w:rsidRPr="009C7D80">
        <w:t xml:space="preserve">temeljem </w:t>
      </w:r>
      <w:r w:rsidR="009C7D80" w:rsidRPr="009C7D80">
        <w:t>raznih</w:t>
      </w:r>
      <w:r w:rsidR="00A53D39" w:rsidRPr="009C7D80">
        <w:t xml:space="preserve"> programa</w:t>
      </w:r>
      <w:r w:rsidR="009C7D80" w:rsidRPr="009C7D80">
        <w:t xml:space="preserve">. </w:t>
      </w:r>
      <w:r w:rsidR="00AA5C34" w:rsidRPr="00AA5C34">
        <w:t>T</w:t>
      </w:r>
      <w:r w:rsidR="00AC3DB8" w:rsidRPr="00AA5C34">
        <w:t>emeljem</w:t>
      </w:r>
      <w:r w:rsidR="00AA5C34" w:rsidRPr="00AA5C34">
        <w:t xml:space="preserve"> </w:t>
      </w:r>
      <w:r w:rsidR="00AC3DB8" w:rsidRPr="00AA5C34">
        <w:t>Zakona o poticanju ulaganja</w:t>
      </w:r>
      <w:r w:rsidR="009F5ADF" w:rsidRPr="00AA5C34">
        <w:t xml:space="preserve"> </w:t>
      </w:r>
      <w:r w:rsidR="00AC3DB8" w:rsidRPr="00AA5C34">
        <w:t>(„Narodne novine“, br. 102/15., 25/18., 114/18.</w:t>
      </w:r>
      <w:r w:rsidR="009F5ADF" w:rsidRPr="00AA5C34">
        <w:t>,</w:t>
      </w:r>
      <w:r w:rsidR="00AC3DB8" w:rsidRPr="00AA5C34">
        <w:t xml:space="preserve"> 32/20.</w:t>
      </w:r>
      <w:r w:rsidR="009F5ADF" w:rsidRPr="00AA5C34">
        <w:t xml:space="preserve"> i 20/21.</w:t>
      </w:r>
      <w:r w:rsidR="00AC3DB8" w:rsidRPr="00AA5C34">
        <w:t>)</w:t>
      </w:r>
      <w:r w:rsidR="00AA5C34" w:rsidRPr="00AA5C34">
        <w:t xml:space="preserve"> </w:t>
      </w:r>
      <w:r w:rsidR="00610264" w:rsidRPr="00AA5C34">
        <w:t>te njegovog produljenja primjene</w:t>
      </w:r>
      <w:r w:rsidR="00610264">
        <w:t>,</w:t>
      </w:r>
      <w:r w:rsidR="00610264" w:rsidRPr="00AA5C34">
        <w:t xml:space="preserve"> </w:t>
      </w:r>
      <w:r w:rsidR="00AA5C34" w:rsidRPr="00AA5C34">
        <w:t xml:space="preserve">navedeno </w:t>
      </w:r>
      <w:r w:rsidR="00610264">
        <w:t>M</w:t>
      </w:r>
      <w:r w:rsidR="00AA5C34" w:rsidRPr="00AA5C34">
        <w:t xml:space="preserve">inistarstvo je dodijelilo regionalne potpore u 2023. godini </w:t>
      </w:r>
      <w:r w:rsidR="00AC3DB8" w:rsidRPr="00AA5C34">
        <w:t xml:space="preserve">u iznosu od </w:t>
      </w:r>
      <w:r w:rsidR="00AA5C34" w:rsidRPr="00AA5C34">
        <w:t>112,5</w:t>
      </w:r>
      <w:r w:rsidR="00AC3DB8" w:rsidRPr="00AA5C34">
        <w:t xml:space="preserve"> milijun</w:t>
      </w:r>
      <w:r w:rsidR="00AA5C34" w:rsidRPr="00AA5C34">
        <w:t>a</w:t>
      </w:r>
      <w:r w:rsidR="00AC3DB8" w:rsidRPr="00AA5C34">
        <w:t xml:space="preserve"> </w:t>
      </w:r>
      <w:r w:rsidR="00AA5C34" w:rsidRPr="00AA5C34">
        <w:t>eura</w:t>
      </w:r>
      <w:r w:rsidR="00AC3DB8" w:rsidRPr="00AA5C34">
        <w:t xml:space="preserve"> putem poreznih olakšica </w:t>
      </w:r>
      <w:r w:rsidR="00AA5C34" w:rsidRPr="00AA5C34">
        <w:t>i</w:t>
      </w:r>
      <w:r w:rsidR="00AC3DB8" w:rsidRPr="00AA5C34">
        <w:t xml:space="preserve"> subvencija</w:t>
      </w:r>
      <w:r w:rsidR="00AA5C34" w:rsidRPr="00AA5C34">
        <w:t>, a</w:t>
      </w:r>
      <w:r w:rsidR="00AC3DB8" w:rsidRPr="00AA5C34">
        <w:t xml:space="preserve"> Europska komisija je o navedenom Zakonu o poticanju ulaganja obaviještena pod brojem SA.43431</w:t>
      </w:r>
      <w:r w:rsidR="009F5ADF" w:rsidRPr="00AA5C34">
        <w:t xml:space="preserve"> te o njegovom produljenju primjene pod brojevima SA.60887</w:t>
      </w:r>
      <w:r w:rsidR="00AA5C34" w:rsidRPr="00AA5C34">
        <w:t xml:space="preserve">, </w:t>
      </w:r>
      <w:r w:rsidR="009F5ADF" w:rsidRPr="00AA5C34">
        <w:t>SA.102080</w:t>
      </w:r>
      <w:r w:rsidR="00AA5C34" w:rsidRPr="00AA5C34">
        <w:t xml:space="preserve"> i SA.104155</w:t>
      </w:r>
      <w:r w:rsidR="009F5ADF" w:rsidRPr="00AA5C34">
        <w:t>.</w:t>
      </w:r>
      <w:r w:rsidR="00AA5C34" w:rsidRPr="00AA5C34">
        <w:t xml:space="preserve"> Temeljem </w:t>
      </w:r>
      <w:r w:rsidR="00AC3DB8" w:rsidRPr="00AA5C34">
        <w:t>Zakona o poticanju investicija i unapređenju investicijskog okruženja</w:t>
      </w:r>
      <w:r w:rsidR="00AC3DB8" w:rsidRPr="00AA5C34">
        <w:rPr>
          <w:b/>
        </w:rPr>
        <w:t xml:space="preserve"> </w:t>
      </w:r>
      <w:r w:rsidR="00AC3DB8" w:rsidRPr="00AA5C34">
        <w:t>(„Narodne novine“, br. 111/12. i 28/13.)</w:t>
      </w:r>
      <w:r w:rsidR="00AA5C34" w:rsidRPr="00AA5C34">
        <w:t>,</w:t>
      </w:r>
      <w:r w:rsidR="00AC3DB8" w:rsidRPr="00AA5C34">
        <w:t xml:space="preserve"> </w:t>
      </w:r>
      <w:r w:rsidR="00AA5C34" w:rsidRPr="00AA5C34">
        <w:t xml:space="preserve">Ministarstvo gospodarstva i održivog razvoja dodijelilo je i regionalne potpore u 2023. godini </w:t>
      </w:r>
      <w:r w:rsidR="00AC3DB8" w:rsidRPr="00AA5C34">
        <w:t xml:space="preserve">u iznosu od </w:t>
      </w:r>
      <w:r w:rsidR="00AA5C34" w:rsidRPr="00AA5C34">
        <w:t>6,2</w:t>
      </w:r>
      <w:r w:rsidR="00AC3DB8" w:rsidRPr="00AA5C34">
        <w:t xml:space="preserve"> milijuna </w:t>
      </w:r>
      <w:r w:rsidR="00AA5C34" w:rsidRPr="00AA5C34">
        <w:t>eura</w:t>
      </w:r>
      <w:r w:rsidR="00AC3DB8" w:rsidRPr="00AA5C34">
        <w:t xml:space="preserve"> putem poreznih olakšica</w:t>
      </w:r>
      <w:r w:rsidR="00AA5C34" w:rsidRPr="00AA5C34">
        <w:t>, a</w:t>
      </w:r>
      <w:r w:rsidR="000E0180" w:rsidRPr="00AA5C34">
        <w:t xml:space="preserve"> </w:t>
      </w:r>
      <w:r w:rsidR="00AC3DB8" w:rsidRPr="00AA5C34">
        <w:rPr>
          <w:rFonts w:eastAsia="Times New Roman"/>
          <w:lang w:eastAsia="hr-HR"/>
        </w:rPr>
        <w:t>Europska komisija je o navedenom Zakonu obaviještena pod brojem SA.35517.</w:t>
      </w:r>
    </w:p>
    <w:p w14:paraId="007E1574" w14:textId="77777777" w:rsidR="00CA0870" w:rsidRPr="009C7D80" w:rsidRDefault="00CA0870" w:rsidP="00E50653">
      <w:pPr>
        <w:jc w:val="both"/>
      </w:pPr>
    </w:p>
    <w:p w14:paraId="0009A3AA" w14:textId="35F55D8C" w:rsidR="00A75551" w:rsidRPr="009C7D80" w:rsidRDefault="00A53D39" w:rsidP="00E50653">
      <w:pPr>
        <w:jc w:val="both"/>
        <w:rPr>
          <w:rFonts w:eastAsia="Times New Roman"/>
          <w:color w:val="000000"/>
          <w:lang w:eastAsia="hr-HR"/>
        </w:rPr>
      </w:pPr>
      <w:r w:rsidRPr="00B75A66">
        <w:rPr>
          <w:u w:val="single"/>
        </w:rPr>
        <w:t>HBOR</w:t>
      </w:r>
      <w:r w:rsidRPr="009C7D80">
        <w:t xml:space="preserve"> je </w:t>
      </w:r>
      <w:r w:rsidR="00557806" w:rsidRPr="009C7D80">
        <w:t xml:space="preserve">dodijelio </w:t>
      </w:r>
      <w:r w:rsidRPr="009C7D80">
        <w:t xml:space="preserve">regionalne potpore </w:t>
      </w:r>
      <w:r w:rsidR="00A75551" w:rsidRPr="009C7D80">
        <w:t>u 202</w:t>
      </w:r>
      <w:r w:rsidR="00A6392E" w:rsidRPr="009C7D80">
        <w:t>3</w:t>
      </w:r>
      <w:r w:rsidR="00A75551" w:rsidRPr="009C7D80">
        <w:t xml:space="preserve">. godini </w:t>
      </w:r>
      <w:r w:rsidR="00A6392E" w:rsidRPr="009C7D80">
        <w:t xml:space="preserve">temeljem Programa dodjele državnih potpora Hrvatske banke za obnovu i razvitak </w:t>
      </w:r>
      <w:r w:rsidRPr="009C7D80">
        <w:t xml:space="preserve">u iznosu od </w:t>
      </w:r>
      <w:r w:rsidR="00A6392E" w:rsidRPr="009C7D80">
        <w:t>29,5</w:t>
      </w:r>
      <w:r w:rsidRPr="009C7D80">
        <w:t xml:space="preserve"> milijuna </w:t>
      </w:r>
      <w:r w:rsidR="00A6392E" w:rsidRPr="009C7D80">
        <w:t>eura</w:t>
      </w:r>
      <w:r w:rsidR="00A75551" w:rsidRPr="009C7D80">
        <w:t>, i to</w:t>
      </w:r>
      <w:r w:rsidRPr="009C7D80">
        <w:t xml:space="preserve"> </w:t>
      </w:r>
      <w:r w:rsidR="00557806" w:rsidRPr="009C7D80">
        <w:t xml:space="preserve">putem </w:t>
      </w:r>
      <w:r w:rsidR="00A6392E" w:rsidRPr="009C7D80">
        <w:t xml:space="preserve">neposrednih subvencija kamata, </w:t>
      </w:r>
      <w:r w:rsidR="00557806" w:rsidRPr="009C7D80">
        <w:t>povoljnih zajmova</w:t>
      </w:r>
      <w:r w:rsidR="00A75551" w:rsidRPr="009C7D80">
        <w:t xml:space="preserve"> </w:t>
      </w:r>
      <w:r w:rsidR="00A6392E" w:rsidRPr="009C7D80">
        <w:t xml:space="preserve">i izdanih jamstava. </w:t>
      </w:r>
      <w:r w:rsidR="00712C2C">
        <w:t>O n</w:t>
      </w:r>
      <w:r w:rsidR="008D251F" w:rsidRPr="009C7D80">
        <w:t>aveden</w:t>
      </w:r>
      <w:r w:rsidR="00712C2C">
        <w:t>om</w:t>
      </w:r>
      <w:r w:rsidR="008D251F" w:rsidRPr="009C7D80">
        <w:t xml:space="preserve"> </w:t>
      </w:r>
      <w:r w:rsidR="00712C2C">
        <w:t>p</w:t>
      </w:r>
      <w:r w:rsidR="003F2634" w:rsidRPr="009C7D80">
        <w:t>rogram</w:t>
      </w:r>
      <w:r w:rsidR="00712C2C">
        <w:t>u</w:t>
      </w:r>
      <w:r w:rsidR="003F2634" w:rsidRPr="009C7D80">
        <w:t xml:space="preserve"> </w:t>
      </w:r>
      <w:r w:rsidR="008D251F" w:rsidRPr="009C7D80">
        <w:t>je Europska komisija obaviještena pod brojem SA.</w:t>
      </w:r>
      <w:r w:rsidR="008D251F" w:rsidRPr="009C7D80">
        <w:rPr>
          <w:rFonts w:eastAsia="Times New Roman"/>
          <w:lang w:eastAsia="hr-HR"/>
        </w:rPr>
        <w:t xml:space="preserve">39436 </w:t>
      </w:r>
      <w:r w:rsidR="008D251F" w:rsidRPr="009C7D80">
        <w:t xml:space="preserve">te </w:t>
      </w:r>
      <w:r w:rsidR="008D251F" w:rsidRPr="009C7D80">
        <w:rPr>
          <w:rFonts w:eastAsia="Times New Roman"/>
          <w:color w:val="000000"/>
          <w:lang w:eastAsia="hr-HR"/>
        </w:rPr>
        <w:t>njegove kasnije izmjene koje je Europska komisija odobrila pod brojem SA.60264</w:t>
      </w:r>
      <w:r w:rsidR="009C7D80" w:rsidRPr="009C7D80">
        <w:rPr>
          <w:rFonts w:eastAsia="Times New Roman"/>
          <w:color w:val="000000"/>
          <w:lang w:eastAsia="hr-HR"/>
        </w:rPr>
        <w:t>,</w:t>
      </w:r>
      <w:r w:rsidR="00971E64" w:rsidRPr="009C7D80">
        <w:rPr>
          <w:rFonts w:eastAsia="Times New Roman"/>
          <w:color w:val="000000"/>
          <w:lang w:eastAsia="hr-HR"/>
        </w:rPr>
        <w:t xml:space="preserve"> SA.102053</w:t>
      </w:r>
      <w:r w:rsidR="009C7D80" w:rsidRPr="009C7D80">
        <w:rPr>
          <w:rFonts w:eastAsia="Times New Roman"/>
          <w:color w:val="000000"/>
          <w:lang w:eastAsia="hr-HR"/>
        </w:rPr>
        <w:t xml:space="preserve"> i SA.109743</w:t>
      </w:r>
      <w:r w:rsidR="00E50653" w:rsidRPr="009C7D80">
        <w:rPr>
          <w:rFonts w:eastAsia="Times New Roman"/>
          <w:color w:val="000000"/>
          <w:lang w:eastAsia="hr-HR"/>
        </w:rPr>
        <w:t>.</w:t>
      </w:r>
    </w:p>
    <w:p w14:paraId="0CD85DCB" w14:textId="77777777" w:rsidR="00A75551" w:rsidRPr="00A6392E" w:rsidRDefault="00A75551" w:rsidP="00A75551">
      <w:pPr>
        <w:jc w:val="both"/>
      </w:pPr>
    </w:p>
    <w:p w14:paraId="11A50444" w14:textId="359BA9BE" w:rsidR="00073214" w:rsidRPr="00A6392E" w:rsidRDefault="00073214" w:rsidP="00073214">
      <w:pPr>
        <w:jc w:val="both"/>
      </w:pPr>
      <w:r w:rsidRPr="00B75A66">
        <w:rPr>
          <w:u w:val="single"/>
        </w:rPr>
        <w:t>Potpore male vrijednosti</w:t>
      </w:r>
      <w:r w:rsidRPr="00A6392E">
        <w:t xml:space="preserve"> za regionalni razvoj su u 2023. godini dodijeljene u iznosu od </w:t>
      </w:r>
      <w:r w:rsidR="00A6392E" w:rsidRPr="00A6392E">
        <w:t>6</w:t>
      </w:r>
      <w:r w:rsidRPr="00A6392E">
        <w:t xml:space="preserve"> milijuna eura, te ukoliko bi se navedene potpore male vrijednosti pribrojile dodijeljenim potporama za </w:t>
      </w:r>
      <w:r w:rsidR="005F1DB3" w:rsidRPr="00A6392E">
        <w:t xml:space="preserve">regionalni razvoj </w:t>
      </w:r>
      <w:r w:rsidRPr="00A6392E">
        <w:t xml:space="preserve">u iznosu od </w:t>
      </w:r>
      <w:r w:rsidR="00A6392E" w:rsidRPr="00A6392E">
        <w:t xml:space="preserve">148,2 </w:t>
      </w:r>
      <w:r w:rsidRPr="00A6392E">
        <w:t xml:space="preserve">milijuna eura, ukupan iznos svih dodijeljenih potpora za </w:t>
      </w:r>
      <w:r w:rsidR="005F1DB3" w:rsidRPr="00A6392E">
        <w:t xml:space="preserve">regionalni razvoj </w:t>
      </w:r>
      <w:r w:rsidRPr="00A6392E">
        <w:t>u 2023. godini iznosi</w:t>
      </w:r>
      <w:r w:rsidR="00A6392E" w:rsidRPr="00A6392E">
        <w:t>o</w:t>
      </w:r>
      <w:r w:rsidRPr="00A6392E">
        <w:t xml:space="preserve"> bi </w:t>
      </w:r>
      <w:r w:rsidR="00A6392E" w:rsidRPr="00A6392E">
        <w:t xml:space="preserve">154,2 </w:t>
      </w:r>
      <w:r w:rsidRPr="00A6392E">
        <w:t xml:space="preserve">milijuna eura. </w:t>
      </w:r>
    </w:p>
    <w:p w14:paraId="65754238" w14:textId="06EE1A5F" w:rsidR="009B5376" w:rsidRPr="00A6392E" w:rsidRDefault="009B5376" w:rsidP="00BE487D">
      <w:pPr>
        <w:jc w:val="both"/>
      </w:pPr>
    </w:p>
    <w:p w14:paraId="133139A8" w14:textId="77777777" w:rsidR="009B5376" w:rsidRPr="008149B5" w:rsidRDefault="009B5376" w:rsidP="00BE487D">
      <w:pPr>
        <w:jc w:val="both"/>
        <w:rPr>
          <w:highlight w:val="red"/>
        </w:rPr>
      </w:pPr>
    </w:p>
    <w:p w14:paraId="12A02588" w14:textId="77777777" w:rsidR="00316791" w:rsidRPr="008149B5" w:rsidRDefault="00316791">
      <w:pPr>
        <w:rPr>
          <w:rFonts w:eastAsiaTheme="majorEastAsia"/>
          <w:b/>
          <w:sz w:val="28"/>
          <w:highlight w:val="red"/>
        </w:rPr>
      </w:pPr>
      <w:r w:rsidRPr="008149B5">
        <w:rPr>
          <w:b/>
          <w:sz w:val="28"/>
          <w:highlight w:val="red"/>
        </w:rPr>
        <w:br w:type="page"/>
      </w:r>
    </w:p>
    <w:p w14:paraId="24CC9638" w14:textId="48D0360B" w:rsidR="00BE0817" w:rsidRPr="00812D56" w:rsidRDefault="00C45D8A" w:rsidP="005E794B">
      <w:pPr>
        <w:pStyle w:val="Heading2"/>
        <w:ind w:left="811" w:hanging="454"/>
        <w:rPr>
          <w:spacing w:val="-2"/>
        </w:rPr>
      </w:pPr>
      <w:bookmarkStart w:id="20" w:name="_Toc184635850"/>
      <w:r w:rsidRPr="00812D56">
        <w:rPr>
          <w:spacing w:val="-2"/>
        </w:rPr>
        <w:lastRenderedPageBreak/>
        <w:t>POTPORE NA RAZINI JEDINICA LOKALNE I PODRUČNE (REGIONALNE) SAMOUPRAVE</w:t>
      </w:r>
      <w:bookmarkEnd w:id="20"/>
    </w:p>
    <w:p w14:paraId="57ABA494" w14:textId="77777777" w:rsidR="00E668F9" w:rsidRPr="001445B7" w:rsidRDefault="00E668F9" w:rsidP="00BE487D">
      <w:pPr>
        <w:jc w:val="both"/>
      </w:pPr>
    </w:p>
    <w:p w14:paraId="6ED5B17B" w14:textId="77777777" w:rsidR="00E668F9" w:rsidRPr="001445B7" w:rsidRDefault="00E668F9" w:rsidP="00BE487D">
      <w:pPr>
        <w:jc w:val="both"/>
      </w:pPr>
    </w:p>
    <w:p w14:paraId="58F5BAAE" w14:textId="2CC379DB" w:rsidR="00AA5C34" w:rsidRPr="005103B4" w:rsidRDefault="00824E96" w:rsidP="00491A78">
      <w:pPr>
        <w:jc w:val="both"/>
      </w:pPr>
      <w:r w:rsidRPr="005103B4">
        <w:t>P</w:t>
      </w:r>
      <w:r w:rsidR="00491A78" w:rsidRPr="005103B4">
        <w:t xml:space="preserve">otpore na razini jedinica područne i lokalne (regionalne) samouprave </w:t>
      </w:r>
      <w:r w:rsidR="00A92C03" w:rsidRPr="005103B4">
        <w:t xml:space="preserve">dodijeljene su </w:t>
      </w:r>
      <w:r w:rsidR="00491A78" w:rsidRPr="005103B4">
        <w:t xml:space="preserve">u </w:t>
      </w:r>
      <w:r w:rsidR="00AA5C34" w:rsidRPr="005103B4">
        <w:t xml:space="preserve">2023. godini </w:t>
      </w:r>
      <w:r w:rsidR="000F45EC" w:rsidRPr="005103B4">
        <w:t xml:space="preserve">putem subvencija </w:t>
      </w:r>
      <w:r w:rsidR="00AA5C34" w:rsidRPr="005103B4">
        <w:t xml:space="preserve">u iznosu od 146,4 milijuna eura, što je povećanje za 25,6 milijuna eura ili za 21,2 posto u odnosu na 2022. godinu, kada su navedene potpore iznosile 120,8 milijuna eura, te je povećanje za 22,4 milijuna eura ili za 18,1 posto u odnosu na 2021. godinu kada su </w:t>
      </w:r>
      <w:r w:rsidR="000F45EC" w:rsidRPr="005103B4">
        <w:t xml:space="preserve">navedene </w:t>
      </w:r>
      <w:r w:rsidR="00AA5C34" w:rsidRPr="005103B4">
        <w:t>potpore iznosile 123,9 milijuna eura</w:t>
      </w:r>
      <w:r w:rsidR="000F45EC" w:rsidRPr="005103B4">
        <w:t>.</w:t>
      </w:r>
    </w:p>
    <w:p w14:paraId="3440F747" w14:textId="77777777" w:rsidR="000F45EC" w:rsidRDefault="000F45EC" w:rsidP="00BE487D">
      <w:pPr>
        <w:autoSpaceDE w:val="0"/>
        <w:autoSpaceDN w:val="0"/>
        <w:adjustRightInd w:val="0"/>
        <w:contextualSpacing/>
        <w:jc w:val="both"/>
        <w:rPr>
          <w:spacing w:val="-2"/>
        </w:rPr>
      </w:pPr>
    </w:p>
    <w:p w14:paraId="29BC9894" w14:textId="7FE2A0D5" w:rsidR="004C39FF" w:rsidRPr="00B75A66" w:rsidRDefault="004C39FF" w:rsidP="00BE487D">
      <w:pPr>
        <w:autoSpaceDE w:val="0"/>
        <w:autoSpaceDN w:val="0"/>
        <w:adjustRightInd w:val="0"/>
        <w:contextualSpacing/>
        <w:jc w:val="both"/>
      </w:pPr>
      <w:r w:rsidRPr="00B75A66">
        <w:rPr>
          <w:bCs/>
          <w:lang w:eastAsia="hr-HR"/>
        </w:rPr>
        <w:t xml:space="preserve">Tablica </w:t>
      </w:r>
      <w:r w:rsidR="00466B5A" w:rsidRPr="00B75A66">
        <w:rPr>
          <w:bCs/>
          <w:lang w:eastAsia="hr-HR"/>
        </w:rPr>
        <w:t>1</w:t>
      </w:r>
      <w:r w:rsidR="00381995" w:rsidRPr="00B75A66">
        <w:rPr>
          <w:bCs/>
          <w:lang w:eastAsia="hr-HR"/>
        </w:rPr>
        <w:t>5</w:t>
      </w:r>
      <w:r w:rsidRPr="00B75A66">
        <w:rPr>
          <w:bCs/>
          <w:lang w:eastAsia="hr-HR"/>
        </w:rPr>
        <w:t xml:space="preserve">. Potpore dodijeljene na lokalnoj razini </w:t>
      </w:r>
      <w:r w:rsidR="000F45EC" w:rsidRPr="00B75A66">
        <w:rPr>
          <w:bCs/>
          <w:lang w:eastAsia="hr-HR"/>
        </w:rPr>
        <w:t>u</w:t>
      </w:r>
      <w:r w:rsidRPr="00B75A66">
        <w:rPr>
          <w:bCs/>
          <w:lang w:eastAsia="hr-HR"/>
        </w:rPr>
        <w:t xml:space="preserve"> razdoblj</w:t>
      </w:r>
      <w:r w:rsidR="000F45EC" w:rsidRPr="00B75A66">
        <w:rPr>
          <w:bCs/>
          <w:lang w:eastAsia="hr-HR"/>
        </w:rPr>
        <w:t>u</w:t>
      </w:r>
      <w:r w:rsidRPr="00B75A66">
        <w:rPr>
          <w:bCs/>
          <w:lang w:eastAsia="hr-HR"/>
        </w:rPr>
        <w:t xml:space="preserve"> </w:t>
      </w:r>
      <w:r w:rsidRPr="00B75A66">
        <w:t>od 20</w:t>
      </w:r>
      <w:r w:rsidR="00A0394A" w:rsidRPr="00B75A66">
        <w:t>2</w:t>
      </w:r>
      <w:r w:rsidR="00381995" w:rsidRPr="00B75A66">
        <w:t>1</w:t>
      </w:r>
      <w:r w:rsidRPr="00B75A66">
        <w:t>. do 202</w:t>
      </w:r>
      <w:r w:rsidR="00381995" w:rsidRPr="00B75A66">
        <w:t>3</w:t>
      </w:r>
      <w:r w:rsidRPr="00B75A66">
        <w:t>. godine</w:t>
      </w:r>
    </w:p>
    <w:p w14:paraId="433630EB" w14:textId="77777777" w:rsidR="004C39FF" w:rsidRPr="008149B5" w:rsidRDefault="004C39FF"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CE5537" w:rsidRPr="001445B7" w14:paraId="223016C3" w14:textId="77777777" w:rsidTr="001445B7">
        <w:trPr>
          <w:trHeight w:val="38"/>
        </w:trPr>
        <w:tc>
          <w:tcPr>
            <w:tcW w:w="3376" w:type="dxa"/>
            <w:vMerge w:val="restart"/>
            <w:shd w:val="clear" w:color="000000" w:fill="FFFF99"/>
            <w:noWrap/>
            <w:vAlign w:val="center"/>
            <w:hideMark/>
          </w:tcPr>
          <w:p w14:paraId="4EDE19E0" w14:textId="32476487" w:rsidR="00CE5537" w:rsidRPr="001445B7" w:rsidRDefault="001445B7" w:rsidP="001445B7">
            <w:pPr>
              <w:rPr>
                <w:rFonts w:eastAsia="Times New Roman"/>
                <w:b/>
                <w:bCs/>
                <w:sz w:val="20"/>
                <w:szCs w:val="20"/>
              </w:rPr>
            </w:pPr>
            <w:r w:rsidRPr="001445B7">
              <w:rPr>
                <w:rFonts w:eastAsia="Times New Roman"/>
                <w:b/>
                <w:bCs/>
                <w:sz w:val="20"/>
              </w:rPr>
              <w:t>Potpore na lokalnom nivou</w:t>
            </w:r>
          </w:p>
        </w:tc>
        <w:tc>
          <w:tcPr>
            <w:tcW w:w="1439" w:type="dxa"/>
            <w:shd w:val="clear" w:color="000000" w:fill="FFFF99"/>
            <w:vAlign w:val="center"/>
          </w:tcPr>
          <w:p w14:paraId="399392B9" w14:textId="77777777" w:rsidR="00CE5537" w:rsidRPr="001445B7" w:rsidRDefault="00CE5537" w:rsidP="001445B7">
            <w:pPr>
              <w:jc w:val="center"/>
              <w:rPr>
                <w:rFonts w:eastAsia="Times New Roman"/>
                <w:b/>
                <w:bCs/>
                <w:sz w:val="20"/>
                <w:szCs w:val="20"/>
              </w:rPr>
            </w:pPr>
            <w:r w:rsidRPr="001445B7">
              <w:rPr>
                <w:b/>
                <w:sz w:val="20"/>
                <w:szCs w:val="20"/>
              </w:rPr>
              <w:t>2021.</w:t>
            </w:r>
          </w:p>
        </w:tc>
        <w:tc>
          <w:tcPr>
            <w:tcW w:w="1559" w:type="dxa"/>
            <w:shd w:val="clear" w:color="000000" w:fill="FFFF99"/>
            <w:vAlign w:val="center"/>
          </w:tcPr>
          <w:p w14:paraId="6D708FB5" w14:textId="77777777" w:rsidR="00CE5537" w:rsidRPr="001445B7" w:rsidRDefault="00CE5537" w:rsidP="001445B7">
            <w:pPr>
              <w:jc w:val="center"/>
              <w:rPr>
                <w:rFonts w:eastAsia="Times New Roman"/>
                <w:b/>
                <w:bCs/>
                <w:sz w:val="20"/>
                <w:szCs w:val="20"/>
              </w:rPr>
            </w:pPr>
            <w:r w:rsidRPr="001445B7">
              <w:rPr>
                <w:b/>
                <w:sz w:val="20"/>
                <w:szCs w:val="20"/>
              </w:rPr>
              <w:t>2022.</w:t>
            </w:r>
          </w:p>
        </w:tc>
        <w:tc>
          <w:tcPr>
            <w:tcW w:w="1559" w:type="dxa"/>
            <w:shd w:val="clear" w:color="000000" w:fill="FFFF99"/>
            <w:vAlign w:val="center"/>
          </w:tcPr>
          <w:p w14:paraId="1245FE0E" w14:textId="77777777" w:rsidR="00CE5537" w:rsidRPr="001445B7" w:rsidRDefault="00CE5537" w:rsidP="001445B7">
            <w:pPr>
              <w:jc w:val="center"/>
              <w:rPr>
                <w:rFonts w:eastAsia="Times New Roman"/>
                <w:b/>
                <w:bCs/>
                <w:sz w:val="20"/>
                <w:szCs w:val="20"/>
              </w:rPr>
            </w:pPr>
            <w:r w:rsidRPr="001445B7">
              <w:rPr>
                <w:b/>
                <w:sz w:val="20"/>
                <w:szCs w:val="20"/>
              </w:rPr>
              <w:t>2023.</w:t>
            </w:r>
          </w:p>
        </w:tc>
      </w:tr>
      <w:tr w:rsidR="00CE5537" w:rsidRPr="001445B7" w14:paraId="55BD8714" w14:textId="77777777" w:rsidTr="001445B7">
        <w:trPr>
          <w:trHeight w:val="212"/>
        </w:trPr>
        <w:tc>
          <w:tcPr>
            <w:tcW w:w="3376" w:type="dxa"/>
            <w:vMerge/>
            <w:vAlign w:val="center"/>
            <w:hideMark/>
          </w:tcPr>
          <w:p w14:paraId="29E5E8BE" w14:textId="77777777" w:rsidR="00CE5537" w:rsidRPr="001445B7" w:rsidRDefault="00CE5537" w:rsidP="001445B7">
            <w:pPr>
              <w:rPr>
                <w:rFonts w:eastAsia="Times New Roman"/>
                <w:b/>
                <w:bCs/>
                <w:sz w:val="20"/>
                <w:szCs w:val="20"/>
              </w:rPr>
            </w:pPr>
          </w:p>
        </w:tc>
        <w:tc>
          <w:tcPr>
            <w:tcW w:w="1439" w:type="dxa"/>
            <w:shd w:val="clear" w:color="000000" w:fill="FFFF99"/>
            <w:vAlign w:val="center"/>
          </w:tcPr>
          <w:p w14:paraId="741E99D0" w14:textId="77777777" w:rsidR="00CE5537" w:rsidRPr="001445B7" w:rsidRDefault="00CE5537" w:rsidP="001445B7">
            <w:pPr>
              <w:rPr>
                <w:rFonts w:eastAsia="Times New Roman"/>
                <w:b/>
                <w:sz w:val="18"/>
                <w:szCs w:val="20"/>
              </w:rPr>
            </w:pPr>
            <w:r w:rsidRPr="001445B7">
              <w:rPr>
                <w:b/>
                <w:sz w:val="20"/>
                <w:szCs w:val="20"/>
              </w:rPr>
              <w:t xml:space="preserve">u </w:t>
            </w:r>
            <w:proofErr w:type="spellStart"/>
            <w:r w:rsidRPr="001445B7">
              <w:rPr>
                <w:b/>
                <w:sz w:val="20"/>
                <w:szCs w:val="20"/>
              </w:rPr>
              <w:t>mln</w:t>
            </w:r>
            <w:proofErr w:type="spellEnd"/>
            <w:r w:rsidRPr="001445B7">
              <w:rPr>
                <w:b/>
                <w:sz w:val="20"/>
                <w:szCs w:val="20"/>
              </w:rPr>
              <w:t xml:space="preserve"> EUR</w:t>
            </w:r>
          </w:p>
        </w:tc>
        <w:tc>
          <w:tcPr>
            <w:tcW w:w="1559" w:type="dxa"/>
            <w:shd w:val="clear" w:color="000000" w:fill="FFFF99"/>
            <w:vAlign w:val="center"/>
          </w:tcPr>
          <w:p w14:paraId="54FFA3C4" w14:textId="77777777" w:rsidR="00CE5537" w:rsidRPr="001445B7" w:rsidRDefault="00CE5537" w:rsidP="001445B7">
            <w:pPr>
              <w:jc w:val="center"/>
              <w:rPr>
                <w:rFonts w:eastAsia="Times New Roman"/>
                <w:b/>
                <w:sz w:val="18"/>
                <w:szCs w:val="20"/>
              </w:rPr>
            </w:pPr>
            <w:r w:rsidRPr="001445B7">
              <w:rPr>
                <w:b/>
                <w:sz w:val="20"/>
                <w:szCs w:val="20"/>
              </w:rPr>
              <w:t xml:space="preserve">u </w:t>
            </w:r>
            <w:proofErr w:type="spellStart"/>
            <w:r w:rsidRPr="001445B7">
              <w:rPr>
                <w:b/>
                <w:sz w:val="20"/>
                <w:szCs w:val="20"/>
              </w:rPr>
              <w:t>mln</w:t>
            </w:r>
            <w:proofErr w:type="spellEnd"/>
            <w:r w:rsidRPr="001445B7">
              <w:rPr>
                <w:b/>
                <w:sz w:val="20"/>
                <w:szCs w:val="20"/>
              </w:rPr>
              <w:t xml:space="preserve"> EUR</w:t>
            </w:r>
          </w:p>
        </w:tc>
        <w:tc>
          <w:tcPr>
            <w:tcW w:w="1559" w:type="dxa"/>
            <w:shd w:val="clear" w:color="000000" w:fill="FFFF99"/>
            <w:vAlign w:val="center"/>
          </w:tcPr>
          <w:p w14:paraId="6E3A82EC" w14:textId="77777777" w:rsidR="00CE5537" w:rsidRPr="001445B7" w:rsidRDefault="00CE5537" w:rsidP="001445B7">
            <w:pPr>
              <w:jc w:val="center"/>
              <w:rPr>
                <w:rFonts w:eastAsia="Times New Roman"/>
                <w:b/>
                <w:sz w:val="18"/>
                <w:szCs w:val="20"/>
              </w:rPr>
            </w:pPr>
            <w:r w:rsidRPr="001445B7">
              <w:rPr>
                <w:b/>
                <w:sz w:val="20"/>
                <w:szCs w:val="20"/>
              </w:rPr>
              <w:t xml:space="preserve">u </w:t>
            </w:r>
            <w:proofErr w:type="spellStart"/>
            <w:r w:rsidRPr="001445B7">
              <w:rPr>
                <w:b/>
                <w:sz w:val="20"/>
                <w:szCs w:val="20"/>
              </w:rPr>
              <w:t>mln</w:t>
            </w:r>
            <w:proofErr w:type="spellEnd"/>
            <w:r w:rsidRPr="001445B7">
              <w:rPr>
                <w:b/>
                <w:sz w:val="20"/>
                <w:szCs w:val="20"/>
              </w:rPr>
              <w:t xml:space="preserve"> EUR</w:t>
            </w:r>
          </w:p>
        </w:tc>
      </w:tr>
      <w:tr w:rsidR="001445B7" w:rsidRPr="001445B7" w14:paraId="19F6BEFC" w14:textId="77777777" w:rsidTr="001445B7">
        <w:trPr>
          <w:trHeight w:val="40"/>
        </w:trPr>
        <w:tc>
          <w:tcPr>
            <w:tcW w:w="3376" w:type="dxa"/>
            <w:shd w:val="clear" w:color="auto" w:fill="auto"/>
            <w:noWrap/>
            <w:vAlign w:val="center"/>
            <w:hideMark/>
          </w:tcPr>
          <w:p w14:paraId="62F3E11B" w14:textId="77777777" w:rsidR="001445B7" w:rsidRPr="001445B7" w:rsidRDefault="001445B7" w:rsidP="001445B7">
            <w:pPr>
              <w:rPr>
                <w:rFonts w:eastAsia="Times New Roman"/>
                <w:bCs/>
                <w:sz w:val="20"/>
                <w:szCs w:val="20"/>
              </w:rPr>
            </w:pPr>
            <w:r w:rsidRPr="001445B7">
              <w:rPr>
                <w:rFonts w:eastAsia="Times New Roman"/>
                <w:bCs/>
                <w:sz w:val="20"/>
                <w:szCs w:val="20"/>
              </w:rPr>
              <w:t>A1</w:t>
            </w:r>
            <w:r w:rsidRPr="001445B7">
              <w:rPr>
                <w:rFonts w:eastAsia="Times New Roman"/>
                <w:sz w:val="20"/>
                <w:szCs w:val="20"/>
              </w:rPr>
              <w:t xml:space="preserve"> subvencije</w:t>
            </w:r>
          </w:p>
        </w:tc>
        <w:tc>
          <w:tcPr>
            <w:tcW w:w="1439" w:type="dxa"/>
            <w:vAlign w:val="center"/>
          </w:tcPr>
          <w:p w14:paraId="410FB6A7" w14:textId="26287463" w:rsidR="001445B7" w:rsidRPr="001445B7" w:rsidRDefault="001445B7" w:rsidP="001445B7">
            <w:pPr>
              <w:jc w:val="right"/>
              <w:rPr>
                <w:sz w:val="20"/>
                <w:szCs w:val="14"/>
              </w:rPr>
            </w:pPr>
            <w:r w:rsidRPr="001445B7">
              <w:rPr>
                <w:sz w:val="20"/>
                <w:szCs w:val="20"/>
              </w:rPr>
              <w:t>123,0</w:t>
            </w:r>
          </w:p>
        </w:tc>
        <w:tc>
          <w:tcPr>
            <w:tcW w:w="1559" w:type="dxa"/>
            <w:vAlign w:val="center"/>
          </w:tcPr>
          <w:p w14:paraId="12DF0973" w14:textId="47314BEA" w:rsidR="001445B7" w:rsidRPr="001445B7" w:rsidRDefault="001445B7" w:rsidP="001445B7">
            <w:pPr>
              <w:jc w:val="right"/>
              <w:rPr>
                <w:sz w:val="20"/>
                <w:szCs w:val="14"/>
              </w:rPr>
            </w:pPr>
            <w:r w:rsidRPr="001445B7">
              <w:rPr>
                <w:sz w:val="20"/>
                <w:szCs w:val="20"/>
              </w:rPr>
              <w:t>120,8</w:t>
            </w:r>
          </w:p>
        </w:tc>
        <w:tc>
          <w:tcPr>
            <w:tcW w:w="1559" w:type="dxa"/>
            <w:vAlign w:val="center"/>
          </w:tcPr>
          <w:p w14:paraId="117A4005" w14:textId="23347438" w:rsidR="001445B7" w:rsidRPr="001445B7" w:rsidRDefault="001445B7" w:rsidP="001445B7">
            <w:pPr>
              <w:jc w:val="right"/>
              <w:rPr>
                <w:sz w:val="20"/>
                <w:szCs w:val="14"/>
              </w:rPr>
            </w:pPr>
            <w:r w:rsidRPr="001445B7">
              <w:rPr>
                <w:sz w:val="20"/>
                <w:szCs w:val="20"/>
              </w:rPr>
              <w:t>146,4</w:t>
            </w:r>
          </w:p>
        </w:tc>
      </w:tr>
      <w:tr w:rsidR="001445B7" w:rsidRPr="001445B7" w14:paraId="18B5CAD9" w14:textId="77777777" w:rsidTr="001445B7">
        <w:trPr>
          <w:trHeight w:val="40"/>
        </w:trPr>
        <w:tc>
          <w:tcPr>
            <w:tcW w:w="3376" w:type="dxa"/>
            <w:shd w:val="clear" w:color="auto" w:fill="auto"/>
            <w:noWrap/>
            <w:vAlign w:val="center"/>
            <w:hideMark/>
          </w:tcPr>
          <w:p w14:paraId="2A0981BF" w14:textId="01BF9AEF" w:rsidR="001445B7" w:rsidRPr="001445B7" w:rsidRDefault="001445B7" w:rsidP="001445B7">
            <w:pPr>
              <w:rPr>
                <w:rFonts w:eastAsia="Times New Roman"/>
                <w:bCs/>
                <w:sz w:val="20"/>
                <w:szCs w:val="20"/>
              </w:rPr>
            </w:pPr>
            <w:r w:rsidRPr="001445B7">
              <w:rPr>
                <w:sz w:val="20"/>
                <w:szCs w:val="20"/>
              </w:rPr>
              <w:t>B1 udio u temeljnom kapitalu</w:t>
            </w:r>
          </w:p>
        </w:tc>
        <w:tc>
          <w:tcPr>
            <w:tcW w:w="1439" w:type="dxa"/>
            <w:vAlign w:val="center"/>
          </w:tcPr>
          <w:p w14:paraId="49C338B4" w14:textId="7905C497" w:rsidR="001445B7" w:rsidRPr="001445B7" w:rsidRDefault="001445B7" w:rsidP="001445B7">
            <w:pPr>
              <w:jc w:val="right"/>
              <w:rPr>
                <w:sz w:val="20"/>
                <w:szCs w:val="14"/>
              </w:rPr>
            </w:pPr>
            <w:r w:rsidRPr="001445B7">
              <w:rPr>
                <w:sz w:val="20"/>
                <w:szCs w:val="20"/>
              </w:rPr>
              <w:t>1,0</w:t>
            </w:r>
          </w:p>
        </w:tc>
        <w:tc>
          <w:tcPr>
            <w:tcW w:w="1559" w:type="dxa"/>
            <w:vAlign w:val="center"/>
          </w:tcPr>
          <w:p w14:paraId="616333B2" w14:textId="34B5EAF8" w:rsidR="001445B7" w:rsidRPr="00E14743" w:rsidRDefault="00E14743" w:rsidP="001445B7">
            <w:pPr>
              <w:jc w:val="right"/>
              <w:rPr>
                <w:sz w:val="20"/>
                <w:szCs w:val="14"/>
              </w:rPr>
            </w:pPr>
            <w:r w:rsidRPr="00E14743">
              <w:rPr>
                <w:b/>
                <w:sz w:val="20"/>
              </w:rPr>
              <w:t>–</w:t>
            </w:r>
          </w:p>
        </w:tc>
        <w:tc>
          <w:tcPr>
            <w:tcW w:w="1559" w:type="dxa"/>
            <w:vAlign w:val="center"/>
          </w:tcPr>
          <w:p w14:paraId="35C3197E" w14:textId="302056E9" w:rsidR="001445B7" w:rsidRPr="00E14743" w:rsidRDefault="00E14743" w:rsidP="001445B7">
            <w:pPr>
              <w:jc w:val="right"/>
              <w:rPr>
                <w:sz w:val="20"/>
                <w:szCs w:val="14"/>
              </w:rPr>
            </w:pPr>
            <w:r w:rsidRPr="00E14743">
              <w:rPr>
                <w:b/>
                <w:sz w:val="20"/>
              </w:rPr>
              <w:t>–</w:t>
            </w:r>
          </w:p>
        </w:tc>
      </w:tr>
      <w:tr w:rsidR="001445B7" w:rsidRPr="001445B7" w14:paraId="23D55990" w14:textId="77777777" w:rsidTr="001445B7">
        <w:trPr>
          <w:trHeight w:val="40"/>
        </w:trPr>
        <w:tc>
          <w:tcPr>
            <w:tcW w:w="3376" w:type="dxa"/>
            <w:shd w:val="clear" w:color="000000" w:fill="FFFF99"/>
            <w:noWrap/>
            <w:vAlign w:val="center"/>
            <w:hideMark/>
          </w:tcPr>
          <w:p w14:paraId="113392AB" w14:textId="77777777" w:rsidR="001445B7" w:rsidRPr="001445B7" w:rsidRDefault="001445B7" w:rsidP="001445B7">
            <w:pPr>
              <w:rPr>
                <w:rFonts w:eastAsia="Times New Roman"/>
                <w:b/>
                <w:bCs/>
                <w:sz w:val="20"/>
                <w:szCs w:val="20"/>
              </w:rPr>
            </w:pPr>
            <w:r w:rsidRPr="001445B7">
              <w:rPr>
                <w:rFonts w:eastAsia="Times New Roman"/>
                <w:b/>
                <w:bCs/>
                <w:sz w:val="20"/>
                <w:szCs w:val="20"/>
              </w:rPr>
              <w:t>UKUPNO</w:t>
            </w:r>
          </w:p>
        </w:tc>
        <w:tc>
          <w:tcPr>
            <w:tcW w:w="1439" w:type="dxa"/>
            <w:shd w:val="clear" w:color="000000" w:fill="FFFF99"/>
            <w:vAlign w:val="center"/>
          </w:tcPr>
          <w:p w14:paraId="028E6791" w14:textId="6D53D1C2" w:rsidR="001445B7" w:rsidRPr="001445B7" w:rsidRDefault="001445B7" w:rsidP="001445B7">
            <w:pPr>
              <w:jc w:val="right"/>
              <w:rPr>
                <w:b/>
                <w:sz w:val="20"/>
                <w:szCs w:val="14"/>
              </w:rPr>
            </w:pPr>
            <w:r w:rsidRPr="001445B7">
              <w:rPr>
                <w:b/>
                <w:sz w:val="20"/>
                <w:szCs w:val="20"/>
              </w:rPr>
              <w:t>123,9</w:t>
            </w:r>
          </w:p>
        </w:tc>
        <w:tc>
          <w:tcPr>
            <w:tcW w:w="1559" w:type="dxa"/>
            <w:shd w:val="clear" w:color="000000" w:fill="FFFF99"/>
            <w:vAlign w:val="center"/>
          </w:tcPr>
          <w:p w14:paraId="2C27D70E" w14:textId="57FF7485" w:rsidR="001445B7" w:rsidRPr="001445B7" w:rsidRDefault="001445B7" w:rsidP="001445B7">
            <w:pPr>
              <w:jc w:val="right"/>
              <w:rPr>
                <w:b/>
                <w:sz w:val="20"/>
                <w:szCs w:val="14"/>
              </w:rPr>
            </w:pPr>
            <w:r w:rsidRPr="001445B7">
              <w:rPr>
                <w:b/>
                <w:sz w:val="20"/>
                <w:szCs w:val="20"/>
              </w:rPr>
              <w:t>120,8</w:t>
            </w:r>
          </w:p>
        </w:tc>
        <w:tc>
          <w:tcPr>
            <w:tcW w:w="1559" w:type="dxa"/>
            <w:shd w:val="clear" w:color="000000" w:fill="FFFF99"/>
            <w:vAlign w:val="center"/>
          </w:tcPr>
          <w:p w14:paraId="0F720277" w14:textId="7F0CA232" w:rsidR="001445B7" w:rsidRPr="001445B7" w:rsidRDefault="001445B7" w:rsidP="001445B7">
            <w:pPr>
              <w:jc w:val="right"/>
              <w:rPr>
                <w:b/>
                <w:sz w:val="20"/>
                <w:szCs w:val="14"/>
              </w:rPr>
            </w:pPr>
            <w:r w:rsidRPr="001445B7">
              <w:rPr>
                <w:b/>
                <w:sz w:val="20"/>
                <w:szCs w:val="20"/>
              </w:rPr>
              <w:t>146,4</w:t>
            </w:r>
          </w:p>
        </w:tc>
      </w:tr>
      <w:tr w:rsidR="001445B7" w:rsidRPr="001445B7" w14:paraId="1E58EAD7" w14:textId="77777777" w:rsidTr="001445B7">
        <w:trPr>
          <w:trHeight w:val="90"/>
        </w:trPr>
        <w:tc>
          <w:tcPr>
            <w:tcW w:w="3376" w:type="dxa"/>
            <w:shd w:val="clear" w:color="auto" w:fill="auto"/>
            <w:vAlign w:val="center"/>
            <w:hideMark/>
          </w:tcPr>
          <w:p w14:paraId="799B8B07" w14:textId="4146EBCF" w:rsidR="001445B7" w:rsidRPr="001445B7" w:rsidRDefault="001445B7" w:rsidP="001445B7">
            <w:pPr>
              <w:rPr>
                <w:rFonts w:eastAsia="Times New Roman"/>
                <w:sz w:val="20"/>
                <w:szCs w:val="20"/>
              </w:rPr>
            </w:pPr>
            <w:r w:rsidRPr="001445B7">
              <w:rPr>
                <w:rFonts w:eastAsia="Times New Roman"/>
                <w:sz w:val="20"/>
              </w:rPr>
              <w:t>udio (%) u ukupnim potporama (bez poljoprivrede i ribarstva)</w:t>
            </w:r>
          </w:p>
        </w:tc>
        <w:tc>
          <w:tcPr>
            <w:tcW w:w="1439" w:type="dxa"/>
            <w:vAlign w:val="center"/>
          </w:tcPr>
          <w:p w14:paraId="5F3186CC" w14:textId="506227C5" w:rsidR="001445B7" w:rsidRPr="001445B7" w:rsidRDefault="001445B7" w:rsidP="001445B7">
            <w:pPr>
              <w:jc w:val="center"/>
              <w:rPr>
                <w:sz w:val="20"/>
                <w:szCs w:val="14"/>
              </w:rPr>
            </w:pPr>
            <w:r w:rsidRPr="001445B7">
              <w:rPr>
                <w:sz w:val="20"/>
                <w:szCs w:val="20"/>
              </w:rPr>
              <w:t>6,41</w:t>
            </w:r>
          </w:p>
        </w:tc>
        <w:tc>
          <w:tcPr>
            <w:tcW w:w="1559" w:type="dxa"/>
            <w:vAlign w:val="center"/>
          </w:tcPr>
          <w:p w14:paraId="0A0D38AC" w14:textId="10CD068F" w:rsidR="001445B7" w:rsidRPr="001445B7" w:rsidRDefault="001445B7" w:rsidP="001445B7">
            <w:pPr>
              <w:jc w:val="center"/>
              <w:rPr>
                <w:sz w:val="20"/>
                <w:szCs w:val="14"/>
              </w:rPr>
            </w:pPr>
            <w:r w:rsidRPr="001445B7">
              <w:rPr>
                <w:sz w:val="20"/>
                <w:szCs w:val="20"/>
              </w:rPr>
              <w:t>5,92</w:t>
            </w:r>
          </w:p>
        </w:tc>
        <w:tc>
          <w:tcPr>
            <w:tcW w:w="1559" w:type="dxa"/>
            <w:vAlign w:val="center"/>
          </w:tcPr>
          <w:p w14:paraId="3843DBED" w14:textId="2F69961D" w:rsidR="001445B7" w:rsidRPr="001445B7" w:rsidRDefault="001445B7" w:rsidP="001445B7">
            <w:pPr>
              <w:jc w:val="center"/>
              <w:rPr>
                <w:sz w:val="20"/>
                <w:szCs w:val="14"/>
              </w:rPr>
            </w:pPr>
            <w:r w:rsidRPr="001445B7">
              <w:rPr>
                <w:sz w:val="20"/>
                <w:szCs w:val="20"/>
              </w:rPr>
              <w:t>7,44</w:t>
            </w:r>
          </w:p>
        </w:tc>
      </w:tr>
      <w:tr w:rsidR="001445B7" w:rsidRPr="001445B7" w14:paraId="53A03DD0" w14:textId="77777777" w:rsidTr="001445B7">
        <w:trPr>
          <w:trHeight w:val="40"/>
        </w:trPr>
        <w:tc>
          <w:tcPr>
            <w:tcW w:w="3376" w:type="dxa"/>
            <w:shd w:val="clear" w:color="auto" w:fill="auto"/>
            <w:vAlign w:val="center"/>
            <w:hideMark/>
          </w:tcPr>
          <w:p w14:paraId="5436087B" w14:textId="6DB8FDA4" w:rsidR="001445B7" w:rsidRPr="001445B7" w:rsidRDefault="001445B7" w:rsidP="001445B7">
            <w:pPr>
              <w:rPr>
                <w:rFonts w:eastAsia="Times New Roman"/>
                <w:sz w:val="20"/>
                <w:szCs w:val="20"/>
              </w:rPr>
            </w:pPr>
            <w:r w:rsidRPr="001445B7">
              <w:rPr>
                <w:rFonts w:eastAsia="Times New Roman"/>
                <w:sz w:val="20"/>
              </w:rPr>
              <w:t>udio (%) u ukupnim potporama</w:t>
            </w:r>
          </w:p>
        </w:tc>
        <w:tc>
          <w:tcPr>
            <w:tcW w:w="1439" w:type="dxa"/>
            <w:vAlign w:val="center"/>
          </w:tcPr>
          <w:p w14:paraId="37F03060" w14:textId="3E98BC43" w:rsidR="001445B7" w:rsidRPr="001445B7" w:rsidRDefault="001445B7" w:rsidP="001445B7">
            <w:pPr>
              <w:jc w:val="center"/>
              <w:rPr>
                <w:sz w:val="20"/>
                <w:szCs w:val="14"/>
              </w:rPr>
            </w:pPr>
            <w:r w:rsidRPr="001445B7">
              <w:rPr>
                <w:sz w:val="20"/>
                <w:szCs w:val="20"/>
              </w:rPr>
              <w:t>4,22</w:t>
            </w:r>
          </w:p>
        </w:tc>
        <w:tc>
          <w:tcPr>
            <w:tcW w:w="1559" w:type="dxa"/>
            <w:vAlign w:val="center"/>
          </w:tcPr>
          <w:p w14:paraId="147C969D" w14:textId="14E6F4A2" w:rsidR="001445B7" w:rsidRPr="001445B7" w:rsidRDefault="001445B7" w:rsidP="001445B7">
            <w:pPr>
              <w:jc w:val="center"/>
              <w:rPr>
                <w:sz w:val="20"/>
                <w:szCs w:val="14"/>
              </w:rPr>
            </w:pPr>
            <w:r w:rsidRPr="001445B7">
              <w:rPr>
                <w:sz w:val="20"/>
                <w:szCs w:val="20"/>
              </w:rPr>
              <w:t>4,01</w:t>
            </w:r>
          </w:p>
        </w:tc>
        <w:tc>
          <w:tcPr>
            <w:tcW w:w="1559" w:type="dxa"/>
            <w:vAlign w:val="center"/>
          </w:tcPr>
          <w:p w14:paraId="0AAAC04F" w14:textId="577060B6" w:rsidR="001445B7" w:rsidRPr="001445B7" w:rsidRDefault="001445B7" w:rsidP="001445B7">
            <w:pPr>
              <w:jc w:val="center"/>
              <w:rPr>
                <w:sz w:val="20"/>
                <w:szCs w:val="14"/>
              </w:rPr>
            </w:pPr>
            <w:r w:rsidRPr="001445B7">
              <w:rPr>
                <w:sz w:val="20"/>
                <w:szCs w:val="20"/>
              </w:rPr>
              <w:t>4,82</w:t>
            </w:r>
          </w:p>
        </w:tc>
      </w:tr>
      <w:tr w:rsidR="001445B7" w:rsidRPr="001445B7" w14:paraId="2CE96CF9" w14:textId="77777777" w:rsidTr="001445B7">
        <w:trPr>
          <w:trHeight w:val="40"/>
        </w:trPr>
        <w:tc>
          <w:tcPr>
            <w:tcW w:w="3376" w:type="dxa"/>
            <w:shd w:val="clear" w:color="auto" w:fill="auto"/>
            <w:vAlign w:val="center"/>
            <w:hideMark/>
          </w:tcPr>
          <w:p w14:paraId="4570275C" w14:textId="035DE7DD" w:rsidR="001445B7" w:rsidRPr="001445B7" w:rsidRDefault="001445B7" w:rsidP="001445B7">
            <w:pPr>
              <w:rPr>
                <w:rFonts w:eastAsia="Times New Roman"/>
                <w:sz w:val="20"/>
                <w:szCs w:val="20"/>
              </w:rPr>
            </w:pPr>
            <w:r w:rsidRPr="001445B7">
              <w:rPr>
                <w:rFonts w:eastAsia="Times New Roman"/>
                <w:sz w:val="20"/>
              </w:rPr>
              <w:t>udio (%) u BDP-u</w:t>
            </w:r>
          </w:p>
        </w:tc>
        <w:tc>
          <w:tcPr>
            <w:tcW w:w="1439" w:type="dxa"/>
            <w:vAlign w:val="center"/>
          </w:tcPr>
          <w:p w14:paraId="7AA2C33E" w14:textId="63C203A5" w:rsidR="001445B7" w:rsidRPr="001445B7" w:rsidRDefault="001445B7" w:rsidP="001445B7">
            <w:pPr>
              <w:jc w:val="center"/>
              <w:rPr>
                <w:sz w:val="20"/>
                <w:szCs w:val="14"/>
              </w:rPr>
            </w:pPr>
            <w:r w:rsidRPr="001445B7">
              <w:rPr>
                <w:sz w:val="20"/>
                <w:szCs w:val="20"/>
              </w:rPr>
              <w:t>0,21</w:t>
            </w:r>
          </w:p>
        </w:tc>
        <w:tc>
          <w:tcPr>
            <w:tcW w:w="1559" w:type="dxa"/>
            <w:vAlign w:val="center"/>
          </w:tcPr>
          <w:p w14:paraId="51292506" w14:textId="75D2753F" w:rsidR="001445B7" w:rsidRPr="001445B7" w:rsidRDefault="001445B7" w:rsidP="001445B7">
            <w:pPr>
              <w:jc w:val="center"/>
              <w:rPr>
                <w:sz w:val="20"/>
                <w:szCs w:val="14"/>
              </w:rPr>
            </w:pPr>
            <w:r w:rsidRPr="001445B7">
              <w:rPr>
                <w:sz w:val="20"/>
                <w:szCs w:val="20"/>
              </w:rPr>
              <w:t>0,18</w:t>
            </w:r>
          </w:p>
        </w:tc>
        <w:tc>
          <w:tcPr>
            <w:tcW w:w="1559" w:type="dxa"/>
            <w:vAlign w:val="center"/>
          </w:tcPr>
          <w:p w14:paraId="327E28A1" w14:textId="0BDBCFF6" w:rsidR="001445B7" w:rsidRPr="001445B7" w:rsidRDefault="001445B7" w:rsidP="001445B7">
            <w:pPr>
              <w:jc w:val="center"/>
              <w:rPr>
                <w:sz w:val="20"/>
                <w:szCs w:val="14"/>
              </w:rPr>
            </w:pPr>
            <w:r w:rsidRPr="001445B7">
              <w:rPr>
                <w:sz w:val="20"/>
                <w:szCs w:val="20"/>
              </w:rPr>
              <w:t>0,19</w:t>
            </w:r>
          </w:p>
        </w:tc>
      </w:tr>
    </w:tbl>
    <w:p w14:paraId="31466E87" w14:textId="77777777" w:rsidR="001445B7" w:rsidRPr="001445B7" w:rsidRDefault="001445B7" w:rsidP="001445B7">
      <w:pPr>
        <w:contextualSpacing/>
        <w:jc w:val="both"/>
        <w:rPr>
          <w:i/>
          <w:sz w:val="20"/>
        </w:rPr>
      </w:pPr>
      <w:r w:rsidRPr="001445B7">
        <w:rPr>
          <w:i/>
          <w:sz w:val="20"/>
        </w:rPr>
        <w:t>Izvor: Ministarstvo financija i davatelji potpora; podaci obrađeni u Ministarstvu financija</w:t>
      </w:r>
    </w:p>
    <w:p w14:paraId="4D4E69F4" w14:textId="77777777" w:rsidR="009A1A95" w:rsidRPr="00676369" w:rsidRDefault="009A1A95" w:rsidP="00BE487D">
      <w:pPr>
        <w:jc w:val="both"/>
      </w:pPr>
    </w:p>
    <w:p w14:paraId="14244B76" w14:textId="07F5FCD1" w:rsidR="00676369" w:rsidRPr="005103B4" w:rsidRDefault="00EB0789" w:rsidP="00E14743">
      <w:pPr>
        <w:jc w:val="both"/>
      </w:pPr>
      <w:r w:rsidRPr="005103B4">
        <w:t xml:space="preserve">Udio potpora </w:t>
      </w:r>
      <w:r w:rsidR="00E14743" w:rsidRPr="005103B4">
        <w:t xml:space="preserve">na razini jedinica lokalne i područne (regionalne) samouprave </w:t>
      </w:r>
      <w:r w:rsidRPr="005103B4">
        <w:t>u BDP-u u 2023. godini iznosio je 0,</w:t>
      </w:r>
      <w:r w:rsidR="00E14743" w:rsidRPr="005103B4">
        <w:t>19</w:t>
      </w:r>
      <w:r w:rsidRPr="005103B4">
        <w:t xml:space="preserve"> posto, u 2022. godini iznosio je </w:t>
      </w:r>
      <w:r w:rsidR="00E14743" w:rsidRPr="005103B4">
        <w:t xml:space="preserve">0,18 </w:t>
      </w:r>
      <w:r w:rsidRPr="005103B4">
        <w:t xml:space="preserve">posto, dok je u 2021. godini iznosio </w:t>
      </w:r>
      <w:r w:rsidR="00E14743" w:rsidRPr="005103B4">
        <w:t xml:space="preserve">0,21 </w:t>
      </w:r>
      <w:r w:rsidRPr="005103B4">
        <w:t xml:space="preserve">posto. Udio navedenih potpora u 2023. godini u ukupno dodijeljenim potporama iznosio je </w:t>
      </w:r>
      <w:r w:rsidR="00E14743" w:rsidRPr="005103B4">
        <w:t>4,8</w:t>
      </w:r>
      <w:r w:rsidRPr="005103B4">
        <w:t xml:space="preserve"> posto, </w:t>
      </w:r>
      <w:r w:rsidR="00676369" w:rsidRPr="005103B4">
        <w:t xml:space="preserve">dok je </w:t>
      </w:r>
      <w:r w:rsidRPr="005103B4">
        <w:t xml:space="preserve">udio u dodijeljenim potporama u sektoru industrije i usluga u 2023. godini iznosio </w:t>
      </w:r>
      <w:r w:rsidR="00676369" w:rsidRPr="005103B4">
        <w:t>7,4</w:t>
      </w:r>
      <w:r w:rsidRPr="005103B4">
        <w:t xml:space="preserve"> posto</w:t>
      </w:r>
      <w:r w:rsidR="00676369" w:rsidRPr="005103B4">
        <w:t>.</w:t>
      </w:r>
    </w:p>
    <w:p w14:paraId="1AA3FE36" w14:textId="77777777" w:rsidR="006D5695" w:rsidRPr="005103B4" w:rsidRDefault="006D5695" w:rsidP="001445B7"/>
    <w:p w14:paraId="656187F9" w14:textId="43707AB7" w:rsidR="00E14743" w:rsidRPr="005103B4" w:rsidRDefault="00E14743" w:rsidP="00E14743">
      <w:pPr>
        <w:jc w:val="both"/>
      </w:pPr>
      <w:r w:rsidRPr="005103B4">
        <w:t xml:space="preserve">Unutar potpora </w:t>
      </w:r>
      <w:r w:rsidR="00676369" w:rsidRPr="005103B4">
        <w:t xml:space="preserve">na razini jedinica lokalne i područne (regionalne) samouprave </w:t>
      </w:r>
      <w:r w:rsidRPr="005103B4">
        <w:t xml:space="preserve">dodijeljenih u 2023. godini u iznosu od </w:t>
      </w:r>
      <w:r w:rsidR="00676369" w:rsidRPr="005103B4">
        <w:t>146,4 milijuna eura</w:t>
      </w:r>
      <w:r w:rsidRPr="005103B4">
        <w:t xml:space="preserve">, na </w:t>
      </w:r>
      <w:r w:rsidR="00676369" w:rsidRPr="005103B4">
        <w:t>potpore kopnenom cestovnom promet</w:t>
      </w:r>
      <w:r w:rsidR="00A733CB" w:rsidRPr="005103B4">
        <w:t>u</w:t>
      </w:r>
      <w:r w:rsidR="00676369" w:rsidRPr="005103B4">
        <w:t xml:space="preserve"> </w:t>
      </w:r>
      <w:r w:rsidRPr="005103B4">
        <w:t xml:space="preserve">odnosi se iznos od </w:t>
      </w:r>
      <w:r w:rsidR="00676369" w:rsidRPr="005103B4">
        <w:t>141</w:t>
      </w:r>
      <w:r w:rsidRPr="005103B4">
        <w:t xml:space="preserve"> milijun eura ili udio od </w:t>
      </w:r>
      <w:r w:rsidR="00676369" w:rsidRPr="005103B4">
        <w:t>96,3</w:t>
      </w:r>
      <w:r w:rsidRPr="005103B4">
        <w:t xml:space="preserve"> posto u potporama</w:t>
      </w:r>
      <w:r w:rsidR="00676369" w:rsidRPr="005103B4">
        <w:t xml:space="preserve"> na lokalnoj razini</w:t>
      </w:r>
      <w:r w:rsidRPr="005103B4">
        <w:t xml:space="preserve">, na </w:t>
      </w:r>
      <w:r w:rsidR="00676369" w:rsidRPr="005103B4">
        <w:t xml:space="preserve">potpore za zapošljavanje </w:t>
      </w:r>
      <w:r w:rsidRPr="005103B4">
        <w:t xml:space="preserve">iznos od </w:t>
      </w:r>
      <w:r w:rsidR="00676369" w:rsidRPr="005103B4">
        <w:t>5</w:t>
      </w:r>
      <w:r w:rsidRPr="005103B4">
        <w:t xml:space="preserve"> milijuna eura ili </w:t>
      </w:r>
      <w:r w:rsidR="00676369" w:rsidRPr="005103B4">
        <w:t>3,4</w:t>
      </w:r>
      <w:r w:rsidRPr="005103B4">
        <w:t xml:space="preserve"> posto, </w:t>
      </w:r>
      <w:r w:rsidR="00270AC3" w:rsidRPr="005103B4">
        <w:t xml:space="preserve">na audiovizualnu industriju 264.459,87 eura ili 0,2 posto, na pomorski promet iznos od 116.829,65 eura ili 0,1 posto, </w:t>
      </w:r>
      <w:r w:rsidRPr="005103B4">
        <w:t xml:space="preserve">dok se na potpore </w:t>
      </w:r>
      <w:r w:rsidR="00270AC3" w:rsidRPr="005103B4">
        <w:t>za</w:t>
      </w:r>
      <w:r w:rsidRPr="005103B4">
        <w:t xml:space="preserve"> </w:t>
      </w:r>
      <w:r w:rsidR="00270AC3" w:rsidRPr="005103B4">
        <w:t xml:space="preserve">kopneni željeznički promet </w:t>
      </w:r>
      <w:r w:rsidRPr="005103B4">
        <w:t xml:space="preserve">odnosi iznos od </w:t>
      </w:r>
      <w:r w:rsidR="00270AC3" w:rsidRPr="005103B4">
        <w:t>72.866,52</w:t>
      </w:r>
      <w:r w:rsidRPr="005103B4">
        <w:t xml:space="preserve"> eura ili </w:t>
      </w:r>
      <w:r w:rsidR="00270AC3" w:rsidRPr="005103B4">
        <w:t>0,05</w:t>
      </w:r>
      <w:r w:rsidRPr="005103B4">
        <w:t xml:space="preserve"> posto.</w:t>
      </w:r>
    </w:p>
    <w:p w14:paraId="5B9345C1" w14:textId="77777777" w:rsidR="00676369" w:rsidRPr="005103B4" w:rsidRDefault="00676369" w:rsidP="00BE487D">
      <w:pPr>
        <w:jc w:val="both"/>
      </w:pPr>
    </w:p>
    <w:p w14:paraId="4E623316" w14:textId="05CFE5C4" w:rsidR="00270AC3" w:rsidRPr="005103B4" w:rsidRDefault="00270AC3" w:rsidP="00DF3F03">
      <w:pPr>
        <w:jc w:val="both"/>
      </w:pPr>
      <w:r w:rsidRPr="005103B4">
        <w:t>U 2023. godini davatelji potpora na razini jedinica lokalne i područne (regionalne) samouprave, koje su dodijeljene u iznosu od 146,4 milijuna eura su:</w:t>
      </w:r>
      <w:r w:rsidR="00297838" w:rsidRPr="005103B4">
        <w:t xml:space="preserve"> </w:t>
      </w:r>
      <w:r w:rsidR="0021240A" w:rsidRPr="005103B4">
        <w:rPr>
          <w:rFonts w:eastAsia="Times New Roman"/>
          <w:bCs/>
          <w:color w:val="000000"/>
          <w:lang w:eastAsia="hr-HR"/>
        </w:rPr>
        <w:t>Grad Zagreb</w:t>
      </w:r>
      <w:r w:rsidR="0021240A" w:rsidRPr="005103B4">
        <w:t xml:space="preserve"> </w:t>
      </w:r>
      <w:r w:rsidRPr="005103B4">
        <w:t xml:space="preserve">u iznosu od </w:t>
      </w:r>
      <w:r w:rsidR="0021240A" w:rsidRPr="005103B4">
        <w:rPr>
          <w:rFonts w:eastAsia="Times New Roman"/>
          <w:bCs/>
          <w:lang w:eastAsia="hr-HR"/>
        </w:rPr>
        <w:t xml:space="preserve">138,73 </w:t>
      </w:r>
      <w:r w:rsidRPr="005103B4">
        <w:rPr>
          <w:rFonts w:eastAsia="Times New Roman"/>
          <w:lang w:eastAsia="hr-HR"/>
        </w:rPr>
        <w:t>milijuna eura</w:t>
      </w:r>
      <w:r w:rsidR="00297838" w:rsidRPr="005103B4">
        <w:rPr>
          <w:rFonts w:eastAsia="Times New Roman"/>
          <w:lang w:eastAsia="hr-HR"/>
        </w:rPr>
        <w:t xml:space="preserve">, </w:t>
      </w:r>
      <w:r w:rsidR="0021240A" w:rsidRPr="005103B4">
        <w:rPr>
          <w:rFonts w:eastAsia="Times New Roman"/>
          <w:bCs/>
          <w:color w:val="000000"/>
          <w:lang w:eastAsia="hr-HR"/>
        </w:rPr>
        <w:t xml:space="preserve">Grad </w:t>
      </w:r>
      <w:r w:rsidR="0021240A" w:rsidRPr="005103B4">
        <w:t>Pula u iznosu od 1,83</w:t>
      </w:r>
      <w:r w:rsidR="000679AA">
        <w:t xml:space="preserve"> </w:t>
      </w:r>
      <w:r w:rsidR="0021240A" w:rsidRPr="005103B4">
        <w:rPr>
          <w:rFonts w:eastAsia="Times New Roman"/>
          <w:lang w:eastAsia="hr-HR"/>
        </w:rPr>
        <w:t>milijuna eura</w:t>
      </w:r>
      <w:r w:rsidR="00297838" w:rsidRPr="005103B4">
        <w:rPr>
          <w:rFonts w:eastAsia="Times New Roman"/>
          <w:lang w:eastAsia="hr-HR"/>
        </w:rPr>
        <w:t xml:space="preserve">, </w:t>
      </w:r>
      <w:r w:rsidR="0021240A" w:rsidRPr="005103B4">
        <w:rPr>
          <w:rFonts w:eastAsia="Times New Roman"/>
          <w:bCs/>
          <w:color w:val="000000"/>
          <w:lang w:eastAsia="hr-HR"/>
        </w:rPr>
        <w:t xml:space="preserve">Grad </w:t>
      </w:r>
      <w:r w:rsidR="0021240A" w:rsidRPr="005103B4">
        <w:t xml:space="preserve">Split </w:t>
      </w:r>
      <w:r w:rsidRPr="005103B4">
        <w:t xml:space="preserve">u iznosu od </w:t>
      </w:r>
      <w:r w:rsidR="0021240A" w:rsidRPr="005103B4">
        <w:t xml:space="preserve">1,13 </w:t>
      </w:r>
      <w:r w:rsidRPr="005103B4">
        <w:rPr>
          <w:rFonts w:eastAsia="Times New Roman"/>
          <w:lang w:eastAsia="hr-HR"/>
        </w:rPr>
        <w:t>milijuna eura</w:t>
      </w:r>
      <w:r w:rsidR="00297838" w:rsidRPr="005103B4">
        <w:rPr>
          <w:rFonts w:eastAsia="Times New Roman"/>
          <w:lang w:eastAsia="hr-HR"/>
        </w:rPr>
        <w:t xml:space="preserve">, </w:t>
      </w:r>
      <w:r w:rsidR="0021240A" w:rsidRPr="005103B4">
        <w:rPr>
          <w:rFonts w:eastAsia="Times New Roman"/>
          <w:bCs/>
          <w:color w:val="000000"/>
          <w:lang w:eastAsia="hr-HR"/>
        </w:rPr>
        <w:t>Grad</w:t>
      </w:r>
      <w:r w:rsidR="0021240A" w:rsidRPr="005103B4">
        <w:t xml:space="preserve"> Dubrovnik</w:t>
      </w:r>
      <w:r w:rsidR="0021240A" w:rsidRPr="005103B4">
        <w:rPr>
          <w:rFonts w:eastAsia="Times New Roman"/>
          <w:bCs/>
          <w:color w:val="000000"/>
          <w:lang w:eastAsia="hr-HR"/>
        </w:rPr>
        <w:t xml:space="preserve"> </w:t>
      </w:r>
      <w:r w:rsidR="0021240A" w:rsidRPr="005103B4">
        <w:t>u iznosu od 116.829,65</w:t>
      </w:r>
      <w:r w:rsidR="000679AA">
        <w:t xml:space="preserve"> </w:t>
      </w:r>
      <w:r w:rsidR="0021240A" w:rsidRPr="005103B4">
        <w:rPr>
          <w:rFonts w:eastAsia="Times New Roman"/>
          <w:lang w:eastAsia="hr-HR"/>
        </w:rPr>
        <w:t>eura</w:t>
      </w:r>
      <w:r w:rsidR="00297838" w:rsidRPr="005103B4">
        <w:rPr>
          <w:rFonts w:eastAsia="Times New Roman"/>
          <w:lang w:eastAsia="hr-HR"/>
        </w:rPr>
        <w:t xml:space="preserve">, </w:t>
      </w:r>
      <w:r w:rsidR="0021240A" w:rsidRPr="005103B4">
        <w:t xml:space="preserve">Koprivničko-križevačka županija u iznosu od 2,6 </w:t>
      </w:r>
      <w:r w:rsidR="0021240A" w:rsidRPr="005103B4">
        <w:rPr>
          <w:rFonts w:eastAsia="Times New Roman"/>
          <w:lang w:eastAsia="hr-HR"/>
        </w:rPr>
        <w:t>milijuna eura</w:t>
      </w:r>
      <w:r w:rsidR="00297838" w:rsidRPr="005103B4">
        <w:rPr>
          <w:rFonts w:eastAsia="Times New Roman"/>
          <w:lang w:eastAsia="hr-HR"/>
        </w:rPr>
        <w:t xml:space="preserve">, </w:t>
      </w:r>
      <w:r w:rsidR="0021240A" w:rsidRPr="005103B4">
        <w:t xml:space="preserve">Sisačko-moslavačka županija u iznosu od 659.394,67 </w:t>
      </w:r>
      <w:r w:rsidR="0021240A" w:rsidRPr="005103B4">
        <w:rPr>
          <w:rFonts w:eastAsia="Times New Roman"/>
          <w:lang w:eastAsia="hr-HR"/>
        </w:rPr>
        <w:t>eura</w:t>
      </w:r>
      <w:r w:rsidR="00297838" w:rsidRPr="005103B4">
        <w:rPr>
          <w:rFonts w:eastAsia="Times New Roman"/>
          <w:lang w:eastAsia="hr-HR"/>
        </w:rPr>
        <w:t xml:space="preserve">, </w:t>
      </w:r>
      <w:r w:rsidR="0021240A" w:rsidRPr="005103B4">
        <w:t xml:space="preserve">Bjelovarsko- bilogorska županija u iznosu od 273.615,57 </w:t>
      </w:r>
      <w:r w:rsidR="0021240A" w:rsidRPr="005103B4">
        <w:rPr>
          <w:rFonts w:eastAsia="Times New Roman"/>
          <w:lang w:eastAsia="hr-HR"/>
        </w:rPr>
        <w:t>eura</w:t>
      </w:r>
      <w:r w:rsidR="00297838" w:rsidRPr="005103B4">
        <w:rPr>
          <w:rFonts w:eastAsia="Times New Roman"/>
          <w:lang w:eastAsia="hr-HR"/>
        </w:rPr>
        <w:t xml:space="preserve">, </w:t>
      </w:r>
      <w:r w:rsidR="0021240A" w:rsidRPr="005103B4">
        <w:t>Istarska županija u iznosu od 79.633,69</w:t>
      </w:r>
      <w:r w:rsidR="0021240A" w:rsidRPr="005103B4">
        <w:rPr>
          <w:rFonts w:eastAsia="Times New Roman"/>
          <w:lang w:eastAsia="hr-HR"/>
        </w:rPr>
        <w:t xml:space="preserve"> eura</w:t>
      </w:r>
      <w:r w:rsidR="00297838" w:rsidRPr="005103B4">
        <w:rPr>
          <w:rFonts w:eastAsia="Times New Roman"/>
          <w:lang w:eastAsia="hr-HR"/>
        </w:rPr>
        <w:t xml:space="preserve">, </w:t>
      </w:r>
      <w:r w:rsidRPr="005103B4">
        <w:t>te ostali gradovi i općine u iznosu od 9,</w:t>
      </w:r>
      <w:r w:rsidR="00297838" w:rsidRPr="005103B4">
        <w:t>5</w:t>
      </w:r>
      <w:r w:rsidRPr="005103B4">
        <w:t xml:space="preserve"> milijuna </w:t>
      </w:r>
      <w:r w:rsidR="00FA2983">
        <w:t>eura</w:t>
      </w:r>
      <w:r w:rsidR="00297838" w:rsidRPr="005103B4">
        <w:t>.</w:t>
      </w:r>
    </w:p>
    <w:p w14:paraId="491CD874" w14:textId="77777777" w:rsidR="005103B4" w:rsidRPr="00297838" w:rsidRDefault="005103B4" w:rsidP="00DF3F03">
      <w:pPr>
        <w:jc w:val="both"/>
      </w:pPr>
    </w:p>
    <w:p w14:paraId="7E1C3F67" w14:textId="717750DC" w:rsidR="00303CF0" w:rsidRPr="00D84321" w:rsidRDefault="005103B4" w:rsidP="00EB2AE6">
      <w:pPr>
        <w:jc w:val="both"/>
        <w:rPr>
          <w:b/>
          <w:spacing w:val="-2"/>
        </w:rPr>
      </w:pPr>
      <w:r w:rsidRPr="00D84321">
        <w:rPr>
          <w:spacing w:val="-2"/>
        </w:rPr>
        <w:t>Ukoliko bi se</w:t>
      </w:r>
      <w:r w:rsidRPr="00D84321">
        <w:rPr>
          <w:b/>
          <w:spacing w:val="-2"/>
        </w:rPr>
        <w:t xml:space="preserve"> </w:t>
      </w:r>
      <w:r w:rsidRPr="00B75A66">
        <w:rPr>
          <w:spacing w:val="-2"/>
          <w:u w:val="single"/>
        </w:rPr>
        <w:t>p</w:t>
      </w:r>
      <w:r w:rsidR="004C39FF" w:rsidRPr="00B75A66">
        <w:rPr>
          <w:spacing w:val="-2"/>
          <w:u w:val="single"/>
        </w:rPr>
        <w:t>otpore</w:t>
      </w:r>
      <w:r w:rsidR="00EB2AE6" w:rsidRPr="00B75A66">
        <w:rPr>
          <w:spacing w:val="-2"/>
          <w:u w:val="single"/>
        </w:rPr>
        <w:t xml:space="preserve"> </w:t>
      </w:r>
      <w:r w:rsidR="004C39FF" w:rsidRPr="00B75A66">
        <w:rPr>
          <w:spacing w:val="-2"/>
          <w:u w:val="single"/>
        </w:rPr>
        <w:t>male vrijednosti</w:t>
      </w:r>
      <w:r w:rsidR="00EB2AE6" w:rsidRPr="00D84321">
        <w:rPr>
          <w:spacing w:val="-2"/>
        </w:rPr>
        <w:t xml:space="preserve"> </w:t>
      </w:r>
      <w:r w:rsidR="00D84321" w:rsidRPr="00D84321">
        <w:rPr>
          <w:spacing w:val="-2"/>
        </w:rPr>
        <w:t>dodijeljene</w:t>
      </w:r>
      <w:r w:rsidRPr="00D84321">
        <w:rPr>
          <w:spacing w:val="-2"/>
        </w:rPr>
        <w:t xml:space="preserve"> </w:t>
      </w:r>
      <w:r w:rsidR="00EB2AE6" w:rsidRPr="00D84321">
        <w:rPr>
          <w:spacing w:val="-2"/>
        </w:rPr>
        <w:t>na lokalnoj razini</w:t>
      </w:r>
      <w:r w:rsidR="00877355" w:rsidRPr="00D84321">
        <w:rPr>
          <w:b/>
          <w:spacing w:val="-2"/>
        </w:rPr>
        <w:t xml:space="preserve"> </w:t>
      </w:r>
      <w:r w:rsidR="00EB2AE6" w:rsidRPr="00D84321">
        <w:rPr>
          <w:spacing w:val="-2"/>
        </w:rPr>
        <w:t>u 202</w:t>
      </w:r>
      <w:r w:rsidRPr="00D84321">
        <w:rPr>
          <w:spacing w:val="-2"/>
        </w:rPr>
        <w:t>3</w:t>
      </w:r>
      <w:r w:rsidR="00EB2AE6" w:rsidRPr="00D84321">
        <w:rPr>
          <w:spacing w:val="-2"/>
        </w:rPr>
        <w:t>. godini</w:t>
      </w:r>
      <w:r w:rsidR="00EB2AE6" w:rsidRPr="00D84321">
        <w:rPr>
          <w:b/>
          <w:spacing w:val="-2"/>
        </w:rPr>
        <w:t xml:space="preserve"> </w:t>
      </w:r>
      <w:r w:rsidR="004C39FF" w:rsidRPr="00D84321">
        <w:rPr>
          <w:spacing w:val="-2"/>
        </w:rPr>
        <w:t xml:space="preserve">u iznosu od </w:t>
      </w:r>
      <w:r w:rsidRPr="00D84321">
        <w:rPr>
          <w:spacing w:val="-2"/>
        </w:rPr>
        <w:t>24,7</w:t>
      </w:r>
      <w:r w:rsidR="00877355" w:rsidRPr="00D84321">
        <w:rPr>
          <w:spacing w:val="-2"/>
        </w:rPr>
        <w:t xml:space="preserve"> </w:t>
      </w:r>
      <w:r w:rsidR="004C39FF" w:rsidRPr="00D84321">
        <w:rPr>
          <w:spacing w:val="-2"/>
        </w:rPr>
        <w:t xml:space="preserve">milijuna </w:t>
      </w:r>
      <w:r w:rsidR="00D84321" w:rsidRPr="00D84321">
        <w:rPr>
          <w:spacing w:val="-2"/>
        </w:rPr>
        <w:t>eura</w:t>
      </w:r>
      <w:r w:rsidR="00EB2AE6" w:rsidRPr="00D84321">
        <w:rPr>
          <w:spacing w:val="-2"/>
        </w:rPr>
        <w:t xml:space="preserve"> </w:t>
      </w:r>
      <w:r w:rsidR="004C39FF" w:rsidRPr="00D84321">
        <w:rPr>
          <w:spacing w:val="-2"/>
        </w:rPr>
        <w:t>pridodale potporama na lokalnoj razini dodijeljen</w:t>
      </w:r>
      <w:r w:rsidR="00D84321" w:rsidRPr="00D84321">
        <w:rPr>
          <w:spacing w:val="-2"/>
        </w:rPr>
        <w:t>ih</w:t>
      </w:r>
      <w:r w:rsidR="004C39FF" w:rsidRPr="00D84321">
        <w:rPr>
          <w:spacing w:val="-2"/>
        </w:rPr>
        <w:t xml:space="preserve"> u iznosu od </w:t>
      </w:r>
      <w:r w:rsidR="00D84321" w:rsidRPr="00D84321">
        <w:rPr>
          <w:spacing w:val="-2"/>
        </w:rPr>
        <w:t>146,4</w:t>
      </w:r>
      <w:r w:rsidR="00EB2AE6" w:rsidRPr="00D84321">
        <w:rPr>
          <w:spacing w:val="-2"/>
        </w:rPr>
        <w:t xml:space="preserve"> </w:t>
      </w:r>
      <w:r w:rsidR="004C39FF" w:rsidRPr="00D84321">
        <w:rPr>
          <w:spacing w:val="-2"/>
        </w:rPr>
        <w:t xml:space="preserve">milijuna </w:t>
      </w:r>
      <w:r w:rsidR="00D84321" w:rsidRPr="00D84321">
        <w:rPr>
          <w:spacing w:val="-2"/>
        </w:rPr>
        <w:t>eura</w:t>
      </w:r>
      <w:r w:rsidR="004C39FF" w:rsidRPr="00D84321">
        <w:rPr>
          <w:spacing w:val="-2"/>
        </w:rPr>
        <w:t xml:space="preserve">, ukupan iznos svih potpora dodijeljenih na lokalnoj razini iznosio </w:t>
      </w:r>
      <w:r w:rsidR="00D84321" w:rsidRPr="00D84321">
        <w:rPr>
          <w:spacing w:val="-2"/>
        </w:rPr>
        <w:t>bi 171,1</w:t>
      </w:r>
      <w:r w:rsidR="00EB2AE6" w:rsidRPr="00D84321">
        <w:rPr>
          <w:spacing w:val="-2"/>
        </w:rPr>
        <w:t xml:space="preserve"> </w:t>
      </w:r>
      <w:r w:rsidR="00CC71A4" w:rsidRPr="00D84321">
        <w:rPr>
          <w:spacing w:val="-2"/>
        </w:rPr>
        <w:t>milijun</w:t>
      </w:r>
      <w:r w:rsidR="00D84321" w:rsidRPr="00D84321">
        <w:rPr>
          <w:spacing w:val="-2"/>
        </w:rPr>
        <w:t xml:space="preserve"> eura</w:t>
      </w:r>
      <w:r w:rsidR="00CC71A4" w:rsidRPr="00D84321">
        <w:rPr>
          <w:spacing w:val="-2"/>
        </w:rPr>
        <w:t>.</w:t>
      </w:r>
    </w:p>
    <w:p w14:paraId="46DD6B9E" w14:textId="59F5C801" w:rsidR="009B5376" w:rsidRPr="00D84321" w:rsidRDefault="009B5376" w:rsidP="00BE487D">
      <w:pPr>
        <w:jc w:val="both"/>
      </w:pPr>
    </w:p>
    <w:p w14:paraId="4506A8A7" w14:textId="77777777" w:rsidR="00D84321" w:rsidRPr="00D84321" w:rsidRDefault="00D84321" w:rsidP="00BE487D">
      <w:pPr>
        <w:jc w:val="both"/>
      </w:pPr>
    </w:p>
    <w:p w14:paraId="33C80257" w14:textId="77777777" w:rsidR="00111949" w:rsidRPr="00D84321" w:rsidRDefault="00111949" w:rsidP="00BE487D">
      <w:r w:rsidRPr="00D84321">
        <w:br w:type="page"/>
      </w:r>
    </w:p>
    <w:p w14:paraId="1B0E914F" w14:textId="0B16AC65" w:rsidR="00BE0817" w:rsidRPr="00F142A4" w:rsidRDefault="00812D56" w:rsidP="00FB4B31">
      <w:pPr>
        <w:pStyle w:val="Heading2"/>
        <w:ind w:left="811" w:hanging="454"/>
      </w:pPr>
      <w:r>
        <w:lastRenderedPageBreak/>
        <w:t xml:space="preserve"> </w:t>
      </w:r>
      <w:bookmarkStart w:id="21" w:name="_Toc184635851"/>
      <w:r w:rsidR="00C45D8A" w:rsidRPr="00F142A4">
        <w:t>SEKTORSKE POTPORE</w:t>
      </w:r>
      <w:bookmarkEnd w:id="21"/>
    </w:p>
    <w:p w14:paraId="18E9450A" w14:textId="77777777" w:rsidR="00BE0817" w:rsidRPr="00F142A4" w:rsidRDefault="00BE0817" w:rsidP="00BE487D">
      <w:pPr>
        <w:pStyle w:val="ListParagraph"/>
        <w:jc w:val="both"/>
      </w:pPr>
    </w:p>
    <w:p w14:paraId="480A5318" w14:textId="77777777" w:rsidR="00E668F9" w:rsidRPr="00F142A4" w:rsidRDefault="00E668F9" w:rsidP="00BE487D">
      <w:pPr>
        <w:pStyle w:val="ListParagraph"/>
        <w:jc w:val="both"/>
      </w:pPr>
    </w:p>
    <w:p w14:paraId="240FBA96" w14:textId="658A0D85" w:rsidR="005F1DB3" w:rsidRPr="00D84321" w:rsidRDefault="00D84321" w:rsidP="00D84321">
      <w:pPr>
        <w:jc w:val="both"/>
      </w:pPr>
      <w:r w:rsidRPr="00D84321">
        <w:t xml:space="preserve">Sektorske potpore </w:t>
      </w:r>
      <w:r w:rsidR="005F1DB3" w:rsidRPr="00D84321">
        <w:t xml:space="preserve">su dodijeljene u 2023. godini u iznosu od </w:t>
      </w:r>
      <w:r w:rsidRPr="00D84321">
        <w:t xml:space="preserve">848,9 </w:t>
      </w:r>
      <w:r w:rsidR="005F1DB3" w:rsidRPr="00D84321">
        <w:t xml:space="preserve">milijuna eura, što je povećanje za </w:t>
      </w:r>
      <w:r w:rsidRPr="00D84321">
        <w:t>244,7</w:t>
      </w:r>
      <w:r w:rsidR="005F1DB3" w:rsidRPr="00D84321">
        <w:t xml:space="preserve"> milijuna eura ili za </w:t>
      </w:r>
      <w:r w:rsidRPr="00D84321">
        <w:t>40,5</w:t>
      </w:r>
      <w:r w:rsidR="005F1DB3" w:rsidRPr="00D84321">
        <w:t xml:space="preserve"> posto u odnosu na 2022. godinu, kada su navedene potpore iznosile </w:t>
      </w:r>
      <w:r w:rsidRPr="00D84321">
        <w:t>604,2</w:t>
      </w:r>
      <w:r w:rsidR="005F1DB3" w:rsidRPr="00D84321">
        <w:t xml:space="preserve"> milijuna eura, te je </w:t>
      </w:r>
      <w:r w:rsidRPr="00D84321">
        <w:t xml:space="preserve">povećanje </w:t>
      </w:r>
      <w:r w:rsidR="005F1DB3" w:rsidRPr="00D84321">
        <w:t xml:space="preserve">za </w:t>
      </w:r>
      <w:r w:rsidRPr="00D84321">
        <w:t>264,6</w:t>
      </w:r>
      <w:r w:rsidR="005F1DB3" w:rsidRPr="00D84321">
        <w:t xml:space="preserve"> milijuna eura ili za </w:t>
      </w:r>
      <w:r w:rsidRPr="00D84321">
        <w:t>45,3</w:t>
      </w:r>
      <w:r w:rsidR="005F1DB3" w:rsidRPr="00D84321">
        <w:t xml:space="preserve"> posto u odnosu na 2021. godinu kada su </w:t>
      </w:r>
      <w:r w:rsidRPr="00D84321">
        <w:t xml:space="preserve">sektorske </w:t>
      </w:r>
      <w:r w:rsidR="005F1DB3" w:rsidRPr="00D84321">
        <w:t xml:space="preserve">potpore iznosile </w:t>
      </w:r>
      <w:r w:rsidRPr="00D84321">
        <w:t>584,3</w:t>
      </w:r>
      <w:r w:rsidR="005F1DB3" w:rsidRPr="00D84321">
        <w:t xml:space="preserve"> milijuna eura.</w:t>
      </w:r>
    </w:p>
    <w:p w14:paraId="7E136CFD" w14:textId="77777777" w:rsidR="003C0BE6" w:rsidRPr="00D84321" w:rsidRDefault="003C0BE6" w:rsidP="00BE487D"/>
    <w:p w14:paraId="4A4918B3" w14:textId="14C7F8D9" w:rsidR="00F42549" w:rsidRPr="00B75A66" w:rsidRDefault="00466B5A" w:rsidP="00BE487D">
      <w:pPr>
        <w:contextualSpacing/>
        <w:jc w:val="both"/>
      </w:pPr>
      <w:r w:rsidRPr="00B75A66">
        <w:t>Tablica 1</w:t>
      </w:r>
      <w:r w:rsidR="00381995" w:rsidRPr="00B75A66">
        <w:t>6</w:t>
      </w:r>
      <w:r w:rsidR="00F42549" w:rsidRPr="00B75A66">
        <w:t>. Sektorske potpore za razdoblje od 20</w:t>
      </w:r>
      <w:r w:rsidR="00692E39" w:rsidRPr="00B75A66">
        <w:t>2</w:t>
      </w:r>
      <w:r w:rsidR="00381995" w:rsidRPr="00B75A66">
        <w:t>1</w:t>
      </w:r>
      <w:r w:rsidR="00F42549" w:rsidRPr="00B75A66">
        <w:t>. do 202</w:t>
      </w:r>
      <w:r w:rsidR="00381995" w:rsidRPr="00B75A66">
        <w:t>3</w:t>
      </w:r>
      <w:r w:rsidR="00F42549" w:rsidRPr="00B75A66">
        <w:t>. godine</w:t>
      </w:r>
    </w:p>
    <w:p w14:paraId="71456F5B" w14:textId="77777777" w:rsidR="00F42549" w:rsidRPr="008149B5" w:rsidRDefault="00F42549" w:rsidP="00BE487D">
      <w:pPr>
        <w:jc w:val="both"/>
        <w:rPr>
          <w:sz w:val="20"/>
          <w:highlight w:val="re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51"/>
        <w:gridCol w:w="1134"/>
        <w:gridCol w:w="992"/>
        <w:gridCol w:w="1134"/>
        <w:gridCol w:w="850"/>
        <w:gridCol w:w="1134"/>
      </w:tblGrid>
      <w:tr w:rsidR="00BD786C" w:rsidRPr="00F142A4" w14:paraId="3C1695D6" w14:textId="77777777" w:rsidTr="00BD786C">
        <w:trPr>
          <w:trHeight w:val="42"/>
        </w:trPr>
        <w:tc>
          <w:tcPr>
            <w:tcW w:w="2972" w:type="dxa"/>
            <w:vMerge w:val="restart"/>
            <w:shd w:val="clear" w:color="000000" w:fill="FFFF99"/>
            <w:noWrap/>
            <w:vAlign w:val="center"/>
            <w:hideMark/>
          </w:tcPr>
          <w:p w14:paraId="0FCDD838" w14:textId="77777777" w:rsidR="00BD786C" w:rsidRPr="00BD786C" w:rsidRDefault="00BD786C" w:rsidP="00692E39">
            <w:pPr>
              <w:jc w:val="center"/>
              <w:rPr>
                <w:rFonts w:eastAsia="Times New Roman"/>
                <w:b/>
                <w:bCs/>
                <w:sz w:val="20"/>
                <w:szCs w:val="20"/>
              </w:rPr>
            </w:pPr>
            <w:r w:rsidRPr="00BD786C">
              <w:rPr>
                <w:rFonts w:eastAsia="Times New Roman"/>
                <w:b/>
                <w:bCs/>
                <w:sz w:val="20"/>
                <w:szCs w:val="20"/>
              </w:rPr>
              <w:t>Posebni sektori</w:t>
            </w:r>
          </w:p>
        </w:tc>
        <w:tc>
          <w:tcPr>
            <w:tcW w:w="1985" w:type="dxa"/>
            <w:gridSpan w:val="2"/>
            <w:shd w:val="clear" w:color="000000" w:fill="FFFF99"/>
            <w:noWrap/>
            <w:vAlign w:val="center"/>
          </w:tcPr>
          <w:p w14:paraId="66EC8E05" w14:textId="05C97407" w:rsidR="00BD786C" w:rsidRPr="00BD786C" w:rsidRDefault="00BD786C" w:rsidP="00692E39">
            <w:pPr>
              <w:jc w:val="center"/>
              <w:rPr>
                <w:rFonts w:eastAsia="Times New Roman"/>
                <w:b/>
                <w:bCs/>
                <w:sz w:val="20"/>
                <w:szCs w:val="20"/>
              </w:rPr>
            </w:pPr>
            <w:r w:rsidRPr="00BD786C">
              <w:rPr>
                <w:rFonts w:eastAsia="Times New Roman"/>
                <w:b/>
                <w:bCs/>
                <w:sz w:val="20"/>
                <w:szCs w:val="20"/>
              </w:rPr>
              <w:t>2021.</w:t>
            </w:r>
          </w:p>
        </w:tc>
        <w:tc>
          <w:tcPr>
            <w:tcW w:w="2126" w:type="dxa"/>
            <w:gridSpan w:val="2"/>
            <w:shd w:val="clear" w:color="000000" w:fill="FFFF99"/>
            <w:noWrap/>
            <w:vAlign w:val="center"/>
          </w:tcPr>
          <w:p w14:paraId="1C114011" w14:textId="08643404" w:rsidR="00BD786C" w:rsidRPr="00BD786C" w:rsidRDefault="00BD786C" w:rsidP="00692E39">
            <w:pPr>
              <w:jc w:val="center"/>
              <w:rPr>
                <w:rFonts w:eastAsia="Times New Roman"/>
                <w:b/>
                <w:bCs/>
                <w:sz w:val="20"/>
                <w:szCs w:val="20"/>
              </w:rPr>
            </w:pPr>
            <w:r w:rsidRPr="00BD786C">
              <w:rPr>
                <w:rFonts w:eastAsia="Times New Roman"/>
                <w:b/>
                <w:bCs/>
                <w:sz w:val="20"/>
                <w:szCs w:val="20"/>
              </w:rPr>
              <w:t>2022.</w:t>
            </w:r>
          </w:p>
        </w:tc>
        <w:tc>
          <w:tcPr>
            <w:tcW w:w="1984" w:type="dxa"/>
            <w:gridSpan w:val="2"/>
            <w:shd w:val="clear" w:color="000000" w:fill="FFFF99"/>
            <w:noWrap/>
            <w:vAlign w:val="center"/>
          </w:tcPr>
          <w:p w14:paraId="5CD39561" w14:textId="75D2B535" w:rsidR="00BD786C" w:rsidRPr="00BD786C" w:rsidRDefault="00BD786C" w:rsidP="00692E39">
            <w:pPr>
              <w:jc w:val="center"/>
              <w:rPr>
                <w:rFonts w:eastAsia="Times New Roman"/>
                <w:b/>
                <w:bCs/>
                <w:sz w:val="20"/>
                <w:szCs w:val="20"/>
              </w:rPr>
            </w:pPr>
            <w:r w:rsidRPr="00BD786C">
              <w:rPr>
                <w:rFonts w:eastAsia="Times New Roman"/>
                <w:b/>
                <w:bCs/>
                <w:sz w:val="20"/>
                <w:szCs w:val="20"/>
              </w:rPr>
              <w:t>2023.</w:t>
            </w:r>
          </w:p>
        </w:tc>
      </w:tr>
      <w:tr w:rsidR="00F142A4" w:rsidRPr="00F142A4" w14:paraId="394FAE6F" w14:textId="77777777" w:rsidTr="00BD786C">
        <w:trPr>
          <w:trHeight w:val="242"/>
        </w:trPr>
        <w:tc>
          <w:tcPr>
            <w:tcW w:w="2972" w:type="dxa"/>
            <w:vMerge/>
            <w:vAlign w:val="center"/>
            <w:hideMark/>
          </w:tcPr>
          <w:p w14:paraId="497F0649" w14:textId="77777777" w:rsidR="00F142A4" w:rsidRPr="00BD786C" w:rsidRDefault="00F142A4" w:rsidP="00BE487D">
            <w:pPr>
              <w:rPr>
                <w:rFonts w:eastAsia="Times New Roman"/>
                <w:b/>
                <w:bCs/>
                <w:sz w:val="20"/>
                <w:szCs w:val="20"/>
              </w:rPr>
            </w:pPr>
          </w:p>
        </w:tc>
        <w:tc>
          <w:tcPr>
            <w:tcW w:w="851" w:type="dxa"/>
            <w:shd w:val="clear" w:color="000000" w:fill="FFFF99"/>
            <w:vAlign w:val="center"/>
          </w:tcPr>
          <w:p w14:paraId="29210CAA" w14:textId="071A099F"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 xml:space="preserve">u </w:t>
            </w:r>
            <w:proofErr w:type="spellStart"/>
            <w:r w:rsidRPr="00BD786C">
              <w:rPr>
                <w:rFonts w:eastAsia="Times New Roman"/>
                <w:b/>
                <w:bCs/>
                <w:sz w:val="20"/>
                <w:szCs w:val="20"/>
                <w:lang w:eastAsia="hr-HR"/>
              </w:rPr>
              <w:t>mln</w:t>
            </w:r>
            <w:proofErr w:type="spellEnd"/>
            <w:r w:rsidRPr="00BD786C">
              <w:rPr>
                <w:rFonts w:eastAsia="Times New Roman"/>
                <w:b/>
                <w:bCs/>
                <w:sz w:val="20"/>
                <w:szCs w:val="20"/>
                <w:lang w:eastAsia="hr-HR"/>
              </w:rPr>
              <w:t xml:space="preserve"> EUR</w:t>
            </w:r>
          </w:p>
        </w:tc>
        <w:tc>
          <w:tcPr>
            <w:tcW w:w="1134" w:type="dxa"/>
            <w:shd w:val="clear" w:color="000000" w:fill="FFFF99"/>
            <w:vAlign w:val="center"/>
          </w:tcPr>
          <w:p w14:paraId="4D41917A" w14:textId="6CC86FAA"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udio u BDP (%)</w:t>
            </w:r>
          </w:p>
        </w:tc>
        <w:tc>
          <w:tcPr>
            <w:tcW w:w="992" w:type="dxa"/>
            <w:shd w:val="clear" w:color="000000" w:fill="FFFF99"/>
            <w:vAlign w:val="center"/>
          </w:tcPr>
          <w:p w14:paraId="6776DC58" w14:textId="3CF45FF5"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 xml:space="preserve">u </w:t>
            </w:r>
            <w:proofErr w:type="spellStart"/>
            <w:r w:rsidRPr="00BD786C">
              <w:rPr>
                <w:rFonts w:eastAsia="Times New Roman"/>
                <w:b/>
                <w:bCs/>
                <w:sz w:val="20"/>
                <w:szCs w:val="20"/>
                <w:lang w:eastAsia="hr-HR"/>
              </w:rPr>
              <w:t>mln</w:t>
            </w:r>
            <w:proofErr w:type="spellEnd"/>
            <w:r w:rsidRPr="00BD786C">
              <w:rPr>
                <w:rFonts w:eastAsia="Times New Roman"/>
                <w:b/>
                <w:bCs/>
                <w:sz w:val="20"/>
                <w:szCs w:val="20"/>
                <w:lang w:eastAsia="hr-HR"/>
              </w:rPr>
              <w:t xml:space="preserve"> EUR</w:t>
            </w:r>
          </w:p>
        </w:tc>
        <w:tc>
          <w:tcPr>
            <w:tcW w:w="1134" w:type="dxa"/>
            <w:shd w:val="clear" w:color="000000" w:fill="FFFF99"/>
            <w:vAlign w:val="center"/>
          </w:tcPr>
          <w:p w14:paraId="760E45D2" w14:textId="3F2AD73A"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udio u BDP (%)</w:t>
            </w:r>
          </w:p>
        </w:tc>
        <w:tc>
          <w:tcPr>
            <w:tcW w:w="850" w:type="dxa"/>
            <w:shd w:val="clear" w:color="000000" w:fill="FFFF99"/>
            <w:vAlign w:val="center"/>
          </w:tcPr>
          <w:p w14:paraId="1C997317" w14:textId="693AE1EA"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 xml:space="preserve">u </w:t>
            </w:r>
            <w:proofErr w:type="spellStart"/>
            <w:r w:rsidRPr="00BD786C">
              <w:rPr>
                <w:rFonts w:eastAsia="Times New Roman"/>
                <w:b/>
                <w:bCs/>
                <w:sz w:val="20"/>
                <w:szCs w:val="20"/>
                <w:lang w:eastAsia="hr-HR"/>
              </w:rPr>
              <w:t>mln</w:t>
            </w:r>
            <w:proofErr w:type="spellEnd"/>
            <w:r w:rsidRPr="00BD786C">
              <w:rPr>
                <w:rFonts w:eastAsia="Times New Roman"/>
                <w:b/>
                <w:bCs/>
                <w:sz w:val="20"/>
                <w:szCs w:val="20"/>
                <w:lang w:eastAsia="hr-HR"/>
              </w:rPr>
              <w:t xml:space="preserve"> EUR</w:t>
            </w:r>
          </w:p>
        </w:tc>
        <w:tc>
          <w:tcPr>
            <w:tcW w:w="1134" w:type="dxa"/>
            <w:shd w:val="clear" w:color="000000" w:fill="FFFF99"/>
            <w:vAlign w:val="center"/>
          </w:tcPr>
          <w:p w14:paraId="63A7D97E" w14:textId="509B0C92" w:rsidR="00F142A4" w:rsidRPr="00BD786C" w:rsidRDefault="00F142A4" w:rsidP="00BE487D">
            <w:pPr>
              <w:jc w:val="center"/>
              <w:rPr>
                <w:rFonts w:eastAsia="Times New Roman"/>
                <w:bCs/>
                <w:sz w:val="20"/>
                <w:szCs w:val="20"/>
              </w:rPr>
            </w:pPr>
            <w:r w:rsidRPr="00BD786C">
              <w:rPr>
                <w:rFonts w:eastAsia="Times New Roman"/>
                <w:b/>
                <w:bCs/>
                <w:sz w:val="20"/>
                <w:szCs w:val="20"/>
                <w:lang w:eastAsia="hr-HR"/>
              </w:rPr>
              <w:t>udio u BDP (%)</w:t>
            </w:r>
          </w:p>
        </w:tc>
      </w:tr>
      <w:tr w:rsidR="00F142A4" w:rsidRPr="00F142A4" w14:paraId="486DD729" w14:textId="77777777" w:rsidTr="00BD786C">
        <w:trPr>
          <w:trHeight w:val="42"/>
        </w:trPr>
        <w:tc>
          <w:tcPr>
            <w:tcW w:w="2972" w:type="dxa"/>
            <w:shd w:val="clear" w:color="auto" w:fill="auto"/>
            <w:vAlign w:val="center"/>
            <w:hideMark/>
          </w:tcPr>
          <w:p w14:paraId="40E3B53C" w14:textId="77777777" w:rsidR="00F142A4" w:rsidRPr="00BD786C" w:rsidRDefault="00F142A4" w:rsidP="00F142A4">
            <w:pPr>
              <w:rPr>
                <w:rFonts w:eastAsia="Times New Roman"/>
                <w:sz w:val="20"/>
                <w:szCs w:val="20"/>
              </w:rPr>
            </w:pPr>
            <w:r w:rsidRPr="00BD786C">
              <w:rPr>
                <w:rFonts w:eastAsia="Times New Roman"/>
                <w:sz w:val="20"/>
                <w:szCs w:val="20"/>
              </w:rPr>
              <w:t>Poštanske usluge</w:t>
            </w:r>
          </w:p>
        </w:tc>
        <w:tc>
          <w:tcPr>
            <w:tcW w:w="851" w:type="dxa"/>
            <w:shd w:val="clear" w:color="auto" w:fill="auto"/>
            <w:vAlign w:val="bottom"/>
            <w:hideMark/>
          </w:tcPr>
          <w:p w14:paraId="7AACA1A0" w14:textId="53D01D4A" w:rsidR="00F142A4" w:rsidRPr="00BD786C" w:rsidRDefault="00F142A4" w:rsidP="00F142A4">
            <w:pPr>
              <w:jc w:val="right"/>
              <w:rPr>
                <w:sz w:val="20"/>
                <w:szCs w:val="20"/>
              </w:rPr>
            </w:pPr>
            <w:r w:rsidRPr="00BD786C">
              <w:rPr>
                <w:rFonts w:eastAsia="Times New Roman"/>
                <w:sz w:val="20"/>
                <w:szCs w:val="20"/>
                <w:lang w:eastAsia="hr-HR"/>
              </w:rPr>
              <w:t>12,6</w:t>
            </w:r>
          </w:p>
        </w:tc>
        <w:tc>
          <w:tcPr>
            <w:tcW w:w="1134" w:type="dxa"/>
            <w:shd w:val="clear" w:color="auto" w:fill="auto"/>
            <w:noWrap/>
            <w:vAlign w:val="bottom"/>
            <w:hideMark/>
          </w:tcPr>
          <w:p w14:paraId="55A75EE2" w14:textId="378C69B9" w:rsidR="00F142A4" w:rsidRPr="00BD786C" w:rsidRDefault="00F142A4" w:rsidP="00F142A4">
            <w:pPr>
              <w:jc w:val="center"/>
              <w:rPr>
                <w:sz w:val="20"/>
                <w:szCs w:val="20"/>
              </w:rPr>
            </w:pPr>
            <w:r w:rsidRPr="00BD786C">
              <w:rPr>
                <w:rFonts w:eastAsia="Times New Roman"/>
                <w:sz w:val="20"/>
                <w:szCs w:val="20"/>
                <w:lang w:eastAsia="hr-HR"/>
              </w:rPr>
              <w:t>0,02</w:t>
            </w:r>
          </w:p>
        </w:tc>
        <w:tc>
          <w:tcPr>
            <w:tcW w:w="992" w:type="dxa"/>
            <w:shd w:val="clear" w:color="auto" w:fill="auto"/>
            <w:vAlign w:val="bottom"/>
            <w:hideMark/>
          </w:tcPr>
          <w:p w14:paraId="10EFE6DC" w14:textId="7AB90F11" w:rsidR="00F142A4" w:rsidRPr="00BD786C" w:rsidRDefault="00F142A4" w:rsidP="00F142A4">
            <w:pPr>
              <w:jc w:val="right"/>
              <w:rPr>
                <w:sz w:val="20"/>
                <w:szCs w:val="20"/>
              </w:rPr>
            </w:pPr>
            <w:r w:rsidRPr="00BD786C">
              <w:rPr>
                <w:rFonts w:eastAsia="Times New Roman"/>
                <w:sz w:val="20"/>
                <w:szCs w:val="20"/>
                <w:lang w:eastAsia="hr-HR"/>
              </w:rPr>
              <w:t>13,2</w:t>
            </w:r>
          </w:p>
        </w:tc>
        <w:tc>
          <w:tcPr>
            <w:tcW w:w="1134" w:type="dxa"/>
            <w:shd w:val="clear" w:color="auto" w:fill="auto"/>
            <w:noWrap/>
            <w:vAlign w:val="bottom"/>
            <w:hideMark/>
          </w:tcPr>
          <w:p w14:paraId="478EF516" w14:textId="6447D9AF" w:rsidR="00F142A4" w:rsidRPr="00BD786C" w:rsidRDefault="00BD786C" w:rsidP="00F142A4">
            <w:pPr>
              <w:jc w:val="center"/>
              <w:rPr>
                <w:sz w:val="20"/>
                <w:szCs w:val="20"/>
              </w:rPr>
            </w:pPr>
            <w:r w:rsidRPr="00BD786C">
              <w:rPr>
                <w:rFonts w:eastAsia="Times New Roman"/>
                <w:sz w:val="20"/>
                <w:szCs w:val="20"/>
                <w:lang w:eastAsia="hr-HR"/>
              </w:rPr>
              <w:t>0,02</w:t>
            </w:r>
          </w:p>
        </w:tc>
        <w:tc>
          <w:tcPr>
            <w:tcW w:w="850" w:type="dxa"/>
            <w:shd w:val="clear" w:color="auto" w:fill="auto"/>
            <w:noWrap/>
            <w:vAlign w:val="bottom"/>
            <w:hideMark/>
          </w:tcPr>
          <w:p w14:paraId="525D2170" w14:textId="32DF823E" w:rsidR="00F142A4" w:rsidRPr="00BD786C" w:rsidRDefault="00F142A4" w:rsidP="00F142A4">
            <w:pPr>
              <w:jc w:val="right"/>
              <w:rPr>
                <w:sz w:val="20"/>
                <w:szCs w:val="20"/>
              </w:rPr>
            </w:pPr>
            <w:r w:rsidRPr="00BD786C">
              <w:rPr>
                <w:rFonts w:eastAsia="Times New Roman"/>
                <w:sz w:val="20"/>
                <w:szCs w:val="20"/>
                <w:lang w:eastAsia="hr-HR"/>
              </w:rPr>
              <w:t>14,8</w:t>
            </w:r>
          </w:p>
        </w:tc>
        <w:tc>
          <w:tcPr>
            <w:tcW w:w="1134" w:type="dxa"/>
            <w:shd w:val="clear" w:color="auto" w:fill="auto"/>
            <w:noWrap/>
            <w:vAlign w:val="bottom"/>
            <w:hideMark/>
          </w:tcPr>
          <w:p w14:paraId="64C082FC" w14:textId="79E8529B" w:rsidR="00F142A4" w:rsidRPr="00BD786C" w:rsidRDefault="00F142A4" w:rsidP="00F142A4">
            <w:pPr>
              <w:jc w:val="center"/>
              <w:rPr>
                <w:sz w:val="20"/>
                <w:szCs w:val="20"/>
              </w:rPr>
            </w:pPr>
            <w:r w:rsidRPr="00BD786C">
              <w:rPr>
                <w:rFonts w:eastAsia="Times New Roman"/>
                <w:sz w:val="20"/>
                <w:szCs w:val="20"/>
                <w:lang w:eastAsia="hr-HR"/>
              </w:rPr>
              <w:t>0,02</w:t>
            </w:r>
          </w:p>
        </w:tc>
      </w:tr>
      <w:tr w:rsidR="00F142A4" w:rsidRPr="00F142A4" w14:paraId="5F1E69B5" w14:textId="77777777" w:rsidTr="00BD786C">
        <w:trPr>
          <w:trHeight w:val="42"/>
        </w:trPr>
        <w:tc>
          <w:tcPr>
            <w:tcW w:w="2972" w:type="dxa"/>
            <w:shd w:val="clear" w:color="auto" w:fill="auto"/>
            <w:vAlign w:val="center"/>
            <w:hideMark/>
          </w:tcPr>
          <w:p w14:paraId="38E42307" w14:textId="77777777" w:rsidR="00F142A4" w:rsidRPr="00BD786C" w:rsidRDefault="00F142A4" w:rsidP="00F142A4">
            <w:pPr>
              <w:rPr>
                <w:rFonts w:eastAsia="Times New Roman"/>
                <w:sz w:val="20"/>
                <w:szCs w:val="20"/>
              </w:rPr>
            </w:pPr>
            <w:r w:rsidRPr="00BD786C">
              <w:rPr>
                <w:rFonts w:eastAsia="Times New Roman"/>
                <w:sz w:val="20"/>
                <w:szCs w:val="20"/>
              </w:rPr>
              <w:t>Zaštita okoliša i očuvanje energije</w:t>
            </w:r>
          </w:p>
        </w:tc>
        <w:tc>
          <w:tcPr>
            <w:tcW w:w="851" w:type="dxa"/>
            <w:shd w:val="clear" w:color="auto" w:fill="auto"/>
            <w:vAlign w:val="bottom"/>
            <w:hideMark/>
          </w:tcPr>
          <w:p w14:paraId="232082EF" w14:textId="1B1BD3E9" w:rsidR="00F142A4" w:rsidRPr="00BD786C" w:rsidRDefault="00F142A4" w:rsidP="00F142A4">
            <w:pPr>
              <w:jc w:val="right"/>
              <w:rPr>
                <w:sz w:val="20"/>
                <w:szCs w:val="20"/>
              </w:rPr>
            </w:pPr>
            <w:r w:rsidRPr="00BD786C">
              <w:rPr>
                <w:rFonts w:eastAsia="Times New Roman"/>
                <w:sz w:val="20"/>
                <w:szCs w:val="20"/>
                <w:lang w:eastAsia="hr-HR"/>
              </w:rPr>
              <w:t>163,6</w:t>
            </w:r>
          </w:p>
        </w:tc>
        <w:tc>
          <w:tcPr>
            <w:tcW w:w="1134" w:type="dxa"/>
            <w:shd w:val="clear" w:color="auto" w:fill="auto"/>
            <w:noWrap/>
            <w:vAlign w:val="bottom"/>
            <w:hideMark/>
          </w:tcPr>
          <w:p w14:paraId="45A7756A" w14:textId="3CA46A74" w:rsidR="00F142A4" w:rsidRPr="00BD786C" w:rsidRDefault="00F142A4" w:rsidP="00F142A4">
            <w:pPr>
              <w:jc w:val="center"/>
              <w:rPr>
                <w:sz w:val="20"/>
                <w:szCs w:val="20"/>
              </w:rPr>
            </w:pPr>
            <w:r w:rsidRPr="00BD786C">
              <w:rPr>
                <w:rFonts w:eastAsia="Times New Roman"/>
                <w:sz w:val="20"/>
                <w:szCs w:val="20"/>
                <w:lang w:eastAsia="hr-HR"/>
              </w:rPr>
              <w:t>0,28</w:t>
            </w:r>
          </w:p>
        </w:tc>
        <w:tc>
          <w:tcPr>
            <w:tcW w:w="992" w:type="dxa"/>
            <w:shd w:val="clear" w:color="auto" w:fill="auto"/>
            <w:vAlign w:val="bottom"/>
            <w:hideMark/>
          </w:tcPr>
          <w:p w14:paraId="445046F0" w14:textId="68DDD585" w:rsidR="00F142A4" w:rsidRPr="00BD786C" w:rsidRDefault="00F142A4" w:rsidP="00F142A4">
            <w:pPr>
              <w:jc w:val="right"/>
              <w:rPr>
                <w:sz w:val="20"/>
                <w:szCs w:val="20"/>
              </w:rPr>
            </w:pPr>
            <w:r w:rsidRPr="00BD786C">
              <w:rPr>
                <w:rFonts w:eastAsia="Times New Roman"/>
                <w:sz w:val="20"/>
                <w:szCs w:val="20"/>
                <w:lang w:eastAsia="hr-HR"/>
              </w:rPr>
              <w:t>170,9</w:t>
            </w:r>
          </w:p>
        </w:tc>
        <w:tc>
          <w:tcPr>
            <w:tcW w:w="1134" w:type="dxa"/>
            <w:shd w:val="clear" w:color="auto" w:fill="auto"/>
            <w:noWrap/>
            <w:vAlign w:val="bottom"/>
            <w:hideMark/>
          </w:tcPr>
          <w:p w14:paraId="5BBB5EC2" w14:textId="4425C381" w:rsidR="00F142A4" w:rsidRPr="00BD786C" w:rsidRDefault="00BD786C" w:rsidP="00F142A4">
            <w:pPr>
              <w:jc w:val="center"/>
              <w:rPr>
                <w:sz w:val="20"/>
                <w:szCs w:val="20"/>
              </w:rPr>
            </w:pPr>
            <w:r w:rsidRPr="00BD786C">
              <w:rPr>
                <w:rFonts w:eastAsia="Times New Roman"/>
                <w:sz w:val="20"/>
                <w:szCs w:val="20"/>
                <w:lang w:eastAsia="hr-HR"/>
              </w:rPr>
              <w:t>0,25</w:t>
            </w:r>
          </w:p>
        </w:tc>
        <w:tc>
          <w:tcPr>
            <w:tcW w:w="850" w:type="dxa"/>
            <w:shd w:val="clear" w:color="auto" w:fill="auto"/>
            <w:noWrap/>
            <w:vAlign w:val="bottom"/>
            <w:hideMark/>
          </w:tcPr>
          <w:p w14:paraId="3E2F104B" w14:textId="2B2927A9" w:rsidR="00F142A4" w:rsidRPr="00BD786C" w:rsidRDefault="00F142A4" w:rsidP="00F142A4">
            <w:pPr>
              <w:jc w:val="right"/>
              <w:rPr>
                <w:sz w:val="20"/>
                <w:szCs w:val="20"/>
              </w:rPr>
            </w:pPr>
            <w:r w:rsidRPr="00BD786C">
              <w:rPr>
                <w:rFonts w:eastAsia="Times New Roman"/>
                <w:sz w:val="20"/>
                <w:szCs w:val="20"/>
                <w:lang w:eastAsia="hr-HR"/>
              </w:rPr>
              <w:t>184,9</w:t>
            </w:r>
          </w:p>
        </w:tc>
        <w:tc>
          <w:tcPr>
            <w:tcW w:w="1134" w:type="dxa"/>
            <w:shd w:val="clear" w:color="auto" w:fill="auto"/>
            <w:noWrap/>
            <w:vAlign w:val="bottom"/>
            <w:hideMark/>
          </w:tcPr>
          <w:p w14:paraId="0751906D" w14:textId="2B3F5892" w:rsidR="00F142A4" w:rsidRPr="00BD786C" w:rsidRDefault="00F142A4" w:rsidP="00F142A4">
            <w:pPr>
              <w:jc w:val="center"/>
              <w:rPr>
                <w:sz w:val="20"/>
                <w:szCs w:val="20"/>
              </w:rPr>
            </w:pPr>
            <w:r w:rsidRPr="00BD786C">
              <w:rPr>
                <w:rFonts w:eastAsia="Times New Roman"/>
                <w:sz w:val="20"/>
                <w:szCs w:val="20"/>
                <w:lang w:eastAsia="hr-HR"/>
              </w:rPr>
              <w:t>0,24</w:t>
            </w:r>
          </w:p>
        </w:tc>
      </w:tr>
      <w:tr w:rsidR="00F142A4" w:rsidRPr="00F142A4" w14:paraId="2342F088" w14:textId="77777777" w:rsidTr="00BD786C">
        <w:trPr>
          <w:trHeight w:val="42"/>
        </w:trPr>
        <w:tc>
          <w:tcPr>
            <w:tcW w:w="2972" w:type="dxa"/>
            <w:shd w:val="clear" w:color="auto" w:fill="auto"/>
            <w:vAlign w:val="center"/>
            <w:hideMark/>
          </w:tcPr>
          <w:p w14:paraId="2CCA22DE" w14:textId="77777777" w:rsidR="00F142A4" w:rsidRPr="00BD786C" w:rsidRDefault="00F142A4" w:rsidP="00F142A4">
            <w:pPr>
              <w:rPr>
                <w:rFonts w:eastAsia="Times New Roman"/>
                <w:sz w:val="20"/>
                <w:szCs w:val="20"/>
              </w:rPr>
            </w:pPr>
            <w:r w:rsidRPr="00BD786C">
              <w:rPr>
                <w:rFonts w:eastAsia="Times New Roman"/>
                <w:sz w:val="20"/>
                <w:szCs w:val="20"/>
              </w:rPr>
              <w:t>Promet</w:t>
            </w:r>
          </w:p>
        </w:tc>
        <w:tc>
          <w:tcPr>
            <w:tcW w:w="851" w:type="dxa"/>
            <w:shd w:val="clear" w:color="auto" w:fill="auto"/>
            <w:vAlign w:val="bottom"/>
            <w:hideMark/>
          </w:tcPr>
          <w:p w14:paraId="61A85784" w14:textId="502368E5" w:rsidR="00F142A4" w:rsidRPr="00BD786C" w:rsidRDefault="00F142A4" w:rsidP="00F142A4">
            <w:pPr>
              <w:jc w:val="right"/>
              <w:rPr>
                <w:sz w:val="20"/>
                <w:szCs w:val="20"/>
              </w:rPr>
            </w:pPr>
            <w:r w:rsidRPr="00BD786C">
              <w:rPr>
                <w:rFonts w:eastAsia="Times New Roman"/>
                <w:sz w:val="20"/>
                <w:szCs w:val="20"/>
                <w:lang w:eastAsia="hr-HR"/>
              </w:rPr>
              <w:t>160,5</w:t>
            </w:r>
          </w:p>
        </w:tc>
        <w:tc>
          <w:tcPr>
            <w:tcW w:w="1134" w:type="dxa"/>
            <w:shd w:val="clear" w:color="auto" w:fill="auto"/>
            <w:noWrap/>
            <w:vAlign w:val="bottom"/>
            <w:hideMark/>
          </w:tcPr>
          <w:p w14:paraId="314C7021" w14:textId="5CD3D009" w:rsidR="00F142A4" w:rsidRPr="00BD786C" w:rsidRDefault="00F142A4" w:rsidP="00F142A4">
            <w:pPr>
              <w:jc w:val="center"/>
              <w:rPr>
                <w:sz w:val="20"/>
                <w:szCs w:val="20"/>
              </w:rPr>
            </w:pPr>
            <w:r w:rsidRPr="00BD786C">
              <w:rPr>
                <w:rFonts w:eastAsia="Times New Roman"/>
                <w:sz w:val="20"/>
                <w:szCs w:val="20"/>
                <w:lang w:eastAsia="hr-HR"/>
              </w:rPr>
              <w:t>0,27</w:t>
            </w:r>
          </w:p>
        </w:tc>
        <w:tc>
          <w:tcPr>
            <w:tcW w:w="992" w:type="dxa"/>
            <w:shd w:val="clear" w:color="auto" w:fill="auto"/>
            <w:vAlign w:val="bottom"/>
            <w:hideMark/>
          </w:tcPr>
          <w:p w14:paraId="5C7664D3" w14:textId="5F3D657B" w:rsidR="00F142A4" w:rsidRPr="00BD786C" w:rsidRDefault="00F142A4" w:rsidP="00F142A4">
            <w:pPr>
              <w:jc w:val="right"/>
              <w:rPr>
                <w:sz w:val="20"/>
                <w:szCs w:val="20"/>
              </w:rPr>
            </w:pPr>
            <w:r w:rsidRPr="00BD786C">
              <w:rPr>
                <w:rFonts w:eastAsia="Times New Roman"/>
                <w:sz w:val="20"/>
                <w:szCs w:val="20"/>
                <w:lang w:eastAsia="hr-HR"/>
              </w:rPr>
              <w:t>205,0</w:t>
            </w:r>
          </w:p>
        </w:tc>
        <w:tc>
          <w:tcPr>
            <w:tcW w:w="1134" w:type="dxa"/>
            <w:shd w:val="clear" w:color="auto" w:fill="auto"/>
            <w:noWrap/>
            <w:vAlign w:val="bottom"/>
            <w:hideMark/>
          </w:tcPr>
          <w:p w14:paraId="31024DE5" w14:textId="45A745DC" w:rsidR="00F142A4" w:rsidRPr="00BD786C" w:rsidRDefault="00BD786C" w:rsidP="00F142A4">
            <w:pPr>
              <w:jc w:val="center"/>
              <w:rPr>
                <w:sz w:val="20"/>
                <w:szCs w:val="20"/>
              </w:rPr>
            </w:pPr>
            <w:r w:rsidRPr="00BD786C">
              <w:rPr>
                <w:rFonts w:eastAsia="Times New Roman"/>
                <w:sz w:val="20"/>
                <w:szCs w:val="20"/>
                <w:lang w:eastAsia="hr-HR"/>
              </w:rPr>
              <w:t>0,30</w:t>
            </w:r>
          </w:p>
        </w:tc>
        <w:tc>
          <w:tcPr>
            <w:tcW w:w="850" w:type="dxa"/>
            <w:shd w:val="clear" w:color="auto" w:fill="auto"/>
            <w:noWrap/>
            <w:vAlign w:val="bottom"/>
            <w:hideMark/>
          </w:tcPr>
          <w:p w14:paraId="4073187E" w14:textId="7F38B8ED" w:rsidR="00F142A4" w:rsidRPr="00BD786C" w:rsidRDefault="00F142A4" w:rsidP="00F142A4">
            <w:pPr>
              <w:jc w:val="right"/>
              <w:rPr>
                <w:sz w:val="20"/>
                <w:szCs w:val="20"/>
              </w:rPr>
            </w:pPr>
            <w:r w:rsidRPr="00BD786C">
              <w:rPr>
                <w:rFonts w:eastAsia="Times New Roman"/>
                <w:sz w:val="20"/>
                <w:szCs w:val="20"/>
                <w:lang w:eastAsia="hr-HR"/>
              </w:rPr>
              <w:t>320,6</w:t>
            </w:r>
          </w:p>
        </w:tc>
        <w:tc>
          <w:tcPr>
            <w:tcW w:w="1134" w:type="dxa"/>
            <w:shd w:val="clear" w:color="auto" w:fill="auto"/>
            <w:noWrap/>
            <w:vAlign w:val="bottom"/>
            <w:hideMark/>
          </w:tcPr>
          <w:p w14:paraId="25720BFF" w14:textId="3EF1BD55" w:rsidR="00F142A4" w:rsidRPr="00BD786C" w:rsidRDefault="00F142A4" w:rsidP="00F142A4">
            <w:pPr>
              <w:jc w:val="center"/>
              <w:rPr>
                <w:sz w:val="20"/>
                <w:szCs w:val="20"/>
              </w:rPr>
            </w:pPr>
            <w:r w:rsidRPr="00BD786C">
              <w:rPr>
                <w:rFonts w:eastAsia="Times New Roman"/>
                <w:sz w:val="20"/>
                <w:szCs w:val="20"/>
                <w:lang w:eastAsia="hr-HR"/>
              </w:rPr>
              <w:t>0,42</w:t>
            </w:r>
          </w:p>
        </w:tc>
      </w:tr>
      <w:tr w:rsidR="00F142A4" w:rsidRPr="00F142A4" w14:paraId="6EBB0DF3" w14:textId="77777777" w:rsidTr="00BD786C">
        <w:trPr>
          <w:trHeight w:val="40"/>
        </w:trPr>
        <w:tc>
          <w:tcPr>
            <w:tcW w:w="2972" w:type="dxa"/>
            <w:shd w:val="clear" w:color="auto" w:fill="auto"/>
            <w:vAlign w:val="center"/>
            <w:hideMark/>
          </w:tcPr>
          <w:p w14:paraId="5A126267" w14:textId="77777777" w:rsidR="00F142A4" w:rsidRPr="00BD786C" w:rsidRDefault="00F142A4" w:rsidP="00F142A4">
            <w:pPr>
              <w:rPr>
                <w:rFonts w:eastAsia="Times New Roman"/>
                <w:sz w:val="20"/>
                <w:szCs w:val="20"/>
              </w:rPr>
            </w:pPr>
            <w:r w:rsidRPr="00BD786C">
              <w:rPr>
                <w:rFonts w:eastAsia="Times New Roman"/>
                <w:sz w:val="20"/>
                <w:szCs w:val="20"/>
              </w:rPr>
              <w:t>Brodogradnja</w:t>
            </w:r>
          </w:p>
        </w:tc>
        <w:tc>
          <w:tcPr>
            <w:tcW w:w="851" w:type="dxa"/>
            <w:shd w:val="clear" w:color="auto" w:fill="auto"/>
            <w:vAlign w:val="bottom"/>
            <w:hideMark/>
          </w:tcPr>
          <w:p w14:paraId="0E55F0D3" w14:textId="2457FDDF" w:rsidR="00F142A4" w:rsidRPr="00BD786C" w:rsidRDefault="00F142A4" w:rsidP="00F142A4">
            <w:pPr>
              <w:jc w:val="right"/>
              <w:rPr>
                <w:sz w:val="20"/>
                <w:szCs w:val="20"/>
              </w:rPr>
            </w:pPr>
            <w:r w:rsidRPr="00BD786C">
              <w:rPr>
                <w:rFonts w:eastAsia="Times New Roman"/>
                <w:sz w:val="20"/>
                <w:szCs w:val="20"/>
                <w:lang w:eastAsia="hr-HR"/>
              </w:rPr>
              <w:t>92,7</w:t>
            </w:r>
          </w:p>
        </w:tc>
        <w:tc>
          <w:tcPr>
            <w:tcW w:w="1134" w:type="dxa"/>
            <w:shd w:val="clear" w:color="auto" w:fill="auto"/>
            <w:noWrap/>
            <w:vAlign w:val="bottom"/>
            <w:hideMark/>
          </w:tcPr>
          <w:p w14:paraId="501293E7" w14:textId="78BB3AC9" w:rsidR="00F142A4" w:rsidRPr="00BD786C" w:rsidRDefault="00F142A4" w:rsidP="00F142A4">
            <w:pPr>
              <w:jc w:val="center"/>
              <w:rPr>
                <w:sz w:val="20"/>
                <w:szCs w:val="20"/>
              </w:rPr>
            </w:pPr>
            <w:r w:rsidRPr="00BD786C">
              <w:rPr>
                <w:rFonts w:eastAsia="Times New Roman"/>
                <w:sz w:val="20"/>
                <w:szCs w:val="20"/>
                <w:lang w:eastAsia="hr-HR"/>
              </w:rPr>
              <w:t>0,16</w:t>
            </w:r>
          </w:p>
        </w:tc>
        <w:tc>
          <w:tcPr>
            <w:tcW w:w="992" w:type="dxa"/>
            <w:shd w:val="clear" w:color="auto" w:fill="auto"/>
            <w:vAlign w:val="bottom"/>
            <w:hideMark/>
          </w:tcPr>
          <w:p w14:paraId="73C0F096" w14:textId="11F5E435" w:rsidR="00F142A4" w:rsidRPr="00BD786C" w:rsidRDefault="00F142A4" w:rsidP="00F142A4">
            <w:pPr>
              <w:jc w:val="right"/>
              <w:rPr>
                <w:sz w:val="20"/>
                <w:szCs w:val="20"/>
              </w:rPr>
            </w:pPr>
            <w:r w:rsidRPr="00BD786C">
              <w:rPr>
                <w:rFonts w:eastAsia="Times New Roman"/>
                <w:sz w:val="20"/>
                <w:szCs w:val="20"/>
                <w:lang w:eastAsia="hr-HR"/>
              </w:rPr>
              <w:t>61,2</w:t>
            </w:r>
          </w:p>
        </w:tc>
        <w:tc>
          <w:tcPr>
            <w:tcW w:w="1134" w:type="dxa"/>
            <w:shd w:val="clear" w:color="auto" w:fill="auto"/>
            <w:noWrap/>
            <w:vAlign w:val="bottom"/>
            <w:hideMark/>
          </w:tcPr>
          <w:p w14:paraId="1EED1F2D" w14:textId="2DCD9D67" w:rsidR="00F142A4" w:rsidRPr="00BD786C" w:rsidRDefault="00BD786C" w:rsidP="00F142A4">
            <w:pPr>
              <w:jc w:val="center"/>
              <w:rPr>
                <w:sz w:val="20"/>
                <w:szCs w:val="20"/>
              </w:rPr>
            </w:pPr>
            <w:r w:rsidRPr="00BD786C">
              <w:rPr>
                <w:rFonts w:eastAsia="Times New Roman"/>
                <w:sz w:val="20"/>
                <w:szCs w:val="20"/>
                <w:lang w:eastAsia="hr-HR"/>
              </w:rPr>
              <w:t>0,09</w:t>
            </w:r>
          </w:p>
        </w:tc>
        <w:tc>
          <w:tcPr>
            <w:tcW w:w="850" w:type="dxa"/>
            <w:shd w:val="clear" w:color="auto" w:fill="auto"/>
            <w:vAlign w:val="bottom"/>
            <w:hideMark/>
          </w:tcPr>
          <w:p w14:paraId="09D1B5A7" w14:textId="37C2898D" w:rsidR="00F142A4" w:rsidRPr="00BD786C" w:rsidRDefault="00F142A4" w:rsidP="00F142A4">
            <w:pPr>
              <w:jc w:val="right"/>
              <w:rPr>
                <w:sz w:val="20"/>
                <w:szCs w:val="20"/>
              </w:rPr>
            </w:pPr>
            <w:r w:rsidRPr="00BD786C">
              <w:rPr>
                <w:rFonts w:eastAsia="Times New Roman"/>
                <w:sz w:val="20"/>
                <w:szCs w:val="20"/>
                <w:lang w:eastAsia="hr-HR"/>
              </w:rPr>
              <w:t>29,5</w:t>
            </w:r>
          </w:p>
        </w:tc>
        <w:tc>
          <w:tcPr>
            <w:tcW w:w="1134" w:type="dxa"/>
            <w:shd w:val="clear" w:color="auto" w:fill="auto"/>
            <w:noWrap/>
            <w:vAlign w:val="bottom"/>
            <w:hideMark/>
          </w:tcPr>
          <w:p w14:paraId="236EDA57" w14:textId="14B3A05A" w:rsidR="00F142A4" w:rsidRPr="00BD786C" w:rsidRDefault="00F142A4" w:rsidP="00F142A4">
            <w:pPr>
              <w:jc w:val="center"/>
              <w:rPr>
                <w:sz w:val="20"/>
                <w:szCs w:val="20"/>
              </w:rPr>
            </w:pPr>
            <w:r w:rsidRPr="00BD786C">
              <w:rPr>
                <w:rFonts w:eastAsia="Times New Roman"/>
                <w:sz w:val="20"/>
                <w:szCs w:val="20"/>
                <w:lang w:eastAsia="hr-HR"/>
              </w:rPr>
              <w:t>0,04</w:t>
            </w:r>
          </w:p>
        </w:tc>
      </w:tr>
      <w:tr w:rsidR="00F142A4" w:rsidRPr="00F142A4" w14:paraId="0ECCB876" w14:textId="77777777" w:rsidTr="00BD786C">
        <w:trPr>
          <w:trHeight w:val="40"/>
        </w:trPr>
        <w:tc>
          <w:tcPr>
            <w:tcW w:w="2972" w:type="dxa"/>
            <w:shd w:val="clear" w:color="auto" w:fill="auto"/>
            <w:vAlign w:val="center"/>
            <w:hideMark/>
          </w:tcPr>
          <w:p w14:paraId="19131505" w14:textId="77777777" w:rsidR="00F142A4" w:rsidRPr="00BD786C" w:rsidRDefault="00F142A4" w:rsidP="00F142A4">
            <w:pPr>
              <w:rPr>
                <w:rFonts w:eastAsia="Times New Roman"/>
                <w:sz w:val="20"/>
                <w:szCs w:val="20"/>
              </w:rPr>
            </w:pPr>
            <w:r w:rsidRPr="00BD786C">
              <w:rPr>
                <w:rFonts w:eastAsia="Times New Roman"/>
                <w:sz w:val="20"/>
                <w:szCs w:val="20"/>
              </w:rPr>
              <w:t>Turizam</w:t>
            </w:r>
          </w:p>
        </w:tc>
        <w:tc>
          <w:tcPr>
            <w:tcW w:w="851" w:type="dxa"/>
            <w:shd w:val="clear" w:color="auto" w:fill="auto"/>
            <w:vAlign w:val="bottom"/>
            <w:hideMark/>
          </w:tcPr>
          <w:p w14:paraId="0C1A3078" w14:textId="18A87041" w:rsidR="00F142A4" w:rsidRPr="00BD786C" w:rsidRDefault="00F142A4" w:rsidP="00F142A4">
            <w:pPr>
              <w:jc w:val="right"/>
              <w:rPr>
                <w:sz w:val="20"/>
                <w:szCs w:val="20"/>
              </w:rPr>
            </w:pPr>
            <w:r w:rsidRPr="00BD786C">
              <w:rPr>
                <w:rFonts w:eastAsia="Times New Roman"/>
                <w:sz w:val="20"/>
                <w:szCs w:val="20"/>
                <w:lang w:eastAsia="hr-HR"/>
              </w:rPr>
              <w:t>0,9</w:t>
            </w:r>
          </w:p>
        </w:tc>
        <w:tc>
          <w:tcPr>
            <w:tcW w:w="1134" w:type="dxa"/>
            <w:shd w:val="clear" w:color="auto" w:fill="auto"/>
            <w:noWrap/>
            <w:vAlign w:val="bottom"/>
            <w:hideMark/>
          </w:tcPr>
          <w:p w14:paraId="29AA61A7" w14:textId="0A06FAAD" w:rsidR="00F142A4" w:rsidRPr="00BD786C" w:rsidRDefault="00F142A4" w:rsidP="00F142A4">
            <w:pPr>
              <w:jc w:val="center"/>
              <w:rPr>
                <w:sz w:val="20"/>
                <w:szCs w:val="20"/>
              </w:rPr>
            </w:pPr>
            <w:r w:rsidRPr="00BD786C">
              <w:rPr>
                <w:rFonts w:eastAsia="Times New Roman"/>
                <w:sz w:val="20"/>
                <w:szCs w:val="20"/>
                <w:lang w:eastAsia="hr-HR"/>
              </w:rPr>
              <w:t>0,002</w:t>
            </w:r>
          </w:p>
        </w:tc>
        <w:tc>
          <w:tcPr>
            <w:tcW w:w="992" w:type="dxa"/>
            <w:shd w:val="clear" w:color="auto" w:fill="auto"/>
            <w:vAlign w:val="bottom"/>
            <w:hideMark/>
          </w:tcPr>
          <w:p w14:paraId="0871054F" w14:textId="4002DF83" w:rsidR="00F142A4" w:rsidRPr="00BD786C" w:rsidRDefault="00F142A4" w:rsidP="00F142A4">
            <w:pPr>
              <w:jc w:val="right"/>
              <w:rPr>
                <w:sz w:val="20"/>
                <w:szCs w:val="20"/>
              </w:rPr>
            </w:pPr>
            <w:r w:rsidRPr="00BD786C">
              <w:rPr>
                <w:rFonts w:eastAsia="Times New Roman"/>
                <w:sz w:val="20"/>
                <w:szCs w:val="20"/>
                <w:lang w:eastAsia="hr-HR"/>
              </w:rPr>
              <w:t>0,7</w:t>
            </w:r>
          </w:p>
        </w:tc>
        <w:tc>
          <w:tcPr>
            <w:tcW w:w="1134" w:type="dxa"/>
            <w:shd w:val="clear" w:color="auto" w:fill="auto"/>
            <w:noWrap/>
            <w:vAlign w:val="bottom"/>
            <w:hideMark/>
          </w:tcPr>
          <w:p w14:paraId="64941742" w14:textId="0AD7BA9C" w:rsidR="00F142A4" w:rsidRPr="00BD786C" w:rsidRDefault="00BD786C" w:rsidP="00F142A4">
            <w:pPr>
              <w:jc w:val="center"/>
              <w:rPr>
                <w:sz w:val="20"/>
                <w:szCs w:val="20"/>
              </w:rPr>
            </w:pPr>
            <w:r w:rsidRPr="00BD786C">
              <w:rPr>
                <w:rFonts w:eastAsia="Times New Roman"/>
                <w:sz w:val="20"/>
                <w:szCs w:val="20"/>
                <w:lang w:eastAsia="hr-HR"/>
              </w:rPr>
              <w:t>0,001</w:t>
            </w:r>
          </w:p>
        </w:tc>
        <w:tc>
          <w:tcPr>
            <w:tcW w:w="850" w:type="dxa"/>
            <w:shd w:val="clear" w:color="auto" w:fill="auto"/>
            <w:vAlign w:val="bottom"/>
            <w:hideMark/>
          </w:tcPr>
          <w:p w14:paraId="204D2DCC" w14:textId="1C083FF7" w:rsidR="00F142A4" w:rsidRPr="00BD786C" w:rsidRDefault="00F142A4" w:rsidP="00F142A4">
            <w:pPr>
              <w:jc w:val="right"/>
              <w:rPr>
                <w:sz w:val="20"/>
                <w:szCs w:val="20"/>
              </w:rPr>
            </w:pPr>
            <w:r w:rsidRPr="00BD786C">
              <w:rPr>
                <w:rFonts w:eastAsia="Times New Roman"/>
                <w:sz w:val="20"/>
                <w:szCs w:val="20"/>
                <w:lang w:eastAsia="hr-HR"/>
              </w:rPr>
              <w:t>130,5</w:t>
            </w:r>
          </w:p>
        </w:tc>
        <w:tc>
          <w:tcPr>
            <w:tcW w:w="1134" w:type="dxa"/>
            <w:shd w:val="clear" w:color="auto" w:fill="auto"/>
            <w:noWrap/>
            <w:vAlign w:val="bottom"/>
            <w:hideMark/>
          </w:tcPr>
          <w:p w14:paraId="53A2275B" w14:textId="5E689C50" w:rsidR="00F142A4" w:rsidRPr="00BD786C" w:rsidRDefault="00F142A4" w:rsidP="00F142A4">
            <w:pPr>
              <w:jc w:val="center"/>
              <w:rPr>
                <w:sz w:val="20"/>
                <w:szCs w:val="20"/>
              </w:rPr>
            </w:pPr>
            <w:r w:rsidRPr="00BD786C">
              <w:rPr>
                <w:rFonts w:eastAsia="Times New Roman"/>
                <w:sz w:val="20"/>
                <w:szCs w:val="20"/>
                <w:lang w:eastAsia="hr-HR"/>
              </w:rPr>
              <w:t>0,17</w:t>
            </w:r>
          </w:p>
        </w:tc>
      </w:tr>
      <w:tr w:rsidR="00F142A4" w:rsidRPr="00F142A4" w14:paraId="53D924E8" w14:textId="77777777" w:rsidTr="00BD786C">
        <w:trPr>
          <w:trHeight w:val="42"/>
        </w:trPr>
        <w:tc>
          <w:tcPr>
            <w:tcW w:w="2972" w:type="dxa"/>
            <w:shd w:val="clear" w:color="auto" w:fill="auto"/>
            <w:noWrap/>
            <w:vAlign w:val="center"/>
            <w:hideMark/>
          </w:tcPr>
          <w:p w14:paraId="5ECD37A5" w14:textId="77777777" w:rsidR="00F142A4" w:rsidRPr="00BD786C" w:rsidRDefault="00F142A4" w:rsidP="00F142A4">
            <w:pPr>
              <w:rPr>
                <w:rFonts w:eastAsia="Times New Roman"/>
                <w:sz w:val="20"/>
                <w:szCs w:val="20"/>
              </w:rPr>
            </w:pPr>
            <w:r w:rsidRPr="00BD786C">
              <w:rPr>
                <w:rFonts w:eastAsia="Times New Roman"/>
                <w:sz w:val="20"/>
                <w:szCs w:val="20"/>
              </w:rPr>
              <w:t>Sanacija i restrukturiranje</w:t>
            </w:r>
          </w:p>
        </w:tc>
        <w:tc>
          <w:tcPr>
            <w:tcW w:w="851" w:type="dxa"/>
            <w:shd w:val="clear" w:color="auto" w:fill="auto"/>
            <w:vAlign w:val="bottom"/>
            <w:hideMark/>
          </w:tcPr>
          <w:p w14:paraId="01DC984D" w14:textId="2DAAFEEE" w:rsidR="00F142A4" w:rsidRPr="00BD786C" w:rsidRDefault="00F142A4" w:rsidP="00F142A4">
            <w:pPr>
              <w:jc w:val="right"/>
              <w:rPr>
                <w:sz w:val="20"/>
                <w:szCs w:val="20"/>
              </w:rPr>
            </w:pPr>
            <w:r w:rsidRPr="00BD786C">
              <w:rPr>
                <w:rFonts w:eastAsia="Times New Roman"/>
                <w:sz w:val="20"/>
                <w:szCs w:val="20"/>
                <w:lang w:eastAsia="hr-HR"/>
              </w:rPr>
              <w:t>-</w:t>
            </w:r>
          </w:p>
        </w:tc>
        <w:tc>
          <w:tcPr>
            <w:tcW w:w="1134" w:type="dxa"/>
            <w:shd w:val="clear" w:color="auto" w:fill="auto"/>
            <w:noWrap/>
            <w:vAlign w:val="bottom"/>
            <w:hideMark/>
          </w:tcPr>
          <w:p w14:paraId="4590D806" w14:textId="35855066" w:rsidR="00F142A4" w:rsidRPr="00BD786C" w:rsidRDefault="00F142A4" w:rsidP="00F142A4">
            <w:pPr>
              <w:jc w:val="center"/>
              <w:rPr>
                <w:sz w:val="20"/>
                <w:szCs w:val="20"/>
              </w:rPr>
            </w:pPr>
            <w:r w:rsidRPr="00BD786C">
              <w:rPr>
                <w:rFonts w:eastAsia="Times New Roman"/>
                <w:sz w:val="20"/>
                <w:szCs w:val="20"/>
                <w:lang w:eastAsia="hr-HR"/>
              </w:rPr>
              <w:t>-</w:t>
            </w:r>
          </w:p>
        </w:tc>
        <w:tc>
          <w:tcPr>
            <w:tcW w:w="992" w:type="dxa"/>
            <w:shd w:val="clear" w:color="auto" w:fill="auto"/>
            <w:vAlign w:val="bottom"/>
            <w:hideMark/>
          </w:tcPr>
          <w:p w14:paraId="60BC2640" w14:textId="311693D8" w:rsidR="00F142A4" w:rsidRPr="00BD786C" w:rsidRDefault="00BD786C" w:rsidP="00F142A4">
            <w:pPr>
              <w:jc w:val="right"/>
              <w:rPr>
                <w:sz w:val="20"/>
                <w:szCs w:val="20"/>
              </w:rPr>
            </w:pPr>
            <w:r w:rsidRPr="00BD786C">
              <w:rPr>
                <w:rFonts w:eastAsia="Times New Roman"/>
                <w:sz w:val="20"/>
                <w:szCs w:val="20"/>
                <w:lang w:eastAsia="hr-HR"/>
              </w:rPr>
              <w:t>-</w:t>
            </w:r>
          </w:p>
        </w:tc>
        <w:tc>
          <w:tcPr>
            <w:tcW w:w="1134" w:type="dxa"/>
            <w:shd w:val="clear" w:color="auto" w:fill="auto"/>
            <w:noWrap/>
            <w:vAlign w:val="bottom"/>
            <w:hideMark/>
          </w:tcPr>
          <w:p w14:paraId="7EB95085" w14:textId="3DD875D7" w:rsidR="00F142A4" w:rsidRPr="00BD786C" w:rsidRDefault="00BD786C" w:rsidP="00F142A4">
            <w:pPr>
              <w:jc w:val="center"/>
              <w:rPr>
                <w:sz w:val="20"/>
                <w:szCs w:val="20"/>
              </w:rPr>
            </w:pPr>
            <w:r w:rsidRPr="00BD786C">
              <w:rPr>
                <w:rFonts w:eastAsia="Times New Roman"/>
                <w:sz w:val="20"/>
                <w:szCs w:val="20"/>
                <w:lang w:eastAsia="hr-HR"/>
              </w:rPr>
              <w:t>-</w:t>
            </w:r>
          </w:p>
        </w:tc>
        <w:tc>
          <w:tcPr>
            <w:tcW w:w="850" w:type="dxa"/>
            <w:shd w:val="clear" w:color="auto" w:fill="auto"/>
            <w:vAlign w:val="bottom"/>
            <w:hideMark/>
          </w:tcPr>
          <w:p w14:paraId="265309E9" w14:textId="7ACE6C72" w:rsidR="00F142A4" w:rsidRPr="00BD786C" w:rsidRDefault="00F142A4" w:rsidP="00F142A4">
            <w:pPr>
              <w:jc w:val="right"/>
              <w:rPr>
                <w:sz w:val="20"/>
                <w:szCs w:val="20"/>
              </w:rPr>
            </w:pPr>
            <w:r w:rsidRPr="00BD786C">
              <w:rPr>
                <w:rFonts w:eastAsia="Times New Roman"/>
                <w:sz w:val="20"/>
                <w:szCs w:val="20"/>
                <w:lang w:eastAsia="hr-HR"/>
              </w:rPr>
              <w:t>9,0</w:t>
            </w:r>
          </w:p>
        </w:tc>
        <w:tc>
          <w:tcPr>
            <w:tcW w:w="1134" w:type="dxa"/>
            <w:shd w:val="clear" w:color="auto" w:fill="auto"/>
            <w:noWrap/>
            <w:vAlign w:val="bottom"/>
            <w:hideMark/>
          </w:tcPr>
          <w:p w14:paraId="2AF3538D" w14:textId="5C30E432" w:rsidR="00F142A4" w:rsidRPr="00BD786C" w:rsidRDefault="00F142A4" w:rsidP="00F142A4">
            <w:pPr>
              <w:jc w:val="center"/>
              <w:rPr>
                <w:sz w:val="20"/>
                <w:szCs w:val="20"/>
              </w:rPr>
            </w:pPr>
            <w:r w:rsidRPr="00BD786C">
              <w:rPr>
                <w:rFonts w:eastAsia="Times New Roman"/>
                <w:sz w:val="20"/>
                <w:szCs w:val="20"/>
                <w:lang w:eastAsia="hr-HR"/>
              </w:rPr>
              <w:t>0,01</w:t>
            </w:r>
          </w:p>
        </w:tc>
      </w:tr>
      <w:tr w:rsidR="00F142A4" w:rsidRPr="00F142A4" w14:paraId="7FA79226" w14:textId="77777777" w:rsidTr="00BD786C">
        <w:trPr>
          <w:trHeight w:val="42"/>
        </w:trPr>
        <w:tc>
          <w:tcPr>
            <w:tcW w:w="2972" w:type="dxa"/>
            <w:shd w:val="clear" w:color="auto" w:fill="auto"/>
            <w:vAlign w:val="center"/>
            <w:hideMark/>
          </w:tcPr>
          <w:p w14:paraId="4C69CC92" w14:textId="77777777" w:rsidR="00F142A4" w:rsidRPr="00BD786C" w:rsidRDefault="00F142A4" w:rsidP="00F142A4">
            <w:pPr>
              <w:rPr>
                <w:rFonts w:eastAsia="Times New Roman"/>
                <w:sz w:val="20"/>
                <w:szCs w:val="20"/>
              </w:rPr>
            </w:pPr>
            <w:r w:rsidRPr="00BD786C">
              <w:rPr>
                <w:rFonts w:eastAsia="Times New Roman"/>
                <w:sz w:val="20"/>
                <w:szCs w:val="20"/>
              </w:rPr>
              <w:t>Radiotelevizijsko emitiranje i audiovizualna industrija</w:t>
            </w:r>
          </w:p>
        </w:tc>
        <w:tc>
          <w:tcPr>
            <w:tcW w:w="851" w:type="dxa"/>
            <w:shd w:val="clear" w:color="auto" w:fill="auto"/>
            <w:vAlign w:val="bottom"/>
            <w:hideMark/>
          </w:tcPr>
          <w:p w14:paraId="11D9D349" w14:textId="71982EE9" w:rsidR="00F142A4" w:rsidRPr="00BD786C" w:rsidRDefault="00F142A4" w:rsidP="00F142A4">
            <w:pPr>
              <w:jc w:val="right"/>
              <w:rPr>
                <w:sz w:val="20"/>
                <w:szCs w:val="20"/>
              </w:rPr>
            </w:pPr>
            <w:r w:rsidRPr="00BD786C">
              <w:rPr>
                <w:rFonts w:eastAsia="Times New Roman"/>
                <w:sz w:val="20"/>
                <w:szCs w:val="20"/>
                <w:lang w:eastAsia="hr-HR"/>
              </w:rPr>
              <w:t>153,9</w:t>
            </w:r>
          </w:p>
        </w:tc>
        <w:tc>
          <w:tcPr>
            <w:tcW w:w="1134" w:type="dxa"/>
            <w:shd w:val="clear" w:color="auto" w:fill="auto"/>
            <w:noWrap/>
            <w:vAlign w:val="bottom"/>
            <w:hideMark/>
          </w:tcPr>
          <w:p w14:paraId="372D85C8" w14:textId="2B8CD610" w:rsidR="00F142A4" w:rsidRPr="00BD786C" w:rsidRDefault="00F142A4" w:rsidP="00F142A4">
            <w:pPr>
              <w:jc w:val="center"/>
              <w:rPr>
                <w:sz w:val="20"/>
                <w:szCs w:val="20"/>
              </w:rPr>
            </w:pPr>
            <w:r w:rsidRPr="00BD786C">
              <w:rPr>
                <w:rFonts w:eastAsia="Times New Roman"/>
                <w:sz w:val="20"/>
                <w:szCs w:val="20"/>
                <w:lang w:eastAsia="hr-HR"/>
              </w:rPr>
              <w:t>0,26</w:t>
            </w:r>
          </w:p>
        </w:tc>
        <w:tc>
          <w:tcPr>
            <w:tcW w:w="992" w:type="dxa"/>
            <w:shd w:val="clear" w:color="auto" w:fill="auto"/>
            <w:vAlign w:val="bottom"/>
            <w:hideMark/>
          </w:tcPr>
          <w:p w14:paraId="68722C56" w14:textId="3FACE8A2" w:rsidR="00F142A4" w:rsidRPr="00BD786C" w:rsidRDefault="00F142A4" w:rsidP="00F142A4">
            <w:pPr>
              <w:jc w:val="right"/>
              <w:rPr>
                <w:sz w:val="20"/>
                <w:szCs w:val="20"/>
              </w:rPr>
            </w:pPr>
            <w:r w:rsidRPr="00BD786C">
              <w:rPr>
                <w:rFonts w:eastAsia="Times New Roman"/>
                <w:sz w:val="20"/>
                <w:szCs w:val="20"/>
                <w:lang w:eastAsia="hr-HR"/>
              </w:rPr>
              <w:t>153,2</w:t>
            </w:r>
          </w:p>
        </w:tc>
        <w:tc>
          <w:tcPr>
            <w:tcW w:w="1134" w:type="dxa"/>
            <w:shd w:val="clear" w:color="auto" w:fill="auto"/>
            <w:noWrap/>
            <w:vAlign w:val="bottom"/>
            <w:hideMark/>
          </w:tcPr>
          <w:p w14:paraId="66DCFDAF" w14:textId="25BC6195" w:rsidR="00F142A4" w:rsidRPr="00BD786C" w:rsidRDefault="00BD786C" w:rsidP="00F142A4">
            <w:pPr>
              <w:jc w:val="center"/>
              <w:rPr>
                <w:sz w:val="20"/>
                <w:szCs w:val="20"/>
              </w:rPr>
            </w:pPr>
            <w:r w:rsidRPr="00BD786C">
              <w:rPr>
                <w:rFonts w:eastAsia="Times New Roman"/>
                <w:sz w:val="20"/>
                <w:szCs w:val="20"/>
                <w:lang w:eastAsia="hr-HR"/>
              </w:rPr>
              <w:t>0,22</w:t>
            </w:r>
          </w:p>
        </w:tc>
        <w:tc>
          <w:tcPr>
            <w:tcW w:w="850" w:type="dxa"/>
            <w:shd w:val="clear" w:color="auto" w:fill="auto"/>
            <w:vAlign w:val="bottom"/>
            <w:hideMark/>
          </w:tcPr>
          <w:p w14:paraId="46FD1D15" w14:textId="4E58B640" w:rsidR="00F142A4" w:rsidRPr="00BD786C" w:rsidRDefault="00F142A4" w:rsidP="00F142A4">
            <w:pPr>
              <w:jc w:val="right"/>
              <w:rPr>
                <w:sz w:val="20"/>
                <w:szCs w:val="20"/>
              </w:rPr>
            </w:pPr>
            <w:r w:rsidRPr="00BD786C">
              <w:rPr>
                <w:rFonts w:eastAsia="Times New Roman"/>
                <w:sz w:val="20"/>
                <w:szCs w:val="20"/>
                <w:lang w:eastAsia="hr-HR"/>
              </w:rPr>
              <w:t>153,9</w:t>
            </w:r>
          </w:p>
        </w:tc>
        <w:tc>
          <w:tcPr>
            <w:tcW w:w="1134" w:type="dxa"/>
            <w:shd w:val="clear" w:color="auto" w:fill="auto"/>
            <w:noWrap/>
            <w:vAlign w:val="bottom"/>
            <w:hideMark/>
          </w:tcPr>
          <w:p w14:paraId="0DD3566F" w14:textId="0B8CCC9F" w:rsidR="00F142A4" w:rsidRPr="00BD786C" w:rsidRDefault="00F142A4" w:rsidP="00F142A4">
            <w:pPr>
              <w:jc w:val="center"/>
              <w:rPr>
                <w:sz w:val="20"/>
                <w:szCs w:val="20"/>
              </w:rPr>
            </w:pPr>
            <w:r w:rsidRPr="00BD786C">
              <w:rPr>
                <w:rFonts w:eastAsia="Times New Roman"/>
                <w:sz w:val="20"/>
                <w:szCs w:val="20"/>
                <w:lang w:eastAsia="hr-HR"/>
              </w:rPr>
              <w:t>0,20</w:t>
            </w:r>
          </w:p>
        </w:tc>
      </w:tr>
      <w:tr w:rsidR="00F142A4" w:rsidRPr="00F142A4" w14:paraId="60EE19FF" w14:textId="77777777" w:rsidTr="00BD786C">
        <w:trPr>
          <w:trHeight w:val="42"/>
        </w:trPr>
        <w:tc>
          <w:tcPr>
            <w:tcW w:w="2972" w:type="dxa"/>
            <w:shd w:val="clear" w:color="auto" w:fill="auto"/>
            <w:noWrap/>
            <w:vAlign w:val="center"/>
            <w:hideMark/>
          </w:tcPr>
          <w:p w14:paraId="5A9EB3FD" w14:textId="77777777" w:rsidR="00F142A4" w:rsidRPr="00BD786C" w:rsidRDefault="00F142A4" w:rsidP="00F142A4">
            <w:pPr>
              <w:rPr>
                <w:rFonts w:eastAsia="Times New Roman"/>
                <w:sz w:val="20"/>
                <w:szCs w:val="20"/>
              </w:rPr>
            </w:pPr>
            <w:r w:rsidRPr="00BD786C">
              <w:rPr>
                <w:rFonts w:eastAsia="Times New Roman"/>
                <w:sz w:val="20"/>
                <w:szCs w:val="20"/>
              </w:rPr>
              <w:t>Razvoj širokopojasnih mreža</w:t>
            </w:r>
          </w:p>
        </w:tc>
        <w:tc>
          <w:tcPr>
            <w:tcW w:w="851" w:type="dxa"/>
            <w:shd w:val="clear" w:color="auto" w:fill="auto"/>
            <w:vAlign w:val="bottom"/>
            <w:hideMark/>
          </w:tcPr>
          <w:p w14:paraId="156BD83D" w14:textId="599570DF" w:rsidR="00F142A4" w:rsidRPr="00BD786C" w:rsidRDefault="00F142A4" w:rsidP="00F142A4">
            <w:pPr>
              <w:jc w:val="right"/>
              <w:rPr>
                <w:sz w:val="20"/>
                <w:szCs w:val="20"/>
              </w:rPr>
            </w:pPr>
            <w:r w:rsidRPr="00BD786C">
              <w:rPr>
                <w:rFonts w:eastAsia="Times New Roman"/>
                <w:sz w:val="20"/>
                <w:szCs w:val="20"/>
                <w:lang w:eastAsia="hr-HR"/>
              </w:rPr>
              <w:t>-</w:t>
            </w:r>
          </w:p>
        </w:tc>
        <w:tc>
          <w:tcPr>
            <w:tcW w:w="1134" w:type="dxa"/>
            <w:shd w:val="clear" w:color="auto" w:fill="auto"/>
            <w:noWrap/>
            <w:vAlign w:val="bottom"/>
            <w:hideMark/>
          </w:tcPr>
          <w:p w14:paraId="4AE8F1F1" w14:textId="6368FC09" w:rsidR="00F142A4" w:rsidRPr="00BD786C" w:rsidRDefault="00F142A4" w:rsidP="00F142A4">
            <w:pPr>
              <w:jc w:val="center"/>
              <w:rPr>
                <w:sz w:val="20"/>
                <w:szCs w:val="20"/>
              </w:rPr>
            </w:pPr>
            <w:r w:rsidRPr="00BD786C">
              <w:rPr>
                <w:rFonts w:eastAsia="Times New Roman"/>
                <w:sz w:val="20"/>
                <w:szCs w:val="20"/>
                <w:lang w:eastAsia="hr-HR"/>
              </w:rPr>
              <w:t>-</w:t>
            </w:r>
          </w:p>
        </w:tc>
        <w:tc>
          <w:tcPr>
            <w:tcW w:w="992" w:type="dxa"/>
            <w:shd w:val="clear" w:color="auto" w:fill="auto"/>
            <w:vAlign w:val="bottom"/>
          </w:tcPr>
          <w:p w14:paraId="659695D9" w14:textId="1FDBA729" w:rsidR="00F142A4" w:rsidRPr="00BD786C" w:rsidRDefault="00BD786C" w:rsidP="00F142A4">
            <w:pPr>
              <w:jc w:val="right"/>
              <w:rPr>
                <w:sz w:val="20"/>
                <w:szCs w:val="20"/>
              </w:rPr>
            </w:pPr>
            <w:r w:rsidRPr="00BD786C">
              <w:rPr>
                <w:rFonts w:eastAsia="Times New Roman"/>
                <w:sz w:val="20"/>
                <w:szCs w:val="20"/>
                <w:lang w:eastAsia="hr-HR"/>
              </w:rPr>
              <w:t>-</w:t>
            </w:r>
          </w:p>
        </w:tc>
        <w:tc>
          <w:tcPr>
            <w:tcW w:w="1134" w:type="dxa"/>
            <w:shd w:val="clear" w:color="auto" w:fill="auto"/>
            <w:noWrap/>
            <w:vAlign w:val="bottom"/>
          </w:tcPr>
          <w:p w14:paraId="5172B3EA" w14:textId="2076B462" w:rsidR="00F142A4" w:rsidRPr="00BD786C" w:rsidRDefault="00BD786C" w:rsidP="00F142A4">
            <w:pPr>
              <w:jc w:val="center"/>
              <w:rPr>
                <w:sz w:val="20"/>
                <w:szCs w:val="20"/>
              </w:rPr>
            </w:pPr>
            <w:r w:rsidRPr="00BD786C">
              <w:rPr>
                <w:rFonts w:eastAsia="Times New Roman"/>
                <w:sz w:val="20"/>
                <w:szCs w:val="20"/>
                <w:lang w:eastAsia="hr-HR"/>
              </w:rPr>
              <w:t>-</w:t>
            </w:r>
          </w:p>
        </w:tc>
        <w:tc>
          <w:tcPr>
            <w:tcW w:w="850" w:type="dxa"/>
            <w:shd w:val="clear" w:color="auto" w:fill="auto"/>
            <w:vAlign w:val="bottom"/>
          </w:tcPr>
          <w:p w14:paraId="386CF0CC" w14:textId="14864592" w:rsidR="00F142A4" w:rsidRPr="00BD786C" w:rsidRDefault="00F142A4" w:rsidP="00F142A4">
            <w:pPr>
              <w:jc w:val="right"/>
              <w:rPr>
                <w:sz w:val="20"/>
                <w:szCs w:val="20"/>
              </w:rPr>
            </w:pPr>
            <w:r w:rsidRPr="00BD786C">
              <w:rPr>
                <w:rFonts w:eastAsia="Times New Roman"/>
                <w:sz w:val="20"/>
                <w:szCs w:val="20"/>
                <w:lang w:eastAsia="hr-HR"/>
              </w:rPr>
              <w:t>5,8</w:t>
            </w:r>
          </w:p>
        </w:tc>
        <w:tc>
          <w:tcPr>
            <w:tcW w:w="1134" w:type="dxa"/>
            <w:shd w:val="clear" w:color="auto" w:fill="auto"/>
            <w:noWrap/>
            <w:vAlign w:val="bottom"/>
          </w:tcPr>
          <w:p w14:paraId="37F8DAC9" w14:textId="4EA05FC0" w:rsidR="00F142A4" w:rsidRPr="00BD786C" w:rsidRDefault="00F142A4" w:rsidP="00F142A4">
            <w:pPr>
              <w:jc w:val="center"/>
              <w:rPr>
                <w:sz w:val="20"/>
                <w:szCs w:val="20"/>
              </w:rPr>
            </w:pPr>
            <w:r w:rsidRPr="00BD786C">
              <w:rPr>
                <w:rFonts w:eastAsia="Times New Roman"/>
                <w:sz w:val="20"/>
                <w:szCs w:val="20"/>
                <w:lang w:eastAsia="hr-HR"/>
              </w:rPr>
              <w:t>0,01</w:t>
            </w:r>
          </w:p>
        </w:tc>
      </w:tr>
      <w:tr w:rsidR="00F142A4" w:rsidRPr="00F142A4" w14:paraId="7F329469" w14:textId="77777777" w:rsidTr="00BD786C">
        <w:trPr>
          <w:trHeight w:val="40"/>
        </w:trPr>
        <w:tc>
          <w:tcPr>
            <w:tcW w:w="2972" w:type="dxa"/>
            <w:shd w:val="clear" w:color="000000" w:fill="FFFF99"/>
            <w:noWrap/>
            <w:vAlign w:val="center"/>
            <w:hideMark/>
          </w:tcPr>
          <w:p w14:paraId="296848B2" w14:textId="77777777" w:rsidR="00F142A4" w:rsidRPr="00BD786C" w:rsidRDefault="00F142A4" w:rsidP="00F142A4">
            <w:pPr>
              <w:rPr>
                <w:rFonts w:eastAsia="Times New Roman"/>
                <w:b/>
                <w:bCs/>
                <w:sz w:val="20"/>
                <w:szCs w:val="20"/>
              </w:rPr>
            </w:pPr>
            <w:r w:rsidRPr="00BD786C">
              <w:rPr>
                <w:rFonts w:eastAsia="Times New Roman"/>
                <w:b/>
                <w:bCs/>
                <w:sz w:val="20"/>
                <w:szCs w:val="20"/>
              </w:rPr>
              <w:t>Ukupno</w:t>
            </w:r>
          </w:p>
        </w:tc>
        <w:tc>
          <w:tcPr>
            <w:tcW w:w="851" w:type="dxa"/>
            <w:shd w:val="clear" w:color="000000" w:fill="FFFF99"/>
            <w:noWrap/>
            <w:vAlign w:val="bottom"/>
            <w:hideMark/>
          </w:tcPr>
          <w:p w14:paraId="20B98E36" w14:textId="0FD580FA" w:rsidR="00F142A4" w:rsidRPr="00BD786C" w:rsidRDefault="00F142A4" w:rsidP="00F142A4">
            <w:pPr>
              <w:jc w:val="right"/>
              <w:rPr>
                <w:b/>
                <w:sz w:val="20"/>
                <w:szCs w:val="20"/>
              </w:rPr>
            </w:pPr>
            <w:r w:rsidRPr="00BD786C">
              <w:rPr>
                <w:rFonts w:eastAsia="Times New Roman"/>
                <w:b/>
                <w:bCs/>
                <w:sz w:val="20"/>
                <w:szCs w:val="20"/>
                <w:lang w:eastAsia="hr-HR"/>
              </w:rPr>
              <w:t>584,3</w:t>
            </w:r>
          </w:p>
        </w:tc>
        <w:tc>
          <w:tcPr>
            <w:tcW w:w="1134" w:type="dxa"/>
            <w:shd w:val="clear" w:color="000000" w:fill="FFFF99"/>
            <w:noWrap/>
            <w:vAlign w:val="bottom"/>
            <w:hideMark/>
          </w:tcPr>
          <w:p w14:paraId="2C268649" w14:textId="15EAD950" w:rsidR="00F142A4" w:rsidRPr="00BD786C" w:rsidRDefault="00F142A4" w:rsidP="00F142A4">
            <w:pPr>
              <w:jc w:val="center"/>
              <w:rPr>
                <w:b/>
                <w:sz w:val="20"/>
                <w:szCs w:val="20"/>
              </w:rPr>
            </w:pPr>
            <w:r w:rsidRPr="00BD786C">
              <w:rPr>
                <w:rFonts w:eastAsia="Times New Roman"/>
                <w:b/>
                <w:bCs/>
                <w:sz w:val="20"/>
                <w:szCs w:val="20"/>
                <w:lang w:eastAsia="hr-HR"/>
              </w:rPr>
              <w:t>0,99</w:t>
            </w:r>
          </w:p>
        </w:tc>
        <w:tc>
          <w:tcPr>
            <w:tcW w:w="992" w:type="dxa"/>
            <w:shd w:val="clear" w:color="000000" w:fill="FFFF99"/>
            <w:noWrap/>
            <w:vAlign w:val="bottom"/>
            <w:hideMark/>
          </w:tcPr>
          <w:p w14:paraId="5CFA64BA" w14:textId="56F61182" w:rsidR="00F142A4" w:rsidRPr="00BD786C" w:rsidRDefault="00F142A4" w:rsidP="00F142A4">
            <w:pPr>
              <w:jc w:val="right"/>
              <w:rPr>
                <w:b/>
                <w:sz w:val="20"/>
                <w:szCs w:val="20"/>
              </w:rPr>
            </w:pPr>
            <w:r w:rsidRPr="00BD786C">
              <w:rPr>
                <w:rFonts w:eastAsia="Times New Roman"/>
                <w:b/>
                <w:bCs/>
                <w:sz w:val="20"/>
                <w:szCs w:val="20"/>
                <w:lang w:eastAsia="hr-HR"/>
              </w:rPr>
              <w:t>604,2</w:t>
            </w:r>
          </w:p>
        </w:tc>
        <w:tc>
          <w:tcPr>
            <w:tcW w:w="1134" w:type="dxa"/>
            <w:shd w:val="clear" w:color="000000" w:fill="FFFF99"/>
            <w:noWrap/>
            <w:vAlign w:val="bottom"/>
            <w:hideMark/>
          </w:tcPr>
          <w:p w14:paraId="7DEC99C0" w14:textId="38C8A105" w:rsidR="00F142A4" w:rsidRPr="00BD786C" w:rsidRDefault="00BD786C" w:rsidP="00F142A4">
            <w:pPr>
              <w:jc w:val="center"/>
              <w:rPr>
                <w:b/>
                <w:sz w:val="20"/>
                <w:szCs w:val="20"/>
              </w:rPr>
            </w:pPr>
            <w:r w:rsidRPr="00BD786C">
              <w:rPr>
                <w:rFonts w:eastAsia="Times New Roman"/>
                <w:b/>
                <w:bCs/>
                <w:sz w:val="20"/>
                <w:szCs w:val="20"/>
                <w:lang w:eastAsia="hr-HR"/>
              </w:rPr>
              <w:t>0,88</w:t>
            </w:r>
          </w:p>
        </w:tc>
        <w:tc>
          <w:tcPr>
            <w:tcW w:w="850" w:type="dxa"/>
            <w:shd w:val="clear" w:color="000000" w:fill="FFFF99"/>
            <w:noWrap/>
            <w:vAlign w:val="bottom"/>
            <w:hideMark/>
          </w:tcPr>
          <w:p w14:paraId="78D36045" w14:textId="54D14A6C" w:rsidR="00F142A4" w:rsidRPr="00BD786C" w:rsidRDefault="00F142A4" w:rsidP="00F142A4">
            <w:pPr>
              <w:jc w:val="right"/>
              <w:rPr>
                <w:b/>
                <w:sz w:val="20"/>
                <w:szCs w:val="20"/>
              </w:rPr>
            </w:pPr>
            <w:r w:rsidRPr="00BD786C">
              <w:rPr>
                <w:rFonts w:eastAsia="Times New Roman"/>
                <w:b/>
                <w:bCs/>
                <w:sz w:val="20"/>
                <w:szCs w:val="20"/>
                <w:lang w:eastAsia="hr-HR"/>
              </w:rPr>
              <w:t>848,9</w:t>
            </w:r>
          </w:p>
        </w:tc>
        <w:tc>
          <w:tcPr>
            <w:tcW w:w="1134" w:type="dxa"/>
            <w:shd w:val="clear" w:color="000000" w:fill="FFFF99"/>
            <w:noWrap/>
            <w:vAlign w:val="bottom"/>
            <w:hideMark/>
          </w:tcPr>
          <w:p w14:paraId="73863881" w14:textId="2D610096" w:rsidR="00F142A4" w:rsidRPr="00BD786C" w:rsidRDefault="00BD786C" w:rsidP="00F142A4">
            <w:pPr>
              <w:jc w:val="center"/>
              <w:rPr>
                <w:b/>
                <w:sz w:val="20"/>
                <w:szCs w:val="20"/>
              </w:rPr>
            </w:pPr>
            <w:r w:rsidRPr="00BD786C">
              <w:rPr>
                <w:rFonts w:eastAsia="Times New Roman"/>
                <w:b/>
                <w:bCs/>
                <w:sz w:val="20"/>
                <w:szCs w:val="20"/>
                <w:lang w:eastAsia="hr-HR"/>
              </w:rPr>
              <w:t>1,11</w:t>
            </w:r>
          </w:p>
        </w:tc>
      </w:tr>
    </w:tbl>
    <w:p w14:paraId="5274818B" w14:textId="77777777" w:rsidR="00F42549" w:rsidRPr="00F142A4" w:rsidRDefault="00F42549" w:rsidP="00BE487D">
      <w:pPr>
        <w:contextualSpacing/>
        <w:jc w:val="both"/>
        <w:rPr>
          <w:i/>
          <w:sz w:val="20"/>
        </w:rPr>
      </w:pPr>
      <w:r w:rsidRPr="00F142A4">
        <w:rPr>
          <w:i/>
          <w:sz w:val="20"/>
        </w:rPr>
        <w:t>Izvor: Ministarstvo financija i davatelji potpora; podaci obrađeni u Ministarstvu financija</w:t>
      </w:r>
    </w:p>
    <w:p w14:paraId="735971C4" w14:textId="77777777" w:rsidR="0061256D" w:rsidRPr="00F142A4" w:rsidRDefault="0061256D" w:rsidP="00BE487D">
      <w:pPr>
        <w:jc w:val="both"/>
      </w:pPr>
    </w:p>
    <w:p w14:paraId="4FFF3927" w14:textId="2B528D2E" w:rsidR="00D84321" w:rsidRPr="009A27FC" w:rsidRDefault="00D84321" w:rsidP="00D84321">
      <w:pPr>
        <w:jc w:val="both"/>
      </w:pPr>
      <w:r w:rsidRPr="009A27FC">
        <w:t xml:space="preserve">Udio sektorskih potpora u BDP-u u 2023. godini iznosio je 1,11 posto, u 2022. godini iznosio je 0,88 posto, dok je u 2021. godini iznosio 0,99 posto. Udio navedenih potpora u 2023. godini u ukupno dodijeljenim potporama iznosio je 28 posto, </w:t>
      </w:r>
      <w:r w:rsidR="009A27FC" w:rsidRPr="009A27FC">
        <w:t xml:space="preserve">dok je </w:t>
      </w:r>
      <w:r w:rsidRPr="009A27FC">
        <w:t xml:space="preserve">udio u dodijeljenim potporama u sektoru industrije i usluga u 2023. godini iznosio je </w:t>
      </w:r>
      <w:r w:rsidR="009A27FC" w:rsidRPr="009A27FC">
        <w:t>43,1 posto</w:t>
      </w:r>
      <w:r w:rsidRPr="009A27FC">
        <w:t>.</w:t>
      </w:r>
    </w:p>
    <w:p w14:paraId="2AF28AB9" w14:textId="77777777" w:rsidR="00267D6D" w:rsidRPr="009A27FC" w:rsidRDefault="00267D6D" w:rsidP="009A27FC"/>
    <w:p w14:paraId="5D353A9F" w14:textId="23AD869F" w:rsidR="0085281F" w:rsidRPr="0085281F" w:rsidRDefault="00ED082F" w:rsidP="00BE487D">
      <w:pPr>
        <w:jc w:val="both"/>
      </w:pPr>
      <w:r w:rsidRPr="009A27FC">
        <w:t>U</w:t>
      </w:r>
      <w:r w:rsidR="006E49A5" w:rsidRPr="009A27FC">
        <w:t>nutar sektorskih potpora, dodijeljenih</w:t>
      </w:r>
      <w:r w:rsidRPr="009A27FC">
        <w:t xml:space="preserve"> u 202</w:t>
      </w:r>
      <w:r w:rsidR="00F872C6" w:rsidRPr="009A27FC">
        <w:t>3</w:t>
      </w:r>
      <w:r w:rsidRPr="009A27FC">
        <w:t>. godini</w:t>
      </w:r>
      <w:r w:rsidR="006E49A5" w:rsidRPr="009A27FC">
        <w:t xml:space="preserve"> u iznosu od </w:t>
      </w:r>
      <w:r w:rsidR="00F872C6" w:rsidRPr="009A27FC">
        <w:t xml:space="preserve">848,87 </w:t>
      </w:r>
      <w:r w:rsidR="006E49A5" w:rsidRPr="009A27FC">
        <w:t xml:space="preserve">milijuna </w:t>
      </w:r>
      <w:r w:rsidR="00F872C6" w:rsidRPr="009A27FC">
        <w:t>eura</w:t>
      </w:r>
      <w:r w:rsidR="006E49A5" w:rsidRPr="009A27FC">
        <w:t xml:space="preserve">, </w:t>
      </w:r>
      <w:r w:rsidR="00F872C6" w:rsidRPr="009A27FC">
        <w:t>najviše</w:t>
      </w:r>
      <w:r w:rsidR="006E49A5" w:rsidRPr="009A27FC">
        <w:t xml:space="preserve"> </w:t>
      </w:r>
      <w:r w:rsidR="00F872C6" w:rsidRPr="009A27FC">
        <w:t xml:space="preserve">potpora dodijeljeno je </w:t>
      </w:r>
      <w:r w:rsidR="0070139A" w:rsidRPr="009A27FC">
        <w:t xml:space="preserve">sektoru prometa </w:t>
      </w:r>
      <w:r w:rsidR="00F872C6" w:rsidRPr="009A27FC">
        <w:t xml:space="preserve">u iznosu </w:t>
      </w:r>
      <w:r w:rsidR="0070139A" w:rsidRPr="009A27FC">
        <w:t xml:space="preserve">od </w:t>
      </w:r>
      <w:r w:rsidR="00F872C6" w:rsidRPr="009A27FC">
        <w:t xml:space="preserve">320,6 </w:t>
      </w:r>
      <w:r w:rsidR="0070139A" w:rsidRPr="009A27FC">
        <w:t xml:space="preserve">milijuna </w:t>
      </w:r>
      <w:r w:rsidR="00F872C6" w:rsidRPr="009A27FC">
        <w:t xml:space="preserve">eura </w:t>
      </w:r>
      <w:r w:rsidR="009B7A58" w:rsidRPr="009A27FC">
        <w:t xml:space="preserve">ili </w:t>
      </w:r>
      <w:r w:rsidR="00F872C6" w:rsidRPr="009A27FC">
        <w:t xml:space="preserve">s </w:t>
      </w:r>
      <w:r w:rsidR="009B7A58" w:rsidRPr="009A27FC">
        <w:t>3</w:t>
      </w:r>
      <w:r w:rsidR="00F872C6" w:rsidRPr="009A27FC">
        <w:t>7,8</w:t>
      </w:r>
      <w:r w:rsidR="009B7A58" w:rsidRPr="009A27FC">
        <w:t xml:space="preserve"> posto udjela u sektorskim potporama, slijede potpore </w:t>
      </w:r>
      <w:r w:rsidR="00F872C6" w:rsidRPr="009A27FC">
        <w:t xml:space="preserve">za zaštitu okoliša i očuvanje energije u iznosu od 184,9 milijun eura ili 21,8 posto, </w:t>
      </w:r>
      <w:r w:rsidR="009B7A58" w:rsidRPr="009A27FC">
        <w:t>za usluge za javno radiotelevizijsko emitiranje i audiovizualnu industriju dodijeljen</w:t>
      </w:r>
      <w:r w:rsidR="00F872C6" w:rsidRPr="009A27FC">
        <w:t>o je 153,9</w:t>
      </w:r>
      <w:r w:rsidR="009B7A58" w:rsidRPr="009A27FC">
        <w:t xml:space="preserve"> milijuna </w:t>
      </w:r>
      <w:r w:rsidR="00F872C6" w:rsidRPr="009A27FC">
        <w:t xml:space="preserve">eura </w:t>
      </w:r>
      <w:r w:rsidR="009B7A58" w:rsidRPr="009A27FC">
        <w:t xml:space="preserve">ili </w:t>
      </w:r>
      <w:r w:rsidR="00F872C6" w:rsidRPr="009A27FC">
        <w:t>18,1</w:t>
      </w:r>
      <w:r w:rsidR="009B7A58" w:rsidRPr="009A27FC">
        <w:t xml:space="preserve"> posto, </w:t>
      </w:r>
      <w:r w:rsidR="0085281F" w:rsidRPr="009A27FC">
        <w:t xml:space="preserve">sektoru </w:t>
      </w:r>
      <w:r w:rsidR="00F872C6" w:rsidRPr="009A27FC">
        <w:t>turizm</w:t>
      </w:r>
      <w:r w:rsidR="0085281F" w:rsidRPr="009A27FC">
        <w:t>a</w:t>
      </w:r>
      <w:r w:rsidR="00F872C6" w:rsidRPr="009A27FC">
        <w:t xml:space="preserve"> </w:t>
      </w:r>
      <w:r w:rsidR="0085281F" w:rsidRPr="009A27FC">
        <w:t xml:space="preserve">dodijeljeno je </w:t>
      </w:r>
      <w:r w:rsidR="00F872C6" w:rsidRPr="009A27FC">
        <w:t xml:space="preserve">130,5 milijuna eura ili 15,4 posto, </w:t>
      </w:r>
      <w:r w:rsidR="009B7A58" w:rsidRPr="009A27FC">
        <w:t xml:space="preserve">sektoru brodogradnje dodijeljeno je </w:t>
      </w:r>
      <w:r w:rsidR="0085281F" w:rsidRPr="009A27FC">
        <w:t>29,5</w:t>
      </w:r>
      <w:r w:rsidR="009B7A58" w:rsidRPr="009A27FC">
        <w:t xml:space="preserve"> milijun</w:t>
      </w:r>
      <w:r w:rsidR="00F9565B" w:rsidRPr="009A27FC">
        <w:t>a</w:t>
      </w:r>
      <w:r w:rsidR="009B7A58" w:rsidRPr="009A27FC">
        <w:t xml:space="preserve"> </w:t>
      </w:r>
      <w:r w:rsidR="00F872C6" w:rsidRPr="009A27FC">
        <w:t xml:space="preserve">eura </w:t>
      </w:r>
      <w:r w:rsidR="009B7A58" w:rsidRPr="009A27FC">
        <w:t xml:space="preserve">ili </w:t>
      </w:r>
      <w:r w:rsidR="0085281F" w:rsidRPr="009A27FC">
        <w:t>3,5</w:t>
      </w:r>
      <w:r w:rsidR="009B7A58" w:rsidRPr="009A27FC">
        <w:t xml:space="preserve"> posto, </w:t>
      </w:r>
      <w:r w:rsidR="00F42549" w:rsidRPr="009A27FC">
        <w:t>za poštanske usluge</w:t>
      </w:r>
      <w:r w:rsidR="006B792F" w:rsidRPr="009A27FC">
        <w:t xml:space="preserve"> dodijeljeno je</w:t>
      </w:r>
      <w:r w:rsidR="00F42549" w:rsidRPr="009A27FC">
        <w:t xml:space="preserve"> </w:t>
      </w:r>
      <w:r w:rsidR="0085281F" w:rsidRPr="009A27FC">
        <w:t>14,8</w:t>
      </w:r>
      <w:r w:rsidR="009B7A58" w:rsidRPr="009A27FC">
        <w:t xml:space="preserve"> </w:t>
      </w:r>
      <w:r w:rsidR="00F42549" w:rsidRPr="009A27FC">
        <w:t>milijun</w:t>
      </w:r>
      <w:r w:rsidR="009B7A58" w:rsidRPr="009A27FC">
        <w:t>a</w:t>
      </w:r>
      <w:r w:rsidR="00F42549" w:rsidRPr="009A27FC">
        <w:t xml:space="preserve"> </w:t>
      </w:r>
      <w:r w:rsidR="00F872C6" w:rsidRPr="009A27FC">
        <w:t xml:space="preserve">eura </w:t>
      </w:r>
      <w:r w:rsidR="00F42549" w:rsidRPr="009A27FC">
        <w:t xml:space="preserve">ili </w:t>
      </w:r>
      <w:r w:rsidR="0085281F" w:rsidRPr="009A27FC">
        <w:t>1,7</w:t>
      </w:r>
      <w:r w:rsidR="00F42549" w:rsidRPr="009A27FC">
        <w:t xml:space="preserve"> posto</w:t>
      </w:r>
      <w:r w:rsidR="0085281F" w:rsidRPr="009A27FC">
        <w:t xml:space="preserve">, za sanaciju i restrukturiranje </w:t>
      </w:r>
      <w:r w:rsidR="00F9565B" w:rsidRPr="009A27FC">
        <w:t>poduzetnika</w:t>
      </w:r>
      <w:r w:rsidR="0085281F" w:rsidRPr="009A27FC">
        <w:t xml:space="preserve"> dodijeljeno je 9 milijuna eura ili 1,1 posto te je za razvoj širokopojasnih mreža dodijeljeno 5,8 milijuna eura ili 0,7 posto.</w:t>
      </w:r>
    </w:p>
    <w:p w14:paraId="2281F88D" w14:textId="77777777" w:rsidR="0061256D" w:rsidRPr="009A27FC" w:rsidRDefault="0061256D" w:rsidP="00BE487D">
      <w:pPr>
        <w:jc w:val="both"/>
      </w:pPr>
    </w:p>
    <w:p w14:paraId="7BA1D5BB" w14:textId="1A0F0CE6" w:rsidR="009A27FC" w:rsidRPr="009A27FC" w:rsidRDefault="009A27FC" w:rsidP="009A27FC">
      <w:pPr>
        <w:jc w:val="both"/>
      </w:pPr>
      <w:r w:rsidRPr="009A27FC">
        <w:t>Sektorske potpore u 2023. godini su dodijeljene u iznosu od 848,9 milijuna eura, i to najvećim dijelom putem subvencija i neposrednih subvencija kamata u iznosu od 756,9 milijuna eura ili s udjelom od 89,2 posto u sektorskim potporama, slijede izdana jamstva u iznosu od 38,5 milijuna eura ili 4,5 posto, porezne olakšice u iznosu od 38 milijuna eura ili 4,5 posto te povoljni zajmovi u iznosu od 15,6 milijun eura ili 1,8 posto.</w:t>
      </w:r>
    </w:p>
    <w:p w14:paraId="03224493" w14:textId="77777777" w:rsidR="006D5695" w:rsidRPr="00BD786C" w:rsidRDefault="006D5695" w:rsidP="00BE487D">
      <w:pPr>
        <w:contextualSpacing/>
        <w:jc w:val="both"/>
        <w:rPr>
          <w:b/>
        </w:rPr>
      </w:pPr>
    </w:p>
    <w:p w14:paraId="62807038" w14:textId="77777777" w:rsidR="009A27FC" w:rsidRDefault="009A27FC">
      <w:pPr>
        <w:rPr>
          <w:b/>
        </w:rPr>
      </w:pPr>
      <w:r>
        <w:rPr>
          <w:b/>
        </w:rPr>
        <w:br w:type="page"/>
      </w:r>
    </w:p>
    <w:p w14:paraId="5348C871" w14:textId="5EEDC3E1" w:rsidR="00F42549" w:rsidRPr="00B75A66" w:rsidRDefault="00F42549" w:rsidP="00BE487D">
      <w:pPr>
        <w:contextualSpacing/>
        <w:jc w:val="both"/>
      </w:pPr>
      <w:r w:rsidRPr="00B75A66">
        <w:lastRenderedPageBreak/>
        <w:t>Slika 1</w:t>
      </w:r>
      <w:r w:rsidR="00A82E29" w:rsidRPr="00B75A66">
        <w:t>3</w:t>
      </w:r>
      <w:r w:rsidRPr="00B75A66">
        <w:t>. Struktura sektorskih potpora dodijeljenih u razdoblju od 20</w:t>
      </w:r>
      <w:r w:rsidR="002F63E1" w:rsidRPr="00B75A66">
        <w:t>2</w:t>
      </w:r>
      <w:r w:rsidR="00A82E29" w:rsidRPr="00B75A66">
        <w:t>1</w:t>
      </w:r>
      <w:r w:rsidRPr="00B75A66">
        <w:t>. do 202</w:t>
      </w:r>
      <w:r w:rsidR="00A82E29" w:rsidRPr="00B75A66">
        <w:t>3</w:t>
      </w:r>
      <w:r w:rsidRPr="00B75A66">
        <w:t>. godine (%)</w:t>
      </w:r>
    </w:p>
    <w:p w14:paraId="2A3E8712" w14:textId="77777777" w:rsidR="007D617C" w:rsidRPr="0081459E" w:rsidRDefault="007D617C" w:rsidP="00BE487D">
      <w:pPr>
        <w:rPr>
          <w:b/>
          <w:sz w:val="20"/>
        </w:rPr>
      </w:pPr>
    </w:p>
    <w:p w14:paraId="719B867F" w14:textId="1E146216" w:rsidR="00F91245" w:rsidRPr="0081459E" w:rsidRDefault="00F91245" w:rsidP="0081459E">
      <w:pPr>
        <w:jc w:val="center"/>
        <w:rPr>
          <w:b/>
        </w:rPr>
      </w:pPr>
      <w:r w:rsidRPr="0081459E">
        <w:rPr>
          <w:noProof/>
          <w:lang w:eastAsia="hr-HR"/>
        </w:rPr>
        <w:drawing>
          <wp:inline distT="0" distB="0" distL="0" distR="0" wp14:anchorId="0F03AEC0" wp14:editId="1EE05F95">
            <wp:extent cx="5759450" cy="2292350"/>
            <wp:effectExtent l="0" t="0" r="12700" b="12700"/>
            <wp:docPr id="33" name="Grafikon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406BE1" w14:textId="77777777" w:rsidR="00BD786C" w:rsidRPr="00BD786C" w:rsidRDefault="00BD786C" w:rsidP="00BD786C">
      <w:pPr>
        <w:contextualSpacing/>
        <w:jc w:val="center"/>
        <w:rPr>
          <w:i/>
          <w:sz w:val="20"/>
        </w:rPr>
      </w:pPr>
      <w:r w:rsidRPr="0081459E">
        <w:rPr>
          <w:i/>
          <w:sz w:val="20"/>
        </w:rPr>
        <w:t>Izvor: Ministarstvo financija i davatelji potpora; podaci obrađeni u Ministarstvu financija</w:t>
      </w:r>
    </w:p>
    <w:p w14:paraId="162AFC93" w14:textId="77777777" w:rsidR="00F91245" w:rsidRPr="00BD786C" w:rsidRDefault="00F91245" w:rsidP="00BE487D">
      <w:pPr>
        <w:jc w:val="both"/>
        <w:rPr>
          <w:b/>
        </w:rPr>
      </w:pPr>
    </w:p>
    <w:p w14:paraId="29474477" w14:textId="0989D3B5" w:rsidR="00E668F9" w:rsidRPr="009A27FC" w:rsidRDefault="00E668F9" w:rsidP="00BE487D">
      <w:pPr>
        <w:pStyle w:val="ListParagraph"/>
        <w:jc w:val="both"/>
        <w:rPr>
          <w:b/>
        </w:rPr>
      </w:pPr>
    </w:p>
    <w:p w14:paraId="078B8AB8" w14:textId="77777777" w:rsidR="00BD786C" w:rsidRPr="009A27FC" w:rsidRDefault="00BD786C" w:rsidP="00BE487D">
      <w:pPr>
        <w:pStyle w:val="ListParagraph"/>
        <w:jc w:val="both"/>
        <w:rPr>
          <w:b/>
        </w:rPr>
      </w:pPr>
    </w:p>
    <w:p w14:paraId="2E1A5C1A" w14:textId="34434751" w:rsidR="00BB6808" w:rsidRPr="009A27FC" w:rsidRDefault="00BC66CE" w:rsidP="00BE487D">
      <w:pPr>
        <w:pStyle w:val="Heading3"/>
        <w:spacing w:before="0"/>
        <w:ind w:firstLine="360"/>
        <w:jc w:val="both"/>
        <w:rPr>
          <w:rFonts w:ascii="Times New Roman" w:hAnsi="Times New Roman" w:cs="Times New Roman"/>
          <w:b/>
          <w:color w:val="auto"/>
        </w:rPr>
      </w:pPr>
      <w:bookmarkStart w:id="22" w:name="_Toc184635852"/>
      <w:r w:rsidRPr="009A27FC">
        <w:rPr>
          <w:rFonts w:ascii="Times New Roman" w:hAnsi="Times New Roman" w:cs="Times New Roman"/>
          <w:b/>
          <w:color w:val="auto"/>
        </w:rPr>
        <w:t>Potpore za obavljanje usluga od općeg gospodarskog interesa</w:t>
      </w:r>
      <w:bookmarkEnd w:id="22"/>
    </w:p>
    <w:p w14:paraId="444C273D" w14:textId="77777777" w:rsidR="00BB6808" w:rsidRPr="009A27FC" w:rsidRDefault="00BB6808" w:rsidP="00BE487D">
      <w:pPr>
        <w:pStyle w:val="ListParagraph"/>
        <w:jc w:val="both"/>
        <w:rPr>
          <w:b/>
        </w:rPr>
      </w:pPr>
    </w:p>
    <w:p w14:paraId="388A282D" w14:textId="77777777" w:rsidR="00E668F9" w:rsidRPr="009A27FC" w:rsidRDefault="00E668F9" w:rsidP="00BE487D">
      <w:pPr>
        <w:pStyle w:val="ListParagraph"/>
        <w:jc w:val="both"/>
        <w:rPr>
          <w:b/>
        </w:rPr>
      </w:pPr>
    </w:p>
    <w:p w14:paraId="07A09660" w14:textId="604C8E24" w:rsidR="00DE4B92" w:rsidRPr="0052274E" w:rsidRDefault="00817713" w:rsidP="00DE4B92">
      <w:pPr>
        <w:jc w:val="both"/>
      </w:pPr>
      <w:r w:rsidRPr="0052274E">
        <w:t>Pravila o potporama za obavljanje usluga od općeg gospodarskog interesa sadržana su u</w:t>
      </w:r>
      <w:r w:rsidR="00BE1A0A" w:rsidRPr="0052274E">
        <w:t xml:space="preserve"> Odluci Komisije od 20. prosinca 2011. o primjeni članka 106. stavka 2. Ugovora o funkcioniranju Europske unije na državne potpore u obliku naknada određenim poduzetnicima kojima je povjereno obavljanje usluga od općeg gospodarskog interesa</w:t>
      </w:r>
      <w:r w:rsidR="00BE1A0A" w:rsidRPr="0052274E">
        <w:rPr>
          <w:rStyle w:val="FootnoteReference"/>
        </w:rPr>
        <w:footnoteReference w:id="29"/>
      </w:r>
      <w:r w:rsidR="00BE1A0A" w:rsidRPr="0052274E">
        <w:t xml:space="preserve"> (u da</w:t>
      </w:r>
      <w:r w:rsidRPr="0052274E">
        <w:t>ljnjem tekstu: Odluka Komisije)</w:t>
      </w:r>
      <w:r w:rsidR="00BE1A0A" w:rsidRPr="0052274E">
        <w:t xml:space="preserve">. </w:t>
      </w:r>
      <w:r w:rsidRPr="0052274E">
        <w:t xml:space="preserve">Sukladno navedenoj Odluci Komisije, državi članici je dopušteno da pod određenim uvjetima dodjeljuje naknadu za pružanje usluga od općeg gospodarskog interesa, odnosno ima obvezu pokrivanja </w:t>
      </w:r>
      <w:r w:rsidR="0052274E" w:rsidRPr="0052274E">
        <w:t xml:space="preserve">dijela </w:t>
      </w:r>
      <w:r w:rsidRPr="0052274E">
        <w:t>troškova</w:t>
      </w:r>
      <w:r w:rsidR="000D6856" w:rsidRPr="0052274E">
        <w:t xml:space="preserve"> </w:t>
      </w:r>
      <w:r w:rsidR="0052274E" w:rsidRPr="0052274E">
        <w:t xml:space="preserve">ili ukupnih troškova </w:t>
      </w:r>
      <w:r w:rsidR="000D6856" w:rsidRPr="0052274E">
        <w:t xml:space="preserve">onih </w:t>
      </w:r>
      <w:r w:rsidR="00A03AFF" w:rsidRPr="0052274E">
        <w:t>usluga koje</w:t>
      </w:r>
      <w:r w:rsidR="000D6856" w:rsidRPr="0052274E">
        <w:t xml:space="preserve"> imaju gospodarski karakter i koje su usmjerene k građanima, odnosno interesu društva u cijelosti, a koje</w:t>
      </w:r>
      <w:r w:rsidR="00A03AFF" w:rsidRPr="0052274E">
        <w:t>, bez intervencije države, odnosno isključivo primjenom tržišnih kriterija, pružatelji usluga ne bi o</w:t>
      </w:r>
      <w:r w:rsidR="000D6856" w:rsidRPr="0052274E">
        <w:t xml:space="preserve">bavljali na odgovarajući način glede cijene, kvalitete, kontinuiteta i pristupa usluzi. </w:t>
      </w:r>
      <w:r w:rsidR="00DE4B92" w:rsidRPr="0052274E">
        <w:t xml:space="preserve">Naknada koji dobiju korisnici </w:t>
      </w:r>
      <w:r w:rsidR="000D6856" w:rsidRPr="0052274E">
        <w:t>koji obavljaju takve usluge</w:t>
      </w:r>
      <w:r w:rsidR="00DE4B92" w:rsidRPr="0052274E">
        <w:t xml:space="preserve"> predstavlja kompenzaciju za obavljanje usluga od općeg gospodarskog interesa.</w:t>
      </w:r>
    </w:p>
    <w:p w14:paraId="36B586A4" w14:textId="77777777" w:rsidR="00DE4B92" w:rsidRPr="009A27FC" w:rsidRDefault="00DE4B92" w:rsidP="00817713"/>
    <w:p w14:paraId="6CFB0A08" w14:textId="36F996D5" w:rsidR="00DE4B92" w:rsidRPr="009A27FC" w:rsidRDefault="00DE4B92" w:rsidP="00DE4B92">
      <w:pPr>
        <w:jc w:val="both"/>
      </w:pPr>
      <w:r w:rsidRPr="009A27FC">
        <w:t>Priopćenje Komisije – Okvir Europske unije za državne potpore u obliku naknade za obavljanje</w:t>
      </w:r>
      <w:r w:rsidR="0052274E">
        <w:t xml:space="preserve"> </w:t>
      </w:r>
      <w:r w:rsidRPr="009A27FC">
        <w:t>javne sluge</w:t>
      </w:r>
      <w:r w:rsidRPr="009A27FC">
        <w:rPr>
          <w:rStyle w:val="FootnoteReference"/>
        </w:rPr>
        <w:footnoteReference w:id="30"/>
      </w:r>
      <w:r w:rsidRPr="009A27FC">
        <w:t xml:space="preserve"> (u daljnjem tekstu: Okvir EU)</w:t>
      </w:r>
      <w:r w:rsidR="008C0718" w:rsidRPr="009A27FC">
        <w:t xml:space="preserve"> primjenjuje </w:t>
      </w:r>
      <w:r w:rsidR="009B7A58" w:rsidRPr="009A27FC">
        <w:t xml:space="preserve">se </w:t>
      </w:r>
      <w:r w:rsidR="008C0718" w:rsidRPr="009A27FC">
        <w:t>na potpore za obavljanje usluga od općeg gospodarskog interesa koje ne ispunjavaju uvjete iz Odluke Komisije</w:t>
      </w:r>
      <w:r w:rsidR="007C6E32" w:rsidRPr="009A27FC">
        <w:t xml:space="preserve"> ili koje nije moguće dodijeliti putem Odluke Komisije</w:t>
      </w:r>
      <w:r w:rsidR="008C0718" w:rsidRPr="009A27FC">
        <w:t>.</w:t>
      </w:r>
      <w:r w:rsidR="000D6856" w:rsidRPr="009A27FC">
        <w:t xml:space="preserve"> </w:t>
      </w:r>
      <w:r w:rsidR="00111F89" w:rsidRPr="009A27FC">
        <w:t>P</w:t>
      </w:r>
      <w:r w:rsidR="000D6856" w:rsidRPr="009A27FC">
        <w:t xml:space="preserve">otpore iz Odluke Komisije izuzete su od obveze prijave Europskoj komisiji, dok potpore iz Priopćenja Komisije nije moguće dodijeliti bez </w:t>
      </w:r>
      <w:r w:rsidR="003B216D" w:rsidRPr="009A27FC">
        <w:t xml:space="preserve">Odluke </w:t>
      </w:r>
      <w:r w:rsidR="000D6856" w:rsidRPr="009A27FC">
        <w:t xml:space="preserve">Europske </w:t>
      </w:r>
      <w:r w:rsidR="00111F89" w:rsidRPr="009A27FC">
        <w:t>komisije</w:t>
      </w:r>
      <w:r w:rsidR="000D6856" w:rsidRPr="009A27FC">
        <w:t>.</w:t>
      </w:r>
    </w:p>
    <w:p w14:paraId="75BCC78B" w14:textId="77777777" w:rsidR="00DE4B92" w:rsidRPr="009A27FC" w:rsidRDefault="00DE4B92" w:rsidP="00817713"/>
    <w:p w14:paraId="66401C66" w14:textId="77777777" w:rsidR="009B7A58" w:rsidRPr="0052274E" w:rsidRDefault="009B7A58" w:rsidP="0052274E">
      <w:pPr>
        <w:rPr>
          <w:highlight w:val="red"/>
        </w:rPr>
      </w:pPr>
      <w:r w:rsidRPr="008149B5">
        <w:rPr>
          <w:highlight w:val="red"/>
        </w:rPr>
        <w:br w:type="page"/>
      </w:r>
    </w:p>
    <w:p w14:paraId="448E6D77" w14:textId="731CEB1F" w:rsidR="00BE1A0A" w:rsidRPr="00A82E29" w:rsidRDefault="00BE1A0A" w:rsidP="00BE487D">
      <w:pPr>
        <w:contextualSpacing/>
        <w:jc w:val="both"/>
      </w:pPr>
      <w:r w:rsidRPr="00B75A66">
        <w:lastRenderedPageBreak/>
        <w:t xml:space="preserve">Tablica </w:t>
      </w:r>
      <w:r w:rsidR="00024C59" w:rsidRPr="00B75A66">
        <w:t>1</w:t>
      </w:r>
      <w:r w:rsidR="00A82E29" w:rsidRPr="00B75A66">
        <w:t>7</w:t>
      </w:r>
      <w:r w:rsidRPr="00B75A66">
        <w:t xml:space="preserve">. Potpore </w:t>
      </w:r>
      <w:r w:rsidR="00BD786C" w:rsidRPr="00B75A66">
        <w:t xml:space="preserve">dodijeljene </w:t>
      </w:r>
      <w:r w:rsidRPr="00B75A66">
        <w:t>za obavljanje usluga od općeg gospodarskog interesa u 202</w:t>
      </w:r>
      <w:r w:rsidR="00A82E29" w:rsidRPr="00B75A66">
        <w:t>3</w:t>
      </w:r>
      <w:r w:rsidRPr="00B75A66">
        <w:t>.</w:t>
      </w:r>
      <w:r w:rsidRPr="00A82E29">
        <w:t xml:space="preserve"> godini (u milijunima </w:t>
      </w:r>
      <w:r w:rsidR="00A82E29" w:rsidRPr="00A82E29">
        <w:t>eura</w:t>
      </w:r>
      <w:r w:rsidRPr="00A82E29">
        <w:t>)</w:t>
      </w:r>
    </w:p>
    <w:p w14:paraId="270A441A" w14:textId="77777777" w:rsidR="00BE1A0A" w:rsidRPr="008149B5" w:rsidRDefault="00BE1A0A" w:rsidP="00BE487D">
      <w:pPr>
        <w:pStyle w:val="T-98-2"/>
        <w:spacing w:after="0"/>
        <w:ind w:firstLine="0"/>
        <w:contextualSpacing/>
        <w:rPr>
          <w:rFonts w:ascii="Times New Roman" w:hAnsi="Times New Roman"/>
          <w:sz w:val="20"/>
          <w:szCs w:val="24"/>
          <w:highlight w:val="red"/>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5787"/>
        <w:gridCol w:w="996"/>
        <w:gridCol w:w="847"/>
      </w:tblGrid>
      <w:tr w:rsidR="00BE1A0A" w:rsidRPr="00BD786C" w14:paraId="1FDE0BA1" w14:textId="77777777" w:rsidTr="002A10C8">
        <w:trPr>
          <w:trHeight w:val="268"/>
          <w:tblHeader/>
        </w:trPr>
        <w:tc>
          <w:tcPr>
            <w:tcW w:w="1584" w:type="dxa"/>
            <w:shd w:val="clear" w:color="000000" w:fill="FFFF99"/>
            <w:vAlign w:val="center"/>
            <w:hideMark/>
          </w:tcPr>
          <w:p w14:paraId="4FE35311" w14:textId="77777777" w:rsidR="00BE1A0A" w:rsidRPr="00BD786C" w:rsidRDefault="00BE1A0A" w:rsidP="007F794C">
            <w:pPr>
              <w:rPr>
                <w:b/>
                <w:sz w:val="16"/>
                <w:szCs w:val="16"/>
              </w:rPr>
            </w:pPr>
            <w:r w:rsidRPr="00BD786C">
              <w:rPr>
                <w:b/>
                <w:sz w:val="16"/>
                <w:szCs w:val="16"/>
              </w:rPr>
              <w:t>Kategorija potpore</w:t>
            </w:r>
          </w:p>
        </w:tc>
        <w:tc>
          <w:tcPr>
            <w:tcW w:w="5787" w:type="dxa"/>
            <w:shd w:val="clear" w:color="000000" w:fill="FFFF99"/>
            <w:vAlign w:val="center"/>
            <w:hideMark/>
          </w:tcPr>
          <w:p w14:paraId="5EF680CD" w14:textId="77777777" w:rsidR="00BE1A0A" w:rsidRPr="00BD786C" w:rsidRDefault="00BE1A0A" w:rsidP="007F794C">
            <w:pPr>
              <w:rPr>
                <w:b/>
                <w:sz w:val="16"/>
                <w:szCs w:val="16"/>
              </w:rPr>
            </w:pPr>
            <w:r w:rsidRPr="00BD786C">
              <w:rPr>
                <w:b/>
                <w:sz w:val="16"/>
                <w:szCs w:val="16"/>
              </w:rPr>
              <w:t>Naziv potpore</w:t>
            </w:r>
          </w:p>
        </w:tc>
        <w:tc>
          <w:tcPr>
            <w:tcW w:w="996" w:type="dxa"/>
            <w:shd w:val="clear" w:color="000000" w:fill="FFFF99"/>
            <w:vAlign w:val="center"/>
            <w:hideMark/>
          </w:tcPr>
          <w:p w14:paraId="31B81935" w14:textId="77777777" w:rsidR="00BE1A0A" w:rsidRPr="00BD786C" w:rsidRDefault="00BE1A0A" w:rsidP="007F794C">
            <w:pPr>
              <w:rPr>
                <w:b/>
                <w:sz w:val="16"/>
                <w:szCs w:val="16"/>
              </w:rPr>
            </w:pPr>
            <w:r w:rsidRPr="00BD786C">
              <w:rPr>
                <w:b/>
                <w:sz w:val="16"/>
                <w:szCs w:val="16"/>
              </w:rPr>
              <w:t>Instrument</w:t>
            </w:r>
          </w:p>
        </w:tc>
        <w:tc>
          <w:tcPr>
            <w:tcW w:w="847" w:type="dxa"/>
            <w:shd w:val="clear" w:color="000000" w:fill="FFFF99"/>
            <w:vAlign w:val="center"/>
            <w:hideMark/>
          </w:tcPr>
          <w:p w14:paraId="7EABCCD5" w14:textId="77777777" w:rsidR="00BE1A0A" w:rsidRPr="00BD786C" w:rsidRDefault="00BE1A0A" w:rsidP="007F794C">
            <w:pPr>
              <w:jc w:val="right"/>
              <w:rPr>
                <w:b/>
                <w:sz w:val="16"/>
                <w:szCs w:val="16"/>
              </w:rPr>
            </w:pPr>
            <w:r w:rsidRPr="00BD786C">
              <w:rPr>
                <w:b/>
                <w:sz w:val="16"/>
                <w:szCs w:val="16"/>
              </w:rPr>
              <w:t xml:space="preserve">Iznos </w:t>
            </w:r>
          </w:p>
        </w:tc>
      </w:tr>
      <w:tr w:rsidR="002F63E1" w:rsidRPr="008149B5" w14:paraId="33F35A44" w14:textId="77777777" w:rsidTr="002A10C8">
        <w:trPr>
          <w:trHeight w:val="207"/>
        </w:trPr>
        <w:tc>
          <w:tcPr>
            <w:tcW w:w="1584" w:type="dxa"/>
            <w:shd w:val="clear" w:color="auto" w:fill="auto"/>
            <w:vAlign w:val="center"/>
            <w:hideMark/>
          </w:tcPr>
          <w:p w14:paraId="2470E9E5" w14:textId="77777777" w:rsidR="002F63E1" w:rsidRPr="00BD786C" w:rsidRDefault="002F63E1" w:rsidP="002F63E1">
            <w:pPr>
              <w:rPr>
                <w:sz w:val="16"/>
                <w:szCs w:val="16"/>
              </w:rPr>
            </w:pPr>
            <w:r w:rsidRPr="00BD786C">
              <w:rPr>
                <w:sz w:val="16"/>
                <w:szCs w:val="16"/>
              </w:rPr>
              <w:t>Radiotelevizijsko emitiranje</w:t>
            </w:r>
          </w:p>
        </w:tc>
        <w:tc>
          <w:tcPr>
            <w:tcW w:w="5787" w:type="dxa"/>
            <w:shd w:val="clear" w:color="auto" w:fill="auto"/>
            <w:vAlign w:val="center"/>
            <w:hideMark/>
          </w:tcPr>
          <w:p w14:paraId="1AC9B7D5" w14:textId="77777777" w:rsidR="002F63E1" w:rsidRPr="00BD786C" w:rsidRDefault="002F63E1" w:rsidP="00395BB6">
            <w:pPr>
              <w:jc w:val="both"/>
              <w:rPr>
                <w:sz w:val="16"/>
                <w:szCs w:val="16"/>
              </w:rPr>
            </w:pPr>
            <w:r w:rsidRPr="00BD786C">
              <w:rPr>
                <w:sz w:val="16"/>
                <w:szCs w:val="16"/>
              </w:rPr>
              <w:t>Zakon o Hrvatskoj radioteleviziji (Prihod od HRT pristojbe)</w:t>
            </w:r>
          </w:p>
        </w:tc>
        <w:tc>
          <w:tcPr>
            <w:tcW w:w="996" w:type="dxa"/>
            <w:shd w:val="clear" w:color="auto" w:fill="auto"/>
            <w:vAlign w:val="center"/>
            <w:hideMark/>
          </w:tcPr>
          <w:p w14:paraId="479E1E5A" w14:textId="77777777" w:rsidR="002F63E1" w:rsidRPr="00BD786C" w:rsidRDefault="002A10C8" w:rsidP="002A10C8">
            <w:pPr>
              <w:rPr>
                <w:sz w:val="16"/>
                <w:szCs w:val="16"/>
              </w:rPr>
            </w:pPr>
            <w:r w:rsidRPr="00BD786C">
              <w:rPr>
                <w:sz w:val="16"/>
                <w:szCs w:val="16"/>
              </w:rPr>
              <w:t>Subvencije</w:t>
            </w:r>
          </w:p>
        </w:tc>
        <w:tc>
          <w:tcPr>
            <w:tcW w:w="847" w:type="dxa"/>
            <w:shd w:val="clear" w:color="auto" w:fill="auto"/>
            <w:vAlign w:val="center"/>
            <w:hideMark/>
          </w:tcPr>
          <w:p w14:paraId="17FF3079" w14:textId="152E60FE" w:rsidR="002F63E1" w:rsidRPr="00BD786C" w:rsidRDefault="00BD786C" w:rsidP="002A10C8">
            <w:pPr>
              <w:jc w:val="right"/>
              <w:rPr>
                <w:sz w:val="16"/>
                <w:szCs w:val="16"/>
              </w:rPr>
            </w:pPr>
            <w:r w:rsidRPr="00BD786C">
              <w:rPr>
                <w:rFonts w:eastAsia="Times New Roman"/>
                <w:bCs/>
                <w:sz w:val="16"/>
                <w:szCs w:val="16"/>
                <w:lang w:eastAsia="hr-HR"/>
              </w:rPr>
              <w:t>152,2</w:t>
            </w:r>
          </w:p>
        </w:tc>
      </w:tr>
      <w:tr w:rsidR="00711C06" w:rsidRPr="008149B5" w14:paraId="1C152893" w14:textId="77777777" w:rsidTr="002A10C8">
        <w:trPr>
          <w:trHeight w:val="270"/>
        </w:trPr>
        <w:tc>
          <w:tcPr>
            <w:tcW w:w="1584" w:type="dxa"/>
            <w:shd w:val="clear" w:color="auto" w:fill="auto"/>
            <w:vAlign w:val="center"/>
            <w:hideMark/>
          </w:tcPr>
          <w:p w14:paraId="19DAA10C" w14:textId="77777777" w:rsidR="00711C06" w:rsidRPr="00BD786C" w:rsidRDefault="00711C06" w:rsidP="00711C06">
            <w:pPr>
              <w:rPr>
                <w:sz w:val="16"/>
                <w:szCs w:val="16"/>
              </w:rPr>
            </w:pPr>
            <w:r w:rsidRPr="00BD786C">
              <w:rPr>
                <w:sz w:val="16"/>
                <w:szCs w:val="16"/>
              </w:rPr>
              <w:t>Poštanske usluge</w:t>
            </w:r>
          </w:p>
        </w:tc>
        <w:tc>
          <w:tcPr>
            <w:tcW w:w="5787" w:type="dxa"/>
            <w:shd w:val="clear" w:color="auto" w:fill="auto"/>
            <w:vAlign w:val="center"/>
            <w:hideMark/>
          </w:tcPr>
          <w:p w14:paraId="736101A1" w14:textId="77777777" w:rsidR="00711C06" w:rsidRPr="00BD786C" w:rsidRDefault="00711C06" w:rsidP="00395BB6">
            <w:pPr>
              <w:jc w:val="both"/>
              <w:rPr>
                <w:sz w:val="16"/>
                <w:szCs w:val="16"/>
              </w:rPr>
            </w:pPr>
            <w:r w:rsidRPr="00BD786C">
              <w:rPr>
                <w:sz w:val="16"/>
                <w:szCs w:val="16"/>
              </w:rPr>
              <w:t>Državna potpora HP – Hrvatskoj pošti d.d. u obliku naknade za obavljanje usluge od općeg gospodarskog interesa - univerzalne poštanske usluge</w:t>
            </w:r>
          </w:p>
        </w:tc>
        <w:tc>
          <w:tcPr>
            <w:tcW w:w="996" w:type="dxa"/>
            <w:shd w:val="clear" w:color="auto" w:fill="auto"/>
            <w:vAlign w:val="center"/>
            <w:hideMark/>
          </w:tcPr>
          <w:p w14:paraId="6B886723" w14:textId="77777777" w:rsidR="00711C06" w:rsidRPr="00BD786C" w:rsidRDefault="00711C06" w:rsidP="00711C06">
            <w:pPr>
              <w:rPr>
                <w:sz w:val="16"/>
                <w:szCs w:val="16"/>
              </w:rPr>
            </w:pPr>
            <w:r w:rsidRPr="00BD786C">
              <w:rPr>
                <w:sz w:val="16"/>
                <w:szCs w:val="16"/>
              </w:rPr>
              <w:t>Subvencije</w:t>
            </w:r>
          </w:p>
        </w:tc>
        <w:tc>
          <w:tcPr>
            <w:tcW w:w="847" w:type="dxa"/>
            <w:shd w:val="clear" w:color="auto" w:fill="auto"/>
            <w:vAlign w:val="center"/>
            <w:hideMark/>
          </w:tcPr>
          <w:p w14:paraId="6AE9880C" w14:textId="5AC4CEB4" w:rsidR="00711C06" w:rsidRPr="00BD786C" w:rsidRDefault="00BD786C" w:rsidP="002A10C8">
            <w:pPr>
              <w:jc w:val="right"/>
              <w:rPr>
                <w:sz w:val="16"/>
                <w:szCs w:val="16"/>
              </w:rPr>
            </w:pPr>
            <w:r w:rsidRPr="00BD786C">
              <w:rPr>
                <w:rFonts w:eastAsia="Times New Roman"/>
                <w:bCs/>
                <w:sz w:val="16"/>
                <w:szCs w:val="16"/>
                <w:lang w:eastAsia="hr-HR"/>
              </w:rPr>
              <w:t>14,8</w:t>
            </w:r>
          </w:p>
        </w:tc>
      </w:tr>
      <w:tr w:rsidR="00BD786C" w:rsidRPr="008149B5" w14:paraId="5CBB386F" w14:textId="77777777" w:rsidTr="00E627B3">
        <w:trPr>
          <w:trHeight w:val="161"/>
        </w:trPr>
        <w:tc>
          <w:tcPr>
            <w:tcW w:w="1584" w:type="dxa"/>
            <w:vMerge w:val="restart"/>
            <w:shd w:val="clear" w:color="auto" w:fill="auto"/>
            <w:vAlign w:val="center"/>
            <w:hideMark/>
          </w:tcPr>
          <w:p w14:paraId="72C25EC0" w14:textId="77777777" w:rsidR="00BD786C" w:rsidRPr="00BD786C" w:rsidRDefault="00BD786C" w:rsidP="00BD786C">
            <w:pPr>
              <w:rPr>
                <w:sz w:val="16"/>
                <w:szCs w:val="16"/>
              </w:rPr>
            </w:pPr>
            <w:r w:rsidRPr="00BD786C">
              <w:rPr>
                <w:sz w:val="16"/>
                <w:szCs w:val="16"/>
              </w:rPr>
              <w:t>Zračni promet</w:t>
            </w:r>
          </w:p>
        </w:tc>
        <w:tc>
          <w:tcPr>
            <w:tcW w:w="5787" w:type="dxa"/>
            <w:shd w:val="clear" w:color="auto" w:fill="auto"/>
            <w:hideMark/>
          </w:tcPr>
          <w:p w14:paraId="25B9D34E" w14:textId="6B1E2E1F" w:rsidR="00BD786C" w:rsidRPr="00BD786C" w:rsidRDefault="00BD786C" w:rsidP="00395BB6">
            <w:pPr>
              <w:jc w:val="both"/>
              <w:rPr>
                <w:sz w:val="16"/>
                <w:szCs w:val="16"/>
              </w:rPr>
            </w:pPr>
            <w:r w:rsidRPr="00BD786C">
              <w:rPr>
                <w:rFonts w:eastAsia="Times New Roman"/>
                <w:sz w:val="16"/>
                <w:szCs w:val="16"/>
                <w:lang w:eastAsia="hr-HR"/>
              </w:rPr>
              <w:t>Očuvanje vremena otvorenosti Zračne luke Osijek d.o.o. za javni zračni promet</w:t>
            </w:r>
          </w:p>
        </w:tc>
        <w:tc>
          <w:tcPr>
            <w:tcW w:w="996" w:type="dxa"/>
            <w:shd w:val="clear" w:color="auto" w:fill="auto"/>
            <w:vAlign w:val="center"/>
            <w:hideMark/>
          </w:tcPr>
          <w:p w14:paraId="64EC0C02" w14:textId="77777777" w:rsidR="00BD786C" w:rsidRPr="00BD786C" w:rsidRDefault="00BD786C" w:rsidP="00BD786C">
            <w:pPr>
              <w:rPr>
                <w:sz w:val="16"/>
                <w:szCs w:val="16"/>
              </w:rPr>
            </w:pPr>
            <w:r w:rsidRPr="00BD786C">
              <w:rPr>
                <w:sz w:val="16"/>
                <w:szCs w:val="16"/>
              </w:rPr>
              <w:t>Subvencije</w:t>
            </w:r>
          </w:p>
        </w:tc>
        <w:tc>
          <w:tcPr>
            <w:tcW w:w="847" w:type="dxa"/>
            <w:shd w:val="clear" w:color="auto" w:fill="auto"/>
            <w:hideMark/>
          </w:tcPr>
          <w:p w14:paraId="4E959D2A" w14:textId="133086DA" w:rsidR="00BD786C" w:rsidRPr="00BD786C" w:rsidRDefault="00BD786C" w:rsidP="00BD786C">
            <w:pPr>
              <w:jc w:val="right"/>
              <w:rPr>
                <w:sz w:val="16"/>
                <w:szCs w:val="16"/>
              </w:rPr>
            </w:pPr>
            <w:r w:rsidRPr="00BD786C">
              <w:rPr>
                <w:rFonts w:eastAsia="Times New Roman"/>
                <w:bCs/>
                <w:sz w:val="16"/>
                <w:szCs w:val="16"/>
                <w:lang w:eastAsia="hr-HR"/>
              </w:rPr>
              <w:t>0,8</w:t>
            </w:r>
          </w:p>
        </w:tc>
      </w:tr>
      <w:tr w:rsidR="00BD786C" w:rsidRPr="008149B5" w14:paraId="78ACE6E8" w14:textId="77777777" w:rsidTr="00E627B3">
        <w:trPr>
          <w:trHeight w:val="134"/>
        </w:trPr>
        <w:tc>
          <w:tcPr>
            <w:tcW w:w="1584" w:type="dxa"/>
            <w:vMerge/>
            <w:shd w:val="clear" w:color="auto" w:fill="auto"/>
            <w:vAlign w:val="center"/>
          </w:tcPr>
          <w:p w14:paraId="32BB27C0" w14:textId="77777777" w:rsidR="00BD786C" w:rsidRPr="00BD786C" w:rsidRDefault="00BD786C" w:rsidP="00BD786C">
            <w:pPr>
              <w:rPr>
                <w:sz w:val="16"/>
                <w:szCs w:val="16"/>
              </w:rPr>
            </w:pPr>
          </w:p>
        </w:tc>
        <w:tc>
          <w:tcPr>
            <w:tcW w:w="5787" w:type="dxa"/>
            <w:shd w:val="clear" w:color="auto" w:fill="auto"/>
          </w:tcPr>
          <w:p w14:paraId="50F0C412" w14:textId="7FDC4AC0" w:rsidR="00BD786C" w:rsidRPr="00BD786C" w:rsidRDefault="00BD786C" w:rsidP="00395BB6">
            <w:pPr>
              <w:jc w:val="both"/>
              <w:rPr>
                <w:sz w:val="16"/>
                <w:szCs w:val="16"/>
              </w:rPr>
            </w:pPr>
            <w:r w:rsidRPr="00BD786C">
              <w:rPr>
                <w:rFonts w:eastAsia="Times New Roman"/>
                <w:sz w:val="16"/>
                <w:szCs w:val="16"/>
                <w:lang w:eastAsia="hr-HR"/>
              </w:rPr>
              <w:t>MMPI Očuvanje prometne povezanosti regija (domaći linijski zračni promet)</w:t>
            </w:r>
          </w:p>
        </w:tc>
        <w:tc>
          <w:tcPr>
            <w:tcW w:w="996" w:type="dxa"/>
            <w:shd w:val="clear" w:color="auto" w:fill="auto"/>
            <w:vAlign w:val="center"/>
          </w:tcPr>
          <w:p w14:paraId="3F9EBFC7" w14:textId="2D5A21B3" w:rsidR="00BD786C" w:rsidRPr="00BD786C" w:rsidRDefault="00BD786C" w:rsidP="00BD786C">
            <w:pPr>
              <w:rPr>
                <w:sz w:val="16"/>
                <w:szCs w:val="16"/>
              </w:rPr>
            </w:pPr>
            <w:r w:rsidRPr="00BD786C">
              <w:rPr>
                <w:sz w:val="16"/>
                <w:szCs w:val="16"/>
              </w:rPr>
              <w:t>Subvencije</w:t>
            </w:r>
          </w:p>
        </w:tc>
        <w:tc>
          <w:tcPr>
            <w:tcW w:w="847" w:type="dxa"/>
            <w:shd w:val="clear" w:color="auto" w:fill="auto"/>
          </w:tcPr>
          <w:p w14:paraId="48301BF2" w14:textId="47B20315" w:rsidR="00BD786C" w:rsidRPr="00BD786C" w:rsidRDefault="00BD786C" w:rsidP="00BD786C">
            <w:pPr>
              <w:jc w:val="right"/>
              <w:rPr>
                <w:sz w:val="16"/>
                <w:szCs w:val="16"/>
              </w:rPr>
            </w:pPr>
            <w:r w:rsidRPr="00BD786C">
              <w:rPr>
                <w:rFonts w:eastAsia="Times New Roman"/>
                <w:bCs/>
                <w:sz w:val="16"/>
                <w:szCs w:val="16"/>
                <w:lang w:eastAsia="hr-HR"/>
              </w:rPr>
              <w:t>20,5</w:t>
            </w:r>
          </w:p>
        </w:tc>
      </w:tr>
      <w:tr w:rsidR="00BD786C" w:rsidRPr="008149B5" w14:paraId="71B0E8EF" w14:textId="77777777" w:rsidTr="00BD786C">
        <w:trPr>
          <w:trHeight w:val="328"/>
        </w:trPr>
        <w:tc>
          <w:tcPr>
            <w:tcW w:w="1584" w:type="dxa"/>
            <w:vMerge w:val="restart"/>
            <w:shd w:val="clear" w:color="auto" w:fill="auto"/>
            <w:vAlign w:val="center"/>
            <w:hideMark/>
          </w:tcPr>
          <w:p w14:paraId="07BB6E01" w14:textId="77777777" w:rsidR="00BD786C" w:rsidRPr="00BD786C" w:rsidRDefault="00BD786C" w:rsidP="00BD786C">
            <w:pPr>
              <w:rPr>
                <w:sz w:val="16"/>
                <w:szCs w:val="16"/>
              </w:rPr>
            </w:pPr>
            <w:r w:rsidRPr="00BD786C">
              <w:rPr>
                <w:sz w:val="16"/>
                <w:szCs w:val="16"/>
              </w:rPr>
              <w:t>Pomorski promet</w:t>
            </w:r>
          </w:p>
        </w:tc>
        <w:tc>
          <w:tcPr>
            <w:tcW w:w="5787" w:type="dxa"/>
            <w:shd w:val="clear" w:color="auto" w:fill="auto"/>
            <w:vAlign w:val="center"/>
          </w:tcPr>
          <w:p w14:paraId="3C77E3D8" w14:textId="0401CF5A" w:rsidR="003634C1" w:rsidRPr="003634C1" w:rsidRDefault="00BD786C" w:rsidP="00395BB6">
            <w:pPr>
              <w:jc w:val="both"/>
              <w:rPr>
                <w:sz w:val="16"/>
                <w:szCs w:val="16"/>
              </w:rPr>
            </w:pPr>
            <w:r w:rsidRPr="003634C1">
              <w:rPr>
                <w:sz w:val="16"/>
                <w:szCs w:val="16"/>
              </w:rPr>
              <w:t>Prijedlog programa državne potpore za usluge od općeg gospodarskog interesa u obliku naknade za obavljanje javne usluge javnog obalnog linijskog pomorskog prijevoza za razdoblje od 6 godina na državnim trajektnim linijama 338, 532 i 831</w:t>
            </w:r>
          </w:p>
        </w:tc>
        <w:tc>
          <w:tcPr>
            <w:tcW w:w="996" w:type="dxa"/>
            <w:shd w:val="clear" w:color="auto" w:fill="auto"/>
            <w:vAlign w:val="center"/>
            <w:hideMark/>
          </w:tcPr>
          <w:p w14:paraId="5E6CBA3F" w14:textId="77777777" w:rsidR="00BD786C" w:rsidRPr="003634C1" w:rsidRDefault="00BD786C" w:rsidP="00BD786C">
            <w:pPr>
              <w:rPr>
                <w:sz w:val="16"/>
                <w:szCs w:val="16"/>
              </w:rPr>
            </w:pPr>
            <w:r w:rsidRPr="003634C1">
              <w:rPr>
                <w:sz w:val="16"/>
                <w:szCs w:val="16"/>
              </w:rPr>
              <w:t>Subvencije</w:t>
            </w:r>
          </w:p>
        </w:tc>
        <w:tc>
          <w:tcPr>
            <w:tcW w:w="847" w:type="dxa"/>
            <w:shd w:val="clear" w:color="auto" w:fill="auto"/>
            <w:vAlign w:val="center"/>
          </w:tcPr>
          <w:p w14:paraId="0C31E87E" w14:textId="745B2A1B" w:rsidR="00BD786C" w:rsidRPr="003634C1" w:rsidRDefault="003634C1" w:rsidP="00BD786C">
            <w:pPr>
              <w:jc w:val="right"/>
              <w:rPr>
                <w:sz w:val="16"/>
                <w:szCs w:val="16"/>
              </w:rPr>
            </w:pPr>
            <w:r w:rsidRPr="003634C1">
              <w:rPr>
                <w:rFonts w:eastAsia="Times New Roman"/>
                <w:sz w:val="16"/>
                <w:szCs w:val="16"/>
                <w:lang w:eastAsia="hr-HR"/>
              </w:rPr>
              <w:t>4,7</w:t>
            </w:r>
          </w:p>
        </w:tc>
      </w:tr>
      <w:tr w:rsidR="00BD786C" w:rsidRPr="008149B5" w14:paraId="46FD2F11" w14:textId="77777777" w:rsidTr="002A10C8">
        <w:trPr>
          <w:trHeight w:val="328"/>
        </w:trPr>
        <w:tc>
          <w:tcPr>
            <w:tcW w:w="1584" w:type="dxa"/>
            <w:vMerge/>
            <w:shd w:val="clear" w:color="auto" w:fill="auto"/>
            <w:vAlign w:val="center"/>
          </w:tcPr>
          <w:p w14:paraId="2AE51DC0" w14:textId="77777777" w:rsidR="00BD786C" w:rsidRPr="008149B5" w:rsidRDefault="00BD786C" w:rsidP="00BD786C">
            <w:pPr>
              <w:rPr>
                <w:sz w:val="16"/>
                <w:szCs w:val="16"/>
                <w:highlight w:val="red"/>
              </w:rPr>
            </w:pPr>
          </w:p>
        </w:tc>
        <w:tc>
          <w:tcPr>
            <w:tcW w:w="5787" w:type="dxa"/>
            <w:shd w:val="clear" w:color="auto" w:fill="auto"/>
            <w:vAlign w:val="center"/>
          </w:tcPr>
          <w:p w14:paraId="32B30B38" w14:textId="105D757B" w:rsidR="003634C1" w:rsidRPr="003634C1" w:rsidRDefault="00BD786C" w:rsidP="00395BB6">
            <w:pPr>
              <w:jc w:val="both"/>
              <w:rPr>
                <w:sz w:val="16"/>
                <w:szCs w:val="16"/>
              </w:rPr>
            </w:pPr>
            <w:r w:rsidRPr="003634C1">
              <w:rPr>
                <w:sz w:val="16"/>
                <w:szCs w:val="16"/>
              </w:rPr>
              <w:t xml:space="preserve">Program državne potpore za usluge od općeg gospodarskog interesa u obliku naknade za obavljanje javne usluge javnog obalnog linijskog pomorskog prijevoza za razdoblje od 6 godina (očekivano od 2021.-2026. godine) na državnoj </w:t>
            </w:r>
            <w:proofErr w:type="spellStart"/>
            <w:r w:rsidRPr="003634C1">
              <w:rPr>
                <w:sz w:val="16"/>
                <w:szCs w:val="16"/>
              </w:rPr>
              <w:t>brzobrodskoj</w:t>
            </w:r>
            <w:proofErr w:type="spellEnd"/>
            <w:r w:rsidRPr="003634C1">
              <w:rPr>
                <w:sz w:val="16"/>
                <w:szCs w:val="16"/>
              </w:rPr>
              <w:t xml:space="preserve"> liniji 9808 Lastovo – Korčula – Dubrovnik</w:t>
            </w:r>
          </w:p>
        </w:tc>
        <w:tc>
          <w:tcPr>
            <w:tcW w:w="996" w:type="dxa"/>
            <w:shd w:val="clear" w:color="auto" w:fill="auto"/>
            <w:vAlign w:val="center"/>
          </w:tcPr>
          <w:p w14:paraId="19C22D3A" w14:textId="77777777" w:rsidR="00BD786C" w:rsidRPr="003634C1" w:rsidRDefault="00BD786C" w:rsidP="00BD786C">
            <w:pPr>
              <w:rPr>
                <w:sz w:val="16"/>
                <w:szCs w:val="16"/>
              </w:rPr>
            </w:pPr>
            <w:r w:rsidRPr="003634C1">
              <w:rPr>
                <w:sz w:val="16"/>
                <w:szCs w:val="16"/>
              </w:rPr>
              <w:t>Subvencije</w:t>
            </w:r>
          </w:p>
        </w:tc>
        <w:tc>
          <w:tcPr>
            <w:tcW w:w="847" w:type="dxa"/>
            <w:shd w:val="clear" w:color="auto" w:fill="auto"/>
            <w:vAlign w:val="center"/>
          </w:tcPr>
          <w:p w14:paraId="494DC14B" w14:textId="12B1E4F9" w:rsidR="00BD786C" w:rsidRPr="003634C1" w:rsidRDefault="003634C1" w:rsidP="00BD786C">
            <w:pPr>
              <w:jc w:val="right"/>
              <w:rPr>
                <w:sz w:val="16"/>
                <w:szCs w:val="16"/>
              </w:rPr>
            </w:pPr>
            <w:r w:rsidRPr="003634C1">
              <w:rPr>
                <w:rFonts w:eastAsia="Times New Roman"/>
                <w:sz w:val="16"/>
                <w:szCs w:val="16"/>
                <w:lang w:eastAsia="hr-HR"/>
              </w:rPr>
              <w:t>1,8</w:t>
            </w:r>
          </w:p>
        </w:tc>
      </w:tr>
      <w:tr w:rsidR="00395BB6" w:rsidRPr="00BD786C" w14:paraId="6EC5864A" w14:textId="77777777" w:rsidTr="00395BB6">
        <w:trPr>
          <w:trHeight w:val="429"/>
        </w:trPr>
        <w:tc>
          <w:tcPr>
            <w:tcW w:w="1584" w:type="dxa"/>
            <w:vMerge/>
            <w:shd w:val="clear" w:color="auto" w:fill="auto"/>
            <w:vAlign w:val="center"/>
          </w:tcPr>
          <w:p w14:paraId="7A036A53" w14:textId="77777777" w:rsidR="00395BB6" w:rsidRPr="008149B5" w:rsidRDefault="00395BB6" w:rsidP="00BD786C">
            <w:pPr>
              <w:rPr>
                <w:sz w:val="16"/>
                <w:szCs w:val="16"/>
                <w:highlight w:val="red"/>
              </w:rPr>
            </w:pPr>
          </w:p>
        </w:tc>
        <w:tc>
          <w:tcPr>
            <w:tcW w:w="5787" w:type="dxa"/>
            <w:shd w:val="clear" w:color="auto" w:fill="auto"/>
            <w:vAlign w:val="center"/>
          </w:tcPr>
          <w:p w14:paraId="7012F978" w14:textId="0BA8E5F0" w:rsidR="00395BB6" w:rsidRPr="00BD786C" w:rsidRDefault="00395BB6" w:rsidP="00395BB6">
            <w:pPr>
              <w:jc w:val="both"/>
              <w:rPr>
                <w:sz w:val="16"/>
                <w:szCs w:val="16"/>
              </w:rPr>
            </w:pPr>
            <w:r w:rsidRPr="00BD786C">
              <w:rPr>
                <w:sz w:val="16"/>
                <w:szCs w:val="16"/>
              </w:rPr>
              <w:t>Program državne potpore za usluge od općeg gospodarskog interesa u obliku naknade za obavljanje javne usluge javnog obalnog linijskog pomorskog prijevoza na državnim trajektnim linijama broj 431, 432 i 632</w:t>
            </w:r>
          </w:p>
        </w:tc>
        <w:tc>
          <w:tcPr>
            <w:tcW w:w="996" w:type="dxa"/>
            <w:shd w:val="clear" w:color="auto" w:fill="auto"/>
            <w:vAlign w:val="center"/>
          </w:tcPr>
          <w:p w14:paraId="22F97299" w14:textId="77777777" w:rsidR="00395BB6" w:rsidRPr="00BD786C" w:rsidRDefault="00395BB6" w:rsidP="00BD786C">
            <w:pPr>
              <w:rPr>
                <w:sz w:val="16"/>
                <w:szCs w:val="16"/>
              </w:rPr>
            </w:pPr>
            <w:r w:rsidRPr="00BD786C">
              <w:rPr>
                <w:sz w:val="16"/>
                <w:szCs w:val="16"/>
              </w:rPr>
              <w:t>Subvencije</w:t>
            </w:r>
          </w:p>
        </w:tc>
        <w:tc>
          <w:tcPr>
            <w:tcW w:w="847" w:type="dxa"/>
            <w:shd w:val="clear" w:color="auto" w:fill="auto"/>
            <w:vAlign w:val="center"/>
          </w:tcPr>
          <w:p w14:paraId="56AE10C0" w14:textId="186A1AB7" w:rsidR="00395BB6" w:rsidRPr="00BD786C" w:rsidRDefault="00395BB6" w:rsidP="00BD786C">
            <w:pPr>
              <w:jc w:val="right"/>
              <w:rPr>
                <w:sz w:val="16"/>
                <w:szCs w:val="16"/>
              </w:rPr>
            </w:pPr>
            <w:r w:rsidRPr="00BD786C">
              <w:rPr>
                <w:rFonts w:eastAsia="Times New Roman"/>
                <w:sz w:val="16"/>
                <w:szCs w:val="16"/>
                <w:lang w:eastAsia="hr-HR"/>
              </w:rPr>
              <w:t>2,3</w:t>
            </w:r>
          </w:p>
        </w:tc>
      </w:tr>
      <w:tr w:rsidR="00BD786C" w:rsidRPr="008149B5" w14:paraId="6558834C" w14:textId="77777777" w:rsidTr="002A10C8">
        <w:trPr>
          <w:trHeight w:val="328"/>
        </w:trPr>
        <w:tc>
          <w:tcPr>
            <w:tcW w:w="1584" w:type="dxa"/>
            <w:vMerge/>
            <w:shd w:val="clear" w:color="auto" w:fill="auto"/>
            <w:vAlign w:val="center"/>
          </w:tcPr>
          <w:p w14:paraId="6968E429" w14:textId="77777777" w:rsidR="00BD786C" w:rsidRPr="008149B5" w:rsidRDefault="00BD786C" w:rsidP="00BD786C">
            <w:pPr>
              <w:rPr>
                <w:sz w:val="16"/>
                <w:szCs w:val="16"/>
                <w:highlight w:val="red"/>
              </w:rPr>
            </w:pPr>
          </w:p>
        </w:tc>
        <w:tc>
          <w:tcPr>
            <w:tcW w:w="5787" w:type="dxa"/>
            <w:shd w:val="clear" w:color="auto" w:fill="auto"/>
            <w:vAlign w:val="center"/>
          </w:tcPr>
          <w:p w14:paraId="7805DC65" w14:textId="1D9C37F5" w:rsidR="003634C1" w:rsidRPr="003634C1" w:rsidRDefault="00BD786C" w:rsidP="00395BB6">
            <w:pPr>
              <w:jc w:val="both"/>
              <w:rPr>
                <w:sz w:val="16"/>
                <w:szCs w:val="16"/>
              </w:rPr>
            </w:pPr>
            <w:r w:rsidRPr="003634C1">
              <w:rPr>
                <w:sz w:val="16"/>
                <w:szCs w:val="16"/>
              </w:rPr>
              <w:t>Program državne potpore za usluge od općeg gospodarskog interesa u obliku naknade za obavljanje javne usluge javnog obalnog linijskog pomorskog prijevoza za razdoblje od 2018. do 2023. godine uz mogućnost produljenja do 2027. godine na državnim trajektnim linijama</w:t>
            </w:r>
          </w:p>
        </w:tc>
        <w:tc>
          <w:tcPr>
            <w:tcW w:w="996" w:type="dxa"/>
            <w:shd w:val="clear" w:color="auto" w:fill="auto"/>
            <w:vAlign w:val="center"/>
          </w:tcPr>
          <w:p w14:paraId="13E5174A" w14:textId="77777777" w:rsidR="00BD786C" w:rsidRPr="003634C1" w:rsidRDefault="00BD786C" w:rsidP="00BD786C">
            <w:pPr>
              <w:rPr>
                <w:sz w:val="16"/>
                <w:szCs w:val="16"/>
              </w:rPr>
            </w:pPr>
            <w:r w:rsidRPr="003634C1">
              <w:rPr>
                <w:sz w:val="16"/>
                <w:szCs w:val="16"/>
              </w:rPr>
              <w:t>Subvencije</w:t>
            </w:r>
          </w:p>
        </w:tc>
        <w:tc>
          <w:tcPr>
            <w:tcW w:w="847" w:type="dxa"/>
            <w:shd w:val="clear" w:color="auto" w:fill="auto"/>
            <w:vAlign w:val="center"/>
          </w:tcPr>
          <w:p w14:paraId="56BB2A74" w14:textId="0F4DB1A8" w:rsidR="00BD786C" w:rsidRPr="003634C1" w:rsidRDefault="003634C1" w:rsidP="00BD786C">
            <w:pPr>
              <w:jc w:val="right"/>
              <w:rPr>
                <w:sz w:val="16"/>
                <w:szCs w:val="16"/>
              </w:rPr>
            </w:pPr>
            <w:r w:rsidRPr="003634C1">
              <w:rPr>
                <w:rFonts w:eastAsia="Times New Roman"/>
                <w:sz w:val="16"/>
                <w:szCs w:val="16"/>
                <w:lang w:eastAsia="hr-HR"/>
              </w:rPr>
              <w:t>25,6</w:t>
            </w:r>
          </w:p>
        </w:tc>
      </w:tr>
      <w:tr w:rsidR="003634C1" w:rsidRPr="008149B5" w14:paraId="1CC378E3" w14:textId="77777777" w:rsidTr="00395BB6">
        <w:trPr>
          <w:trHeight w:val="392"/>
        </w:trPr>
        <w:tc>
          <w:tcPr>
            <w:tcW w:w="1584" w:type="dxa"/>
            <w:vMerge/>
            <w:vAlign w:val="center"/>
            <w:hideMark/>
          </w:tcPr>
          <w:p w14:paraId="0FB1EEAD" w14:textId="77777777" w:rsidR="003634C1" w:rsidRPr="008149B5" w:rsidRDefault="003634C1" w:rsidP="003634C1">
            <w:pPr>
              <w:rPr>
                <w:sz w:val="16"/>
                <w:szCs w:val="16"/>
                <w:highlight w:val="red"/>
              </w:rPr>
            </w:pPr>
          </w:p>
        </w:tc>
        <w:tc>
          <w:tcPr>
            <w:tcW w:w="5787" w:type="dxa"/>
            <w:shd w:val="clear" w:color="auto" w:fill="auto"/>
            <w:vAlign w:val="center"/>
          </w:tcPr>
          <w:p w14:paraId="381E2430" w14:textId="5F3AFD92" w:rsidR="003634C1" w:rsidRPr="003634C1" w:rsidRDefault="003634C1" w:rsidP="00395BB6">
            <w:pPr>
              <w:jc w:val="both"/>
              <w:rPr>
                <w:sz w:val="16"/>
                <w:szCs w:val="16"/>
              </w:rPr>
            </w:pPr>
            <w:r w:rsidRPr="003634C1">
              <w:rPr>
                <w:sz w:val="16"/>
                <w:szCs w:val="16"/>
              </w:rPr>
              <w:t xml:space="preserve">Program državne potpore za usluge od općeg gospodarskog interesa u obliku naknade za obavljanje usluge javnog obalnog linijskog pomorskog prijevoza za razdoblje od 2018. do 2023. godine uz mogućnost produljenja do 2027. godine na državnim </w:t>
            </w:r>
            <w:proofErr w:type="spellStart"/>
            <w:r w:rsidRPr="003634C1">
              <w:rPr>
                <w:sz w:val="16"/>
                <w:szCs w:val="16"/>
              </w:rPr>
              <w:t>brzobrodskim</w:t>
            </w:r>
            <w:proofErr w:type="spellEnd"/>
            <w:r w:rsidRPr="003634C1">
              <w:rPr>
                <w:sz w:val="16"/>
                <w:szCs w:val="16"/>
              </w:rPr>
              <w:t xml:space="preserve"> linijama</w:t>
            </w:r>
          </w:p>
        </w:tc>
        <w:tc>
          <w:tcPr>
            <w:tcW w:w="996" w:type="dxa"/>
            <w:shd w:val="clear" w:color="auto" w:fill="auto"/>
            <w:vAlign w:val="center"/>
            <w:hideMark/>
          </w:tcPr>
          <w:p w14:paraId="775F07E5" w14:textId="77777777"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13BEE0D1" w14:textId="0F0BFC02" w:rsidR="003634C1" w:rsidRPr="003634C1" w:rsidRDefault="003634C1" w:rsidP="003634C1">
            <w:pPr>
              <w:jc w:val="right"/>
              <w:rPr>
                <w:sz w:val="16"/>
                <w:szCs w:val="16"/>
              </w:rPr>
            </w:pPr>
            <w:r w:rsidRPr="003634C1">
              <w:rPr>
                <w:rFonts w:eastAsia="Times New Roman"/>
                <w:sz w:val="16"/>
                <w:szCs w:val="16"/>
                <w:lang w:eastAsia="hr-HR"/>
              </w:rPr>
              <w:t>19,6</w:t>
            </w:r>
          </w:p>
        </w:tc>
      </w:tr>
      <w:tr w:rsidR="003634C1" w:rsidRPr="008149B5" w14:paraId="17966D0A" w14:textId="77777777" w:rsidTr="00395BB6">
        <w:trPr>
          <w:trHeight w:val="76"/>
        </w:trPr>
        <w:tc>
          <w:tcPr>
            <w:tcW w:w="1584" w:type="dxa"/>
            <w:vMerge/>
            <w:vAlign w:val="center"/>
          </w:tcPr>
          <w:p w14:paraId="12015078" w14:textId="77777777" w:rsidR="003634C1" w:rsidRPr="008149B5" w:rsidRDefault="003634C1" w:rsidP="003634C1">
            <w:pPr>
              <w:rPr>
                <w:sz w:val="16"/>
                <w:szCs w:val="16"/>
                <w:highlight w:val="red"/>
              </w:rPr>
            </w:pPr>
          </w:p>
        </w:tc>
        <w:tc>
          <w:tcPr>
            <w:tcW w:w="5787" w:type="dxa"/>
            <w:shd w:val="clear" w:color="auto" w:fill="auto"/>
            <w:vAlign w:val="center"/>
          </w:tcPr>
          <w:p w14:paraId="5778C151" w14:textId="6868767F" w:rsidR="003634C1" w:rsidRPr="00BD786C" w:rsidRDefault="003634C1" w:rsidP="00395BB6">
            <w:pPr>
              <w:jc w:val="both"/>
              <w:rPr>
                <w:sz w:val="16"/>
                <w:szCs w:val="16"/>
              </w:rPr>
            </w:pPr>
            <w:r w:rsidRPr="00BD786C">
              <w:rPr>
                <w:sz w:val="16"/>
                <w:szCs w:val="16"/>
              </w:rPr>
              <w:t>Program državne potpore za usluge od općeg gospodarskog interesa u obliku naknade za obavljanje javne usluge javnog obalnog linijskog pomorskog prijevoza na državnoj trajektnoj liniji broj 635</w:t>
            </w:r>
          </w:p>
        </w:tc>
        <w:tc>
          <w:tcPr>
            <w:tcW w:w="996" w:type="dxa"/>
            <w:shd w:val="clear" w:color="auto" w:fill="auto"/>
            <w:vAlign w:val="center"/>
          </w:tcPr>
          <w:p w14:paraId="4E9D2355" w14:textId="77777777" w:rsidR="003634C1" w:rsidRPr="00BD786C" w:rsidRDefault="003634C1" w:rsidP="003634C1">
            <w:pPr>
              <w:rPr>
                <w:sz w:val="16"/>
                <w:szCs w:val="16"/>
              </w:rPr>
            </w:pPr>
            <w:r w:rsidRPr="00BD786C">
              <w:rPr>
                <w:sz w:val="16"/>
                <w:szCs w:val="16"/>
              </w:rPr>
              <w:t>Subvencije</w:t>
            </w:r>
          </w:p>
        </w:tc>
        <w:tc>
          <w:tcPr>
            <w:tcW w:w="847" w:type="dxa"/>
            <w:shd w:val="clear" w:color="auto" w:fill="auto"/>
            <w:vAlign w:val="center"/>
          </w:tcPr>
          <w:p w14:paraId="7D6144B9" w14:textId="55D16D51" w:rsidR="003634C1" w:rsidRPr="00BD786C" w:rsidRDefault="003634C1" w:rsidP="003634C1">
            <w:pPr>
              <w:jc w:val="right"/>
              <w:rPr>
                <w:sz w:val="16"/>
                <w:szCs w:val="16"/>
              </w:rPr>
            </w:pPr>
            <w:r w:rsidRPr="00BD786C">
              <w:rPr>
                <w:rFonts w:eastAsia="Times New Roman"/>
                <w:sz w:val="16"/>
                <w:szCs w:val="16"/>
                <w:lang w:eastAsia="hr-HR"/>
              </w:rPr>
              <w:t>0,6</w:t>
            </w:r>
          </w:p>
        </w:tc>
      </w:tr>
      <w:tr w:rsidR="003634C1" w:rsidRPr="008149B5" w14:paraId="23C588AF" w14:textId="77777777" w:rsidTr="00395BB6">
        <w:trPr>
          <w:trHeight w:val="70"/>
        </w:trPr>
        <w:tc>
          <w:tcPr>
            <w:tcW w:w="1584" w:type="dxa"/>
            <w:vMerge/>
            <w:vAlign w:val="center"/>
          </w:tcPr>
          <w:p w14:paraId="7D401094" w14:textId="77777777" w:rsidR="003634C1" w:rsidRPr="008149B5" w:rsidRDefault="003634C1" w:rsidP="003634C1">
            <w:pPr>
              <w:rPr>
                <w:sz w:val="16"/>
                <w:szCs w:val="16"/>
                <w:highlight w:val="red"/>
              </w:rPr>
            </w:pPr>
          </w:p>
        </w:tc>
        <w:tc>
          <w:tcPr>
            <w:tcW w:w="5787" w:type="dxa"/>
            <w:shd w:val="clear" w:color="auto" w:fill="auto"/>
            <w:vAlign w:val="center"/>
          </w:tcPr>
          <w:p w14:paraId="1DC8F714" w14:textId="2F5812C7" w:rsidR="003634C1" w:rsidRPr="003634C1" w:rsidRDefault="003634C1" w:rsidP="00395BB6">
            <w:pPr>
              <w:jc w:val="both"/>
              <w:rPr>
                <w:sz w:val="16"/>
                <w:szCs w:val="16"/>
              </w:rPr>
            </w:pPr>
            <w:r w:rsidRPr="003634C1">
              <w:rPr>
                <w:rFonts w:eastAsia="Times New Roman"/>
                <w:sz w:val="16"/>
                <w:szCs w:val="16"/>
                <w:lang w:eastAsia="hr-HR"/>
              </w:rPr>
              <w:t>Prijedlog programa državne potpore za usluge od općeg gospodarskog interesa u obliku naknade za obavljanje javne usluge javnog obalnog linijskog pomorskog prijevoza za razdoblje od 3 godine na državnim brodskim linijama 310, 311, 501, 614 i 807</w:t>
            </w:r>
          </w:p>
        </w:tc>
        <w:tc>
          <w:tcPr>
            <w:tcW w:w="996" w:type="dxa"/>
            <w:shd w:val="clear" w:color="auto" w:fill="auto"/>
            <w:vAlign w:val="center"/>
          </w:tcPr>
          <w:p w14:paraId="41BB70BD" w14:textId="6F28B0B1"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4EE0DE86" w14:textId="070F6965" w:rsidR="003634C1" w:rsidRPr="003634C1" w:rsidRDefault="003634C1" w:rsidP="003634C1">
            <w:pPr>
              <w:jc w:val="right"/>
              <w:rPr>
                <w:rFonts w:eastAsia="Times New Roman"/>
                <w:sz w:val="16"/>
                <w:szCs w:val="16"/>
                <w:lang w:eastAsia="hr-HR"/>
              </w:rPr>
            </w:pPr>
            <w:r w:rsidRPr="003634C1">
              <w:rPr>
                <w:rFonts w:eastAsia="Times New Roman"/>
                <w:sz w:val="16"/>
                <w:szCs w:val="16"/>
                <w:lang w:eastAsia="hr-HR"/>
              </w:rPr>
              <w:t>1,8</w:t>
            </w:r>
          </w:p>
        </w:tc>
      </w:tr>
      <w:tr w:rsidR="003634C1" w:rsidRPr="008149B5" w14:paraId="5756475F" w14:textId="77777777" w:rsidTr="00395BB6">
        <w:trPr>
          <w:trHeight w:val="42"/>
        </w:trPr>
        <w:tc>
          <w:tcPr>
            <w:tcW w:w="1584" w:type="dxa"/>
            <w:vMerge/>
            <w:vAlign w:val="center"/>
          </w:tcPr>
          <w:p w14:paraId="00E1C79E" w14:textId="77777777" w:rsidR="003634C1" w:rsidRPr="008149B5" w:rsidRDefault="003634C1" w:rsidP="003634C1">
            <w:pPr>
              <w:rPr>
                <w:sz w:val="16"/>
                <w:szCs w:val="16"/>
                <w:highlight w:val="red"/>
              </w:rPr>
            </w:pPr>
          </w:p>
        </w:tc>
        <w:tc>
          <w:tcPr>
            <w:tcW w:w="5787" w:type="dxa"/>
            <w:shd w:val="clear" w:color="auto" w:fill="auto"/>
            <w:vAlign w:val="center"/>
          </w:tcPr>
          <w:p w14:paraId="70B3A79A" w14:textId="346E5657" w:rsidR="003634C1" w:rsidRPr="003634C1" w:rsidRDefault="003634C1" w:rsidP="00395BB6">
            <w:pPr>
              <w:jc w:val="both"/>
              <w:rPr>
                <w:sz w:val="16"/>
                <w:szCs w:val="16"/>
              </w:rPr>
            </w:pPr>
            <w:r w:rsidRPr="003634C1">
              <w:rPr>
                <w:sz w:val="16"/>
                <w:szCs w:val="16"/>
              </w:rPr>
              <w:t>Izmjene Prijedloga programa državne potpore za usluge od općeg gospodarskog interesa u obliku naknade za obavljanje javne usluge javnog obalnog linijskog pomorskog prijevoza za razdoblje od 3 godine na državnim linijama 310, 331, 501, 614 i 807</w:t>
            </w:r>
          </w:p>
        </w:tc>
        <w:tc>
          <w:tcPr>
            <w:tcW w:w="996" w:type="dxa"/>
            <w:shd w:val="clear" w:color="auto" w:fill="auto"/>
            <w:vAlign w:val="center"/>
          </w:tcPr>
          <w:p w14:paraId="3731A96C" w14:textId="10C6EAF9"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073D5799" w14:textId="5435B811" w:rsidR="003634C1" w:rsidRPr="003634C1" w:rsidRDefault="003634C1" w:rsidP="003634C1">
            <w:pPr>
              <w:jc w:val="right"/>
              <w:rPr>
                <w:sz w:val="16"/>
                <w:szCs w:val="16"/>
              </w:rPr>
            </w:pPr>
            <w:r w:rsidRPr="003634C1">
              <w:rPr>
                <w:rFonts w:eastAsia="Times New Roman"/>
                <w:sz w:val="16"/>
                <w:szCs w:val="16"/>
                <w:lang w:eastAsia="hr-HR"/>
              </w:rPr>
              <w:t>2,2</w:t>
            </w:r>
          </w:p>
        </w:tc>
      </w:tr>
      <w:tr w:rsidR="003634C1" w:rsidRPr="008149B5" w14:paraId="61D009C3" w14:textId="77777777" w:rsidTr="002A10C8">
        <w:trPr>
          <w:trHeight w:val="51"/>
        </w:trPr>
        <w:tc>
          <w:tcPr>
            <w:tcW w:w="1584" w:type="dxa"/>
            <w:vMerge/>
            <w:vAlign w:val="center"/>
          </w:tcPr>
          <w:p w14:paraId="23FCE998" w14:textId="77777777" w:rsidR="003634C1" w:rsidRPr="008149B5" w:rsidRDefault="003634C1" w:rsidP="003634C1">
            <w:pPr>
              <w:rPr>
                <w:sz w:val="16"/>
                <w:szCs w:val="16"/>
                <w:highlight w:val="red"/>
              </w:rPr>
            </w:pPr>
          </w:p>
        </w:tc>
        <w:tc>
          <w:tcPr>
            <w:tcW w:w="5787" w:type="dxa"/>
            <w:shd w:val="clear" w:color="auto" w:fill="auto"/>
            <w:vAlign w:val="center"/>
          </w:tcPr>
          <w:p w14:paraId="389A3D24" w14:textId="77777777" w:rsidR="003634C1" w:rsidRPr="00395BB6" w:rsidRDefault="003634C1" w:rsidP="00395BB6">
            <w:pPr>
              <w:jc w:val="both"/>
              <w:rPr>
                <w:sz w:val="16"/>
                <w:szCs w:val="16"/>
              </w:rPr>
            </w:pPr>
            <w:r w:rsidRPr="00395BB6">
              <w:rPr>
                <w:sz w:val="16"/>
                <w:szCs w:val="16"/>
              </w:rPr>
              <w:t>Izmjene Prijedloga programa državne potpore za usluge od općeg gospodarskog interesa u obliku naknade za obavljanje javne usluge javnog obalnog linijskog pomorskog prijevoza za razdoblje od 6 godina na državnim linijama 405, 505 i 612</w:t>
            </w:r>
          </w:p>
        </w:tc>
        <w:tc>
          <w:tcPr>
            <w:tcW w:w="996" w:type="dxa"/>
            <w:shd w:val="clear" w:color="auto" w:fill="auto"/>
            <w:vAlign w:val="center"/>
          </w:tcPr>
          <w:p w14:paraId="10286E84" w14:textId="77777777" w:rsidR="003634C1" w:rsidRPr="00395BB6" w:rsidRDefault="003634C1" w:rsidP="003634C1">
            <w:pPr>
              <w:rPr>
                <w:sz w:val="16"/>
                <w:szCs w:val="16"/>
              </w:rPr>
            </w:pPr>
            <w:r w:rsidRPr="00395BB6">
              <w:rPr>
                <w:sz w:val="16"/>
                <w:szCs w:val="16"/>
              </w:rPr>
              <w:t>Subvencije</w:t>
            </w:r>
          </w:p>
        </w:tc>
        <w:tc>
          <w:tcPr>
            <w:tcW w:w="847" w:type="dxa"/>
            <w:shd w:val="clear" w:color="auto" w:fill="auto"/>
            <w:vAlign w:val="center"/>
          </w:tcPr>
          <w:p w14:paraId="7A2468A9" w14:textId="19F40083" w:rsidR="003634C1" w:rsidRPr="00395BB6" w:rsidRDefault="00395BB6" w:rsidP="003634C1">
            <w:pPr>
              <w:jc w:val="right"/>
              <w:rPr>
                <w:sz w:val="16"/>
                <w:szCs w:val="16"/>
              </w:rPr>
            </w:pPr>
            <w:r w:rsidRPr="00395BB6">
              <w:rPr>
                <w:rFonts w:eastAsia="Times New Roman"/>
                <w:sz w:val="16"/>
                <w:szCs w:val="16"/>
                <w:lang w:eastAsia="hr-HR"/>
              </w:rPr>
              <w:t>1,4</w:t>
            </w:r>
          </w:p>
        </w:tc>
      </w:tr>
      <w:tr w:rsidR="003634C1" w:rsidRPr="008149B5" w14:paraId="11D6814A" w14:textId="77777777" w:rsidTr="002A10C8">
        <w:trPr>
          <w:trHeight w:val="51"/>
        </w:trPr>
        <w:tc>
          <w:tcPr>
            <w:tcW w:w="1584" w:type="dxa"/>
            <w:vMerge/>
            <w:vAlign w:val="center"/>
          </w:tcPr>
          <w:p w14:paraId="05136D1D" w14:textId="77777777" w:rsidR="003634C1" w:rsidRPr="008149B5" w:rsidRDefault="003634C1" w:rsidP="003634C1">
            <w:pPr>
              <w:rPr>
                <w:sz w:val="16"/>
                <w:szCs w:val="16"/>
                <w:highlight w:val="red"/>
              </w:rPr>
            </w:pPr>
          </w:p>
        </w:tc>
        <w:tc>
          <w:tcPr>
            <w:tcW w:w="5787" w:type="dxa"/>
            <w:shd w:val="clear" w:color="auto" w:fill="auto"/>
            <w:vAlign w:val="center"/>
          </w:tcPr>
          <w:p w14:paraId="554D9AE5" w14:textId="77777777" w:rsidR="003634C1" w:rsidRPr="00395BB6" w:rsidRDefault="003634C1" w:rsidP="00395BB6">
            <w:pPr>
              <w:jc w:val="both"/>
              <w:rPr>
                <w:sz w:val="16"/>
                <w:szCs w:val="16"/>
              </w:rPr>
            </w:pPr>
            <w:r w:rsidRPr="00395BB6">
              <w:rPr>
                <w:sz w:val="16"/>
                <w:szCs w:val="16"/>
              </w:rPr>
              <w:t>Program državne potpore za usluge od općeg gospodarskog interesa u obliku naknade za obavljanje javne usluge javnog obalnog linijskog pomorskog prijevoza za razdoblje od 2018. do 2020. godine uz mogućnost produljenja do 2029. godine</w:t>
            </w:r>
          </w:p>
        </w:tc>
        <w:tc>
          <w:tcPr>
            <w:tcW w:w="996" w:type="dxa"/>
            <w:shd w:val="clear" w:color="auto" w:fill="auto"/>
            <w:vAlign w:val="center"/>
          </w:tcPr>
          <w:p w14:paraId="1D3C2739" w14:textId="77777777" w:rsidR="003634C1" w:rsidRPr="00395BB6" w:rsidRDefault="003634C1" w:rsidP="003634C1">
            <w:pPr>
              <w:rPr>
                <w:sz w:val="16"/>
                <w:szCs w:val="16"/>
              </w:rPr>
            </w:pPr>
            <w:r w:rsidRPr="00395BB6">
              <w:rPr>
                <w:sz w:val="16"/>
                <w:szCs w:val="16"/>
              </w:rPr>
              <w:t>Subvencije</w:t>
            </w:r>
          </w:p>
        </w:tc>
        <w:tc>
          <w:tcPr>
            <w:tcW w:w="847" w:type="dxa"/>
            <w:shd w:val="clear" w:color="auto" w:fill="auto"/>
            <w:vAlign w:val="center"/>
          </w:tcPr>
          <w:p w14:paraId="27B97BFE" w14:textId="40B08459" w:rsidR="003634C1" w:rsidRPr="00395BB6" w:rsidRDefault="00395BB6" w:rsidP="003634C1">
            <w:pPr>
              <w:jc w:val="right"/>
              <w:rPr>
                <w:sz w:val="16"/>
                <w:szCs w:val="16"/>
              </w:rPr>
            </w:pPr>
            <w:r w:rsidRPr="00395BB6">
              <w:rPr>
                <w:rFonts w:eastAsia="Times New Roman"/>
                <w:sz w:val="16"/>
                <w:szCs w:val="16"/>
                <w:lang w:eastAsia="hr-HR"/>
              </w:rPr>
              <w:t>0,3</w:t>
            </w:r>
          </w:p>
        </w:tc>
      </w:tr>
      <w:tr w:rsidR="003634C1" w:rsidRPr="008149B5" w14:paraId="676E4E7E" w14:textId="77777777" w:rsidTr="00395BB6">
        <w:trPr>
          <w:trHeight w:val="102"/>
        </w:trPr>
        <w:tc>
          <w:tcPr>
            <w:tcW w:w="1584" w:type="dxa"/>
            <w:vMerge/>
            <w:vAlign w:val="center"/>
          </w:tcPr>
          <w:p w14:paraId="6D2AA855" w14:textId="77777777" w:rsidR="003634C1" w:rsidRPr="008149B5" w:rsidRDefault="003634C1" w:rsidP="003634C1">
            <w:pPr>
              <w:rPr>
                <w:sz w:val="16"/>
                <w:szCs w:val="16"/>
                <w:highlight w:val="red"/>
              </w:rPr>
            </w:pPr>
          </w:p>
        </w:tc>
        <w:tc>
          <w:tcPr>
            <w:tcW w:w="5787" w:type="dxa"/>
            <w:shd w:val="clear" w:color="auto" w:fill="auto"/>
            <w:vAlign w:val="center"/>
          </w:tcPr>
          <w:p w14:paraId="1888A46A" w14:textId="67C44F83" w:rsidR="003634C1" w:rsidRPr="003634C1" w:rsidRDefault="003634C1" w:rsidP="00395BB6">
            <w:pPr>
              <w:jc w:val="both"/>
              <w:rPr>
                <w:sz w:val="16"/>
                <w:szCs w:val="16"/>
              </w:rPr>
            </w:pPr>
            <w:r w:rsidRPr="003634C1">
              <w:rPr>
                <w:sz w:val="16"/>
                <w:szCs w:val="16"/>
              </w:rPr>
              <w:t>Prijedlog programa državne potpore za usluge od općeg gospodarskog interesa u obliku naknade za obavljanje javne usluge javnog obalnog linijskog pomorskog prijevoza za razdoblje od 6 godina na državnim brodskim linijama 405/406, 505 i 612</w:t>
            </w:r>
          </w:p>
        </w:tc>
        <w:tc>
          <w:tcPr>
            <w:tcW w:w="996" w:type="dxa"/>
            <w:shd w:val="clear" w:color="auto" w:fill="auto"/>
            <w:vAlign w:val="center"/>
          </w:tcPr>
          <w:p w14:paraId="4D1840C3" w14:textId="77777777"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367952E8" w14:textId="22741B70" w:rsidR="003634C1" w:rsidRPr="003634C1" w:rsidRDefault="003634C1" w:rsidP="003634C1">
            <w:pPr>
              <w:jc w:val="right"/>
              <w:rPr>
                <w:sz w:val="16"/>
                <w:szCs w:val="16"/>
              </w:rPr>
            </w:pPr>
            <w:r w:rsidRPr="003634C1">
              <w:rPr>
                <w:rFonts w:eastAsia="Times New Roman"/>
                <w:sz w:val="16"/>
                <w:szCs w:val="16"/>
                <w:lang w:eastAsia="hr-HR"/>
              </w:rPr>
              <w:t>1,0</w:t>
            </w:r>
          </w:p>
        </w:tc>
      </w:tr>
      <w:tr w:rsidR="003634C1" w:rsidRPr="008149B5" w14:paraId="1E7DBBC7" w14:textId="77777777" w:rsidTr="00395BB6">
        <w:trPr>
          <w:trHeight w:val="379"/>
        </w:trPr>
        <w:tc>
          <w:tcPr>
            <w:tcW w:w="1584" w:type="dxa"/>
            <w:vMerge/>
            <w:vAlign w:val="center"/>
          </w:tcPr>
          <w:p w14:paraId="0DC62B2B" w14:textId="77777777" w:rsidR="003634C1" w:rsidRPr="008149B5" w:rsidRDefault="003634C1" w:rsidP="003634C1">
            <w:pPr>
              <w:rPr>
                <w:sz w:val="16"/>
                <w:szCs w:val="16"/>
                <w:highlight w:val="red"/>
              </w:rPr>
            </w:pPr>
          </w:p>
        </w:tc>
        <w:tc>
          <w:tcPr>
            <w:tcW w:w="5787" w:type="dxa"/>
            <w:shd w:val="clear" w:color="auto" w:fill="auto"/>
            <w:vAlign w:val="center"/>
          </w:tcPr>
          <w:p w14:paraId="0672B99C" w14:textId="05EB0549" w:rsidR="003634C1" w:rsidRPr="00395BB6" w:rsidRDefault="003634C1" w:rsidP="00395BB6">
            <w:pPr>
              <w:jc w:val="both"/>
              <w:rPr>
                <w:spacing w:val="-4"/>
                <w:sz w:val="16"/>
                <w:szCs w:val="16"/>
              </w:rPr>
            </w:pPr>
            <w:r w:rsidRPr="00395BB6">
              <w:rPr>
                <w:spacing w:val="-4"/>
                <w:sz w:val="16"/>
                <w:szCs w:val="16"/>
              </w:rPr>
              <w:t xml:space="preserve">Program državne potpore za usluge od općeg gospodarskog interesa u obliku naknade za obavljanje javne usluge javnog obalnog linijskog pomorskog prijevoza za razdoblje od 2020. do 2025. godine na državnoj </w:t>
            </w:r>
            <w:proofErr w:type="spellStart"/>
            <w:r w:rsidRPr="00395BB6">
              <w:rPr>
                <w:spacing w:val="-4"/>
                <w:sz w:val="16"/>
                <w:szCs w:val="16"/>
              </w:rPr>
              <w:t>brzobrodskoj</w:t>
            </w:r>
            <w:proofErr w:type="spellEnd"/>
            <w:r w:rsidRPr="00395BB6">
              <w:rPr>
                <w:spacing w:val="-4"/>
                <w:sz w:val="16"/>
                <w:szCs w:val="16"/>
              </w:rPr>
              <w:t xml:space="preserve"> liniji 9502 </w:t>
            </w:r>
            <w:proofErr w:type="spellStart"/>
            <w:r w:rsidRPr="00395BB6">
              <w:rPr>
                <w:spacing w:val="-4"/>
                <w:sz w:val="16"/>
                <w:szCs w:val="16"/>
              </w:rPr>
              <w:t>Žirje</w:t>
            </w:r>
            <w:proofErr w:type="spellEnd"/>
            <w:r w:rsidRPr="00395BB6">
              <w:rPr>
                <w:spacing w:val="-4"/>
                <w:sz w:val="16"/>
                <w:szCs w:val="16"/>
              </w:rPr>
              <w:t xml:space="preserve"> – </w:t>
            </w:r>
            <w:proofErr w:type="spellStart"/>
            <w:r w:rsidRPr="00395BB6">
              <w:rPr>
                <w:spacing w:val="-4"/>
                <w:sz w:val="16"/>
                <w:szCs w:val="16"/>
              </w:rPr>
              <w:t>Kaprije</w:t>
            </w:r>
            <w:proofErr w:type="spellEnd"/>
            <w:r w:rsidRPr="00395BB6">
              <w:rPr>
                <w:spacing w:val="-4"/>
                <w:sz w:val="16"/>
                <w:szCs w:val="16"/>
              </w:rPr>
              <w:t xml:space="preserve"> – Šibenik i obratno</w:t>
            </w:r>
          </w:p>
        </w:tc>
        <w:tc>
          <w:tcPr>
            <w:tcW w:w="996" w:type="dxa"/>
            <w:shd w:val="clear" w:color="auto" w:fill="auto"/>
            <w:vAlign w:val="center"/>
          </w:tcPr>
          <w:p w14:paraId="7A4756DB" w14:textId="77777777"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1DDC10D0" w14:textId="0F483462" w:rsidR="003634C1" w:rsidRPr="003634C1" w:rsidRDefault="003634C1" w:rsidP="003634C1">
            <w:pPr>
              <w:jc w:val="right"/>
              <w:rPr>
                <w:sz w:val="16"/>
                <w:szCs w:val="16"/>
              </w:rPr>
            </w:pPr>
            <w:r w:rsidRPr="003634C1">
              <w:rPr>
                <w:rFonts w:eastAsia="Times New Roman"/>
                <w:sz w:val="16"/>
                <w:szCs w:val="16"/>
                <w:lang w:eastAsia="hr-HR"/>
              </w:rPr>
              <w:t>0,8</w:t>
            </w:r>
          </w:p>
        </w:tc>
      </w:tr>
      <w:tr w:rsidR="003634C1" w:rsidRPr="00395BB6" w14:paraId="7AF6C75B" w14:textId="77777777" w:rsidTr="002A10C8">
        <w:trPr>
          <w:trHeight w:val="51"/>
        </w:trPr>
        <w:tc>
          <w:tcPr>
            <w:tcW w:w="1584" w:type="dxa"/>
            <w:vMerge/>
            <w:vAlign w:val="center"/>
          </w:tcPr>
          <w:p w14:paraId="58998E51" w14:textId="77777777" w:rsidR="003634C1" w:rsidRPr="008149B5" w:rsidRDefault="003634C1" w:rsidP="003634C1">
            <w:pPr>
              <w:rPr>
                <w:sz w:val="16"/>
                <w:szCs w:val="16"/>
                <w:highlight w:val="red"/>
              </w:rPr>
            </w:pPr>
          </w:p>
        </w:tc>
        <w:tc>
          <w:tcPr>
            <w:tcW w:w="5787" w:type="dxa"/>
            <w:shd w:val="clear" w:color="auto" w:fill="auto"/>
            <w:vAlign w:val="center"/>
          </w:tcPr>
          <w:p w14:paraId="15F5AF24" w14:textId="33C6908C" w:rsidR="00395BB6" w:rsidRPr="00395BB6" w:rsidRDefault="003634C1" w:rsidP="00395BB6">
            <w:pPr>
              <w:jc w:val="both"/>
              <w:rPr>
                <w:sz w:val="16"/>
                <w:szCs w:val="16"/>
              </w:rPr>
            </w:pPr>
            <w:r w:rsidRPr="00395BB6">
              <w:rPr>
                <w:sz w:val="16"/>
                <w:szCs w:val="16"/>
              </w:rPr>
              <w:t>Izmjene Prijedloga programa državne potpore za usluge od općeg gospodarskog interesa u obliku naknade za obavljanje javne usluge javnog obalnog linijskog pomorskog prijevoza za razdoblje od 6 godina na državnoj liniji 9141</w:t>
            </w:r>
          </w:p>
        </w:tc>
        <w:tc>
          <w:tcPr>
            <w:tcW w:w="996" w:type="dxa"/>
            <w:shd w:val="clear" w:color="auto" w:fill="auto"/>
            <w:vAlign w:val="center"/>
          </w:tcPr>
          <w:p w14:paraId="0D4CB945" w14:textId="77777777" w:rsidR="003634C1" w:rsidRPr="00395BB6" w:rsidRDefault="003634C1" w:rsidP="003634C1">
            <w:pPr>
              <w:rPr>
                <w:sz w:val="16"/>
                <w:szCs w:val="16"/>
              </w:rPr>
            </w:pPr>
            <w:r w:rsidRPr="00395BB6">
              <w:rPr>
                <w:sz w:val="16"/>
                <w:szCs w:val="16"/>
              </w:rPr>
              <w:t>Subvencije</w:t>
            </w:r>
          </w:p>
        </w:tc>
        <w:tc>
          <w:tcPr>
            <w:tcW w:w="847" w:type="dxa"/>
            <w:shd w:val="clear" w:color="auto" w:fill="auto"/>
            <w:vAlign w:val="center"/>
          </w:tcPr>
          <w:p w14:paraId="536C4097" w14:textId="37AE28AF" w:rsidR="003634C1" w:rsidRPr="00395BB6" w:rsidRDefault="00395BB6" w:rsidP="003634C1">
            <w:pPr>
              <w:jc w:val="right"/>
              <w:rPr>
                <w:sz w:val="16"/>
                <w:szCs w:val="16"/>
              </w:rPr>
            </w:pPr>
            <w:r w:rsidRPr="00395BB6">
              <w:rPr>
                <w:rFonts w:eastAsia="Times New Roman"/>
                <w:sz w:val="16"/>
                <w:szCs w:val="16"/>
                <w:lang w:eastAsia="hr-HR"/>
              </w:rPr>
              <w:t>1,4</w:t>
            </w:r>
          </w:p>
        </w:tc>
      </w:tr>
      <w:tr w:rsidR="003634C1" w:rsidRPr="008149B5" w14:paraId="4AABFF2F" w14:textId="77777777" w:rsidTr="00BD786C">
        <w:trPr>
          <w:trHeight w:val="51"/>
        </w:trPr>
        <w:tc>
          <w:tcPr>
            <w:tcW w:w="1584" w:type="dxa"/>
            <w:vMerge/>
            <w:vAlign w:val="center"/>
            <w:hideMark/>
          </w:tcPr>
          <w:p w14:paraId="684ADA7A" w14:textId="77777777" w:rsidR="003634C1" w:rsidRPr="008149B5" w:rsidRDefault="003634C1" w:rsidP="003634C1">
            <w:pPr>
              <w:rPr>
                <w:sz w:val="16"/>
                <w:szCs w:val="16"/>
                <w:highlight w:val="red"/>
              </w:rPr>
            </w:pPr>
          </w:p>
        </w:tc>
        <w:tc>
          <w:tcPr>
            <w:tcW w:w="5787" w:type="dxa"/>
            <w:shd w:val="clear" w:color="auto" w:fill="auto"/>
            <w:vAlign w:val="center"/>
          </w:tcPr>
          <w:p w14:paraId="1AAC743B" w14:textId="77777777" w:rsidR="003634C1" w:rsidRPr="003634C1" w:rsidRDefault="003634C1" w:rsidP="00395BB6">
            <w:pPr>
              <w:jc w:val="both"/>
              <w:rPr>
                <w:sz w:val="16"/>
                <w:szCs w:val="16"/>
              </w:rPr>
            </w:pPr>
            <w:r w:rsidRPr="003634C1">
              <w:rPr>
                <w:sz w:val="16"/>
                <w:szCs w:val="16"/>
              </w:rPr>
              <w:t>Lokalni nivo – gradovi, općine</w:t>
            </w:r>
          </w:p>
        </w:tc>
        <w:tc>
          <w:tcPr>
            <w:tcW w:w="996" w:type="dxa"/>
            <w:shd w:val="clear" w:color="auto" w:fill="auto"/>
            <w:vAlign w:val="center"/>
            <w:hideMark/>
          </w:tcPr>
          <w:p w14:paraId="64F3C337" w14:textId="77777777" w:rsidR="003634C1" w:rsidRPr="003634C1" w:rsidRDefault="003634C1" w:rsidP="003634C1">
            <w:pPr>
              <w:rPr>
                <w:sz w:val="16"/>
                <w:szCs w:val="16"/>
              </w:rPr>
            </w:pPr>
            <w:r w:rsidRPr="003634C1">
              <w:rPr>
                <w:sz w:val="16"/>
                <w:szCs w:val="16"/>
              </w:rPr>
              <w:t>Subvencije</w:t>
            </w:r>
          </w:p>
        </w:tc>
        <w:tc>
          <w:tcPr>
            <w:tcW w:w="847" w:type="dxa"/>
            <w:shd w:val="clear" w:color="auto" w:fill="auto"/>
            <w:vAlign w:val="center"/>
          </w:tcPr>
          <w:p w14:paraId="7694EF44" w14:textId="0DC1162B" w:rsidR="003634C1" w:rsidRPr="003634C1" w:rsidRDefault="003634C1" w:rsidP="003634C1">
            <w:pPr>
              <w:jc w:val="right"/>
              <w:rPr>
                <w:sz w:val="16"/>
                <w:szCs w:val="16"/>
              </w:rPr>
            </w:pPr>
            <w:r w:rsidRPr="003634C1">
              <w:rPr>
                <w:rFonts w:eastAsia="Times New Roman"/>
                <w:sz w:val="16"/>
                <w:szCs w:val="16"/>
                <w:lang w:eastAsia="hr-HR"/>
              </w:rPr>
              <w:t>0,1</w:t>
            </w:r>
          </w:p>
        </w:tc>
      </w:tr>
      <w:tr w:rsidR="003634C1" w:rsidRPr="008149B5" w14:paraId="0FFF7BAF" w14:textId="77777777" w:rsidTr="002A10C8">
        <w:trPr>
          <w:trHeight w:val="47"/>
        </w:trPr>
        <w:tc>
          <w:tcPr>
            <w:tcW w:w="1584" w:type="dxa"/>
            <w:vMerge w:val="restart"/>
            <w:shd w:val="clear" w:color="auto" w:fill="auto"/>
            <w:vAlign w:val="center"/>
          </w:tcPr>
          <w:p w14:paraId="4369951A" w14:textId="77777777" w:rsidR="003634C1" w:rsidRPr="00395BB6" w:rsidRDefault="003634C1" w:rsidP="003634C1">
            <w:pPr>
              <w:rPr>
                <w:sz w:val="16"/>
                <w:szCs w:val="16"/>
              </w:rPr>
            </w:pPr>
            <w:r w:rsidRPr="00395BB6">
              <w:rPr>
                <w:sz w:val="16"/>
                <w:szCs w:val="16"/>
              </w:rPr>
              <w:t>Kopneni cestovni promet</w:t>
            </w:r>
          </w:p>
        </w:tc>
        <w:tc>
          <w:tcPr>
            <w:tcW w:w="5787" w:type="dxa"/>
            <w:shd w:val="clear" w:color="auto" w:fill="auto"/>
            <w:vAlign w:val="center"/>
          </w:tcPr>
          <w:p w14:paraId="4489D6EB" w14:textId="77777777" w:rsidR="003634C1" w:rsidRPr="00395BB6" w:rsidRDefault="003634C1" w:rsidP="00395BB6">
            <w:pPr>
              <w:jc w:val="both"/>
              <w:rPr>
                <w:sz w:val="16"/>
                <w:szCs w:val="16"/>
              </w:rPr>
            </w:pPr>
            <w:r w:rsidRPr="00395BB6">
              <w:rPr>
                <w:sz w:val="16"/>
                <w:szCs w:val="16"/>
              </w:rPr>
              <w:t xml:space="preserve">Izmjene i dopune broj 6. Ugovora o koncesiji o financiranju, gradnji, upravljanju i održavanju "Jadranske autoceste" dionica Dragonja – Pula i </w:t>
            </w:r>
            <w:proofErr w:type="spellStart"/>
            <w:r w:rsidRPr="00395BB6">
              <w:rPr>
                <w:sz w:val="16"/>
                <w:szCs w:val="16"/>
              </w:rPr>
              <w:t>Kanfanar</w:t>
            </w:r>
            <w:proofErr w:type="spellEnd"/>
            <w:r w:rsidRPr="00395BB6">
              <w:rPr>
                <w:sz w:val="16"/>
                <w:szCs w:val="16"/>
              </w:rPr>
              <w:t xml:space="preserve"> – Pazin – Matulj</w:t>
            </w:r>
          </w:p>
        </w:tc>
        <w:tc>
          <w:tcPr>
            <w:tcW w:w="996" w:type="dxa"/>
            <w:shd w:val="clear" w:color="auto" w:fill="auto"/>
            <w:vAlign w:val="center"/>
          </w:tcPr>
          <w:p w14:paraId="7706D25B" w14:textId="77777777" w:rsidR="003634C1" w:rsidRPr="00395BB6" w:rsidRDefault="003634C1" w:rsidP="003634C1">
            <w:pPr>
              <w:rPr>
                <w:sz w:val="16"/>
                <w:szCs w:val="16"/>
              </w:rPr>
            </w:pPr>
            <w:r w:rsidRPr="00395BB6">
              <w:rPr>
                <w:sz w:val="16"/>
                <w:szCs w:val="16"/>
              </w:rPr>
              <w:t>Subvencije</w:t>
            </w:r>
          </w:p>
        </w:tc>
        <w:tc>
          <w:tcPr>
            <w:tcW w:w="847" w:type="dxa"/>
            <w:shd w:val="clear" w:color="auto" w:fill="auto"/>
            <w:vAlign w:val="center"/>
          </w:tcPr>
          <w:p w14:paraId="5BC0D6DB" w14:textId="17C7E772" w:rsidR="003634C1" w:rsidRPr="00395BB6" w:rsidRDefault="00395BB6" w:rsidP="003634C1">
            <w:pPr>
              <w:jc w:val="right"/>
              <w:rPr>
                <w:sz w:val="16"/>
                <w:szCs w:val="16"/>
              </w:rPr>
            </w:pPr>
            <w:r w:rsidRPr="00395BB6">
              <w:rPr>
                <w:rFonts w:eastAsia="Times New Roman"/>
                <w:sz w:val="16"/>
                <w:szCs w:val="16"/>
                <w:lang w:eastAsia="hr-HR"/>
              </w:rPr>
              <w:t>12,0</w:t>
            </w:r>
          </w:p>
        </w:tc>
      </w:tr>
      <w:tr w:rsidR="00395BB6" w:rsidRPr="008149B5" w14:paraId="7015A244" w14:textId="77777777" w:rsidTr="00E627B3">
        <w:trPr>
          <w:trHeight w:val="40"/>
        </w:trPr>
        <w:tc>
          <w:tcPr>
            <w:tcW w:w="1584" w:type="dxa"/>
            <w:vMerge/>
            <w:shd w:val="clear" w:color="auto" w:fill="auto"/>
            <w:vAlign w:val="center"/>
          </w:tcPr>
          <w:p w14:paraId="7C01E147" w14:textId="77777777" w:rsidR="00395BB6" w:rsidRPr="00395BB6" w:rsidRDefault="00395BB6" w:rsidP="00395BB6">
            <w:pPr>
              <w:rPr>
                <w:sz w:val="16"/>
                <w:szCs w:val="16"/>
              </w:rPr>
            </w:pPr>
          </w:p>
        </w:tc>
        <w:tc>
          <w:tcPr>
            <w:tcW w:w="5787" w:type="dxa"/>
            <w:shd w:val="clear" w:color="auto" w:fill="auto"/>
            <w:vAlign w:val="center"/>
          </w:tcPr>
          <w:p w14:paraId="6F2C4951" w14:textId="192CFB73" w:rsidR="00395BB6" w:rsidRPr="00395BB6" w:rsidRDefault="00395BB6" w:rsidP="00395BB6">
            <w:pPr>
              <w:jc w:val="both"/>
              <w:rPr>
                <w:sz w:val="16"/>
                <w:szCs w:val="16"/>
              </w:rPr>
            </w:pPr>
            <w:r w:rsidRPr="00395BB6">
              <w:rPr>
                <w:rFonts w:eastAsia="Times New Roman"/>
                <w:sz w:val="16"/>
                <w:szCs w:val="16"/>
                <w:lang w:eastAsia="hr-HR"/>
              </w:rPr>
              <w:t>7. Izmjena ugovora o koncesiji za financiranje, građenje, upravljanje i održavanje Jadranske autoceste dionica 2B2-2 i 2B2-3</w:t>
            </w:r>
          </w:p>
        </w:tc>
        <w:tc>
          <w:tcPr>
            <w:tcW w:w="996" w:type="dxa"/>
            <w:shd w:val="clear" w:color="auto" w:fill="auto"/>
          </w:tcPr>
          <w:p w14:paraId="11059141" w14:textId="693B1884" w:rsidR="00395BB6" w:rsidRPr="00395BB6" w:rsidRDefault="00395BB6" w:rsidP="00395BB6">
            <w:pPr>
              <w:rPr>
                <w:sz w:val="16"/>
                <w:szCs w:val="16"/>
              </w:rPr>
            </w:pPr>
            <w:r w:rsidRPr="00395BB6">
              <w:rPr>
                <w:sz w:val="16"/>
                <w:szCs w:val="16"/>
              </w:rPr>
              <w:t>Subvencije</w:t>
            </w:r>
          </w:p>
        </w:tc>
        <w:tc>
          <w:tcPr>
            <w:tcW w:w="847" w:type="dxa"/>
            <w:shd w:val="clear" w:color="auto" w:fill="auto"/>
          </w:tcPr>
          <w:p w14:paraId="1DA22296" w14:textId="5934192D" w:rsidR="00395BB6" w:rsidRPr="00395BB6" w:rsidRDefault="00395BB6" w:rsidP="00395BB6">
            <w:pPr>
              <w:jc w:val="right"/>
              <w:rPr>
                <w:sz w:val="16"/>
                <w:szCs w:val="16"/>
              </w:rPr>
            </w:pPr>
            <w:r w:rsidRPr="00395BB6">
              <w:rPr>
                <w:rFonts w:eastAsia="Times New Roman"/>
                <w:sz w:val="16"/>
                <w:szCs w:val="16"/>
                <w:lang w:eastAsia="hr-HR"/>
              </w:rPr>
              <w:t>20,5</w:t>
            </w:r>
          </w:p>
        </w:tc>
      </w:tr>
      <w:tr w:rsidR="00395BB6" w:rsidRPr="008149B5" w14:paraId="58355BBE" w14:textId="77777777" w:rsidTr="00E627B3">
        <w:trPr>
          <w:trHeight w:val="40"/>
        </w:trPr>
        <w:tc>
          <w:tcPr>
            <w:tcW w:w="1584" w:type="dxa"/>
            <w:vMerge/>
            <w:shd w:val="clear" w:color="auto" w:fill="auto"/>
            <w:vAlign w:val="center"/>
          </w:tcPr>
          <w:p w14:paraId="415747FB" w14:textId="77777777" w:rsidR="00395BB6" w:rsidRPr="00395BB6" w:rsidRDefault="00395BB6" w:rsidP="00395BB6">
            <w:pPr>
              <w:rPr>
                <w:sz w:val="16"/>
                <w:szCs w:val="16"/>
              </w:rPr>
            </w:pPr>
          </w:p>
        </w:tc>
        <w:tc>
          <w:tcPr>
            <w:tcW w:w="5787" w:type="dxa"/>
            <w:shd w:val="clear" w:color="auto" w:fill="auto"/>
            <w:vAlign w:val="center"/>
          </w:tcPr>
          <w:p w14:paraId="4C713283" w14:textId="625F8426" w:rsidR="00395BB6" w:rsidRPr="00395BB6" w:rsidRDefault="00395BB6" w:rsidP="00395BB6">
            <w:pPr>
              <w:jc w:val="both"/>
              <w:rPr>
                <w:sz w:val="16"/>
                <w:szCs w:val="16"/>
              </w:rPr>
            </w:pPr>
            <w:r w:rsidRPr="00395BB6">
              <w:rPr>
                <w:rFonts w:eastAsia="Times New Roman"/>
                <w:sz w:val="16"/>
                <w:szCs w:val="16"/>
                <w:lang w:eastAsia="hr-HR"/>
              </w:rPr>
              <w:t xml:space="preserve">Nabava 20 niskopodnih tramvaja za ZET d.o.o. </w:t>
            </w:r>
          </w:p>
        </w:tc>
        <w:tc>
          <w:tcPr>
            <w:tcW w:w="996" w:type="dxa"/>
            <w:shd w:val="clear" w:color="auto" w:fill="auto"/>
          </w:tcPr>
          <w:p w14:paraId="2DABACA0" w14:textId="1B286EED" w:rsidR="00395BB6" w:rsidRPr="00395BB6" w:rsidRDefault="00395BB6" w:rsidP="00395BB6">
            <w:pPr>
              <w:rPr>
                <w:sz w:val="16"/>
                <w:szCs w:val="16"/>
              </w:rPr>
            </w:pPr>
            <w:r w:rsidRPr="00395BB6">
              <w:rPr>
                <w:sz w:val="16"/>
                <w:szCs w:val="16"/>
              </w:rPr>
              <w:t>Subvencije</w:t>
            </w:r>
          </w:p>
        </w:tc>
        <w:tc>
          <w:tcPr>
            <w:tcW w:w="847" w:type="dxa"/>
            <w:shd w:val="clear" w:color="auto" w:fill="auto"/>
          </w:tcPr>
          <w:p w14:paraId="2E0A3238" w14:textId="3EB6ACD0" w:rsidR="00395BB6" w:rsidRPr="00395BB6" w:rsidRDefault="00395BB6" w:rsidP="00395BB6">
            <w:pPr>
              <w:jc w:val="right"/>
              <w:rPr>
                <w:sz w:val="16"/>
                <w:szCs w:val="16"/>
              </w:rPr>
            </w:pPr>
            <w:r w:rsidRPr="00395BB6">
              <w:rPr>
                <w:rFonts w:eastAsia="Times New Roman"/>
                <w:sz w:val="16"/>
                <w:szCs w:val="16"/>
                <w:lang w:eastAsia="hr-HR"/>
              </w:rPr>
              <w:t>39,8</w:t>
            </w:r>
          </w:p>
        </w:tc>
      </w:tr>
      <w:tr w:rsidR="00395BB6" w:rsidRPr="008149B5" w14:paraId="18C5ED29" w14:textId="77777777" w:rsidTr="00E627B3">
        <w:trPr>
          <w:trHeight w:val="40"/>
        </w:trPr>
        <w:tc>
          <w:tcPr>
            <w:tcW w:w="1584" w:type="dxa"/>
            <w:vMerge/>
            <w:shd w:val="clear" w:color="auto" w:fill="auto"/>
            <w:vAlign w:val="center"/>
          </w:tcPr>
          <w:p w14:paraId="2721367D" w14:textId="77777777" w:rsidR="00395BB6" w:rsidRPr="00395BB6" w:rsidRDefault="00395BB6" w:rsidP="00395BB6">
            <w:pPr>
              <w:rPr>
                <w:sz w:val="16"/>
                <w:szCs w:val="16"/>
              </w:rPr>
            </w:pPr>
          </w:p>
        </w:tc>
        <w:tc>
          <w:tcPr>
            <w:tcW w:w="5787" w:type="dxa"/>
            <w:shd w:val="clear" w:color="auto" w:fill="auto"/>
            <w:vAlign w:val="center"/>
          </w:tcPr>
          <w:p w14:paraId="40341042" w14:textId="0C00B2EB" w:rsidR="00395BB6" w:rsidRPr="00395BB6" w:rsidRDefault="00395BB6" w:rsidP="00395BB6">
            <w:pPr>
              <w:jc w:val="both"/>
              <w:rPr>
                <w:sz w:val="16"/>
                <w:szCs w:val="16"/>
              </w:rPr>
            </w:pPr>
            <w:r w:rsidRPr="00395BB6">
              <w:rPr>
                <w:rFonts w:eastAsia="Times New Roman"/>
                <w:sz w:val="16"/>
                <w:szCs w:val="16"/>
                <w:lang w:eastAsia="hr-HR"/>
              </w:rPr>
              <w:t>Nabava novih niskopodnih tramvaja za potrebe modernizacije tram</w:t>
            </w:r>
            <w:r>
              <w:rPr>
                <w:rFonts w:eastAsia="Times New Roman"/>
                <w:sz w:val="16"/>
                <w:szCs w:val="16"/>
                <w:lang w:eastAsia="hr-HR"/>
              </w:rPr>
              <w:t>vajskog voznog parka u Osijeku</w:t>
            </w:r>
          </w:p>
        </w:tc>
        <w:tc>
          <w:tcPr>
            <w:tcW w:w="996" w:type="dxa"/>
            <w:shd w:val="clear" w:color="auto" w:fill="auto"/>
          </w:tcPr>
          <w:p w14:paraId="28608C52" w14:textId="79342DF2" w:rsidR="00395BB6" w:rsidRPr="00395BB6" w:rsidRDefault="00395BB6" w:rsidP="00395BB6">
            <w:pPr>
              <w:rPr>
                <w:sz w:val="16"/>
                <w:szCs w:val="16"/>
              </w:rPr>
            </w:pPr>
            <w:r w:rsidRPr="00395BB6">
              <w:rPr>
                <w:sz w:val="16"/>
                <w:szCs w:val="16"/>
              </w:rPr>
              <w:t>Subvencije</w:t>
            </w:r>
          </w:p>
        </w:tc>
        <w:tc>
          <w:tcPr>
            <w:tcW w:w="847" w:type="dxa"/>
            <w:shd w:val="clear" w:color="auto" w:fill="auto"/>
          </w:tcPr>
          <w:p w14:paraId="1AF3DF30" w14:textId="01107CC3" w:rsidR="00395BB6" w:rsidRPr="00395BB6" w:rsidRDefault="00395BB6" w:rsidP="00395BB6">
            <w:pPr>
              <w:jc w:val="right"/>
              <w:rPr>
                <w:sz w:val="16"/>
                <w:szCs w:val="16"/>
              </w:rPr>
            </w:pPr>
            <w:r w:rsidRPr="00395BB6">
              <w:rPr>
                <w:rFonts w:eastAsia="Times New Roman"/>
                <w:sz w:val="16"/>
                <w:szCs w:val="16"/>
                <w:lang w:eastAsia="hr-HR"/>
              </w:rPr>
              <w:t>19,9</w:t>
            </w:r>
          </w:p>
        </w:tc>
      </w:tr>
      <w:tr w:rsidR="00395BB6" w:rsidRPr="008149B5" w14:paraId="490335AE" w14:textId="77777777" w:rsidTr="00E627B3">
        <w:trPr>
          <w:trHeight w:val="40"/>
        </w:trPr>
        <w:tc>
          <w:tcPr>
            <w:tcW w:w="1584" w:type="dxa"/>
            <w:vMerge/>
            <w:shd w:val="clear" w:color="auto" w:fill="auto"/>
            <w:vAlign w:val="center"/>
          </w:tcPr>
          <w:p w14:paraId="5738A02C" w14:textId="77777777" w:rsidR="00395BB6" w:rsidRPr="00395BB6" w:rsidRDefault="00395BB6" w:rsidP="00395BB6">
            <w:pPr>
              <w:rPr>
                <w:sz w:val="16"/>
                <w:szCs w:val="16"/>
              </w:rPr>
            </w:pPr>
          </w:p>
        </w:tc>
        <w:tc>
          <w:tcPr>
            <w:tcW w:w="5787" w:type="dxa"/>
            <w:shd w:val="clear" w:color="auto" w:fill="auto"/>
            <w:vAlign w:val="center"/>
          </w:tcPr>
          <w:p w14:paraId="32658948" w14:textId="77777777" w:rsidR="00395BB6" w:rsidRPr="00395BB6" w:rsidRDefault="00395BB6" w:rsidP="00395BB6">
            <w:pPr>
              <w:jc w:val="both"/>
              <w:rPr>
                <w:sz w:val="16"/>
                <w:szCs w:val="16"/>
              </w:rPr>
            </w:pPr>
            <w:r w:rsidRPr="00395BB6">
              <w:rPr>
                <w:sz w:val="16"/>
                <w:szCs w:val="16"/>
              </w:rPr>
              <w:t>Lokalni nivo - gradovi, općine</w:t>
            </w:r>
          </w:p>
        </w:tc>
        <w:tc>
          <w:tcPr>
            <w:tcW w:w="996" w:type="dxa"/>
            <w:shd w:val="clear" w:color="auto" w:fill="auto"/>
            <w:vAlign w:val="center"/>
          </w:tcPr>
          <w:p w14:paraId="7C506C10" w14:textId="77777777" w:rsidR="00395BB6" w:rsidRPr="00395BB6" w:rsidRDefault="00395BB6" w:rsidP="00395BB6">
            <w:pPr>
              <w:rPr>
                <w:sz w:val="16"/>
                <w:szCs w:val="16"/>
              </w:rPr>
            </w:pPr>
            <w:r w:rsidRPr="00395BB6">
              <w:rPr>
                <w:sz w:val="16"/>
                <w:szCs w:val="16"/>
              </w:rPr>
              <w:t>Subvencije</w:t>
            </w:r>
          </w:p>
        </w:tc>
        <w:tc>
          <w:tcPr>
            <w:tcW w:w="847" w:type="dxa"/>
            <w:shd w:val="clear" w:color="auto" w:fill="auto"/>
          </w:tcPr>
          <w:p w14:paraId="344EAB02" w14:textId="708EE61B" w:rsidR="00395BB6" w:rsidRPr="00395BB6" w:rsidRDefault="00395BB6" w:rsidP="00395BB6">
            <w:pPr>
              <w:jc w:val="right"/>
              <w:rPr>
                <w:sz w:val="16"/>
                <w:szCs w:val="16"/>
              </w:rPr>
            </w:pPr>
            <w:r w:rsidRPr="00395BB6">
              <w:rPr>
                <w:rFonts w:eastAsia="Times New Roman"/>
                <w:sz w:val="16"/>
                <w:szCs w:val="16"/>
                <w:lang w:eastAsia="hr-HR"/>
              </w:rPr>
              <w:t>141,0</w:t>
            </w:r>
          </w:p>
        </w:tc>
      </w:tr>
      <w:tr w:rsidR="00395BB6" w:rsidRPr="008149B5" w14:paraId="01587015" w14:textId="77777777" w:rsidTr="00E627B3">
        <w:trPr>
          <w:trHeight w:val="378"/>
        </w:trPr>
        <w:tc>
          <w:tcPr>
            <w:tcW w:w="1584" w:type="dxa"/>
            <w:vMerge w:val="restart"/>
            <w:shd w:val="clear" w:color="auto" w:fill="auto"/>
            <w:vAlign w:val="center"/>
            <w:hideMark/>
          </w:tcPr>
          <w:p w14:paraId="1B2F38C4" w14:textId="77777777" w:rsidR="00395BB6" w:rsidRPr="00395BB6" w:rsidRDefault="00395BB6" w:rsidP="00395BB6">
            <w:pPr>
              <w:rPr>
                <w:sz w:val="16"/>
                <w:szCs w:val="16"/>
              </w:rPr>
            </w:pPr>
            <w:r w:rsidRPr="00395BB6">
              <w:rPr>
                <w:sz w:val="16"/>
                <w:szCs w:val="16"/>
              </w:rPr>
              <w:t>Željeznički promet</w:t>
            </w:r>
          </w:p>
        </w:tc>
        <w:tc>
          <w:tcPr>
            <w:tcW w:w="5787" w:type="dxa"/>
            <w:shd w:val="clear" w:color="auto" w:fill="auto"/>
            <w:vAlign w:val="center"/>
            <w:hideMark/>
          </w:tcPr>
          <w:p w14:paraId="7DA187E6" w14:textId="77777777" w:rsidR="00395BB6" w:rsidRPr="00395BB6" w:rsidRDefault="00395BB6" w:rsidP="00395BB6">
            <w:pPr>
              <w:rPr>
                <w:sz w:val="16"/>
                <w:szCs w:val="16"/>
              </w:rPr>
            </w:pPr>
            <w:r w:rsidRPr="00395BB6">
              <w:rPr>
                <w:sz w:val="16"/>
                <w:szCs w:val="16"/>
              </w:rPr>
              <w:t>Javne usluge od općeg gospodarskog interesa u javnom željezničkom prometu RH – HŽ Putnički prijevoz d.o.o.</w:t>
            </w:r>
          </w:p>
        </w:tc>
        <w:tc>
          <w:tcPr>
            <w:tcW w:w="996" w:type="dxa"/>
            <w:shd w:val="clear" w:color="auto" w:fill="auto"/>
            <w:vAlign w:val="center"/>
            <w:hideMark/>
          </w:tcPr>
          <w:p w14:paraId="38E77472" w14:textId="77777777" w:rsidR="00395BB6" w:rsidRPr="00395BB6" w:rsidRDefault="00395BB6" w:rsidP="00395BB6">
            <w:pPr>
              <w:rPr>
                <w:sz w:val="16"/>
                <w:szCs w:val="16"/>
              </w:rPr>
            </w:pPr>
            <w:r w:rsidRPr="00395BB6">
              <w:rPr>
                <w:sz w:val="16"/>
                <w:szCs w:val="16"/>
              </w:rPr>
              <w:t>Subvencije</w:t>
            </w:r>
          </w:p>
        </w:tc>
        <w:tc>
          <w:tcPr>
            <w:tcW w:w="847" w:type="dxa"/>
            <w:shd w:val="clear" w:color="auto" w:fill="auto"/>
          </w:tcPr>
          <w:p w14:paraId="226B16DA" w14:textId="2BD57841" w:rsidR="00395BB6" w:rsidRPr="00395BB6" w:rsidRDefault="00395BB6" w:rsidP="00395BB6">
            <w:pPr>
              <w:jc w:val="right"/>
              <w:rPr>
                <w:sz w:val="16"/>
                <w:szCs w:val="16"/>
              </w:rPr>
            </w:pPr>
            <w:r w:rsidRPr="00395BB6">
              <w:rPr>
                <w:rFonts w:eastAsia="Times New Roman"/>
                <w:sz w:val="16"/>
                <w:szCs w:val="16"/>
                <w:lang w:eastAsia="hr-HR"/>
              </w:rPr>
              <w:t>79,6</w:t>
            </w:r>
          </w:p>
        </w:tc>
      </w:tr>
      <w:tr w:rsidR="00395BB6" w:rsidRPr="008149B5" w14:paraId="020C778E" w14:textId="77777777" w:rsidTr="00395BB6">
        <w:trPr>
          <w:trHeight w:val="42"/>
        </w:trPr>
        <w:tc>
          <w:tcPr>
            <w:tcW w:w="1584" w:type="dxa"/>
            <w:vMerge/>
            <w:shd w:val="clear" w:color="auto" w:fill="auto"/>
            <w:vAlign w:val="center"/>
          </w:tcPr>
          <w:p w14:paraId="3DAA96A7" w14:textId="77777777" w:rsidR="00395BB6" w:rsidRPr="00395BB6" w:rsidRDefault="00395BB6" w:rsidP="00395BB6">
            <w:pPr>
              <w:rPr>
                <w:sz w:val="16"/>
                <w:szCs w:val="16"/>
              </w:rPr>
            </w:pPr>
          </w:p>
        </w:tc>
        <w:tc>
          <w:tcPr>
            <w:tcW w:w="5787" w:type="dxa"/>
            <w:shd w:val="clear" w:color="auto" w:fill="auto"/>
            <w:vAlign w:val="center"/>
          </w:tcPr>
          <w:p w14:paraId="546253F1" w14:textId="70AB3E3A" w:rsidR="00395BB6" w:rsidRPr="00395BB6" w:rsidRDefault="00395BB6" w:rsidP="00395BB6">
            <w:pPr>
              <w:rPr>
                <w:sz w:val="16"/>
                <w:szCs w:val="16"/>
              </w:rPr>
            </w:pPr>
            <w:r w:rsidRPr="00395BB6">
              <w:rPr>
                <w:rFonts w:eastAsia="Times New Roman"/>
                <w:sz w:val="16"/>
                <w:szCs w:val="16"/>
                <w:lang w:eastAsia="hr-HR"/>
              </w:rPr>
              <w:t>Primjena zelenih tehnologija u že</w:t>
            </w:r>
            <w:r>
              <w:rPr>
                <w:rFonts w:eastAsia="Times New Roman"/>
                <w:sz w:val="16"/>
                <w:szCs w:val="16"/>
                <w:lang w:eastAsia="hr-HR"/>
              </w:rPr>
              <w:t>ljezničkom putničkom prijevozu</w:t>
            </w:r>
          </w:p>
        </w:tc>
        <w:tc>
          <w:tcPr>
            <w:tcW w:w="996" w:type="dxa"/>
            <w:shd w:val="clear" w:color="auto" w:fill="auto"/>
            <w:vAlign w:val="center"/>
          </w:tcPr>
          <w:p w14:paraId="5B3B2522" w14:textId="4A3E4D5F" w:rsidR="00395BB6" w:rsidRPr="00395BB6" w:rsidRDefault="00395BB6" w:rsidP="00395BB6">
            <w:pPr>
              <w:rPr>
                <w:sz w:val="16"/>
                <w:szCs w:val="16"/>
              </w:rPr>
            </w:pPr>
            <w:r w:rsidRPr="00395BB6">
              <w:rPr>
                <w:sz w:val="16"/>
                <w:szCs w:val="16"/>
              </w:rPr>
              <w:t>Subvencije</w:t>
            </w:r>
          </w:p>
        </w:tc>
        <w:tc>
          <w:tcPr>
            <w:tcW w:w="847" w:type="dxa"/>
            <w:shd w:val="clear" w:color="auto" w:fill="auto"/>
          </w:tcPr>
          <w:p w14:paraId="070C685D" w14:textId="377311B5" w:rsidR="00395BB6" w:rsidRPr="00395BB6" w:rsidRDefault="00395BB6" w:rsidP="00395BB6">
            <w:pPr>
              <w:jc w:val="right"/>
              <w:rPr>
                <w:sz w:val="16"/>
                <w:szCs w:val="16"/>
              </w:rPr>
            </w:pPr>
            <w:r w:rsidRPr="00395BB6">
              <w:rPr>
                <w:rFonts w:eastAsia="Times New Roman"/>
                <w:sz w:val="16"/>
                <w:szCs w:val="16"/>
                <w:lang w:eastAsia="hr-HR"/>
              </w:rPr>
              <w:t>13,3</w:t>
            </w:r>
          </w:p>
        </w:tc>
      </w:tr>
      <w:tr w:rsidR="00395BB6" w:rsidRPr="008149B5" w14:paraId="51EEDA1D" w14:textId="77777777" w:rsidTr="00395BB6">
        <w:trPr>
          <w:trHeight w:val="42"/>
        </w:trPr>
        <w:tc>
          <w:tcPr>
            <w:tcW w:w="1584" w:type="dxa"/>
            <w:vMerge/>
            <w:shd w:val="clear" w:color="auto" w:fill="auto"/>
            <w:vAlign w:val="center"/>
          </w:tcPr>
          <w:p w14:paraId="09FD8B5A" w14:textId="77777777" w:rsidR="00395BB6" w:rsidRPr="00395BB6" w:rsidRDefault="00395BB6" w:rsidP="00395BB6">
            <w:pPr>
              <w:rPr>
                <w:sz w:val="16"/>
                <w:szCs w:val="16"/>
              </w:rPr>
            </w:pPr>
          </w:p>
        </w:tc>
        <w:tc>
          <w:tcPr>
            <w:tcW w:w="5787" w:type="dxa"/>
            <w:shd w:val="clear" w:color="auto" w:fill="auto"/>
          </w:tcPr>
          <w:p w14:paraId="5ED7B610" w14:textId="4CA8F21A" w:rsidR="00395BB6" w:rsidRPr="00395BB6" w:rsidRDefault="00395BB6" w:rsidP="00395BB6">
            <w:pPr>
              <w:rPr>
                <w:sz w:val="16"/>
                <w:szCs w:val="16"/>
              </w:rPr>
            </w:pPr>
            <w:r w:rsidRPr="00395BB6">
              <w:rPr>
                <w:rFonts w:eastAsia="Times New Roman"/>
                <w:sz w:val="16"/>
                <w:szCs w:val="16"/>
                <w:lang w:eastAsia="hr-HR"/>
              </w:rPr>
              <w:t>Državna potpora za sanaciju društva Pružne građevine d.o.o.</w:t>
            </w:r>
          </w:p>
        </w:tc>
        <w:tc>
          <w:tcPr>
            <w:tcW w:w="996" w:type="dxa"/>
            <w:shd w:val="clear" w:color="auto" w:fill="auto"/>
            <w:vAlign w:val="center"/>
          </w:tcPr>
          <w:p w14:paraId="147070C3" w14:textId="532B23F5" w:rsidR="00395BB6" w:rsidRPr="00395BB6" w:rsidRDefault="00395BB6" w:rsidP="00395BB6">
            <w:pPr>
              <w:rPr>
                <w:sz w:val="16"/>
                <w:szCs w:val="16"/>
              </w:rPr>
            </w:pPr>
            <w:r w:rsidRPr="00395BB6">
              <w:rPr>
                <w:sz w:val="16"/>
                <w:szCs w:val="16"/>
              </w:rPr>
              <w:t>Subvencije</w:t>
            </w:r>
          </w:p>
        </w:tc>
        <w:tc>
          <w:tcPr>
            <w:tcW w:w="847" w:type="dxa"/>
            <w:shd w:val="clear" w:color="auto" w:fill="auto"/>
          </w:tcPr>
          <w:p w14:paraId="38A2A05D" w14:textId="547B1A27" w:rsidR="00395BB6" w:rsidRPr="00395BB6" w:rsidRDefault="00395BB6" w:rsidP="00395BB6">
            <w:pPr>
              <w:jc w:val="right"/>
              <w:rPr>
                <w:sz w:val="16"/>
                <w:szCs w:val="16"/>
              </w:rPr>
            </w:pPr>
            <w:r w:rsidRPr="00395BB6">
              <w:rPr>
                <w:rFonts w:eastAsia="Times New Roman"/>
                <w:sz w:val="16"/>
                <w:szCs w:val="16"/>
                <w:lang w:eastAsia="hr-HR"/>
              </w:rPr>
              <w:t>14,6</w:t>
            </w:r>
          </w:p>
        </w:tc>
      </w:tr>
      <w:tr w:rsidR="00395BB6" w:rsidRPr="008149B5" w14:paraId="1B106B1C" w14:textId="77777777" w:rsidTr="00395BB6">
        <w:trPr>
          <w:trHeight w:val="42"/>
        </w:trPr>
        <w:tc>
          <w:tcPr>
            <w:tcW w:w="1584" w:type="dxa"/>
            <w:vMerge/>
            <w:shd w:val="clear" w:color="auto" w:fill="auto"/>
            <w:vAlign w:val="center"/>
          </w:tcPr>
          <w:p w14:paraId="5520328C" w14:textId="77777777" w:rsidR="00395BB6" w:rsidRPr="00395BB6" w:rsidRDefault="00395BB6" w:rsidP="00395BB6">
            <w:pPr>
              <w:rPr>
                <w:sz w:val="16"/>
                <w:szCs w:val="16"/>
              </w:rPr>
            </w:pPr>
          </w:p>
        </w:tc>
        <w:tc>
          <w:tcPr>
            <w:tcW w:w="5787" w:type="dxa"/>
            <w:shd w:val="clear" w:color="auto" w:fill="auto"/>
          </w:tcPr>
          <w:p w14:paraId="4F4009CA" w14:textId="085CB5E0" w:rsidR="00395BB6" w:rsidRPr="00395BB6" w:rsidRDefault="00395BB6" w:rsidP="00395BB6">
            <w:pPr>
              <w:rPr>
                <w:sz w:val="16"/>
                <w:szCs w:val="16"/>
              </w:rPr>
            </w:pPr>
            <w:r w:rsidRPr="00395BB6">
              <w:rPr>
                <w:rFonts w:eastAsia="Times New Roman"/>
                <w:sz w:val="16"/>
                <w:szCs w:val="16"/>
                <w:lang w:eastAsia="hr-HR"/>
              </w:rPr>
              <w:t>Lokalni nivo - gradovi, općine</w:t>
            </w:r>
          </w:p>
        </w:tc>
        <w:tc>
          <w:tcPr>
            <w:tcW w:w="996" w:type="dxa"/>
            <w:shd w:val="clear" w:color="auto" w:fill="auto"/>
            <w:vAlign w:val="center"/>
          </w:tcPr>
          <w:p w14:paraId="66C4578F" w14:textId="390F3DCE" w:rsidR="00395BB6" w:rsidRPr="00395BB6" w:rsidRDefault="00395BB6" w:rsidP="00395BB6">
            <w:pPr>
              <w:rPr>
                <w:sz w:val="16"/>
                <w:szCs w:val="16"/>
              </w:rPr>
            </w:pPr>
            <w:r w:rsidRPr="00395BB6">
              <w:rPr>
                <w:sz w:val="16"/>
                <w:szCs w:val="16"/>
              </w:rPr>
              <w:t>Subvencije</w:t>
            </w:r>
          </w:p>
        </w:tc>
        <w:tc>
          <w:tcPr>
            <w:tcW w:w="847" w:type="dxa"/>
            <w:shd w:val="clear" w:color="auto" w:fill="auto"/>
          </w:tcPr>
          <w:p w14:paraId="155FE63D" w14:textId="11A73C5D" w:rsidR="00395BB6" w:rsidRPr="00395BB6" w:rsidRDefault="00395BB6" w:rsidP="00395BB6">
            <w:pPr>
              <w:jc w:val="right"/>
              <w:rPr>
                <w:sz w:val="16"/>
                <w:szCs w:val="16"/>
              </w:rPr>
            </w:pPr>
            <w:r w:rsidRPr="00395BB6">
              <w:rPr>
                <w:rFonts w:eastAsia="Times New Roman"/>
                <w:sz w:val="16"/>
                <w:szCs w:val="16"/>
                <w:lang w:eastAsia="hr-HR"/>
              </w:rPr>
              <w:t>0,1</w:t>
            </w:r>
          </w:p>
        </w:tc>
      </w:tr>
      <w:tr w:rsidR="003634C1" w:rsidRPr="008149B5" w14:paraId="50AB0A47" w14:textId="77777777" w:rsidTr="00395BB6">
        <w:trPr>
          <w:trHeight w:val="40"/>
        </w:trPr>
        <w:tc>
          <w:tcPr>
            <w:tcW w:w="1584" w:type="dxa"/>
            <w:shd w:val="clear" w:color="000000" w:fill="FFFF99"/>
            <w:vAlign w:val="center"/>
            <w:hideMark/>
          </w:tcPr>
          <w:p w14:paraId="38D082A9" w14:textId="77777777" w:rsidR="003634C1" w:rsidRPr="00395BB6" w:rsidRDefault="003634C1" w:rsidP="003634C1">
            <w:pPr>
              <w:rPr>
                <w:sz w:val="16"/>
                <w:szCs w:val="16"/>
              </w:rPr>
            </w:pPr>
            <w:r w:rsidRPr="00395BB6">
              <w:rPr>
                <w:b/>
                <w:sz w:val="16"/>
                <w:szCs w:val="16"/>
              </w:rPr>
              <w:t>Ukupno</w:t>
            </w:r>
          </w:p>
        </w:tc>
        <w:tc>
          <w:tcPr>
            <w:tcW w:w="5787" w:type="dxa"/>
            <w:shd w:val="clear" w:color="000000" w:fill="FFFF99"/>
            <w:vAlign w:val="center"/>
            <w:hideMark/>
          </w:tcPr>
          <w:p w14:paraId="32316D9B" w14:textId="77777777" w:rsidR="003634C1" w:rsidRPr="00395BB6" w:rsidRDefault="003634C1" w:rsidP="003634C1">
            <w:pPr>
              <w:rPr>
                <w:sz w:val="16"/>
                <w:szCs w:val="16"/>
              </w:rPr>
            </w:pPr>
          </w:p>
        </w:tc>
        <w:tc>
          <w:tcPr>
            <w:tcW w:w="996" w:type="dxa"/>
            <w:shd w:val="clear" w:color="000000" w:fill="FFFF99"/>
            <w:vAlign w:val="center"/>
          </w:tcPr>
          <w:p w14:paraId="2D469AF1" w14:textId="6EDBAEBD" w:rsidR="003634C1" w:rsidRPr="00395BB6" w:rsidRDefault="003634C1" w:rsidP="003634C1">
            <w:pPr>
              <w:rPr>
                <w:sz w:val="16"/>
                <w:szCs w:val="16"/>
              </w:rPr>
            </w:pPr>
          </w:p>
        </w:tc>
        <w:tc>
          <w:tcPr>
            <w:tcW w:w="847" w:type="dxa"/>
            <w:shd w:val="clear" w:color="000000" w:fill="FFFF99"/>
            <w:vAlign w:val="center"/>
          </w:tcPr>
          <w:p w14:paraId="08B2DBE8" w14:textId="62B206FE" w:rsidR="003634C1" w:rsidRPr="00395BB6" w:rsidRDefault="00FF0554" w:rsidP="003634C1">
            <w:pPr>
              <w:jc w:val="right"/>
              <w:rPr>
                <w:b/>
                <w:sz w:val="16"/>
                <w:szCs w:val="16"/>
              </w:rPr>
            </w:pPr>
            <w:r>
              <w:rPr>
                <w:rFonts w:eastAsia="Times New Roman"/>
                <w:b/>
                <w:bCs/>
                <w:sz w:val="16"/>
                <w:szCs w:val="16"/>
                <w:lang w:eastAsia="hr-HR"/>
              </w:rPr>
              <w:t>592,5</w:t>
            </w:r>
          </w:p>
        </w:tc>
      </w:tr>
    </w:tbl>
    <w:p w14:paraId="4CB62C12" w14:textId="77777777" w:rsidR="00BE1A0A" w:rsidRPr="00BD786C" w:rsidRDefault="00BE1A0A" w:rsidP="00BE487D">
      <w:pPr>
        <w:contextualSpacing/>
        <w:jc w:val="both"/>
        <w:rPr>
          <w:i/>
          <w:sz w:val="20"/>
        </w:rPr>
      </w:pPr>
      <w:r w:rsidRPr="00BD786C">
        <w:rPr>
          <w:i/>
          <w:sz w:val="20"/>
        </w:rPr>
        <w:t>Izvor: Ministarstvo financija i davatelji potpora; podaci obrađeni u Ministarstvu financija</w:t>
      </w:r>
    </w:p>
    <w:p w14:paraId="0045799B" w14:textId="77777777" w:rsidR="009E0344" w:rsidRPr="008149B5" w:rsidRDefault="009E0344" w:rsidP="00EB0832">
      <w:pPr>
        <w:rPr>
          <w:highlight w:val="red"/>
        </w:rPr>
      </w:pPr>
    </w:p>
    <w:p w14:paraId="5A6F39A2" w14:textId="78AAA0D2" w:rsidR="00025431" w:rsidRPr="00FF0554" w:rsidRDefault="006E4E2E" w:rsidP="00025431">
      <w:pPr>
        <w:jc w:val="both"/>
      </w:pPr>
      <w:r w:rsidRPr="00FF0554">
        <w:lastRenderedPageBreak/>
        <w:t xml:space="preserve">Potpore za obavljanje usluga od općeg gospodarskog interesa dodijeljene su u 2023. godini u iznosu od </w:t>
      </w:r>
      <w:r w:rsidR="00FF0554" w:rsidRPr="00FF0554">
        <w:t>592,5</w:t>
      </w:r>
      <w:r w:rsidRPr="00FF0554">
        <w:t xml:space="preserve"> milijuna eura te je udio navedenih potpora u BDP-u u </w:t>
      </w:r>
      <w:r w:rsidR="00452BF2" w:rsidRPr="00FF0554">
        <w:t>istoj</w:t>
      </w:r>
      <w:r w:rsidRPr="00FF0554">
        <w:t xml:space="preserve"> godini iznosio </w:t>
      </w:r>
      <w:r w:rsidR="00452BF2" w:rsidRPr="00FF0554">
        <w:t>0,7</w:t>
      </w:r>
      <w:r w:rsidR="00FF0554" w:rsidRPr="00FF0554">
        <w:t>7</w:t>
      </w:r>
      <w:r w:rsidRPr="00FF0554">
        <w:t xml:space="preserve"> posto, </w:t>
      </w:r>
      <w:r w:rsidR="00452BF2" w:rsidRPr="00FF0554">
        <w:t xml:space="preserve">udio </w:t>
      </w:r>
      <w:r w:rsidRPr="00FF0554">
        <w:t xml:space="preserve">u ukupno dodijeljenim potporama iznosio je </w:t>
      </w:r>
      <w:r w:rsidR="00FF0554" w:rsidRPr="00FF0554">
        <w:t>19,5</w:t>
      </w:r>
      <w:r w:rsidRPr="00FF0554">
        <w:t xml:space="preserve"> posto, udio u dodijeljenim potporama u sektoru industrije i usluga iznosio je </w:t>
      </w:r>
      <w:r w:rsidR="00452BF2" w:rsidRPr="00FF0554">
        <w:t>30,</w:t>
      </w:r>
      <w:r w:rsidR="00FF0554" w:rsidRPr="00FF0554">
        <w:t>1</w:t>
      </w:r>
      <w:r w:rsidRPr="00FF0554">
        <w:t xml:space="preserve"> posto, dok je udio u </w:t>
      </w:r>
      <w:r w:rsidR="00452BF2" w:rsidRPr="00FF0554">
        <w:t xml:space="preserve">sektorskim potporama </w:t>
      </w:r>
      <w:r w:rsidRPr="00FF0554">
        <w:t xml:space="preserve">iznosio </w:t>
      </w:r>
      <w:r w:rsidR="00FF0554" w:rsidRPr="00FF0554">
        <w:t>69,8</w:t>
      </w:r>
      <w:r w:rsidRPr="00FF0554">
        <w:t xml:space="preserve"> posto.</w:t>
      </w:r>
      <w:r w:rsidR="00025431" w:rsidRPr="00FF0554">
        <w:t xml:space="preserve"> Jedini instrument putem kojih su dodijeljene navedene potpore u 2023. godini su subvencije.</w:t>
      </w:r>
    </w:p>
    <w:p w14:paraId="4F7F2FC7" w14:textId="77777777" w:rsidR="00025431" w:rsidRPr="00FF0554" w:rsidRDefault="00025431" w:rsidP="00025431">
      <w:pPr>
        <w:jc w:val="both"/>
      </w:pPr>
    </w:p>
    <w:p w14:paraId="4949F735" w14:textId="6B629AA9" w:rsidR="00EB0832" w:rsidRPr="00FF0554" w:rsidRDefault="00A113FF" w:rsidP="00EB0832">
      <w:pPr>
        <w:jc w:val="both"/>
      </w:pPr>
      <w:r w:rsidRPr="00FF0554">
        <w:t>I u 2023. godini, ako i ranijim razdobljima, p</w:t>
      </w:r>
      <w:r w:rsidR="00EB0832" w:rsidRPr="00FF0554">
        <w:t xml:space="preserve">otpore za obavljanje usluga od općeg gospodarskog interesa </w:t>
      </w:r>
      <w:r w:rsidR="00D85402" w:rsidRPr="00FF0554">
        <w:t xml:space="preserve">prevladavaju </w:t>
      </w:r>
      <w:r w:rsidR="00EB0832" w:rsidRPr="00FF0554">
        <w:t xml:space="preserve">u okviru sektorskih potpora kao naknada </w:t>
      </w:r>
      <w:r w:rsidR="00D85402" w:rsidRPr="00FF0554">
        <w:t>ili</w:t>
      </w:r>
      <w:r w:rsidR="00EB0832" w:rsidRPr="00FF0554">
        <w:t xml:space="preserve"> kompenzacija za obavljanje javne usluge u kopnenom cestovnom, željezničkom, pomorskom i zračnom prometu, uslugama zračnih luka, </w:t>
      </w:r>
      <w:r w:rsidRPr="00FF0554">
        <w:t>u</w:t>
      </w:r>
      <w:r w:rsidR="00EB0832" w:rsidRPr="00FF0554">
        <w:t xml:space="preserve"> javn</w:t>
      </w:r>
      <w:r w:rsidRPr="00FF0554">
        <w:t>im</w:t>
      </w:r>
      <w:r w:rsidR="00EB0832" w:rsidRPr="00FF0554">
        <w:t xml:space="preserve"> radiodifuzijsk</w:t>
      </w:r>
      <w:r w:rsidRPr="00FF0554">
        <w:t>im uslugama</w:t>
      </w:r>
      <w:r w:rsidR="00EB0832" w:rsidRPr="00FF0554">
        <w:t xml:space="preserve"> te poštansk</w:t>
      </w:r>
      <w:r w:rsidRPr="00FF0554">
        <w:t>im uslugama.</w:t>
      </w:r>
    </w:p>
    <w:p w14:paraId="359D9887" w14:textId="77777777" w:rsidR="00EB0832" w:rsidRPr="00FF0554" w:rsidRDefault="00EB0832" w:rsidP="00BE487D">
      <w:pPr>
        <w:jc w:val="both"/>
      </w:pPr>
    </w:p>
    <w:p w14:paraId="4420AC06" w14:textId="70909AB9" w:rsidR="00155083" w:rsidRPr="00FA2A4C" w:rsidRDefault="00155083" w:rsidP="00155083">
      <w:pPr>
        <w:jc w:val="both"/>
      </w:pPr>
      <w:r w:rsidRPr="00FF0554">
        <w:t xml:space="preserve">Unutar potpora </w:t>
      </w:r>
      <w:r w:rsidR="00D85402" w:rsidRPr="00FF0554">
        <w:t xml:space="preserve">dodijeljenih </w:t>
      </w:r>
      <w:r w:rsidR="00A113FF" w:rsidRPr="00FF0554">
        <w:t xml:space="preserve">u 2023. godini </w:t>
      </w:r>
      <w:r w:rsidRPr="00FF0554">
        <w:t xml:space="preserve">za obavljanje usluga od općeg gospodarskog interesa </w:t>
      </w:r>
      <w:r w:rsidR="00A113FF" w:rsidRPr="00FF0554">
        <w:t xml:space="preserve">u iznosu od </w:t>
      </w:r>
      <w:r w:rsidR="00FF0554" w:rsidRPr="00FF0554">
        <w:t>592,5</w:t>
      </w:r>
      <w:r w:rsidR="00D85402" w:rsidRPr="00FF0554">
        <w:t xml:space="preserve"> </w:t>
      </w:r>
      <w:r w:rsidRPr="00FF0554">
        <w:t xml:space="preserve">milijuna </w:t>
      </w:r>
      <w:r w:rsidR="00A113FF" w:rsidRPr="00FF0554">
        <w:t>eura</w:t>
      </w:r>
      <w:r w:rsidRPr="00FF0554">
        <w:t>, najv</w:t>
      </w:r>
      <w:r w:rsidR="00A113FF" w:rsidRPr="00FF0554">
        <w:t xml:space="preserve">eći udio </w:t>
      </w:r>
      <w:r w:rsidRPr="00FF0554">
        <w:t xml:space="preserve">odnosi se na </w:t>
      </w:r>
      <w:r w:rsidR="00A113FF" w:rsidRPr="00FF0554">
        <w:t>potpore kopnenom cestovnom prometu u iznosu od 233,2 milijuna eura ili s 3</w:t>
      </w:r>
      <w:r w:rsidR="00FF0554" w:rsidRPr="00FF0554">
        <w:t>9,4</w:t>
      </w:r>
      <w:r w:rsidR="00A113FF" w:rsidRPr="00FF0554">
        <w:t xml:space="preserve"> posto udjela u potporama za obavljanje usluga od općeg gospodarskog interesa, slijede </w:t>
      </w:r>
      <w:r w:rsidRPr="00FF0554">
        <w:t xml:space="preserve">potpore za javne radiodifuzijske usluge za emitiranje javnog radio i televizijskog programa </w:t>
      </w:r>
      <w:r w:rsidR="00A113FF" w:rsidRPr="00FF0554">
        <w:t xml:space="preserve">u iznosu </w:t>
      </w:r>
      <w:r w:rsidRPr="00FF0554">
        <w:t xml:space="preserve">od </w:t>
      </w:r>
      <w:r w:rsidR="00A113FF" w:rsidRPr="00FF0554">
        <w:t>152,2</w:t>
      </w:r>
      <w:r w:rsidR="00D85402" w:rsidRPr="00FF0554">
        <w:t xml:space="preserve"> </w:t>
      </w:r>
      <w:r w:rsidRPr="00FF0554">
        <w:t xml:space="preserve">milijuna </w:t>
      </w:r>
      <w:r w:rsidR="00A113FF" w:rsidRPr="00FF0554">
        <w:t xml:space="preserve">eura </w:t>
      </w:r>
      <w:r w:rsidRPr="00FF0554">
        <w:t xml:space="preserve">ili </w:t>
      </w:r>
      <w:r w:rsidR="00A113FF" w:rsidRPr="00FF0554">
        <w:t>25,</w:t>
      </w:r>
      <w:r w:rsidR="00FF0554" w:rsidRPr="00FF0554">
        <w:t>7</w:t>
      </w:r>
      <w:r w:rsidR="00D85402" w:rsidRPr="00FF0554">
        <w:t xml:space="preserve"> </w:t>
      </w:r>
      <w:r w:rsidRPr="00FF0554">
        <w:t>posto</w:t>
      </w:r>
      <w:r w:rsidR="00A113FF" w:rsidRPr="00FA2A4C">
        <w:t xml:space="preserve">, potom </w:t>
      </w:r>
      <w:r w:rsidRPr="00FA2A4C">
        <w:t xml:space="preserve">potpore za kopneni željeznički promet u iznosu od </w:t>
      </w:r>
      <w:r w:rsidR="00A113FF" w:rsidRPr="00FA2A4C">
        <w:t>107,6</w:t>
      </w:r>
      <w:r w:rsidR="00D85402" w:rsidRPr="00FA2A4C">
        <w:t xml:space="preserve"> </w:t>
      </w:r>
      <w:r w:rsidRPr="00FA2A4C">
        <w:t xml:space="preserve">milijuna </w:t>
      </w:r>
      <w:r w:rsidR="00A113FF" w:rsidRPr="00FA2A4C">
        <w:t xml:space="preserve">eura </w:t>
      </w:r>
      <w:r w:rsidRPr="00FA2A4C">
        <w:t xml:space="preserve">ili </w:t>
      </w:r>
      <w:r w:rsidR="00A113FF" w:rsidRPr="00FA2A4C">
        <w:t>1</w:t>
      </w:r>
      <w:r w:rsidR="00FA2A4C" w:rsidRPr="00FA2A4C">
        <w:t>8,2</w:t>
      </w:r>
      <w:r w:rsidRPr="00FA2A4C">
        <w:t xml:space="preserve"> posto, potpore p</w:t>
      </w:r>
      <w:r w:rsidR="00DF38A5" w:rsidRPr="00FA2A4C">
        <w:t xml:space="preserve">omorskom prometu u iznosu od </w:t>
      </w:r>
      <w:r w:rsidR="00A113FF" w:rsidRPr="00FA2A4C">
        <w:t>63,4</w:t>
      </w:r>
      <w:r w:rsidR="00D85402" w:rsidRPr="00FA2A4C">
        <w:t xml:space="preserve"> </w:t>
      </w:r>
      <w:r w:rsidRPr="00FA2A4C">
        <w:t xml:space="preserve">milijuna </w:t>
      </w:r>
      <w:r w:rsidR="00A113FF" w:rsidRPr="00FA2A4C">
        <w:t xml:space="preserve">eura </w:t>
      </w:r>
      <w:r w:rsidRPr="00FA2A4C">
        <w:t xml:space="preserve">ili </w:t>
      </w:r>
      <w:r w:rsidR="00A113FF" w:rsidRPr="00FA2A4C">
        <w:t>10,</w:t>
      </w:r>
      <w:r w:rsidR="00FA2A4C" w:rsidRPr="00FA2A4C">
        <w:t>7</w:t>
      </w:r>
      <w:r w:rsidRPr="00FA2A4C">
        <w:t xml:space="preserve"> posto, potpore zračnom prometu u iznosu od </w:t>
      </w:r>
      <w:r w:rsidR="00FA2A4C" w:rsidRPr="00FA2A4C">
        <w:t>21,3</w:t>
      </w:r>
      <w:r w:rsidR="00D85402" w:rsidRPr="00FA2A4C">
        <w:t xml:space="preserve"> </w:t>
      </w:r>
      <w:r w:rsidRPr="00FA2A4C">
        <w:t xml:space="preserve">milijuna </w:t>
      </w:r>
      <w:r w:rsidR="00A113FF" w:rsidRPr="00FA2A4C">
        <w:t xml:space="preserve">eura </w:t>
      </w:r>
      <w:r w:rsidRPr="00FA2A4C">
        <w:t xml:space="preserve">ili </w:t>
      </w:r>
      <w:r w:rsidR="00FA2A4C" w:rsidRPr="00FA2A4C">
        <w:t>3,6</w:t>
      </w:r>
      <w:r w:rsidRPr="00FA2A4C">
        <w:t xml:space="preserve"> posto te potpore za poštanske usluge u iznosu od </w:t>
      </w:r>
      <w:r w:rsidR="00A113FF" w:rsidRPr="00FA2A4C">
        <w:t>14,8</w:t>
      </w:r>
      <w:r w:rsidRPr="00FA2A4C">
        <w:t xml:space="preserve"> milijun</w:t>
      </w:r>
      <w:r w:rsidR="003739CE" w:rsidRPr="00FA2A4C">
        <w:t>a</w:t>
      </w:r>
      <w:r w:rsidRPr="00FA2A4C">
        <w:t xml:space="preserve"> </w:t>
      </w:r>
      <w:r w:rsidR="00A113FF" w:rsidRPr="00FA2A4C">
        <w:t xml:space="preserve">eura </w:t>
      </w:r>
      <w:r w:rsidRPr="00FA2A4C">
        <w:t xml:space="preserve">ili </w:t>
      </w:r>
      <w:r w:rsidR="00A113FF" w:rsidRPr="00FA2A4C">
        <w:t>2,5</w:t>
      </w:r>
      <w:r w:rsidRPr="00FA2A4C">
        <w:t xml:space="preserve"> posto</w:t>
      </w:r>
      <w:r w:rsidR="00A113FF" w:rsidRPr="00FA2A4C">
        <w:t>.</w:t>
      </w:r>
    </w:p>
    <w:p w14:paraId="7EB6AE61" w14:textId="2D6B8951" w:rsidR="00A113FF" w:rsidRPr="00FA2A4C" w:rsidRDefault="00A113FF" w:rsidP="00BE487D">
      <w:pPr>
        <w:jc w:val="both"/>
      </w:pPr>
    </w:p>
    <w:p w14:paraId="1DE5A48C" w14:textId="5F49EAEE" w:rsidR="00A113FF" w:rsidRPr="00FA2A4C" w:rsidRDefault="00A113FF" w:rsidP="00A113FF">
      <w:pPr>
        <w:jc w:val="both"/>
      </w:pPr>
      <w:r w:rsidRPr="00FA2A4C">
        <w:rPr>
          <w:u w:val="single"/>
        </w:rPr>
        <w:t>Potpore za kopneni cestovni promet</w:t>
      </w:r>
      <w:r w:rsidRPr="00FA2A4C">
        <w:t xml:space="preserve"> dodijeljene </w:t>
      </w:r>
      <w:r w:rsidR="001241FA" w:rsidRPr="00FA2A4C">
        <w:t xml:space="preserve">u 2023. godini </w:t>
      </w:r>
      <w:r w:rsidRPr="00FA2A4C">
        <w:t xml:space="preserve">za obavljanje usluga od općeg gospodarskog interesa u iznosu od </w:t>
      </w:r>
      <w:r w:rsidR="001241FA" w:rsidRPr="00FA2A4C">
        <w:t>233,2 milijuna eura</w:t>
      </w:r>
      <w:r w:rsidRPr="00FA2A4C">
        <w:t xml:space="preserve">, dodijelilo je </w:t>
      </w:r>
      <w:r w:rsidRPr="00FA2A4C">
        <w:rPr>
          <w:rFonts w:eastAsiaTheme="minorEastAsia"/>
        </w:rPr>
        <w:t xml:space="preserve">Ministarstvo mora, prometa i infrastrukture u iznosu od </w:t>
      </w:r>
      <w:r w:rsidR="001241FA" w:rsidRPr="00FA2A4C">
        <w:t>92,2</w:t>
      </w:r>
      <w:r w:rsidRPr="00FA2A4C">
        <w:rPr>
          <w:rFonts w:eastAsiaTheme="minorEastAsia"/>
        </w:rPr>
        <w:t xml:space="preserve"> milijuna </w:t>
      </w:r>
      <w:r w:rsidR="001241FA" w:rsidRPr="00FA2A4C">
        <w:rPr>
          <w:rFonts w:eastAsiaTheme="minorEastAsia"/>
        </w:rPr>
        <w:t>eura</w:t>
      </w:r>
      <w:r w:rsidRPr="00FA2A4C">
        <w:t xml:space="preserve"> te davatelji potpora s lokalne razine u iznosu od </w:t>
      </w:r>
      <w:r w:rsidR="001241FA" w:rsidRPr="00FA2A4C">
        <w:t>141</w:t>
      </w:r>
      <w:r w:rsidRPr="00FA2A4C">
        <w:t xml:space="preserve"> milijun </w:t>
      </w:r>
      <w:r w:rsidR="001241FA" w:rsidRPr="00FA2A4C">
        <w:t>eura</w:t>
      </w:r>
      <w:r w:rsidRPr="00FA2A4C">
        <w:t>.</w:t>
      </w:r>
    </w:p>
    <w:p w14:paraId="2AE9CD53" w14:textId="77777777" w:rsidR="00A113FF" w:rsidRPr="00FA2A4C" w:rsidRDefault="00A113FF" w:rsidP="00BE487D">
      <w:pPr>
        <w:jc w:val="both"/>
      </w:pPr>
    </w:p>
    <w:p w14:paraId="6B856E19" w14:textId="41298D8C" w:rsidR="00BE1A0A" w:rsidRPr="00FA2A4C" w:rsidRDefault="00BE1A0A" w:rsidP="00BE487D">
      <w:pPr>
        <w:jc w:val="both"/>
      </w:pPr>
      <w:r w:rsidRPr="00FA2A4C">
        <w:rPr>
          <w:u w:val="single"/>
        </w:rPr>
        <w:t>Potpore za radiotelevizijsko emitiranje</w:t>
      </w:r>
      <w:r w:rsidRPr="00FA2A4C">
        <w:rPr>
          <w:b/>
        </w:rPr>
        <w:t xml:space="preserve"> </w:t>
      </w:r>
      <w:r w:rsidRPr="00FA2A4C">
        <w:t>za obavljanje usluga od općeg gospodarskog interesa</w:t>
      </w:r>
      <w:r w:rsidR="003739CE" w:rsidRPr="00FA2A4C">
        <w:t xml:space="preserve"> dodijeljene su </w:t>
      </w:r>
      <w:r w:rsidR="001241FA" w:rsidRPr="00FA2A4C">
        <w:t xml:space="preserve">u 2023. godini </w:t>
      </w:r>
      <w:r w:rsidR="003739CE" w:rsidRPr="00FA2A4C">
        <w:t xml:space="preserve">u iznosu od </w:t>
      </w:r>
      <w:r w:rsidR="001241FA" w:rsidRPr="00FA2A4C">
        <w:t>152,2 milijuna eura</w:t>
      </w:r>
      <w:r w:rsidRPr="00FA2A4C">
        <w:t xml:space="preserve">, </w:t>
      </w:r>
      <w:r w:rsidR="001241FA" w:rsidRPr="00FA2A4C">
        <w:t xml:space="preserve">a odnose se na </w:t>
      </w:r>
      <w:r w:rsidRPr="00FA2A4C">
        <w:t>pristojbe uplaćene temeljem Zakona o Hrvatskoj radioteleviziji</w:t>
      </w:r>
      <w:r w:rsidR="0066706B" w:rsidRPr="00FA2A4C">
        <w:t>.</w:t>
      </w:r>
    </w:p>
    <w:p w14:paraId="3FF9C90D" w14:textId="77777777" w:rsidR="00302FA8" w:rsidRPr="00FA2A4C" w:rsidRDefault="00302FA8" w:rsidP="001241FA"/>
    <w:p w14:paraId="4B1E6A91" w14:textId="659700C7" w:rsidR="001241FA" w:rsidRPr="00FA2A4C" w:rsidRDefault="009D0AC7" w:rsidP="001241FA">
      <w:pPr>
        <w:jc w:val="both"/>
      </w:pPr>
      <w:r w:rsidRPr="00FA2A4C">
        <w:rPr>
          <w:u w:val="single"/>
        </w:rPr>
        <w:t>Potpore za kopneni željeznički promet</w:t>
      </w:r>
      <w:r w:rsidRPr="00FA2A4C">
        <w:t xml:space="preserve"> dodijeljene </w:t>
      </w:r>
      <w:r w:rsidR="001241FA" w:rsidRPr="00FA2A4C">
        <w:t xml:space="preserve">u 2023. godini </w:t>
      </w:r>
      <w:r w:rsidRPr="00FA2A4C">
        <w:t xml:space="preserve">za obavljanje usluga od općeg gospodarskog interesa u iznosu od </w:t>
      </w:r>
      <w:r w:rsidR="001241FA" w:rsidRPr="00FA2A4C">
        <w:t>107,6 milijuna eura</w:t>
      </w:r>
      <w:r w:rsidR="00481E2F" w:rsidRPr="00FA2A4C">
        <w:t>,</w:t>
      </w:r>
      <w:r w:rsidRPr="00FA2A4C">
        <w:t xml:space="preserve"> </w:t>
      </w:r>
      <w:r w:rsidRPr="00FA2A4C">
        <w:rPr>
          <w:rFonts w:eastAsiaTheme="minorEastAsia"/>
        </w:rPr>
        <w:t xml:space="preserve">dodijelilo je </w:t>
      </w:r>
      <w:r w:rsidRPr="00FA2A4C">
        <w:t xml:space="preserve">Ministarstvo mora, prometa i infrastrukture </w:t>
      </w:r>
      <w:r w:rsidR="001241FA" w:rsidRPr="00FA2A4C">
        <w:t xml:space="preserve">u iznosu od 107,5 milijuna eura te davatelji potpora s lokalne razine u iznosu od </w:t>
      </w:r>
      <w:r w:rsidR="00C53E97" w:rsidRPr="00FA2A4C">
        <w:t xml:space="preserve">72.866,52 </w:t>
      </w:r>
      <w:r w:rsidR="001241FA" w:rsidRPr="00FA2A4C">
        <w:t>eura.</w:t>
      </w:r>
    </w:p>
    <w:p w14:paraId="50E9D7F9" w14:textId="77777777" w:rsidR="00302FA8" w:rsidRPr="00FA2A4C" w:rsidRDefault="00302FA8" w:rsidP="00481E2F"/>
    <w:p w14:paraId="3D1456DF" w14:textId="2404930C" w:rsidR="009D0AC7" w:rsidRPr="00FA2A4C" w:rsidRDefault="009D0AC7" w:rsidP="009D0AC7">
      <w:pPr>
        <w:jc w:val="both"/>
      </w:pPr>
      <w:r w:rsidRPr="00FA2A4C">
        <w:rPr>
          <w:u w:val="single"/>
        </w:rPr>
        <w:t>Potpore pomorskom prometu</w:t>
      </w:r>
      <w:r w:rsidRPr="00FA2A4C">
        <w:t xml:space="preserve"> </w:t>
      </w:r>
      <w:r w:rsidR="00C53E97" w:rsidRPr="00FA2A4C">
        <w:t xml:space="preserve">dodijeljene u 2023. godini </w:t>
      </w:r>
      <w:r w:rsidRPr="00FA2A4C">
        <w:t>za obavljanje usluga od općeg gospodarskog interesa</w:t>
      </w:r>
      <w:r w:rsidR="00481E2F" w:rsidRPr="00FA2A4C">
        <w:t xml:space="preserve"> </w:t>
      </w:r>
      <w:r w:rsidRPr="00FA2A4C">
        <w:t xml:space="preserve">u iznosu od </w:t>
      </w:r>
      <w:r w:rsidR="00C53E97" w:rsidRPr="00FA2A4C">
        <w:t>63,4 milijuna eura</w:t>
      </w:r>
      <w:r w:rsidRPr="00FA2A4C">
        <w:t xml:space="preserve">, dodjeljivala je Agencija za obalni linijski pomorski promet u iznosu </w:t>
      </w:r>
      <w:r w:rsidR="00C53E97" w:rsidRPr="00FA2A4C">
        <w:t xml:space="preserve">63,3 milijuna eura </w:t>
      </w:r>
      <w:r w:rsidRPr="00FA2A4C">
        <w:t xml:space="preserve">dok su davatelji </w:t>
      </w:r>
      <w:r w:rsidR="00481E2F" w:rsidRPr="00FA2A4C">
        <w:t xml:space="preserve">na </w:t>
      </w:r>
      <w:r w:rsidRPr="00FA2A4C">
        <w:t>lokaln</w:t>
      </w:r>
      <w:r w:rsidR="00481E2F" w:rsidRPr="00FA2A4C">
        <w:t>oj</w:t>
      </w:r>
      <w:r w:rsidRPr="00FA2A4C">
        <w:t xml:space="preserve"> razin</w:t>
      </w:r>
      <w:r w:rsidR="00481E2F" w:rsidRPr="00FA2A4C">
        <w:t xml:space="preserve">i dodijelili iznos od </w:t>
      </w:r>
      <w:r w:rsidR="00C53E97" w:rsidRPr="00FA2A4C">
        <w:t>116.829,65 eura</w:t>
      </w:r>
      <w:r w:rsidR="00481E2F" w:rsidRPr="00FA2A4C">
        <w:t>.</w:t>
      </w:r>
    </w:p>
    <w:p w14:paraId="68AD6F42" w14:textId="77777777" w:rsidR="00302FA8" w:rsidRPr="00FA2A4C" w:rsidRDefault="00302FA8" w:rsidP="009D0AC7">
      <w:pPr>
        <w:jc w:val="both"/>
      </w:pPr>
    </w:p>
    <w:p w14:paraId="78C526C8" w14:textId="6881400B" w:rsidR="00BE1A0A" w:rsidRPr="00FA2A4C" w:rsidRDefault="00BE1A0A" w:rsidP="00BE487D">
      <w:pPr>
        <w:jc w:val="both"/>
      </w:pPr>
      <w:r w:rsidRPr="00FA2A4C">
        <w:rPr>
          <w:u w:val="single"/>
        </w:rPr>
        <w:t xml:space="preserve">Potpore za </w:t>
      </w:r>
      <w:r w:rsidRPr="00FA2A4C">
        <w:rPr>
          <w:rFonts w:eastAsiaTheme="minorEastAsia"/>
          <w:u w:val="single"/>
        </w:rPr>
        <w:t>zračni promet</w:t>
      </w:r>
      <w:r w:rsidRPr="00FA2A4C">
        <w:t xml:space="preserve"> </w:t>
      </w:r>
      <w:r w:rsidR="00C53E97" w:rsidRPr="00FA2A4C">
        <w:t xml:space="preserve">dodijeljene u 2023. godini </w:t>
      </w:r>
      <w:r w:rsidRPr="00FA2A4C">
        <w:t xml:space="preserve">za obavljanje usluga od općeg gospodarskog interesa </w:t>
      </w:r>
      <w:r w:rsidR="00C53E97" w:rsidRPr="00FA2A4C">
        <w:t xml:space="preserve">u iznosu od </w:t>
      </w:r>
      <w:r w:rsidR="00FA2A4C" w:rsidRPr="00FA2A4C">
        <w:t>21,3</w:t>
      </w:r>
      <w:r w:rsidR="00C53E97" w:rsidRPr="00FA2A4C">
        <w:t xml:space="preserve"> milijuna eura </w:t>
      </w:r>
      <w:r w:rsidR="00481E2F" w:rsidRPr="00FA2A4C">
        <w:t xml:space="preserve">dodijelilo je </w:t>
      </w:r>
      <w:r w:rsidRPr="00FA2A4C">
        <w:t>Ministarstvo mora, prometa i infrastrukture.</w:t>
      </w:r>
    </w:p>
    <w:p w14:paraId="21483698" w14:textId="77777777" w:rsidR="00C53E97" w:rsidRPr="00FA2A4C" w:rsidRDefault="00C53E97" w:rsidP="00E8421B">
      <w:pPr>
        <w:jc w:val="both"/>
        <w:rPr>
          <w:rFonts w:eastAsiaTheme="minorEastAsia"/>
          <w:b/>
        </w:rPr>
      </w:pPr>
    </w:p>
    <w:p w14:paraId="678C8C57" w14:textId="1C8A2A44" w:rsidR="00C53E97" w:rsidRPr="00C53E97" w:rsidRDefault="00BE1A0A" w:rsidP="00C53E97">
      <w:pPr>
        <w:jc w:val="both"/>
      </w:pPr>
      <w:r w:rsidRPr="00FA2A4C">
        <w:rPr>
          <w:rFonts w:eastAsiaTheme="minorEastAsia"/>
          <w:u w:val="single"/>
        </w:rPr>
        <w:t xml:space="preserve">Potpore </w:t>
      </w:r>
      <w:r w:rsidRPr="00FA2A4C">
        <w:rPr>
          <w:u w:val="single"/>
        </w:rPr>
        <w:t>za poštanske usluge</w:t>
      </w:r>
      <w:r w:rsidR="002429A4" w:rsidRPr="00FA2A4C">
        <w:rPr>
          <w:b/>
        </w:rPr>
        <w:t xml:space="preserve"> </w:t>
      </w:r>
      <w:r w:rsidR="00C53E97" w:rsidRPr="00FA2A4C">
        <w:t xml:space="preserve">dodijeljene u 2023. godini </w:t>
      </w:r>
      <w:r w:rsidR="002429A4" w:rsidRPr="00FA2A4C">
        <w:t xml:space="preserve">za obavljanje usluga od općeg gospodarskog interesa </w:t>
      </w:r>
      <w:r w:rsidR="00C53E97" w:rsidRPr="00FA2A4C">
        <w:t xml:space="preserve">u iznosu od 14,8 milijuna eura </w:t>
      </w:r>
      <w:r w:rsidR="00C93ADE" w:rsidRPr="00FA2A4C">
        <w:t xml:space="preserve">dodijelilo je </w:t>
      </w:r>
      <w:r w:rsidR="002429A4" w:rsidRPr="00FA2A4C">
        <w:t>Ministarstvo</w:t>
      </w:r>
      <w:r w:rsidR="00C53E97" w:rsidRPr="00FA2A4C">
        <w:t xml:space="preserve"> mora, prometa i infrastrukture.</w:t>
      </w:r>
    </w:p>
    <w:p w14:paraId="11E914E6" w14:textId="2752E62B" w:rsidR="00E8421B" w:rsidRPr="00C53E97" w:rsidRDefault="00E8421B" w:rsidP="00C53E97"/>
    <w:p w14:paraId="55C45B1E" w14:textId="77777777" w:rsidR="000426FD" w:rsidRPr="0081459E" w:rsidRDefault="000426FD">
      <w:pPr>
        <w:rPr>
          <w:rFonts w:eastAsiaTheme="majorEastAsia"/>
          <w:b/>
          <w:i/>
          <w:sz w:val="28"/>
        </w:rPr>
      </w:pPr>
      <w:r w:rsidRPr="0081459E">
        <w:rPr>
          <w:b/>
          <w:i/>
          <w:sz w:val="28"/>
        </w:rPr>
        <w:br w:type="page"/>
      </w:r>
    </w:p>
    <w:p w14:paraId="68E86530" w14:textId="4AB59936" w:rsidR="00BE0817" w:rsidRPr="0081459E" w:rsidRDefault="00BC66CE" w:rsidP="00BE487D">
      <w:pPr>
        <w:pStyle w:val="Heading3"/>
        <w:numPr>
          <w:ilvl w:val="2"/>
          <w:numId w:val="1"/>
        </w:numPr>
        <w:spacing w:before="0"/>
        <w:jc w:val="both"/>
        <w:rPr>
          <w:rFonts w:ascii="Times New Roman" w:hAnsi="Times New Roman" w:cs="Times New Roman"/>
          <w:b/>
          <w:color w:val="auto"/>
        </w:rPr>
      </w:pPr>
      <w:bookmarkStart w:id="23" w:name="_Toc184635853"/>
      <w:r w:rsidRPr="0081459E">
        <w:rPr>
          <w:rFonts w:ascii="Times New Roman" w:hAnsi="Times New Roman" w:cs="Times New Roman"/>
          <w:b/>
          <w:i/>
          <w:color w:val="auto"/>
        </w:rPr>
        <w:lastRenderedPageBreak/>
        <w:t>Potpore za poštanske usluge</w:t>
      </w:r>
      <w:bookmarkEnd w:id="23"/>
    </w:p>
    <w:p w14:paraId="367ED3BB" w14:textId="77777777" w:rsidR="00BC66CE" w:rsidRPr="0081459E" w:rsidRDefault="00BC66CE" w:rsidP="00BE487D">
      <w:pPr>
        <w:jc w:val="both"/>
      </w:pPr>
    </w:p>
    <w:p w14:paraId="3A8D78FD" w14:textId="77777777" w:rsidR="00BC66CE" w:rsidRPr="0081459E" w:rsidRDefault="00BC66CE" w:rsidP="00BE487D">
      <w:pPr>
        <w:jc w:val="both"/>
      </w:pPr>
    </w:p>
    <w:p w14:paraId="1809A295" w14:textId="458607B8" w:rsidR="005F1DB3" w:rsidRPr="008C0A8E" w:rsidRDefault="005F1DB3" w:rsidP="008C0A8E">
      <w:pPr>
        <w:jc w:val="both"/>
      </w:pPr>
      <w:r w:rsidRPr="008C0A8E">
        <w:t xml:space="preserve">Potpore za </w:t>
      </w:r>
      <w:r w:rsidR="008C0A8E" w:rsidRPr="008C0A8E">
        <w:t xml:space="preserve">poštanske usluge </w:t>
      </w:r>
      <w:r w:rsidRPr="008C0A8E">
        <w:t xml:space="preserve">su dodijeljene u 2023. godini u iznosu od </w:t>
      </w:r>
      <w:r w:rsidR="008C0A8E" w:rsidRPr="008C0A8E">
        <w:t>14,8</w:t>
      </w:r>
      <w:r w:rsidRPr="008C0A8E">
        <w:t xml:space="preserve"> milijuna eura, što je povećanje za </w:t>
      </w:r>
      <w:r w:rsidR="008C0A8E" w:rsidRPr="008C0A8E">
        <w:t>1,5</w:t>
      </w:r>
      <w:r w:rsidRPr="008C0A8E">
        <w:t xml:space="preserve"> milijuna eura ili za 11,</w:t>
      </w:r>
      <w:r w:rsidR="008C0A8E" w:rsidRPr="008C0A8E">
        <w:t>7</w:t>
      </w:r>
      <w:r w:rsidRPr="008C0A8E">
        <w:t xml:space="preserve"> posto u odnosu na 2022. godinu, kada su navedene potpore iznosile </w:t>
      </w:r>
      <w:r w:rsidR="008C0A8E" w:rsidRPr="008C0A8E">
        <w:t>13,2</w:t>
      </w:r>
      <w:r w:rsidRPr="008C0A8E">
        <w:t xml:space="preserve"> milijuna eura, te je </w:t>
      </w:r>
      <w:r w:rsidR="008C0A8E" w:rsidRPr="008C0A8E">
        <w:t xml:space="preserve">povećanje </w:t>
      </w:r>
      <w:r w:rsidRPr="008C0A8E">
        <w:t xml:space="preserve">za </w:t>
      </w:r>
      <w:r w:rsidR="008C0A8E" w:rsidRPr="008C0A8E">
        <w:t>2,2</w:t>
      </w:r>
      <w:r w:rsidRPr="008C0A8E">
        <w:t xml:space="preserve"> milijuna eura ili za </w:t>
      </w:r>
      <w:r w:rsidR="008C0A8E" w:rsidRPr="008C0A8E">
        <w:t>17,1</w:t>
      </w:r>
      <w:r w:rsidRPr="008C0A8E">
        <w:t xml:space="preserve"> posto u odnosu na 2021. godinu kada su potpore za </w:t>
      </w:r>
      <w:r w:rsidR="008C0A8E" w:rsidRPr="008C0A8E">
        <w:t xml:space="preserve">poštanske usluge </w:t>
      </w:r>
      <w:r w:rsidRPr="008C0A8E">
        <w:t xml:space="preserve">iznosile </w:t>
      </w:r>
      <w:r w:rsidR="008C0A8E" w:rsidRPr="008C0A8E">
        <w:t>12,6</w:t>
      </w:r>
      <w:r w:rsidRPr="008C0A8E">
        <w:t xml:space="preserve"> milijuna eura.</w:t>
      </w:r>
    </w:p>
    <w:p w14:paraId="74917073" w14:textId="77777777" w:rsidR="00845470" w:rsidRPr="008C0A8E" w:rsidRDefault="00845470" w:rsidP="002429A4">
      <w:pPr>
        <w:jc w:val="both"/>
      </w:pPr>
    </w:p>
    <w:p w14:paraId="0A93E829" w14:textId="162DB8AB" w:rsidR="00D6279C" w:rsidRPr="00B75A66" w:rsidRDefault="00D6279C" w:rsidP="00BE487D">
      <w:pPr>
        <w:pStyle w:val="T-109sred"/>
        <w:spacing w:before="0" w:after="0"/>
        <w:contextualSpacing/>
        <w:jc w:val="both"/>
        <w:rPr>
          <w:rFonts w:ascii="Times New Roman" w:hAnsi="Times New Roman"/>
          <w:sz w:val="24"/>
          <w:szCs w:val="24"/>
          <w:lang w:val="hr-HR"/>
        </w:rPr>
      </w:pPr>
      <w:r w:rsidRPr="00B75A66">
        <w:rPr>
          <w:rFonts w:ascii="Times New Roman" w:hAnsi="Times New Roman"/>
          <w:sz w:val="24"/>
          <w:szCs w:val="24"/>
          <w:lang w:val="hr-HR"/>
        </w:rPr>
        <w:t xml:space="preserve">Tablica </w:t>
      </w:r>
      <w:r w:rsidR="00DA0C65" w:rsidRPr="00B75A66">
        <w:rPr>
          <w:rFonts w:ascii="Times New Roman" w:hAnsi="Times New Roman"/>
          <w:sz w:val="24"/>
          <w:szCs w:val="24"/>
          <w:lang w:val="hr-HR"/>
        </w:rPr>
        <w:t>18</w:t>
      </w:r>
      <w:r w:rsidRPr="00B75A66">
        <w:rPr>
          <w:rFonts w:ascii="Times New Roman" w:hAnsi="Times New Roman"/>
          <w:sz w:val="24"/>
          <w:szCs w:val="24"/>
          <w:lang w:val="hr-HR"/>
        </w:rPr>
        <w:t>. Potpore za poštanske usluge za razdoblje od 20</w:t>
      </w:r>
      <w:r w:rsidR="003C7980" w:rsidRPr="00B75A66">
        <w:rPr>
          <w:rFonts w:ascii="Times New Roman" w:hAnsi="Times New Roman"/>
          <w:sz w:val="24"/>
          <w:szCs w:val="24"/>
          <w:lang w:val="hr-HR"/>
        </w:rPr>
        <w:t>2</w:t>
      </w:r>
      <w:r w:rsidR="00DA0C65" w:rsidRPr="00B75A66">
        <w:rPr>
          <w:rFonts w:ascii="Times New Roman" w:hAnsi="Times New Roman"/>
          <w:sz w:val="24"/>
          <w:szCs w:val="24"/>
          <w:lang w:val="hr-HR"/>
        </w:rPr>
        <w:t>1</w:t>
      </w:r>
      <w:r w:rsidR="000B02D4" w:rsidRPr="00B75A66">
        <w:rPr>
          <w:rFonts w:ascii="Times New Roman" w:hAnsi="Times New Roman"/>
          <w:sz w:val="24"/>
          <w:szCs w:val="24"/>
          <w:lang w:val="hr-HR"/>
        </w:rPr>
        <w:t>. do 202</w:t>
      </w:r>
      <w:r w:rsidR="00DA0C65" w:rsidRPr="00B75A66">
        <w:rPr>
          <w:rFonts w:ascii="Times New Roman" w:hAnsi="Times New Roman"/>
          <w:sz w:val="24"/>
          <w:szCs w:val="24"/>
          <w:lang w:val="hr-HR"/>
        </w:rPr>
        <w:t>3</w:t>
      </w:r>
      <w:r w:rsidRPr="00B75A66">
        <w:rPr>
          <w:rFonts w:ascii="Times New Roman" w:hAnsi="Times New Roman"/>
          <w:sz w:val="24"/>
          <w:szCs w:val="24"/>
          <w:lang w:val="hr-HR"/>
        </w:rPr>
        <w:t>. godine</w:t>
      </w:r>
    </w:p>
    <w:p w14:paraId="15D84CC3" w14:textId="40F10BB8" w:rsidR="007D617C" w:rsidRPr="00E627B3" w:rsidRDefault="007D617C"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CE5537" w:rsidRPr="007A7C7C" w14:paraId="2AA1EAF4" w14:textId="77777777" w:rsidTr="001445B7">
        <w:trPr>
          <w:trHeight w:val="38"/>
        </w:trPr>
        <w:tc>
          <w:tcPr>
            <w:tcW w:w="3376" w:type="dxa"/>
            <w:vMerge w:val="restart"/>
            <w:shd w:val="clear" w:color="000000" w:fill="FFFF99"/>
            <w:noWrap/>
            <w:vAlign w:val="center"/>
            <w:hideMark/>
          </w:tcPr>
          <w:p w14:paraId="1375129B" w14:textId="02130368" w:rsidR="00CE5537" w:rsidRPr="00E627B3" w:rsidRDefault="00E627B3" w:rsidP="001445B7">
            <w:pPr>
              <w:rPr>
                <w:rFonts w:eastAsia="Times New Roman"/>
                <w:b/>
                <w:bCs/>
                <w:sz w:val="20"/>
                <w:szCs w:val="20"/>
              </w:rPr>
            </w:pPr>
            <w:r w:rsidRPr="00E627B3">
              <w:rPr>
                <w:rFonts w:eastAsia="Times New Roman"/>
                <w:b/>
                <w:bCs/>
                <w:sz w:val="20"/>
                <w:szCs w:val="20"/>
                <w:lang w:eastAsia="hr-HR"/>
              </w:rPr>
              <w:t>Poštanske usluge</w:t>
            </w:r>
          </w:p>
        </w:tc>
        <w:tc>
          <w:tcPr>
            <w:tcW w:w="1439" w:type="dxa"/>
            <w:shd w:val="clear" w:color="000000" w:fill="FFFF99"/>
            <w:vAlign w:val="center"/>
          </w:tcPr>
          <w:p w14:paraId="0D578F8A" w14:textId="77777777" w:rsidR="00CE5537" w:rsidRPr="00E627B3" w:rsidRDefault="00CE5537" w:rsidP="001445B7">
            <w:pPr>
              <w:jc w:val="center"/>
              <w:rPr>
                <w:rFonts w:eastAsia="Times New Roman"/>
                <w:b/>
                <w:bCs/>
                <w:sz w:val="20"/>
                <w:szCs w:val="20"/>
              </w:rPr>
            </w:pPr>
            <w:r w:rsidRPr="00E627B3">
              <w:rPr>
                <w:b/>
                <w:sz w:val="20"/>
                <w:szCs w:val="20"/>
              </w:rPr>
              <w:t>2021.</w:t>
            </w:r>
          </w:p>
        </w:tc>
        <w:tc>
          <w:tcPr>
            <w:tcW w:w="1559" w:type="dxa"/>
            <w:shd w:val="clear" w:color="000000" w:fill="FFFF99"/>
            <w:vAlign w:val="center"/>
          </w:tcPr>
          <w:p w14:paraId="732A62B1" w14:textId="77777777" w:rsidR="00CE5537" w:rsidRPr="00E627B3" w:rsidRDefault="00CE5537" w:rsidP="001445B7">
            <w:pPr>
              <w:jc w:val="center"/>
              <w:rPr>
                <w:rFonts w:eastAsia="Times New Roman"/>
                <w:b/>
                <w:bCs/>
                <w:sz w:val="20"/>
                <w:szCs w:val="20"/>
              </w:rPr>
            </w:pPr>
            <w:r w:rsidRPr="00E627B3">
              <w:rPr>
                <w:b/>
                <w:sz w:val="20"/>
                <w:szCs w:val="20"/>
              </w:rPr>
              <w:t>2022.</w:t>
            </w:r>
          </w:p>
        </w:tc>
        <w:tc>
          <w:tcPr>
            <w:tcW w:w="1559" w:type="dxa"/>
            <w:shd w:val="clear" w:color="000000" w:fill="FFFF99"/>
            <w:vAlign w:val="center"/>
          </w:tcPr>
          <w:p w14:paraId="3C191E08" w14:textId="77777777" w:rsidR="00CE5537" w:rsidRPr="00E627B3" w:rsidRDefault="00CE5537" w:rsidP="001445B7">
            <w:pPr>
              <w:jc w:val="center"/>
              <w:rPr>
                <w:rFonts w:eastAsia="Times New Roman"/>
                <w:b/>
                <w:bCs/>
                <w:sz w:val="20"/>
                <w:szCs w:val="20"/>
              </w:rPr>
            </w:pPr>
            <w:r w:rsidRPr="00E627B3">
              <w:rPr>
                <w:b/>
                <w:sz w:val="20"/>
                <w:szCs w:val="20"/>
              </w:rPr>
              <w:t>2023.</w:t>
            </w:r>
          </w:p>
        </w:tc>
      </w:tr>
      <w:tr w:rsidR="00CE5537" w:rsidRPr="007A7C7C" w14:paraId="56D4C58F" w14:textId="77777777" w:rsidTr="001445B7">
        <w:trPr>
          <w:trHeight w:val="212"/>
        </w:trPr>
        <w:tc>
          <w:tcPr>
            <w:tcW w:w="3376" w:type="dxa"/>
            <w:vMerge/>
            <w:vAlign w:val="center"/>
            <w:hideMark/>
          </w:tcPr>
          <w:p w14:paraId="20BF6883" w14:textId="77777777" w:rsidR="00CE5537" w:rsidRPr="00E627B3" w:rsidRDefault="00CE5537" w:rsidP="001445B7">
            <w:pPr>
              <w:rPr>
                <w:rFonts w:eastAsia="Times New Roman"/>
                <w:b/>
                <w:bCs/>
                <w:sz w:val="20"/>
                <w:szCs w:val="20"/>
              </w:rPr>
            </w:pPr>
          </w:p>
        </w:tc>
        <w:tc>
          <w:tcPr>
            <w:tcW w:w="1439" w:type="dxa"/>
            <w:shd w:val="clear" w:color="000000" w:fill="FFFF99"/>
            <w:vAlign w:val="center"/>
          </w:tcPr>
          <w:p w14:paraId="6A192335" w14:textId="77777777" w:rsidR="00CE5537" w:rsidRPr="00E627B3" w:rsidRDefault="00CE5537" w:rsidP="001445B7">
            <w:pPr>
              <w:rPr>
                <w:rFonts w:eastAsia="Times New Roman"/>
                <w:b/>
                <w:sz w:val="18"/>
                <w:szCs w:val="20"/>
              </w:rPr>
            </w:pPr>
            <w:r w:rsidRPr="00E627B3">
              <w:rPr>
                <w:b/>
                <w:sz w:val="20"/>
                <w:szCs w:val="20"/>
              </w:rPr>
              <w:t xml:space="preserve">u </w:t>
            </w:r>
            <w:proofErr w:type="spellStart"/>
            <w:r w:rsidRPr="00E627B3">
              <w:rPr>
                <w:b/>
                <w:sz w:val="20"/>
                <w:szCs w:val="20"/>
              </w:rPr>
              <w:t>mln</w:t>
            </w:r>
            <w:proofErr w:type="spellEnd"/>
            <w:r w:rsidRPr="00E627B3">
              <w:rPr>
                <w:b/>
                <w:sz w:val="20"/>
                <w:szCs w:val="20"/>
              </w:rPr>
              <w:t xml:space="preserve"> EUR</w:t>
            </w:r>
          </w:p>
        </w:tc>
        <w:tc>
          <w:tcPr>
            <w:tcW w:w="1559" w:type="dxa"/>
            <w:shd w:val="clear" w:color="000000" w:fill="FFFF99"/>
            <w:vAlign w:val="center"/>
          </w:tcPr>
          <w:p w14:paraId="61689C3E" w14:textId="77777777" w:rsidR="00CE5537" w:rsidRPr="00E627B3" w:rsidRDefault="00CE5537" w:rsidP="001445B7">
            <w:pPr>
              <w:jc w:val="center"/>
              <w:rPr>
                <w:rFonts w:eastAsia="Times New Roman"/>
                <w:b/>
                <w:sz w:val="18"/>
                <w:szCs w:val="20"/>
              </w:rPr>
            </w:pPr>
            <w:r w:rsidRPr="00E627B3">
              <w:rPr>
                <w:b/>
                <w:sz w:val="20"/>
                <w:szCs w:val="20"/>
              </w:rPr>
              <w:t xml:space="preserve">u </w:t>
            </w:r>
            <w:proofErr w:type="spellStart"/>
            <w:r w:rsidRPr="00E627B3">
              <w:rPr>
                <w:b/>
                <w:sz w:val="20"/>
                <w:szCs w:val="20"/>
              </w:rPr>
              <w:t>mln</w:t>
            </w:r>
            <w:proofErr w:type="spellEnd"/>
            <w:r w:rsidRPr="00E627B3">
              <w:rPr>
                <w:b/>
                <w:sz w:val="20"/>
                <w:szCs w:val="20"/>
              </w:rPr>
              <w:t xml:space="preserve"> EUR</w:t>
            </w:r>
          </w:p>
        </w:tc>
        <w:tc>
          <w:tcPr>
            <w:tcW w:w="1559" w:type="dxa"/>
            <w:shd w:val="clear" w:color="000000" w:fill="FFFF99"/>
            <w:vAlign w:val="center"/>
          </w:tcPr>
          <w:p w14:paraId="053ED743" w14:textId="77777777" w:rsidR="00CE5537" w:rsidRPr="00E627B3" w:rsidRDefault="00CE5537" w:rsidP="001445B7">
            <w:pPr>
              <w:jc w:val="center"/>
              <w:rPr>
                <w:rFonts w:eastAsia="Times New Roman"/>
                <w:b/>
                <w:sz w:val="18"/>
                <w:szCs w:val="20"/>
              </w:rPr>
            </w:pPr>
            <w:r w:rsidRPr="00E627B3">
              <w:rPr>
                <w:b/>
                <w:sz w:val="20"/>
                <w:szCs w:val="20"/>
              </w:rPr>
              <w:t xml:space="preserve">u </w:t>
            </w:r>
            <w:proofErr w:type="spellStart"/>
            <w:r w:rsidRPr="00E627B3">
              <w:rPr>
                <w:b/>
                <w:sz w:val="20"/>
                <w:szCs w:val="20"/>
              </w:rPr>
              <w:t>mln</w:t>
            </w:r>
            <w:proofErr w:type="spellEnd"/>
            <w:r w:rsidRPr="00E627B3">
              <w:rPr>
                <w:b/>
                <w:sz w:val="20"/>
                <w:szCs w:val="20"/>
              </w:rPr>
              <w:t xml:space="preserve"> EUR</w:t>
            </w:r>
          </w:p>
        </w:tc>
      </w:tr>
      <w:tr w:rsidR="00E627B3" w:rsidRPr="007A7C7C" w14:paraId="5006FF8A" w14:textId="77777777" w:rsidTr="001445B7">
        <w:trPr>
          <w:trHeight w:val="40"/>
        </w:trPr>
        <w:tc>
          <w:tcPr>
            <w:tcW w:w="3376" w:type="dxa"/>
            <w:shd w:val="clear" w:color="auto" w:fill="auto"/>
            <w:noWrap/>
            <w:vAlign w:val="center"/>
            <w:hideMark/>
          </w:tcPr>
          <w:p w14:paraId="3BABDCD6" w14:textId="77777777" w:rsidR="00E627B3" w:rsidRPr="00E627B3" w:rsidRDefault="00E627B3" w:rsidP="00E627B3">
            <w:pPr>
              <w:rPr>
                <w:rFonts w:eastAsia="Times New Roman"/>
                <w:b/>
                <w:bCs/>
                <w:sz w:val="20"/>
                <w:szCs w:val="20"/>
              </w:rPr>
            </w:pPr>
            <w:r w:rsidRPr="00E627B3">
              <w:rPr>
                <w:rFonts w:eastAsia="Times New Roman"/>
                <w:b/>
                <w:bCs/>
                <w:sz w:val="20"/>
                <w:szCs w:val="20"/>
              </w:rPr>
              <w:t>A1</w:t>
            </w:r>
            <w:r w:rsidRPr="00E627B3">
              <w:rPr>
                <w:rFonts w:eastAsia="Times New Roman"/>
                <w:sz w:val="20"/>
                <w:szCs w:val="20"/>
              </w:rPr>
              <w:t xml:space="preserve"> subvencije</w:t>
            </w:r>
          </w:p>
        </w:tc>
        <w:tc>
          <w:tcPr>
            <w:tcW w:w="1439" w:type="dxa"/>
            <w:vAlign w:val="center"/>
          </w:tcPr>
          <w:p w14:paraId="4B43C812" w14:textId="21AB6457" w:rsidR="00E627B3" w:rsidRPr="00E627B3" w:rsidRDefault="00E627B3" w:rsidP="00E627B3">
            <w:pPr>
              <w:jc w:val="right"/>
              <w:rPr>
                <w:sz w:val="20"/>
                <w:szCs w:val="14"/>
              </w:rPr>
            </w:pPr>
            <w:r w:rsidRPr="00E627B3">
              <w:rPr>
                <w:rFonts w:eastAsia="Times New Roman"/>
                <w:sz w:val="20"/>
                <w:szCs w:val="20"/>
                <w:lang w:eastAsia="hr-HR"/>
              </w:rPr>
              <w:t>12,6</w:t>
            </w:r>
          </w:p>
        </w:tc>
        <w:tc>
          <w:tcPr>
            <w:tcW w:w="1559" w:type="dxa"/>
            <w:vAlign w:val="center"/>
          </w:tcPr>
          <w:p w14:paraId="025F3B93" w14:textId="7ED2677E" w:rsidR="00E627B3" w:rsidRPr="00E627B3" w:rsidRDefault="00E627B3" w:rsidP="00E627B3">
            <w:pPr>
              <w:jc w:val="right"/>
              <w:rPr>
                <w:sz w:val="20"/>
                <w:szCs w:val="14"/>
              </w:rPr>
            </w:pPr>
            <w:r w:rsidRPr="00E627B3">
              <w:rPr>
                <w:rFonts w:eastAsia="Times New Roman"/>
                <w:sz w:val="20"/>
                <w:szCs w:val="20"/>
                <w:lang w:eastAsia="hr-HR"/>
              </w:rPr>
              <w:t>13,2</w:t>
            </w:r>
          </w:p>
        </w:tc>
        <w:tc>
          <w:tcPr>
            <w:tcW w:w="1559" w:type="dxa"/>
            <w:vAlign w:val="center"/>
          </w:tcPr>
          <w:p w14:paraId="1A7D327F" w14:textId="647AF901" w:rsidR="00E627B3" w:rsidRPr="00E627B3" w:rsidRDefault="00E627B3" w:rsidP="00E627B3">
            <w:pPr>
              <w:jc w:val="right"/>
              <w:rPr>
                <w:sz w:val="20"/>
                <w:szCs w:val="14"/>
              </w:rPr>
            </w:pPr>
            <w:r w:rsidRPr="00E627B3">
              <w:rPr>
                <w:rFonts w:eastAsia="Times New Roman"/>
                <w:sz w:val="20"/>
                <w:szCs w:val="20"/>
                <w:lang w:eastAsia="hr-HR"/>
              </w:rPr>
              <w:t>14,8</w:t>
            </w:r>
          </w:p>
        </w:tc>
      </w:tr>
      <w:tr w:rsidR="00E627B3" w:rsidRPr="007A7C7C" w14:paraId="47A0014F" w14:textId="77777777" w:rsidTr="001445B7">
        <w:trPr>
          <w:trHeight w:val="40"/>
        </w:trPr>
        <w:tc>
          <w:tcPr>
            <w:tcW w:w="3376" w:type="dxa"/>
            <w:shd w:val="clear" w:color="000000" w:fill="FFFF99"/>
            <w:noWrap/>
            <w:vAlign w:val="center"/>
            <w:hideMark/>
          </w:tcPr>
          <w:p w14:paraId="2A4DF64C" w14:textId="77777777" w:rsidR="00E627B3" w:rsidRPr="00E627B3" w:rsidRDefault="00E627B3" w:rsidP="00E627B3">
            <w:pPr>
              <w:rPr>
                <w:rFonts w:eastAsia="Times New Roman"/>
                <w:b/>
                <w:bCs/>
                <w:sz w:val="20"/>
                <w:szCs w:val="20"/>
              </w:rPr>
            </w:pPr>
            <w:r w:rsidRPr="00E627B3">
              <w:rPr>
                <w:rFonts w:eastAsia="Times New Roman"/>
                <w:b/>
                <w:bCs/>
                <w:sz w:val="20"/>
                <w:szCs w:val="20"/>
              </w:rPr>
              <w:t>UKUPNO</w:t>
            </w:r>
          </w:p>
        </w:tc>
        <w:tc>
          <w:tcPr>
            <w:tcW w:w="1439" w:type="dxa"/>
            <w:shd w:val="clear" w:color="000000" w:fill="FFFF99"/>
            <w:vAlign w:val="center"/>
          </w:tcPr>
          <w:p w14:paraId="0BEE9D1A" w14:textId="473513DA" w:rsidR="00E627B3" w:rsidRPr="00E627B3" w:rsidRDefault="00E627B3" w:rsidP="00E627B3">
            <w:pPr>
              <w:jc w:val="right"/>
              <w:rPr>
                <w:b/>
                <w:sz w:val="20"/>
                <w:szCs w:val="14"/>
              </w:rPr>
            </w:pPr>
            <w:r w:rsidRPr="00E627B3">
              <w:rPr>
                <w:rFonts w:eastAsia="Times New Roman"/>
                <w:b/>
                <w:bCs/>
                <w:sz w:val="20"/>
                <w:szCs w:val="20"/>
                <w:lang w:eastAsia="hr-HR"/>
              </w:rPr>
              <w:t>12,6</w:t>
            </w:r>
          </w:p>
        </w:tc>
        <w:tc>
          <w:tcPr>
            <w:tcW w:w="1559" w:type="dxa"/>
            <w:shd w:val="clear" w:color="000000" w:fill="FFFF99"/>
            <w:vAlign w:val="center"/>
          </w:tcPr>
          <w:p w14:paraId="5C0D999A" w14:textId="68D959B6" w:rsidR="00E627B3" w:rsidRPr="00E627B3" w:rsidRDefault="00E627B3" w:rsidP="00E627B3">
            <w:pPr>
              <w:jc w:val="right"/>
              <w:rPr>
                <w:b/>
                <w:sz w:val="20"/>
                <w:szCs w:val="14"/>
              </w:rPr>
            </w:pPr>
            <w:r w:rsidRPr="00E627B3">
              <w:rPr>
                <w:rFonts w:eastAsia="Times New Roman"/>
                <w:b/>
                <w:bCs/>
                <w:sz w:val="20"/>
                <w:szCs w:val="20"/>
                <w:lang w:eastAsia="hr-HR"/>
              </w:rPr>
              <w:t>13,2</w:t>
            </w:r>
          </w:p>
        </w:tc>
        <w:tc>
          <w:tcPr>
            <w:tcW w:w="1559" w:type="dxa"/>
            <w:shd w:val="clear" w:color="000000" w:fill="FFFF99"/>
            <w:vAlign w:val="center"/>
          </w:tcPr>
          <w:p w14:paraId="10CA9AC4" w14:textId="5CAF76B3" w:rsidR="00E627B3" w:rsidRPr="00E627B3" w:rsidRDefault="00E627B3" w:rsidP="00E627B3">
            <w:pPr>
              <w:jc w:val="right"/>
              <w:rPr>
                <w:b/>
                <w:sz w:val="20"/>
                <w:szCs w:val="14"/>
              </w:rPr>
            </w:pPr>
            <w:r w:rsidRPr="00E627B3">
              <w:rPr>
                <w:rFonts w:eastAsia="Times New Roman"/>
                <w:b/>
                <w:bCs/>
                <w:sz w:val="20"/>
                <w:szCs w:val="20"/>
                <w:lang w:eastAsia="hr-HR"/>
              </w:rPr>
              <w:t>14,8</w:t>
            </w:r>
          </w:p>
        </w:tc>
      </w:tr>
      <w:tr w:rsidR="00E627B3" w:rsidRPr="007A7C7C" w14:paraId="523A4F4D" w14:textId="77777777" w:rsidTr="001445B7">
        <w:trPr>
          <w:trHeight w:val="40"/>
        </w:trPr>
        <w:tc>
          <w:tcPr>
            <w:tcW w:w="3376" w:type="dxa"/>
            <w:shd w:val="clear" w:color="auto" w:fill="auto"/>
            <w:vAlign w:val="center"/>
            <w:hideMark/>
          </w:tcPr>
          <w:p w14:paraId="605EFEB3" w14:textId="3F01A943" w:rsidR="00E627B3" w:rsidRPr="00E627B3" w:rsidRDefault="00E627B3" w:rsidP="00E627B3">
            <w:pPr>
              <w:rPr>
                <w:rFonts w:eastAsia="Times New Roman"/>
                <w:sz w:val="20"/>
                <w:szCs w:val="20"/>
              </w:rPr>
            </w:pPr>
            <w:r w:rsidRPr="00E627B3">
              <w:rPr>
                <w:rFonts w:eastAsia="Times New Roman"/>
                <w:sz w:val="20"/>
              </w:rPr>
              <w:t>udio (%) u posebnim sektorima</w:t>
            </w:r>
          </w:p>
        </w:tc>
        <w:tc>
          <w:tcPr>
            <w:tcW w:w="1439" w:type="dxa"/>
            <w:vAlign w:val="center"/>
          </w:tcPr>
          <w:p w14:paraId="375E1269" w14:textId="5EA04CC6" w:rsidR="00E627B3" w:rsidRPr="00E627B3" w:rsidRDefault="00E627B3" w:rsidP="00E627B3">
            <w:pPr>
              <w:jc w:val="center"/>
              <w:rPr>
                <w:sz w:val="20"/>
                <w:szCs w:val="14"/>
              </w:rPr>
            </w:pPr>
            <w:r w:rsidRPr="00E627B3">
              <w:rPr>
                <w:rFonts w:eastAsia="Times New Roman"/>
                <w:sz w:val="20"/>
                <w:szCs w:val="20"/>
                <w:lang w:eastAsia="hr-HR"/>
              </w:rPr>
              <w:t>2,16</w:t>
            </w:r>
          </w:p>
        </w:tc>
        <w:tc>
          <w:tcPr>
            <w:tcW w:w="1559" w:type="dxa"/>
            <w:vAlign w:val="center"/>
          </w:tcPr>
          <w:p w14:paraId="2EF529E0" w14:textId="5FC1ECD3" w:rsidR="00E627B3" w:rsidRPr="00E627B3" w:rsidRDefault="00E627B3" w:rsidP="00E627B3">
            <w:pPr>
              <w:jc w:val="center"/>
              <w:rPr>
                <w:sz w:val="20"/>
                <w:szCs w:val="14"/>
              </w:rPr>
            </w:pPr>
            <w:r w:rsidRPr="00E627B3">
              <w:rPr>
                <w:rFonts w:eastAsia="Times New Roman"/>
                <w:sz w:val="20"/>
                <w:szCs w:val="20"/>
                <w:lang w:eastAsia="hr-HR"/>
              </w:rPr>
              <w:t>2,19</w:t>
            </w:r>
          </w:p>
        </w:tc>
        <w:tc>
          <w:tcPr>
            <w:tcW w:w="1559" w:type="dxa"/>
            <w:vAlign w:val="center"/>
          </w:tcPr>
          <w:p w14:paraId="0E544727" w14:textId="702FBC84" w:rsidR="00E627B3" w:rsidRPr="00E627B3" w:rsidRDefault="00E627B3" w:rsidP="00E627B3">
            <w:pPr>
              <w:jc w:val="center"/>
              <w:rPr>
                <w:sz w:val="20"/>
                <w:szCs w:val="14"/>
              </w:rPr>
            </w:pPr>
            <w:r w:rsidRPr="00E627B3">
              <w:rPr>
                <w:rFonts w:eastAsia="Times New Roman"/>
                <w:sz w:val="20"/>
                <w:szCs w:val="20"/>
                <w:lang w:eastAsia="hr-HR"/>
              </w:rPr>
              <w:t>1,74</w:t>
            </w:r>
          </w:p>
        </w:tc>
      </w:tr>
      <w:tr w:rsidR="00E627B3" w:rsidRPr="007A7C7C" w14:paraId="66FFBAED" w14:textId="77777777" w:rsidTr="001445B7">
        <w:trPr>
          <w:trHeight w:val="90"/>
        </w:trPr>
        <w:tc>
          <w:tcPr>
            <w:tcW w:w="3376" w:type="dxa"/>
            <w:shd w:val="clear" w:color="auto" w:fill="auto"/>
            <w:vAlign w:val="center"/>
            <w:hideMark/>
          </w:tcPr>
          <w:p w14:paraId="2201164A" w14:textId="77777777" w:rsidR="00E627B3" w:rsidRPr="00E627B3" w:rsidRDefault="00E627B3" w:rsidP="00E627B3">
            <w:pPr>
              <w:rPr>
                <w:rFonts w:eastAsia="Times New Roman"/>
                <w:sz w:val="20"/>
                <w:szCs w:val="20"/>
              </w:rPr>
            </w:pPr>
            <w:r w:rsidRPr="00E627B3">
              <w:rPr>
                <w:rFonts w:eastAsia="Times New Roman"/>
                <w:sz w:val="20"/>
                <w:szCs w:val="20"/>
              </w:rPr>
              <w:t>udio (%) u ukupnim potporama (bez poljoprivrede i ribarstva)</w:t>
            </w:r>
          </w:p>
        </w:tc>
        <w:tc>
          <w:tcPr>
            <w:tcW w:w="1439" w:type="dxa"/>
            <w:vAlign w:val="center"/>
          </w:tcPr>
          <w:p w14:paraId="1EC0DC24" w14:textId="2CF4F21C" w:rsidR="00E627B3" w:rsidRPr="00E627B3" w:rsidRDefault="00E627B3" w:rsidP="00E627B3">
            <w:pPr>
              <w:jc w:val="center"/>
              <w:rPr>
                <w:sz w:val="20"/>
                <w:szCs w:val="14"/>
              </w:rPr>
            </w:pPr>
            <w:r w:rsidRPr="00E627B3">
              <w:rPr>
                <w:rFonts w:eastAsia="Times New Roman"/>
                <w:sz w:val="20"/>
                <w:szCs w:val="20"/>
                <w:lang w:eastAsia="hr-HR"/>
              </w:rPr>
              <w:t>0,65</w:t>
            </w:r>
          </w:p>
        </w:tc>
        <w:tc>
          <w:tcPr>
            <w:tcW w:w="1559" w:type="dxa"/>
            <w:vAlign w:val="center"/>
          </w:tcPr>
          <w:p w14:paraId="67CA20F3" w14:textId="333EB1E8" w:rsidR="00E627B3" w:rsidRPr="00E627B3" w:rsidRDefault="00E627B3" w:rsidP="00E627B3">
            <w:pPr>
              <w:jc w:val="center"/>
              <w:rPr>
                <w:sz w:val="20"/>
                <w:szCs w:val="14"/>
              </w:rPr>
            </w:pPr>
            <w:r w:rsidRPr="00E627B3">
              <w:rPr>
                <w:rFonts w:eastAsia="Times New Roman"/>
                <w:sz w:val="20"/>
                <w:szCs w:val="20"/>
                <w:lang w:eastAsia="hr-HR"/>
              </w:rPr>
              <w:t>0,65</w:t>
            </w:r>
          </w:p>
        </w:tc>
        <w:tc>
          <w:tcPr>
            <w:tcW w:w="1559" w:type="dxa"/>
            <w:vAlign w:val="center"/>
          </w:tcPr>
          <w:p w14:paraId="505EFC3E" w14:textId="0AD14464" w:rsidR="00E627B3" w:rsidRPr="00E627B3" w:rsidRDefault="00E627B3" w:rsidP="00E627B3">
            <w:pPr>
              <w:jc w:val="center"/>
              <w:rPr>
                <w:sz w:val="20"/>
                <w:szCs w:val="14"/>
              </w:rPr>
            </w:pPr>
            <w:r w:rsidRPr="00E627B3">
              <w:rPr>
                <w:rFonts w:eastAsia="Times New Roman"/>
                <w:sz w:val="20"/>
                <w:szCs w:val="20"/>
                <w:lang w:eastAsia="hr-HR"/>
              </w:rPr>
              <w:t>0,75</w:t>
            </w:r>
          </w:p>
        </w:tc>
      </w:tr>
      <w:tr w:rsidR="00E627B3" w:rsidRPr="007A7C7C" w14:paraId="36AC34B1" w14:textId="77777777" w:rsidTr="001445B7">
        <w:trPr>
          <w:trHeight w:val="40"/>
        </w:trPr>
        <w:tc>
          <w:tcPr>
            <w:tcW w:w="3376" w:type="dxa"/>
            <w:shd w:val="clear" w:color="auto" w:fill="auto"/>
            <w:vAlign w:val="center"/>
            <w:hideMark/>
          </w:tcPr>
          <w:p w14:paraId="7BB2FF38" w14:textId="77777777" w:rsidR="00E627B3" w:rsidRPr="00E627B3" w:rsidRDefault="00E627B3" w:rsidP="00E627B3">
            <w:pPr>
              <w:rPr>
                <w:rFonts w:eastAsia="Times New Roman"/>
                <w:sz w:val="20"/>
                <w:szCs w:val="20"/>
              </w:rPr>
            </w:pPr>
            <w:r w:rsidRPr="00E627B3">
              <w:rPr>
                <w:rFonts w:eastAsia="Times New Roman"/>
                <w:sz w:val="20"/>
                <w:szCs w:val="20"/>
              </w:rPr>
              <w:t>udio (%) u ukupnim potporama</w:t>
            </w:r>
          </w:p>
        </w:tc>
        <w:tc>
          <w:tcPr>
            <w:tcW w:w="1439" w:type="dxa"/>
            <w:vAlign w:val="center"/>
          </w:tcPr>
          <w:p w14:paraId="1CF6017B" w14:textId="0FFA3960" w:rsidR="00E627B3" w:rsidRPr="00E627B3" w:rsidRDefault="00E627B3" w:rsidP="00E627B3">
            <w:pPr>
              <w:jc w:val="center"/>
              <w:rPr>
                <w:sz w:val="20"/>
                <w:szCs w:val="14"/>
              </w:rPr>
            </w:pPr>
            <w:r w:rsidRPr="00E627B3">
              <w:rPr>
                <w:rFonts w:eastAsia="Times New Roman"/>
                <w:sz w:val="20"/>
                <w:szCs w:val="20"/>
                <w:lang w:eastAsia="hr-HR"/>
              </w:rPr>
              <w:t>0,43</w:t>
            </w:r>
          </w:p>
        </w:tc>
        <w:tc>
          <w:tcPr>
            <w:tcW w:w="1559" w:type="dxa"/>
            <w:vAlign w:val="center"/>
          </w:tcPr>
          <w:p w14:paraId="24A38229" w14:textId="1FF0E35B" w:rsidR="00E627B3" w:rsidRPr="00E627B3" w:rsidRDefault="00E627B3" w:rsidP="00E627B3">
            <w:pPr>
              <w:jc w:val="center"/>
              <w:rPr>
                <w:sz w:val="20"/>
                <w:szCs w:val="14"/>
              </w:rPr>
            </w:pPr>
            <w:r w:rsidRPr="00E627B3">
              <w:rPr>
                <w:rFonts w:eastAsia="Times New Roman"/>
                <w:sz w:val="20"/>
                <w:szCs w:val="20"/>
                <w:lang w:eastAsia="hr-HR"/>
              </w:rPr>
              <w:t>0,44</w:t>
            </w:r>
          </w:p>
        </w:tc>
        <w:tc>
          <w:tcPr>
            <w:tcW w:w="1559" w:type="dxa"/>
            <w:vAlign w:val="center"/>
          </w:tcPr>
          <w:p w14:paraId="2FC51465" w14:textId="3E7F7D55" w:rsidR="00E627B3" w:rsidRPr="00E627B3" w:rsidRDefault="00E627B3" w:rsidP="00E627B3">
            <w:pPr>
              <w:jc w:val="center"/>
              <w:rPr>
                <w:sz w:val="20"/>
                <w:szCs w:val="14"/>
              </w:rPr>
            </w:pPr>
            <w:r w:rsidRPr="00E627B3">
              <w:rPr>
                <w:rFonts w:eastAsia="Times New Roman"/>
                <w:sz w:val="20"/>
                <w:szCs w:val="20"/>
                <w:lang w:eastAsia="hr-HR"/>
              </w:rPr>
              <w:t>0,49</w:t>
            </w:r>
          </w:p>
        </w:tc>
      </w:tr>
      <w:tr w:rsidR="00E627B3" w:rsidRPr="00E627B3" w14:paraId="2F8A47B2" w14:textId="77777777" w:rsidTr="001445B7">
        <w:trPr>
          <w:trHeight w:val="40"/>
        </w:trPr>
        <w:tc>
          <w:tcPr>
            <w:tcW w:w="3376" w:type="dxa"/>
            <w:shd w:val="clear" w:color="auto" w:fill="auto"/>
            <w:vAlign w:val="center"/>
            <w:hideMark/>
          </w:tcPr>
          <w:p w14:paraId="076E4784" w14:textId="77777777" w:rsidR="00E627B3" w:rsidRPr="00E627B3" w:rsidRDefault="00E627B3" w:rsidP="00E627B3">
            <w:pPr>
              <w:rPr>
                <w:rFonts w:eastAsia="Times New Roman"/>
                <w:sz w:val="20"/>
                <w:szCs w:val="20"/>
              </w:rPr>
            </w:pPr>
            <w:r w:rsidRPr="00E627B3">
              <w:rPr>
                <w:rFonts w:eastAsia="Times New Roman"/>
                <w:sz w:val="20"/>
                <w:szCs w:val="20"/>
              </w:rPr>
              <w:t>udio (%) u BDP-u</w:t>
            </w:r>
          </w:p>
        </w:tc>
        <w:tc>
          <w:tcPr>
            <w:tcW w:w="1439" w:type="dxa"/>
            <w:vAlign w:val="center"/>
          </w:tcPr>
          <w:p w14:paraId="2CBA44EF" w14:textId="1F2F7DB1" w:rsidR="00E627B3" w:rsidRPr="00E627B3" w:rsidRDefault="00E627B3" w:rsidP="00E627B3">
            <w:pPr>
              <w:jc w:val="center"/>
              <w:rPr>
                <w:sz w:val="20"/>
                <w:szCs w:val="14"/>
              </w:rPr>
            </w:pPr>
            <w:r w:rsidRPr="00E627B3">
              <w:rPr>
                <w:rFonts w:eastAsia="Times New Roman"/>
                <w:sz w:val="20"/>
                <w:szCs w:val="20"/>
                <w:lang w:eastAsia="hr-HR"/>
              </w:rPr>
              <w:t>0,02</w:t>
            </w:r>
          </w:p>
        </w:tc>
        <w:tc>
          <w:tcPr>
            <w:tcW w:w="1559" w:type="dxa"/>
            <w:vAlign w:val="center"/>
          </w:tcPr>
          <w:p w14:paraId="00F33E39" w14:textId="728DAB17" w:rsidR="00E627B3" w:rsidRPr="00E627B3" w:rsidRDefault="00E627B3" w:rsidP="00E627B3">
            <w:pPr>
              <w:jc w:val="center"/>
              <w:rPr>
                <w:sz w:val="20"/>
                <w:szCs w:val="14"/>
              </w:rPr>
            </w:pPr>
            <w:r w:rsidRPr="00E627B3">
              <w:rPr>
                <w:rFonts w:eastAsia="Times New Roman"/>
                <w:sz w:val="20"/>
                <w:szCs w:val="20"/>
                <w:lang w:eastAsia="hr-HR"/>
              </w:rPr>
              <w:t>0,02</w:t>
            </w:r>
          </w:p>
        </w:tc>
        <w:tc>
          <w:tcPr>
            <w:tcW w:w="1559" w:type="dxa"/>
            <w:vAlign w:val="center"/>
          </w:tcPr>
          <w:p w14:paraId="0EA6C96E" w14:textId="06191C49" w:rsidR="00E627B3" w:rsidRPr="00E627B3" w:rsidRDefault="00E627B3" w:rsidP="00E627B3">
            <w:pPr>
              <w:jc w:val="center"/>
              <w:rPr>
                <w:sz w:val="20"/>
                <w:szCs w:val="14"/>
              </w:rPr>
            </w:pPr>
            <w:r w:rsidRPr="00E627B3">
              <w:rPr>
                <w:rFonts w:eastAsia="Times New Roman"/>
                <w:sz w:val="20"/>
                <w:szCs w:val="20"/>
                <w:lang w:eastAsia="hr-HR"/>
              </w:rPr>
              <w:t>0,02</w:t>
            </w:r>
          </w:p>
        </w:tc>
      </w:tr>
    </w:tbl>
    <w:p w14:paraId="48CA5D13" w14:textId="77777777" w:rsidR="00E627B3" w:rsidRPr="00E627B3" w:rsidRDefault="00E627B3" w:rsidP="00E627B3">
      <w:pPr>
        <w:contextualSpacing/>
        <w:jc w:val="both"/>
        <w:rPr>
          <w:i/>
          <w:sz w:val="20"/>
        </w:rPr>
      </w:pPr>
      <w:r w:rsidRPr="00E627B3">
        <w:rPr>
          <w:i/>
          <w:sz w:val="20"/>
        </w:rPr>
        <w:t>Izvor: Ministarstvo financija i davatelji potpora; podaci obrađeni u Ministarstvu financija</w:t>
      </w:r>
    </w:p>
    <w:p w14:paraId="14C2ED54" w14:textId="77777777" w:rsidR="00AA478F" w:rsidRPr="008C0A8E" w:rsidRDefault="00AA478F" w:rsidP="00BE487D">
      <w:pPr>
        <w:jc w:val="both"/>
        <w:rPr>
          <w:highlight w:val="red"/>
        </w:rPr>
      </w:pPr>
    </w:p>
    <w:p w14:paraId="6E4B3051" w14:textId="22D5B87B" w:rsidR="008C0A8E" w:rsidRPr="008C0A8E" w:rsidRDefault="008C0A8E" w:rsidP="008C0A8E">
      <w:pPr>
        <w:jc w:val="both"/>
      </w:pPr>
      <w:r w:rsidRPr="008C0A8E">
        <w:t>Udio potpora za poštanske usluge u BDP-u u 2023. godini iznosio je 0,02 posto, isto kao i u prethodnoj 2022. i 2021. godini. Udio navedenih potpora u 2023. godini u ukupno dodijeljenim potporama iznosio je 0,5 posto, udio u dodijeljenim potporama u sektoru industrije i usluga u 2023. godini iznosio je 0,8 posto, dok je udio navedenih potpora u sektorskim potporama u 2023. godini iznosio 1,7 posto.</w:t>
      </w:r>
    </w:p>
    <w:p w14:paraId="3D2BBE85" w14:textId="77777777" w:rsidR="008E0952" w:rsidRPr="008F3C5B" w:rsidRDefault="008E0952" w:rsidP="00BE487D">
      <w:pPr>
        <w:jc w:val="both"/>
      </w:pPr>
    </w:p>
    <w:p w14:paraId="5238D4AC" w14:textId="766FD756" w:rsidR="002429A4" w:rsidRPr="008F3C5B" w:rsidRDefault="008F3C5B" w:rsidP="008F3C5B">
      <w:pPr>
        <w:jc w:val="both"/>
        <w:rPr>
          <w:spacing w:val="-2"/>
        </w:rPr>
      </w:pPr>
      <w:r w:rsidRPr="008F3C5B">
        <w:rPr>
          <w:spacing w:val="-2"/>
        </w:rPr>
        <w:t>U 2023. godini p</w:t>
      </w:r>
      <w:r w:rsidR="002429A4" w:rsidRPr="008F3C5B">
        <w:rPr>
          <w:spacing w:val="-2"/>
        </w:rPr>
        <w:t xml:space="preserve">otpore </w:t>
      </w:r>
      <w:r w:rsidR="00F80F9A" w:rsidRPr="008F3C5B">
        <w:rPr>
          <w:spacing w:val="-2"/>
        </w:rPr>
        <w:t xml:space="preserve">za poštanske usluge </w:t>
      </w:r>
      <w:r w:rsidRPr="008F3C5B">
        <w:rPr>
          <w:spacing w:val="-2"/>
        </w:rPr>
        <w:t xml:space="preserve">u iznosu od 14,8 milijuna eura </w:t>
      </w:r>
      <w:r w:rsidR="002429A4" w:rsidRPr="008F3C5B">
        <w:rPr>
          <w:spacing w:val="-2"/>
        </w:rPr>
        <w:t>dodijelilo je Ministarstvo mora, prometa i infrastrukture</w:t>
      </w:r>
      <w:r w:rsidR="00F80F9A" w:rsidRPr="008F3C5B">
        <w:rPr>
          <w:spacing w:val="-2"/>
        </w:rPr>
        <w:t xml:space="preserve"> putem subvencija </w:t>
      </w:r>
      <w:r w:rsidR="00845470" w:rsidRPr="008F3C5B">
        <w:rPr>
          <w:spacing w:val="-2"/>
        </w:rPr>
        <w:t xml:space="preserve">HP – </w:t>
      </w:r>
      <w:r w:rsidR="009366E2" w:rsidRPr="008F3C5B">
        <w:rPr>
          <w:spacing w:val="-2"/>
        </w:rPr>
        <w:t xml:space="preserve">Hrvatskoj pošti </w:t>
      </w:r>
      <w:r w:rsidR="00845470" w:rsidRPr="008F3C5B">
        <w:rPr>
          <w:spacing w:val="-2"/>
        </w:rPr>
        <w:t xml:space="preserve">d.d. </w:t>
      </w:r>
      <w:r w:rsidR="002429A4" w:rsidRPr="008F3C5B">
        <w:rPr>
          <w:spacing w:val="-2"/>
        </w:rPr>
        <w:t xml:space="preserve">u obliku naknade za obavljanje usluge od općeg gospodarskog interesa </w:t>
      </w:r>
      <w:r w:rsidR="00845470" w:rsidRPr="008F3C5B">
        <w:rPr>
          <w:spacing w:val="-2"/>
        </w:rPr>
        <w:t xml:space="preserve">kao </w:t>
      </w:r>
      <w:r w:rsidR="002429A4" w:rsidRPr="008F3C5B">
        <w:rPr>
          <w:spacing w:val="-2"/>
        </w:rPr>
        <w:t>univerzalne poštanske usluge</w:t>
      </w:r>
      <w:r w:rsidR="00F80F9A" w:rsidRPr="008F3C5B">
        <w:rPr>
          <w:spacing w:val="-2"/>
        </w:rPr>
        <w:t>.</w:t>
      </w:r>
    </w:p>
    <w:p w14:paraId="0F2B994E" w14:textId="502FA147" w:rsidR="0030508F" w:rsidRPr="008C0A8E" w:rsidRDefault="0030508F" w:rsidP="002429A4">
      <w:pPr>
        <w:jc w:val="both"/>
      </w:pPr>
    </w:p>
    <w:p w14:paraId="6667EEC4" w14:textId="77777777" w:rsidR="00342FEF" w:rsidRPr="00145D62" w:rsidRDefault="00342FEF" w:rsidP="00BE487D">
      <w:pPr>
        <w:jc w:val="both"/>
      </w:pPr>
    </w:p>
    <w:p w14:paraId="754FE674" w14:textId="2FD350C6" w:rsidR="00BE0817" w:rsidRPr="00145D62" w:rsidRDefault="00BC66CE" w:rsidP="00BE487D">
      <w:pPr>
        <w:pStyle w:val="Heading3"/>
        <w:numPr>
          <w:ilvl w:val="2"/>
          <w:numId w:val="1"/>
        </w:numPr>
        <w:spacing w:before="0"/>
        <w:jc w:val="both"/>
        <w:rPr>
          <w:rFonts w:ascii="Times New Roman" w:hAnsi="Times New Roman" w:cs="Times New Roman"/>
          <w:b/>
          <w:i/>
          <w:color w:val="auto"/>
        </w:rPr>
      </w:pPr>
      <w:bookmarkStart w:id="24" w:name="_Toc184635854"/>
      <w:r w:rsidRPr="00145D62">
        <w:rPr>
          <w:rFonts w:ascii="Times New Roman" w:hAnsi="Times New Roman" w:cs="Times New Roman"/>
          <w:b/>
          <w:i/>
          <w:color w:val="auto"/>
          <w:lang w:eastAsia="hr-HR"/>
        </w:rPr>
        <w:t>Potpore za zaštitu okoliša i uštedu energije</w:t>
      </w:r>
      <w:bookmarkEnd w:id="24"/>
    </w:p>
    <w:p w14:paraId="1548ECE6" w14:textId="77777777" w:rsidR="00BC66CE" w:rsidRPr="00145D62" w:rsidRDefault="00BC66CE" w:rsidP="00BE487D">
      <w:pPr>
        <w:jc w:val="both"/>
      </w:pPr>
    </w:p>
    <w:p w14:paraId="3C150DF0" w14:textId="77777777" w:rsidR="00BC66CE" w:rsidRPr="00145D62" w:rsidRDefault="00BC66CE" w:rsidP="00BE487D">
      <w:pPr>
        <w:jc w:val="both"/>
      </w:pPr>
    </w:p>
    <w:p w14:paraId="5D8B802F" w14:textId="60F491C3" w:rsidR="00D80E96" w:rsidRPr="00D80E96" w:rsidRDefault="00ED3BD6" w:rsidP="00D80E96">
      <w:pPr>
        <w:jc w:val="both"/>
      </w:pPr>
      <w:r w:rsidRPr="00D80E96">
        <w:t>Potpore za zaštitu okoliša i uštedu energije</w:t>
      </w:r>
      <w:r w:rsidRPr="00D80E96">
        <w:rPr>
          <w:rStyle w:val="FootnoteReference"/>
        </w:rPr>
        <w:footnoteReference w:id="31"/>
      </w:r>
      <w:r w:rsidRPr="00D80E96">
        <w:t xml:space="preserve"> </w:t>
      </w:r>
      <w:r w:rsidR="00D80E96" w:rsidRPr="00D80E96">
        <w:t>su dodijeljene u 2023. godini u iznosu od 184,9 milijuna eura, što je povećanje za 14 milijuna eura ili za 8,2 posto u odnosu na 2022. godinu, kada su navedene potpore iznosile 170,9 milijuna eura, te je povećanje za 21,3 milijuna eura ili za 13 posto u odnosu na 2021. godinu kada su potpore za zaštitu okoliša i uštedu energije iznosile 163,6 milijuna eura.</w:t>
      </w:r>
    </w:p>
    <w:p w14:paraId="68F6B258" w14:textId="77777777" w:rsidR="00CE5303" w:rsidRPr="00D80E96" w:rsidRDefault="00CE5303" w:rsidP="00BE487D">
      <w:pPr>
        <w:jc w:val="both"/>
      </w:pPr>
    </w:p>
    <w:p w14:paraId="265F25D8" w14:textId="77777777" w:rsidR="00AF6B8D" w:rsidRDefault="00AF6B8D">
      <w:pPr>
        <w:rPr>
          <w:b/>
        </w:rPr>
      </w:pPr>
      <w:r>
        <w:rPr>
          <w:b/>
        </w:rPr>
        <w:br w:type="page"/>
      </w:r>
    </w:p>
    <w:p w14:paraId="5A73E825" w14:textId="65CCEF76" w:rsidR="00ED3BD6" w:rsidRPr="00B75A66" w:rsidRDefault="001D0097" w:rsidP="00BE487D">
      <w:pPr>
        <w:jc w:val="both"/>
      </w:pPr>
      <w:r w:rsidRPr="00B75A66">
        <w:lastRenderedPageBreak/>
        <w:t xml:space="preserve">Tablica </w:t>
      </w:r>
      <w:r w:rsidR="00DA0C65" w:rsidRPr="00B75A66">
        <w:t>19</w:t>
      </w:r>
      <w:r w:rsidR="00ED3BD6" w:rsidRPr="00B75A66">
        <w:t xml:space="preserve">. Potpore za zaštitu okoliša i uštedu energije </w:t>
      </w:r>
      <w:r w:rsidR="00DF44C6">
        <w:t>u</w:t>
      </w:r>
      <w:r w:rsidR="00ED3BD6" w:rsidRPr="00B75A66">
        <w:t xml:space="preserve"> razdoblj</w:t>
      </w:r>
      <w:r w:rsidR="00DF44C6">
        <w:t>u</w:t>
      </w:r>
      <w:r w:rsidR="00ED3BD6" w:rsidRPr="00B75A66">
        <w:t xml:space="preserve"> od 20</w:t>
      </w:r>
      <w:r w:rsidR="003C7980" w:rsidRPr="00B75A66">
        <w:t>2</w:t>
      </w:r>
      <w:r w:rsidR="00DA0C65" w:rsidRPr="00B75A66">
        <w:t>1</w:t>
      </w:r>
      <w:r w:rsidR="00ED3BD6" w:rsidRPr="00B75A66">
        <w:t>. do 202</w:t>
      </w:r>
      <w:r w:rsidR="00DA0C65" w:rsidRPr="00B75A66">
        <w:t>3</w:t>
      </w:r>
      <w:r w:rsidR="00ED3BD6" w:rsidRPr="00B75A66">
        <w:t>. godine</w:t>
      </w:r>
    </w:p>
    <w:p w14:paraId="2B9DBCA4" w14:textId="77777777" w:rsidR="006261B9" w:rsidRPr="008149B5" w:rsidRDefault="006261B9" w:rsidP="00BE487D">
      <w:pPr>
        <w:jc w:val="both"/>
        <w:rPr>
          <w:sz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D80E96" w:rsidRPr="00D80E96" w14:paraId="363B564A" w14:textId="77777777" w:rsidTr="00E627B3">
        <w:trPr>
          <w:trHeight w:val="38"/>
        </w:trPr>
        <w:tc>
          <w:tcPr>
            <w:tcW w:w="3376" w:type="dxa"/>
            <w:vMerge w:val="restart"/>
            <w:shd w:val="clear" w:color="000000" w:fill="FFFF99"/>
            <w:noWrap/>
            <w:vAlign w:val="center"/>
            <w:hideMark/>
          </w:tcPr>
          <w:p w14:paraId="7F259EB1" w14:textId="041A8535" w:rsidR="0081459E" w:rsidRPr="00D80E96" w:rsidRDefault="00145D62" w:rsidP="00E627B3">
            <w:pPr>
              <w:rPr>
                <w:rFonts w:eastAsia="Times New Roman"/>
                <w:b/>
                <w:bCs/>
                <w:sz w:val="20"/>
                <w:szCs w:val="20"/>
              </w:rPr>
            </w:pPr>
            <w:r w:rsidRPr="00D80E96">
              <w:rPr>
                <w:rFonts w:eastAsia="Times New Roman"/>
                <w:b/>
                <w:bCs/>
                <w:sz w:val="20"/>
              </w:rPr>
              <w:t>Zaštita okoliša i očuvanje energije</w:t>
            </w:r>
          </w:p>
        </w:tc>
        <w:tc>
          <w:tcPr>
            <w:tcW w:w="1439" w:type="dxa"/>
            <w:shd w:val="clear" w:color="000000" w:fill="FFFF99"/>
            <w:vAlign w:val="center"/>
          </w:tcPr>
          <w:p w14:paraId="6145E6BB" w14:textId="77777777" w:rsidR="0081459E" w:rsidRPr="00D80E96" w:rsidRDefault="0081459E" w:rsidP="00E627B3">
            <w:pPr>
              <w:jc w:val="center"/>
              <w:rPr>
                <w:rFonts w:eastAsia="Times New Roman"/>
                <w:b/>
                <w:bCs/>
                <w:sz w:val="20"/>
                <w:szCs w:val="20"/>
              </w:rPr>
            </w:pPr>
            <w:r w:rsidRPr="00D80E96">
              <w:rPr>
                <w:b/>
                <w:sz w:val="20"/>
                <w:szCs w:val="20"/>
              </w:rPr>
              <w:t>2021.</w:t>
            </w:r>
          </w:p>
        </w:tc>
        <w:tc>
          <w:tcPr>
            <w:tcW w:w="1559" w:type="dxa"/>
            <w:shd w:val="clear" w:color="000000" w:fill="FFFF99"/>
            <w:vAlign w:val="center"/>
          </w:tcPr>
          <w:p w14:paraId="51B18CA4" w14:textId="77777777" w:rsidR="0081459E" w:rsidRPr="00D80E96" w:rsidRDefault="0081459E" w:rsidP="00E627B3">
            <w:pPr>
              <w:jc w:val="center"/>
              <w:rPr>
                <w:rFonts w:eastAsia="Times New Roman"/>
                <w:b/>
                <w:bCs/>
                <w:sz w:val="20"/>
                <w:szCs w:val="20"/>
              </w:rPr>
            </w:pPr>
            <w:r w:rsidRPr="00D80E96">
              <w:rPr>
                <w:b/>
                <w:sz w:val="20"/>
                <w:szCs w:val="20"/>
              </w:rPr>
              <w:t>2022.</w:t>
            </w:r>
          </w:p>
        </w:tc>
        <w:tc>
          <w:tcPr>
            <w:tcW w:w="1559" w:type="dxa"/>
            <w:shd w:val="clear" w:color="000000" w:fill="FFFF99"/>
            <w:vAlign w:val="center"/>
          </w:tcPr>
          <w:p w14:paraId="236D6152" w14:textId="77777777" w:rsidR="0081459E" w:rsidRPr="00D80E96" w:rsidRDefault="0081459E" w:rsidP="00E627B3">
            <w:pPr>
              <w:jc w:val="center"/>
              <w:rPr>
                <w:rFonts w:eastAsia="Times New Roman"/>
                <w:b/>
                <w:bCs/>
                <w:sz w:val="20"/>
                <w:szCs w:val="20"/>
              </w:rPr>
            </w:pPr>
            <w:r w:rsidRPr="00D80E96">
              <w:rPr>
                <w:b/>
                <w:sz w:val="20"/>
                <w:szCs w:val="20"/>
              </w:rPr>
              <w:t>2023.</w:t>
            </w:r>
          </w:p>
        </w:tc>
      </w:tr>
      <w:tr w:rsidR="00D80E96" w:rsidRPr="00D80E96" w14:paraId="349894F8" w14:textId="77777777" w:rsidTr="00E627B3">
        <w:trPr>
          <w:trHeight w:val="212"/>
        </w:trPr>
        <w:tc>
          <w:tcPr>
            <w:tcW w:w="3376" w:type="dxa"/>
            <w:vMerge/>
            <w:vAlign w:val="center"/>
            <w:hideMark/>
          </w:tcPr>
          <w:p w14:paraId="1D6A2402" w14:textId="77777777" w:rsidR="0081459E" w:rsidRPr="00D80E96" w:rsidRDefault="0081459E" w:rsidP="00E627B3">
            <w:pPr>
              <w:rPr>
                <w:rFonts w:eastAsia="Times New Roman"/>
                <w:b/>
                <w:bCs/>
                <w:sz w:val="20"/>
                <w:szCs w:val="20"/>
              </w:rPr>
            </w:pPr>
          </w:p>
        </w:tc>
        <w:tc>
          <w:tcPr>
            <w:tcW w:w="1439" w:type="dxa"/>
            <w:shd w:val="clear" w:color="000000" w:fill="FFFF99"/>
            <w:vAlign w:val="center"/>
          </w:tcPr>
          <w:p w14:paraId="0BF43360" w14:textId="77777777" w:rsidR="0081459E" w:rsidRPr="00D80E96" w:rsidRDefault="0081459E" w:rsidP="00E627B3">
            <w:pPr>
              <w:rPr>
                <w:rFonts w:eastAsia="Times New Roman"/>
                <w:b/>
                <w:sz w:val="18"/>
                <w:szCs w:val="20"/>
              </w:rPr>
            </w:pPr>
            <w:r w:rsidRPr="00D80E96">
              <w:rPr>
                <w:b/>
                <w:sz w:val="20"/>
                <w:szCs w:val="20"/>
              </w:rPr>
              <w:t xml:space="preserve">u </w:t>
            </w:r>
            <w:proofErr w:type="spellStart"/>
            <w:r w:rsidRPr="00D80E96">
              <w:rPr>
                <w:b/>
                <w:sz w:val="20"/>
                <w:szCs w:val="20"/>
              </w:rPr>
              <w:t>mln</w:t>
            </w:r>
            <w:proofErr w:type="spellEnd"/>
            <w:r w:rsidRPr="00D80E96">
              <w:rPr>
                <w:b/>
                <w:sz w:val="20"/>
                <w:szCs w:val="20"/>
              </w:rPr>
              <w:t xml:space="preserve"> EUR</w:t>
            </w:r>
          </w:p>
        </w:tc>
        <w:tc>
          <w:tcPr>
            <w:tcW w:w="1559" w:type="dxa"/>
            <w:shd w:val="clear" w:color="000000" w:fill="FFFF99"/>
            <w:vAlign w:val="center"/>
          </w:tcPr>
          <w:p w14:paraId="3263AAC4" w14:textId="77777777" w:rsidR="0081459E" w:rsidRPr="00D80E96" w:rsidRDefault="0081459E" w:rsidP="00E627B3">
            <w:pPr>
              <w:jc w:val="center"/>
              <w:rPr>
                <w:rFonts w:eastAsia="Times New Roman"/>
                <w:b/>
                <w:sz w:val="18"/>
                <w:szCs w:val="20"/>
              </w:rPr>
            </w:pPr>
            <w:r w:rsidRPr="00D80E96">
              <w:rPr>
                <w:b/>
                <w:sz w:val="20"/>
                <w:szCs w:val="20"/>
              </w:rPr>
              <w:t xml:space="preserve">u </w:t>
            </w:r>
            <w:proofErr w:type="spellStart"/>
            <w:r w:rsidRPr="00D80E96">
              <w:rPr>
                <w:b/>
                <w:sz w:val="20"/>
                <w:szCs w:val="20"/>
              </w:rPr>
              <w:t>mln</w:t>
            </w:r>
            <w:proofErr w:type="spellEnd"/>
            <w:r w:rsidRPr="00D80E96">
              <w:rPr>
                <w:b/>
                <w:sz w:val="20"/>
                <w:szCs w:val="20"/>
              </w:rPr>
              <w:t xml:space="preserve"> EUR</w:t>
            </w:r>
          </w:p>
        </w:tc>
        <w:tc>
          <w:tcPr>
            <w:tcW w:w="1559" w:type="dxa"/>
            <w:shd w:val="clear" w:color="000000" w:fill="FFFF99"/>
            <w:vAlign w:val="center"/>
          </w:tcPr>
          <w:p w14:paraId="349AE038" w14:textId="77777777" w:rsidR="0081459E" w:rsidRPr="00D80E96" w:rsidRDefault="0081459E" w:rsidP="00E627B3">
            <w:pPr>
              <w:jc w:val="center"/>
              <w:rPr>
                <w:rFonts w:eastAsia="Times New Roman"/>
                <w:b/>
                <w:sz w:val="18"/>
                <w:szCs w:val="20"/>
              </w:rPr>
            </w:pPr>
            <w:r w:rsidRPr="00D80E96">
              <w:rPr>
                <w:b/>
                <w:sz w:val="20"/>
                <w:szCs w:val="20"/>
              </w:rPr>
              <w:t xml:space="preserve">u </w:t>
            </w:r>
            <w:proofErr w:type="spellStart"/>
            <w:r w:rsidRPr="00D80E96">
              <w:rPr>
                <w:b/>
                <w:sz w:val="20"/>
                <w:szCs w:val="20"/>
              </w:rPr>
              <w:t>mln</w:t>
            </w:r>
            <w:proofErr w:type="spellEnd"/>
            <w:r w:rsidRPr="00D80E96">
              <w:rPr>
                <w:b/>
                <w:sz w:val="20"/>
                <w:szCs w:val="20"/>
              </w:rPr>
              <w:t xml:space="preserve"> EUR</w:t>
            </w:r>
          </w:p>
        </w:tc>
      </w:tr>
      <w:tr w:rsidR="00D80E96" w:rsidRPr="00D80E96" w14:paraId="4CA0C506" w14:textId="77777777" w:rsidTr="00E627B3">
        <w:trPr>
          <w:trHeight w:val="40"/>
        </w:trPr>
        <w:tc>
          <w:tcPr>
            <w:tcW w:w="3376" w:type="dxa"/>
            <w:shd w:val="clear" w:color="auto" w:fill="auto"/>
            <w:noWrap/>
            <w:vAlign w:val="center"/>
            <w:hideMark/>
          </w:tcPr>
          <w:p w14:paraId="5C97B2A7" w14:textId="53AFEE0C" w:rsidR="00145D62" w:rsidRPr="00D80E96" w:rsidRDefault="00145D62" w:rsidP="00145D62">
            <w:pPr>
              <w:rPr>
                <w:rFonts w:eastAsia="Times New Roman"/>
                <w:b/>
                <w:bCs/>
                <w:sz w:val="20"/>
                <w:szCs w:val="20"/>
              </w:rPr>
            </w:pPr>
            <w:r w:rsidRPr="00D80E96">
              <w:rPr>
                <w:rFonts w:eastAsia="Times New Roman"/>
                <w:b/>
                <w:bCs/>
                <w:sz w:val="20"/>
                <w:szCs w:val="20"/>
                <w:lang w:eastAsia="hr-HR"/>
              </w:rPr>
              <w:t>A1</w:t>
            </w:r>
            <w:r w:rsidRPr="00D80E96">
              <w:rPr>
                <w:rFonts w:eastAsia="Times New Roman"/>
                <w:sz w:val="20"/>
                <w:szCs w:val="20"/>
                <w:lang w:eastAsia="hr-HR"/>
              </w:rPr>
              <w:t xml:space="preserve"> subvencije</w:t>
            </w:r>
          </w:p>
        </w:tc>
        <w:tc>
          <w:tcPr>
            <w:tcW w:w="1439" w:type="dxa"/>
            <w:vAlign w:val="center"/>
          </w:tcPr>
          <w:p w14:paraId="42AD923A" w14:textId="0DBD0400" w:rsidR="00145D62" w:rsidRPr="00D80E96" w:rsidRDefault="00145D62" w:rsidP="00145D62">
            <w:pPr>
              <w:jc w:val="right"/>
              <w:rPr>
                <w:sz w:val="20"/>
                <w:szCs w:val="14"/>
              </w:rPr>
            </w:pPr>
            <w:r w:rsidRPr="00D80E96">
              <w:rPr>
                <w:rFonts w:eastAsia="Times New Roman"/>
                <w:sz w:val="20"/>
                <w:szCs w:val="20"/>
                <w:lang w:eastAsia="hr-HR"/>
              </w:rPr>
              <w:t>156,4</w:t>
            </w:r>
          </w:p>
        </w:tc>
        <w:tc>
          <w:tcPr>
            <w:tcW w:w="1559" w:type="dxa"/>
            <w:vAlign w:val="center"/>
          </w:tcPr>
          <w:p w14:paraId="17CF8195" w14:textId="1D22300B" w:rsidR="00145D62" w:rsidRPr="00D80E96" w:rsidRDefault="00145D62" w:rsidP="00145D62">
            <w:pPr>
              <w:jc w:val="right"/>
              <w:rPr>
                <w:sz w:val="20"/>
                <w:szCs w:val="14"/>
              </w:rPr>
            </w:pPr>
            <w:r w:rsidRPr="00D80E96">
              <w:rPr>
                <w:rFonts w:eastAsia="Times New Roman"/>
                <w:sz w:val="20"/>
                <w:szCs w:val="20"/>
                <w:lang w:eastAsia="hr-HR"/>
              </w:rPr>
              <w:t>170,9</w:t>
            </w:r>
          </w:p>
        </w:tc>
        <w:tc>
          <w:tcPr>
            <w:tcW w:w="1559" w:type="dxa"/>
            <w:vAlign w:val="center"/>
          </w:tcPr>
          <w:p w14:paraId="0EAAE1B0" w14:textId="75BF7AE0" w:rsidR="00145D62" w:rsidRPr="00D80E96" w:rsidRDefault="00145D62" w:rsidP="00145D62">
            <w:pPr>
              <w:jc w:val="right"/>
              <w:rPr>
                <w:sz w:val="20"/>
                <w:szCs w:val="14"/>
              </w:rPr>
            </w:pPr>
            <w:r w:rsidRPr="00D80E96">
              <w:rPr>
                <w:rFonts w:eastAsia="Times New Roman"/>
                <w:sz w:val="20"/>
                <w:szCs w:val="20"/>
                <w:lang w:eastAsia="hr-HR"/>
              </w:rPr>
              <w:t>166,9</w:t>
            </w:r>
          </w:p>
        </w:tc>
      </w:tr>
      <w:tr w:rsidR="00D80E96" w:rsidRPr="00D80E96" w14:paraId="6BF4A694" w14:textId="77777777" w:rsidTr="00E627B3">
        <w:trPr>
          <w:trHeight w:val="40"/>
        </w:trPr>
        <w:tc>
          <w:tcPr>
            <w:tcW w:w="3376" w:type="dxa"/>
            <w:shd w:val="clear" w:color="auto" w:fill="auto"/>
            <w:noWrap/>
            <w:vAlign w:val="center"/>
          </w:tcPr>
          <w:p w14:paraId="3C8BA34A" w14:textId="1F4C2139" w:rsidR="00145D62" w:rsidRPr="00D80E96" w:rsidRDefault="00145D62" w:rsidP="00145D62">
            <w:pPr>
              <w:rPr>
                <w:rFonts w:eastAsia="Times New Roman"/>
                <w:b/>
                <w:bCs/>
                <w:sz w:val="20"/>
                <w:szCs w:val="20"/>
              </w:rPr>
            </w:pPr>
            <w:r w:rsidRPr="00D80E96">
              <w:rPr>
                <w:rFonts w:eastAsia="Times New Roman"/>
                <w:b/>
                <w:bCs/>
                <w:sz w:val="20"/>
                <w:szCs w:val="20"/>
                <w:lang w:eastAsia="hr-HR"/>
              </w:rPr>
              <w:t>A1</w:t>
            </w:r>
            <w:r w:rsidRPr="00D80E96">
              <w:rPr>
                <w:rFonts w:eastAsia="Times New Roman"/>
                <w:sz w:val="20"/>
                <w:szCs w:val="20"/>
                <w:lang w:eastAsia="hr-HR"/>
              </w:rPr>
              <w:t xml:space="preserve"> neposredne subvencije kamata</w:t>
            </w:r>
          </w:p>
        </w:tc>
        <w:tc>
          <w:tcPr>
            <w:tcW w:w="1439" w:type="dxa"/>
            <w:vAlign w:val="center"/>
          </w:tcPr>
          <w:p w14:paraId="54042C4B" w14:textId="1FC92878" w:rsidR="00145D62" w:rsidRPr="00D80E96" w:rsidRDefault="00145D62" w:rsidP="00145D62">
            <w:pPr>
              <w:jc w:val="right"/>
              <w:rPr>
                <w:sz w:val="20"/>
                <w:szCs w:val="14"/>
              </w:rPr>
            </w:pPr>
            <w:r w:rsidRPr="00D80E96">
              <w:rPr>
                <w:rFonts w:eastAsia="Times New Roman"/>
                <w:sz w:val="20"/>
                <w:szCs w:val="20"/>
                <w:lang w:eastAsia="hr-HR"/>
              </w:rPr>
              <w:t>-</w:t>
            </w:r>
          </w:p>
        </w:tc>
        <w:tc>
          <w:tcPr>
            <w:tcW w:w="1559" w:type="dxa"/>
            <w:vAlign w:val="center"/>
          </w:tcPr>
          <w:p w14:paraId="3F240DFE" w14:textId="65A0BCA4" w:rsidR="00145D62" w:rsidRPr="00D80E96" w:rsidRDefault="00145D62" w:rsidP="00145D62">
            <w:pPr>
              <w:jc w:val="right"/>
              <w:rPr>
                <w:sz w:val="20"/>
                <w:szCs w:val="14"/>
              </w:rPr>
            </w:pPr>
            <w:r w:rsidRPr="00D80E96">
              <w:rPr>
                <w:rFonts w:eastAsia="Times New Roman"/>
                <w:sz w:val="20"/>
                <w:szCs w:val="20"/>
                <w:lang w:eastAsia="hr-HR"/>
              </w:rPr>
              <w:t>-</w:t>
            </w:r>
          </w:p>
        </w:tc>
        <w:tc>
          <w:tcPr>
            <w:tcW w:w="1559" w:type="dxa"/>
            <w:vAlign w:val="center"/>
          </w:tcPr>
          <w:p w14:paraId="65398D75" w14:textId="4DD9D75D" w:rsidR="00145D62" w:rsidRPr="00D80E96" w:rsidRDefault="00145D62" w:rsidP="00145D62">
            <w:pPr>
              <w:jc w:val="right"/>
              <w:rPr>
                <w:sz w:val="20"/>
                <w:szCs w:val="14"/>
              </w:rPr>
            </w:pPr>
            <w:r w:rsidRPr="00D80E96">
              <w:rPr>
                <w:rFonts w:eastAsia="Times New Roman"/>
                <w:sz w:val="20"/>
                <w:szCs w:val="20"/>
                <w:lang w:eastAsia="hr-HR"/>
              </w:rPr>
              <w:t>0,7</w:t>
            </w:r>
          </w:p>
        </w:tc>
      </w:tr>
      <w:tr w:rsidR="00D80E96" w:rsidRPr="00D80E96" w14:paraId="312D2BCC" w14:textId="77777777" w:rsidTr="00D148B9">
        <w:trPr>
          <w:trHeight w:val="40"/>
        </w:trPr>
        <w:tc>
          <w:tcPr>
            <w:tcW w:w="3376" w:type="dxa"/>
            <w:shd w:val="clear" w:color="auto" w:fill="auto"/>
            <w:noWrap/>
          </w:tcPr>
          <w:p w14:paraId="2E8DB1EA" w14:textId="46A33989" w:rsidR="00145D62" w:rsidRPr="00D80E96" w:rsidRDefault="00145D62" w:rsidP="00145D62">
            <w:pPr>
              <w:rPr>
                <w:rFonts w:eastAsia="Times New Roman"/>
                <w:b/>
                <w:bCs/>
                <w:sz w:val="20"/>
                <w:szCs w:val="20"/>
              </w:rPr>
            </w:pPr>
            <w:r w:rsidRPr="00D80E96">
              <w:rPr>
                <w:rFonts w:eastAsia="Times New Roman"/>
                <w:b/>
                <w:bCs/>
                <w:sz w:val="20"/>
                <w:szCs w:val="20"/>
                <w:lang w:eastAsia="hr-HR"/>
              </w:rPr>
              <w:t>A2</w:t>
            </w:r>
            <w:r w:rsidRPr="00D80E96">
              <w:rPr>
                <w:rFonts w:eastAsia="Times New Roman"/>
                <w:sz w:val="20"/>
                <w:szCs w:val="20"/>
                <w:lang w:eastAsia="hr-HR"/>
              </w:rPr>
              <w:t xml:space="preserve"> Snižavanje, oslobođenje, olakšice, izuzeće i oprost plaćanja doprinosa</w:t>
            </w:r>
          </w:p>
        </w:tc>
        <w:tc>
          <w:tcPr>
            <w:tcW w:w="1439" w:type="dxa"/>
            <w:vAlign w:val="center"/>
          </w:tcPr>
          <w:p w14:paraId="0CEF2678" w14:textId="258A23E3" w:rsidR="00145D62" w:rsidRPr="00D80E96" w:rsidRDefault="00145D62" w:rsidP="00145D62">
            <w:pPr>
              <w:jc w:val="right"/>
              <w:rPr>
                <w:sz w:val="20"/>
                <w:szCs w:val="14"/>
              </w:rPr>
            </w:pPr>
            <w:r w:rsidRPr="00D80E96">
              <w:rPr>
                <w:rFonts w:eastAsia="Times New Roman"/>
                <w:sz w:val="20"/>
                <w:szCs w:val="20"/>
                <w:lang w:eastAsia="hr-HR"/>
              </w:rPr>
              <w:t>7,2</w:t>
            </w:r>
          </w:p>
        </w:tc>
        <w:tc>
          <w:tcPr>
            <w:tcW w:w="1559" w:type="dxa"/>
            <w:vAlign w:val="center"/>
          </w:tcPr>
          <w:p w14:paraId="4DA36F82" w14:textId="7F3A4876" w:rsidR="00145D62" w:rsidRPr="00D80E96" w:rsidRDefault="00145D62" w:rsidP="00145D62">
            <w:pPr>
              <w:jc w:val="right"/>
              <w:rPr>
                <w:sz w:val="20"/>
                <w:szCs w:val="14"/>
              </w:rPr>
            </w:pPr>
            <w:r w:rsidRPr="00D80E96">
              <w:rPr>
                <w:rFonts w:eastAsia="Times New Roman"/>
                <w:sz w:val="20"/>
                <w:szCs w:val="20"/>
                <w:lang w:eastAsia="hr-HR"/>
              </w:rPr>
              <w:t>0,0</w:t>
            </w:r>
          </w:p>
        </w:tc>
        <w:tc>
          <w:tcPr>
            <w:tcW w:w="1559" w:type="dxa"/>
            <w:vAlign w:val="center"/>
          </w:tcPr>
          <w:p w14:paraId="11F9A49F" w14:textId="3927EB85" w:rsidR="00145D62" w:rsidRPr="00D80E96" w:rsidRDefault="00145D62" w:rsidP="00145D62">
            <w:pPr>
              <w:jc w:val="right"/>
              <w:rPr>
                <w:sz w:val="20"/>
                <w:szCs w:val="14"/>
              </w:rPr>
            </w:pPr>
            <w:r w:rsidRPr="00D80E96">
              <w:rPr>
                <w:rFonts w:eastAsia="Times New Roman"/>
                <w:sz w:val="20"/>
                <w:szCs w:val="20"/>
                <w:lang w:eastAsia="hr-HR"/>
              </w:rPr>
              <w:t>16,3</w:t>
            </w:r>
          </w:p>
        </w:tc>
      </w:tr>
      <w:tr w:rsidR="00D80E96" w:rsidRPr="00D80E96" w14:paraId="344E63E3" w14:textId="77777777" w:rsidTr="00E627B3">
        <w:trPr>
          <w:trHeight w:val="40"/>
        </w:trPr>
        <w:tc>
          <w:tcPr>
            <w:tcW w:w="3376" w:type="dxa"/>
            <w:shd w:val="clear" w:color="auto" w:fill="auto"/>
            <w:noWrap/>
            <w:vAlign w:val="center"/>
          </w:tcPr>
          <w:p w14:paraId="1F605E4E" w14:textId="7EE30E96" w:rsidR="00145D62" w:rsidRPr="00D80E96" w:rsidRDefault="00145D62" w:rsidP="00145D62">
            <w:pPr>
              <w:rPr>
                <w:rFonts w:eastAsia="Times New Roman"/>
                <w:b/>
                <w:bCs/>
                <w:sz w:val="20"/>
                <w:szCs w:val="20"/>
              </w:rPr>
            </w:pPr>
            <w:r w:rsidRPr="00D80E96">
              <w:rPr>
                <w:rFonts w:eastAsia="Times New Roman"/>
                <w:b/>
                <w:bCs/>
                <w:sz w:val="20"/>
                <w:szCs w:val="20"/>
                <w:lang w:eastAsia="hr-HR"/>
              </w:rPr>
              <w:t xml:space="preserve">C1 </w:t>
            </w:r>
            <w:r w:rsidRPr="00D80E96">
              <w:rPr>
                <w:rFonts w:eastAsia="Times New Roman"/>
                <w:sz w:val="20"/>
                <w:szCs w:val="20"/>
                <w:lang w:eastAsia="hr-HR"/>
              </w:rPr>
              <w:t>povoljniji zajmovi</w:t>
            </w:r>
          </w:p>
        </w:tc>
        <w:tc>
          <w:tcPr>
            <w:tcW w:w="1439" w:type="dxa"/>
            <w:vAlign w:val="center"/>
          </w:tcPr>
          <w:p w14:paraId="4F0E8EE2" w14:textId="0F0BB011" w:rsidR="00145D62" w:rsidRPr="00D80E96" w:rsidRDefault="00145D62" w:rsidP="00145D62">
            <w:pPr>
              <w:jc w:val="right"/>
              <w:rPr>
                <w:sz w:val="20"/>
                <w:szCs w:val="14"/>
              </w:rPr>
            </w:pPr>
            <w:r w:rsidRPr="00D80E96">
              <w:rPr>
                <w:rFonts w:eastAsia="Times New Roman"/>
                <w:sz w:val="20"/>
                <w:szCs w:val="20"/>
                <w:lang w:eastAsia="hr-HR"/>
              </w:rPr>
              <w:t>-</w:t>
            </w:r>
          </w:p>
        </w:tc>
        <w:tc>
          <w:tcPr>
            <w:tcW w:w="1559" w:type="dxa"/>
            <w:vAlign w:val="center"/>
          </w:tcPr>
          <w:p w14:paraId="7C8C6145" w14:textId="43E3FA49" w:rsidR="00145D62" w:rsidRPr="00D80E96" w:rsidRDefault="00145D62" w:rsidP="00145D62">
            <w:pPr>
              <w:jc w:val="right"/>
              <w:rPr>
                <w:sz w:val="20"/>
                <w:szCs w:val="14"/>
              </w:rPr>
            </w:pPr>
            <w:r w:rsidRPr="00D80E96">
              <w:rPr>
                <w:rFonts w:eastAsia="Times New Roman"/>
                <w:sz w:val="20"/>
                <w:szCs w:val="20"/>
                <w:lang w:eastAsia="hr-HR"/>
              </w:rPr>
              <w:t>-</w:t>
            </w:r>
          </w:p>
        </w:tc>
        <w:tc>
          <w:tcPr>
            <w:tcW w:w="1559" w:type="dxa"/>
            <w:vAlign w:val="center"/>
          </w:tcPr>
          <w:p w14:paraId="307C86DC" w14:textId="4B8313E6" w:rsidR="00145D62" w:rsidRPr="00D80E96" w:rsidRDefault="00145D62" w:rsidP="00145D62">
            <w:pPr>
              <w:jc w:val="right"/>
              <w:rPr>
                <w:sz w:val="20"/>
                <w:szCs w:val="14"/>
              </w:rPr>
            </w:pPr>
            <w:r w:rsidRPr="00D80E96">
              <w:rPr>
                <w:rFonts w:eastAsia="Times New Roman"/>
                <w:sz w:val="20"/>
                <w:szCs w:val="20"/>
                <w:lang w:eastAsia="hr-HR"/>
              </w:rPr>
              <w:t>1,0</w:t>
            </w:r>
          </w:p>
        </w:tc>
      </w:tr>
      <w:tr w:rsidR="00D80E96" w:rsidRPr="00D80E96" w14:paraId="2073457A" w14:textId="77777777" w:rsidTr="00E627B3">
        <w:trPr>
          <w:trHeight w:val="40"/>
        </w:trPr>
        <w:tc>
          <w:tcPr>
            <w:tcW w:w="3376" w:type="dxa"/>
            <w:shd w:val="clear" w:color="000000" w:fill="FFFF99"/>
            <w:noWrap/>
            <w:vAlign w:val="center"/>
            <w:hideMark/>
          </w:tcPr>
          <w:p w14:paraId="7B9D6B1E" w14:textId="77777777" w:rsidR="00145D62" w:rsidRPr="00D80E96" w:rsidRDefault="00145D62" w:rsidP="00145D62">
            <w:pPr>
              <w:rPr>
                <w:rFonts w:eastAsia="Times New Roman"/>
                <w:b/>
                <w:bCs/>
                <w:sz w:val="20"/>
                <w:szCs w:val="20"/>
              </w:rPr>
            </w:pPr>
            <w:r w:rsidRPr="00D80E96">
              <w:rPr>
                <w:rFonts w:eastAsia="Times New Roman"/>
                <w:b/>
                <w:bCs/>
                <w:sz w:val="20"/>
                <w:szCs w:val="20"/>
              </w:rPr>
              <w:t>UKUPNO</w:t>
            </w:r>
          </w:p>
        </w:tc>
        <w:tc>
          <w:tcPr>
            <w:tcW w:w="1439" w:type="dxa"/>
            <w:shd w:val="clear" w:color="000000" w:fill="FFFF99"/>
            <w:vAlign w:val="center"/>
          </w:tcPr>
          <w:p w14:paraId="61234FDD" w14:textId="7F6E84E3" w:rsidR="00145D62" w:rsidRPr="00D80E96" w:rsidRDefault="00145D62" w:rsidP="00145D62">
            <w:pPr>
              <w:jc w:val="right"/>
              <w:rPr>
                <w:b/>
                <w:sz w:val="20"/>
                <w:szCs w:val="14"/>
              </w:rPr>
            </w:pPr>
            <w:r w:rsidRPr="00D80E96">
              <w:rPr>
                <w:rFonts w:eastAsia="Times New Roman"/>
                <w:b/>
                <w:bCs/>
                <w:sz w:val="20"/>
                <w:szCs w:val="20"/>
                <w:lang w:eastAsia="hr-HR"/>
              </w:rPr>
              <w:t>163,6</w:t>
            </w:r>
          </w:p>
        </w:tc>
        <w:tc>
          <w:tcPr>
            <w:tcW w:w="1559" w:type="dxa"/>
            <w:shd w:val="clear" w:color="000000" w:fill="FFFF99"/>
            <w:vAlign w:val="center"/>
          </w:tcPr>
          <w:p w14:paraId="22BBB5C4" w14:textId="2492DC76" w:rsidR="00145D62" w:rsidRPr="00D80E96" w:rsidRDefault="00145D62" w:rsidP="00145D62">
            <w:pPr>
              <w:jc w:val="right"/>
              <w:rPr>
                <w:b/>
                <w:sz w:val="20"/>
                <w:szCs w:val="14"/>
              </w:rPr>
            </w:pPr>
            <w:r w:rsidRPr="00D80E96">
              <w:rPr>
                <w:rFonts w:eastAsia="Times New Roman"/>
                <w:b/>
                <w:bCs/>
                <w:sz w:val="20"/>
                <w:szCs w:val="20"/>
                <w:lang w:eastAsia="hr-HR"/>
              </w:rPr>
              <w:t>170,9</w:t>
            </w:r>
          </w:p>
        </w:tc>
        <w:tc>
          <w:tcPr>
            <w:tcW w:w="1559" w:type="dxa"/>
            <w:shd w:val="clear" w:color="000000" w:fill="FFFF99"/>
            <w:vAlign w:val="center"/>
          </w:tcPr>
          <w:p w14:paraId="1638E9EF" w14:textId="7E9F3C70" w:rsidR="00145D62" w:rsidRPr="00D80E96" w:rsidRDefault="00145D62" w:rsidP="00145D62">
            <w:pPr>
              <w:jc w:val="right"/>
              <w:rPr>
                <w:b/>
                <w:sz w:val="20"/>
                <w:szCs w:val="14"/>
              </w:rPr>
            </w:pPr>
            <w:r w:rsidRPr="00D80E96">
              <w:rPr>
                <w:rFonts w:eastAsia="Times New Roman"/>
                <w:b/>
                <w:bCs/>
                <w:sz w:val="20"/>
                <w:szCs w:val="20"/>
                <w:lang w:eastAsia="hr-HR"/>
              </w:rPr>
              <w:t>184,9</w:t>
            </w:r>
          </w:p>
        </w:tc>
      </w:tr>
      <w:tr w:rsidR="00D80E96" w:rsidRPr="00D80E96" w14:paraId="718F3E5F" w14:textId="77777777" w:rsidTr="00E627B3">
        <w:trPr>
          <w:trHeight w:val="40"/>
        </w:trPr>
        <w:tc>
          <w:tcPr>
            <w:tcW w:w="3376" w:type="dxa"/>
            <w:shd w:val="clear" w:color="auto" w:fill="auto"/>
            <w:vAlign w:val="center"/>
            <w:hideMark/>
          </w:tcPr>
          <w:p w14:paraId="013D1006" w14:textId="77777777" w:rsidR="00145D62" w:rsidRPr="00D80E96" w:rsidRDefault="00145D62" w:rsidP="00145D62">
            <w:pPr>
              <w:rPr>
                <w:rFonts w:eastAsia="Times New Roman"/>
                <w:sz w:val="20"/>
                <w:szCs w:val="20"/>
              </w:rPr>
            </w:pPr>
            <w:r w:rsidRPr="00D80E96">
              <w:rPr>
                <w:rFonts w:eastAsia="Times New Roman"/>
                <w:sz w:val="20"/>
              </w:rPr>
              <w:t>udio (%) u posebnim sektorima</w:t>
            </w:r>
          </w:p>
        </w:tc>
        <w:tc>
          <w:tcPr>
            <w:tcW w:w="1439" w:type="dxa"/>
            <w:vAlign w:val="center"/>
          </w:tcPr>
          <w:p w14:paraId="1E9C5A39" w14:textId="11CC1AC2" w:rsidR="00145D62" w:rsidRPr="00D80E96" w:rsidRDefault="00145D62" w:rsidP="00145D62">
            <w:pPr>
              <w:jc w:val="center"/>
              <w:rPr>
                <w:sz w:val="20"/>
                <w:szCs w:val="14"/>
              </w:rPr>
            </w:pPr>
            <w:r w:rsidRPr="00D80E96">
              <w:rPr>
                <w:rFonts w:eastAsia="Times New Roman"/>
                <w:sz w:val="20"/>
                <w:szCs w:val="20"/>
                <w:lang w:eastAsia="hr-HR"/>
              </w:rPr>
              <w:t>28,00</w:t>
            </w:r>
          </w:p>
        </w:tc>
        <w:tc>
          <w:tcPr>
            <w:tcW w:w="1559" w:type="dxa"/>
            <w:vAlign w:val="center"/>
          </w:tcPr>
          <w:p w14:paraId="6F3DFE58" w14:textId="48E02C3F" w:rsidR="00145D62" w:rsidRPr="00D80E96" w:rsidRDefault="00145D62" w:rsidP="00145D62">
            <w:pPr>
              <w:jc w:val="center"/>
              <w:rPr>
                <w:sz w:val="20"/>
                <w:szCs w:val="14"/>
              </w:rPr>
            </w:pPr>
            <w:r w:rsidRPr="00D80E96">
              <w:rPr>
                <w:rFonts w:eastAsia="Times New Roman"/>
                <w:sz w:val="20"/>
                <w:szCs w:val="20"/>
                <w:lang w:eastAsia="hr-HR"/>
              </w:rPr>
              <w:t>28,28</w:t>
            </w:r>
          </w:p>
        </w:tc>
        <w:tc>
          <w:tcPr>
            <w:tcW w:w="1559" w:type="dxa"/>
            <w:vAlign w:val="center"/>
          </w:tcPr>
          <w:p w14:paraId="38535FCE" w14:textId="5A023810" w:rsidR="00145D62" w:rsidRPr="00D80E96" w:rsidRDefault="00145D62" w:rsidP="00145D62">
            <w:pPr>
              <w:jc w:val="center"/>
              <w:rPr>
                <w:sz w:val="20"/>
                <w:szCs w:val="14"/>
              </w:rPr>
            </w:pPr>
            <w:r w:rsidRPr="00D80E96">
              <w:rPr>
                <w:rFonts w:eastAsia="Times New Roman"/>
                <w:sz w:val="20"/>
                <w:szCs w:val="20"/>
                <w:lang w:eastAsia="hr-HR"/>
              </w:rPr>
              <w:t>21,78</w:t>
            </w:r>
          </w:p>
        </w:tc>
      </w:tr>
      <w:tr w:rsidR="00D80E96" w:rsidRPr="00D80E96" w14:paraId="60594933" w14:textId="77777777" w:rsidTr="00E627B3">
        <w:trPr>
          <w:trHeight w:val="90"/>
        </w:trPr>
        <w:tc>
          <w:tcPr>
            <w:tcW w:w="3376" w:type="dxa"/>
            <w:shd w:val="clear" w:color="auto" w:fill="auto"/>
            <w:vAlign w:val="center"/>
            <w:hideMark/>
          </w:tcPr>
          <w:p w14:paraId="1F58A8DE" w14:textId="77777777" w:rsidR="00145D62" w:rsidRPr="00D80E96" w:rsidRDefault="00145D62" w:rsidP="00145D62">
            <w:pPr>
              <w:rPr>
                <w:rFonts w:eastAsia="Times New Roman"/>
                <w:sz w:val="20"/>
                <w:szCs w:val="20"/>
              </w:rPr>
            </w:pPr>
            <w:r w:rsidRPr="00D80E96">
              <w:rPr>
                <w:rFonts w:eastAsia="Times New Roman"/>
                <w:sz w:val="20"/>
                <w:szCs w:val="20"/>
              </w:rPr>
              <w:t>udio (%) u ukupnim potporama (bez poljoprivrede i ribarstva)</w:t>
            </w:r>
          </w:p>
        </w:tc>
        <w:tc>
          <w:tcPr>
            <w:tcW w:w="1439" w:type="dxa"/>
            <w:vAlign w:val="center"/>
          </w:tcPr>
          <w:p w14:paraId="275304EC" w14:textId="4B32C0A4" w:rsidR="00145D62" w:rsidRPr="00D80E96" w:rsidRDefault="00145D62" w:rsidP="00145D62">
            <w:pPr>
              <w:jc w:val="center"/>
              <w:rPr>
                <w:sz w:val="20"/>
                <w:szCs w:val="14"/>
              </w:rPr>
            </w:pPr>
            <w:r w:rsidRPr="00D80E96">
              <w:rPr>
                <w:rFonts w:eastAsia="Times New Roman"/>
                <w:sz w:val="20"/>
                <w:szCs w:val="20"/>
                <w:lang w:eastAsia="hr-HR"/>
              </w:rPr>
              <w:t>8,46</w:t>
            </w:r>
          </w:p>
        </w:tc>
        <w:tc>
          <w:tcPr>
            <w:tcW w:w="1559" w:type="dxa"/>
            <w:vAlign w:val="center"/>
          </w:tcPr>
          <w:p w14:paraId="36F09505" w14:textId="48B67D48" w:rsidR="00145D62" w:rsidRPr="00D80E96" w:rsidRDefault="00145D62" w:rsidP="00145D62">
            <w:pPr>
              <w:jc w:val="center"/>
              <w:rPr>
                <w:sz w:val="20"/>
                <w:szCs w:val="14"/>
              </w:rPr>
            </w:pPr>
            <w:r w:rsidRPr="00D80E96">
              <w:rPr>
                <w:rFonts w:eastAsia="Times New Roman"/>
                <w:sz w:val="20"/>
                <w:szCs w:val="20"/>
                <w:lang w:eastAsia="hr-HR"/>
              </w:rPr>
              <w:t>8,37</w:t>
            </w:r>
          </w:p>
        </w:tc>
        <w:tc>
          <w:tcPr>
            <w:tcW w:w="1559" w:type="dxa"/>
            <w:vAlign w:val="center"/>
          </w:tcPr>
          <w:p w14:paraId="4691BF00" w14:textId="172492C8" w:rsidR="00145D62" w:rsidRPr="00D80E96" w:rsidRDefault="00145D62" w:rsidP="00145D62">
            <w:pPr>
              <w:jc w:val="center"/>
              <w:rPr>
                <w:sz w:val="20"/>
                <w:szCs w:val="14"/>
              </w:rPr>
            </w:pPr>
            <w:r w:rsidRPr="00D80E96">
              <w:rPr>
                <w:rFonts w:eastAsia="Times New Roman"/>
                <w:sz w:val="20"/>
                <w:szCs w:val="20"/>
                <w:lang w:eastAsia="hr-HR"/>
              </w:rPr>
              <w:t>9,40</w:t>
            </w:r>
          </w:p>
        </w:tc>
      </w:tr>
      <w:tr w:rsidR="00D80E96" w:rsidRPr="00D80E96" w14:paraId="33B24B9D" w14:textId="77777777" w:rsidTr="00E627B3">
        <w:trPr>
          <w:trHeight w:val="40"/>
        </w:trPr>
        <w:tc>
          <w:tcPr>
            <w:tcW w:w="3376" w:type="dxa"/>
            <w:shd w:val="clear" w:color="auto" w:fill="auto"/>
            <w:vAlign w:val="center"/>
            <w:hideMark/>
          </w:tcPr>
          <w:p w14:paraId="5C5A2070" w14:textId="77777777" w:rsidR="00145D62" w:rsidRPr="00D80E96" w:rsidRDefault="00145D62" w:rsidP="00145D62">
            <w:pPr>
              <w:rPr>
                <w:rFonts w:eastAsia="Times New Roman"/>
                <w:sz w:val="20"/>
                <w:szCs w:val="20"/>
              </w:rPr>
            </w:pPr>
            <w:r w:rsidRPr="00D80E96">
              <w:rPr>
                <w:rFonts w:eastAsia="Times New Roman"/>
                <w:sz w:val="20"/>
                <w:szCs w:val="20"/>
              </w:rPr>
              <w:t>udio (%) u ukupnim potporama</w:t>
            </w:r>
          </w:p>
        </w:tc>
        <w:tc>
          <w:tcPr>
            <w:tcW w:w="1439" w:type="dxa"/>
            <w:vAlign w:val="center"/>
          </w:tcPr>
          <w:p w14:paraId="089B4CA5" w14:textId="6B193A40" w:rsidR="00145D62" w:rsidRPr="00D80E96" w:rsidRDefault="00145D62" w:rsidP="00145D62">
            <w:pPr>
              <w:jc w:val="center"/>
              <w:rPr>
                <w:sz w:val="20"/>
                <w:szCs w:val="14"/>
              </w:rPr>
            </w:pPr>
            <w:r w:rsidRPr="00D80E96">
              <w:rPr>
                <w:rFonts w:eastAsia="Times New Roman"/>
                <w:sz w:val="20"/>
                <w:szCs w:val="20"/>
                <w:lang w:eastAsia="hr-HR"/>
              </w:rPr>
              <w:t>5,57</w:t>
            </w:r>
          </w:p>
        </w:tc>
        <w:tc>
          <w:tcPr>
            <w:tcW w:w="1559" w:type="dxa"/>
            <w:vAlign w:val="center"/>
          </w:tcPr>
          <w:p w14:paraId="48D81541" w14:textId="620918F5" w:rsidR="00145D62" w:rsidRPr="00D80E96" w:rsidRDefault="00145D62" w:rsidP="00145D62">
            <w:pPr>
              <w:jc w:val="center"/>
              <w:rPr>
                <w:sz w:val="20"/>
                <w:szCs w:val="14"/>
              </w:rPr>
            </w:pPr>
            <w:r w:rsidRPr="00D80E96">
              <w:rPr>
                <w:rFonts w:eastAsia="Times New Roman"/>
                <w:sz w:val="20"/>
                <w:szCs w:val="20"/>
                <w:lang w:eastAsia="hr-HR"/>
              </w:rPr>
              <w:t>5,67</w:t>
            </w:r>
          </w:p>
        </w:tc>
        <w:tc>
          <w:tcPr>
            <w:tcW w:w="1559" w:type="dxa"/>
            <w:vAlign w:val="center"/>
          </w:tcPr>
          <w:p w14:paraId="24B44B1D" w14:textId="129D8A8A" w:rsidR="00145D62" w:rsidRPr="00D80E96" w:rsidRDefault="00145D62" w:rsidP="00145D62">
            <w:pPr>
              <w:jc w:val="center"/>
              <w:rPr>
                <w:sz w:val="20"/>
                <w:szCs w:val="14"/>
              </w:rPr>
            </w:pPr>
            <w:r w:rsidRPr="00D80E96">
              <w:rPr>
                <w:rFonts w:eastAsia="Times New Roman"/>
                <w:sz w:val="20"/>
                <w:szCs w:val="20"/>
                <w:lang w:eastAsia="hr-HR"/>
              </w:rPr>
              <w:t>6,09</w:t>
            </w:r>
          </w:p>
        </w:tc>
      </w:tr>
      <w:tr w:rsidR="00D80E96" w:rsidRPr="00D80E96" w14:paraId="2ABDB209" w14:textId="77777777" w:rsidTr="00E627B3">
        <w:trPr>
          <w:trHeight w:val="40"/>
        </w:trPr>
        <w:tc>
          <w:tcPr>
            <w:tcW w:w="3376" w:type="dxa"/>
            <w:shd w:val="clear" w:color="auto" w:fill="auto"/>
            <w:vAlign w:val="center"/>
            <w:hideMark/>
          </w:tcPr>
          <w:p w14:paraId="5A0B82BA" w14:textId="77777777" w:rsidR="00145D62" w:rsidRPr="00D80E96" w:rsidRDefault="00145D62" w:rsidP="00145D62">
            <w:pPr>
              <w:rPr>
                <w:rFonts w:eastAsia="Times New Roman"/>
                <w:sz w:val="20"/>
                <w:szCs w:val="20"/>
              </w:rPr>
            </w:pPr>
            <w:r w:rsidRPr="00D80E96">
              <w:rPr>
                <w:rFonts w:eastAsia="Times New Roman"/>
                <w:sz w:val="20"/>
                <w:szCs w:val="20"/>
              </w:rPr>
              <w:t>udio (%) u BDP-u</w:t>
            </w:r>
          </w:p>
        </w:tc>
        <w:tc>
          <w:tcPr>
            <w:tcW w:w="1439" w:type="dxa"/>
            <w:vAlign w:val="center"/>
          </w:tcPr>
          <w:p w14:paraId="06A2F85C" w14:textId="226C7FF3" w:rsidR="00145D62" w:rsidRPr="00D80E96" w:rsidRDefault="00145D62" w:rsidP="00145D62">
            <w:pPr>
              <w:jc w:val="center"/>
              <w:rPr>
                <w:sz w:val="20"/>
                <w:szCs w:val="14"/>
              </w:rPr>
            </w:pPr>
            <w:r w:rsidRPr="00D80E96">
              <w:rPr>
                <w:rFonts w:eastAsia="Times New Roman"/>
                <w:sz w:val="20"/>
                <w:szCs w:val="20"/>
                <w:lang w:eastAsia="hr-HR"/>
              </w:rPr>
              <w:t>0,28</w:t>
            </w:r>
          </w:p>
        </w:tc>
        <w:tc>
          <w:tcPr>
            <w:tcW w:w="1559" w:type="dxa"/>
            <w:vAlign w:val="center"/>
          </w:tcPr>
          <w:p w14:paraId="351E8C48" w14:textId="7E69624D" w:rsidR="00145D62" w:rsidRPr="00D80E96" w:rsidRDefault="00145D62" w:rsidP="00145D62">
            <w:pPr>
              <w:jc w:val="center"/>
              <w:rPr>
                <w:sz w:val="20"/>
                <w:szCs w:val="14"/>
              </w:rPr>
            </w:pPr>
            <w:r w:rsidRPr="00D80E96">
              <w:rPr>
                <w:rFonts w:eastAsia="Times New Roman"/>
                <w:sz w:val="20"/>
                <w:szCs w:val="20"/>
                <w:lang w:eastAsia="hr-HR"/>
              </w:rPr>
              <w:t>0,25</w:t>
            </w:r>
          </w:p>
        </w:tc>
        <w:tc>
          <w:tcPr>
            <w:tcW w:w="1559" w:type="dxa"/>
            <w:vAlign w:val="center"/>
          </w:tcPr>
          <w:p w14:paraId="6FF87C19" w14:textId="369B1479" w:rsidR="00145D62" w:rsidRPr="00D80E96" w:rsidRDefault="00145D62" w:rsidP="00145D62">
            <w:pPr>
              <w:jc w:val="center"/>
              <w:rPr>
                <w:sz w:val="20"/>
                <w:szCs w:val="14"/>
              </w:rPr>
            </w:pPr>
            <w:r w:rsidRPr="00D80E96">
              <w:rPr>
                <w:rFonts w:eastAsia="Times New Roman"/>
                <w:sz w:val="20"/>
                <w:szCs w:val="20"/>
                <w:lang w:eastAsia="hr-HR"/>
              </w:rPr>
              <w:t>0,24</w:t>
            </w:r>
          </w:p>
        </w:tc>
      </w:tr>
    </w:tbl>
    <w:p w14:paraId="64447783" w14:textId="77777777" w:rsidR="006F699D" w:rsidRPr="00E627B3" w:rsidRDefault="006F699D" w:rsidP="006F699D">
      <w:pPr>
        <w:contextualSpacing/>
        <w:jc w:val="both"/>
        <w:rPr>
          <w:i/>
          <w:sz w:val="20"/>
        </w:rPr>
      </w:pPr>
      <w:r w:rsidRPr="00E627B3">
        <w:rPr>
          <w:i/>
          <w:sz w:val="20"/>
        </w:rPr>
        <w:t>Izvor: Ministarstvo financija i davatelji potpora; podaci obrađeni u Ministarstvu financija</w:t>
      </w:r>
    </w:p>
    <w:p w14:paraId="00BCFE5E" w14:textId="77777777" w:rsidR="00CE5303" w:rsidRPr="008149B5" w:rsidRDefault="00CE5303" w:rsidP="00F80F9A">
      <w:pPr>
        <w:jc w:val="both"/>
        <w:rPr>
          <w:highlight w:val="red"/>
        </w:rPr>
      </w:pPr>
    </w:p>
    <w:p w14:paraId="0ECAA86C" w14:textId="580C3A40" w:rsidR="00D80E96" w:rsidRPr="00D80E96" w:rsidRDefault="00D80E96" w:rsidP="00D80E96">
      <w:pPr>
        <w:jc w:val="both"/>
      </w:pPr>
      <w:r w:rsidRPr="00D80E96">
        <w:t>Udio potpora za zaštitu okoliša i uštedu energije u BDP-u u 2023. godini iznosio je 0,24 posto, u 2022. godini iznosio je 0,25 posto, dok je u 2021. godini iznosio 0,28 posto. Udio navedenih potpora u 2023. godini u ukupno dodijeljenim potporama iznosio je 6,1 posto, udio u dodijeljenim potporama u sektoru industrije i usluga u 2023. godini iznosio je 9,4 posto, dok je udio navedenih potpora u sektorskim potporama u 2023. godini iznosio 21,8 posto.</w:t>
      </w:r>
    </w:p>
    <w:p w14:paraId="5A2BCEC6" w14:textId="7D2C5A78" w:rsidR="00F80F9A" w:rsidRPr="00D80E96" w:rsidRDefault="00F80F9A" w:rsidP="00F80F9A">
      <w:pPr>
        <w:jc w:val="both"/>
      </w:pPr>
    </w:p>
    <w:p w14:paraId="4E3CC0F4" w14:textId="3215127F" w:rsidR="0013342D" w:rsidRPr="0013342D" w:rsidRDefault="00D80E96" w:rsidP="0013342D">
      <w:pPr>
        <w:jc w:val="both"/>
      </w:pPr>
      <w:r w:rsidRPr="0013342D">
        <w:t xml:space="preserve">Potpore za zaštitu okoliša i uštedu energije u 2023. godini su dodijeljene u iznosu od </w:t>
      </w:r>
      <w:r w:rsidR="0013342D" w:rsidRPr="0013342D">
        <w:t>184,9</w:t>
      </w:r>
      <w:r w:rsidRPr="0013342D">
        <w:t xml:space="preserve"> milijuna eura, i to najvećim dijelom putem subvencija</w:t>
      </w:r>
      <w:r w:rsidR="0013342D" w:rsidRPr="0013342D">
        <w:t xml:space="preserve"> u iznosu od 166,9 milijuna eura ili s udjelom od 9,3 posto u potporama za zaštitu okoliša i uštedu energije, slijede porezne olakšice u iznosu od 16,3 milijuna eura ili 8,8 posto, povoljni zajmovi u iznosu od 1 milijun eura ili 0,5 posto te </w:t>
      </w:r>
      <w:r w:rsidRPr="0013342D">
        <w:t>neposredn</w:t>
      </w:r>
      <w:r w:rsidR="0013342D" w:rsidRPr="0013342D">
        <w:t>e</w:t>
      </w:r>
      <w:r w:rsidRPr="0013342D">
        <w:t xml:space="preserve"> subvencij</w:t>
      </w:r>
      <w:r w:rsidR="0013342D" w:rsidRPr="0013342D">
        <w:t>e</w:t>
      </w:r>
      <w:r w:rsidRPr="0013342D">
        <w:t xml:space="preserve"> kamata u iznosu od </w:t>
      </w:r>
      <w:r w:rsidR="0013342D" w:rsidRPr="0013342D">
        <w:t>685.784,29</w:t>
      </w:r>
      <w:r w:rsidRPr="0013342D">
        <w:t xml:space="preserve"> eura ili </w:t>
      </w:r>
      <w:r w:rsidR="0013342D" w:rsidRPr="0013342D">
        <w:t>0,4 posto.</w:t>
      </w:r>
    </w:p>
    <w:p w14:paraId="39935799" w14:textId="77777777" w:rsidR="00D80E96" w:rsidRPr="0013342D" w:rsidRDefault="00D80E96" w:rsidP="00F80F9A">
      <w:pPr>
        <w:jc w:val="both"/>
      </w:pPr>
    </w:p>
    <w:p w14:paraId="5DA85A6B" w14:textId="0150E8BD" w:rsidR="000148AC" w:rsidRPr="0013342D" w:rsidRDefault="00961FF7" w:rsidP="00F80F9A">
      <w:pPr>
        <w:jc w:val="both"/>
      </w:pPr>
      <w:r w:rsidRPr="0013342D">
        <w:t>U</w:t>
      </w:r>
      <w:r w:rsidR="000148AC" w:rsidRPr="0013342D">
        <w:t xml:space="preserve">nutar potpora za zaštitu okoliša i uštedu energije </w:t>
      </w:r>
      <w:r>
        <w:t>u</w:t>
      </w:r>
      <w:r w:rsidRPr="0013342D">
        <w:t xml:space="preserve"> 2023. godini </w:t>
      </w:r>
      <w:r w:rsidR="000148AC" w:rsidRPr="0013342D">
        <w:t xml:space="preserve">dodijeljenih u iznosu od </w:t>
      </w:r>
      <w:r w:rsidR="0013342D" w:rsidRPr="0013342D">
        <w:t>184,9 milijuna eura</w:t>
      </w:r>
      <w:r w:rsidR="000148AC" w:rsidRPr="0013342D">
        <w:t xml:space="preserve">, na potpore za zaštitu okoliša odnosi se iznos od </w:t>
      </w:r>
      <w:r w:rsidR="0013342D" w:rsidRPr="0013342D">
        <w:t>78,2</w:t>
      </w:r>
      <w:r w:rsidR="007F0325" w:rsidRPr="0013342D">
        <w:t xml:space="preserve"> </w:t>
      </w:r>
      <w:r w:rsidR="0013342D" w:rsidRPr="0013342D">
        <w:t xml:space="preserve">milijuna eura </w:t>
      </w:r>
      <w:r w:rsidR="000148AC" w:rsidRPr="0013342D">
        <w:t xml:space="preserve">ili </w:t>
      </w:r>
      <w:r w:rsidR="0013342D" w:rsidRPr="0013342D">
        <w:t>42,3</w:t>
      </w:r>
      <w:r w:rsidR="000148AC" w:rsidRPr="0013342D">
        <w:t xml:space="preserve"> posto udjela u potporama za zaštitu okoliša i uštedu energije te se na potpore energetskom sektoru odnosi iznos od </w:t>
      </w:r>
      <w:r w:rsidR="0013342D" w:rsidRPr="0013342D">
        <w:t>106,7</w:t>
      </w:r>
      <w:r w:rsidR="007F0325" w:rsidRPr="0013342D">
        <w:t xml:space="preserve"> </w:t>
      </w:r>
      <w:r w:rsidR="0013342D" w:rsidRPr="0013342D">
        <w:t xml:space="preserve">milijuna eura </w:t>
      </w:r>
      <w:r w:rsidR="000148AC" w:rsidRPr="0013342D">
        <w:t xml:space="preserve">ili </w:t>
      </w:r>
      <w:r w:rsidR="0013342D" w:rsidRPr="0013342D">
        <w:t>57,7</w:t>
      </w:r>
      <w:r w:rsidR="000148AC" w:rsidRPr="0013342D">
        <w:t xml:space="preserve"> posto.</w:t>
      </w:r>
    </w:p>
    <w:p w14:paraId="441AB5F3" w14:textId="77777777" w:rsidR="00BB1325" w:rsidRDefault="00BB1325" w:rsidP="00BE487D">
      <w:pPr>
        <w:jc w:val="both"/>
        <w:rPr>
          <w:rFonts w:ascii="Arial" w:eastAsia="Times New Roman" w:hAnsi="Arial" w:cs="Arial"/>
          <w:sz w:val="22"/>
          <w:szCs w:val="22"/>
          <w:lang w:eastAsia="hr-HR"/>
        </w:rPr>
      </w:pPr>
    </w:p>
    <w:p w14:paraId="7CB24608" w14:textId="4738288C" w:rsidR="00BB1325" w:rsidRPr="00961FF7" w:rsidRDefault="00BB1325" w:rsidP="00BB1325">
      <w:pPr>
        <w:jc w:val="both"/>
      </w:pPr>
      <w:r w:rsidRPr="00961FF7">
        <w:t xml:space="preserve">U 2023. godini davatelji potpora za zaštitu okoliša i uštedu energije, koje su dodijeljene u iznosu od </w:t>
      </w:r>
      <w:r w:rsidR="00961FF7" w:rsidRPr="00961FF7">
        <w:t>184,9</w:t>
      </w:r>
      <w:r w:rsidRPr="00961FF7">
        <w:t xml:space="preserve"> milijuna eura, su </w:t>
      </w:r>
      <w:r w:rsidR="00961FF7" w:rsidRPr="00961FF7">
        <w:t>Ministarstvo gospodarstva</w:t>
      </w:r>
      <w:r w:rsidR="00DF44C6">
        <w:t xml:space="preserve"> i održivog razvoja</w:t>
      </w:r>
      <w:r w:rsidR="00961FF7" w:rsidRPr="00961FF7">
        <w:t xml:space="preserve"> </w:t>
      </w:r>
      <w:r w:rsidRPr="00961FF7">
        <w:t xml:space="preserve">s iznosom od </w:t>
      </w:r>
      <w:r w:rsidR="00961FF7" w:rsidRPr="00961FF7">
        <w:t>166,7</w:t>
      </w:r>
      <w:r w:rsidRPr="00961FF7">
        <w:t xml:space="preserve"> </w:t>
      </w:r>
      <w:r w:rsidRPr="00961FF7">
        <w:rPr>
          <w:rFonts w:eastAsia="Times New Roman"/>
          <w:lang w:eastAsia="hr-HR"/>
        </w:rPr>
        <w:t>milijuna eura</w:t>
      </w:r>
      <w:r w:rsidR="00961FF7" w:rsidRPr="00961FF7">
        <w:rPr>
          <w:rFonts w:eastAsia="Times New Roman"/>
          <w:lang w:eastAsia="hr-HR"/>
        </w:rPr>
        <w:t xml:space="preserve">, </w:t>
      </w:r>
      <w:r w:rsidR="00961FF7" w:rsidRPr="00961FF7">
        <w:t xml:space="preserve">Hrvatski operater tržišta energije d.o.o. (u daljnjem tekstu: HROTE) s iznosom od 16,3 </w:t>
      </w:r>
      <w:r w:rsidR="00961FF7" w:rsidRPr="00961FF7">
        <w:rPr>
          <w:rFonts w:eastAsia="Times New Roman"/>
          <w:lang w:eastAsia="hr-HR"/>
        </w:rPr>
        <w:t xml:space="preserve">milijuna eura, </w:t>
      </w:r>
      <w:r w:rsidR="00961FF7" w:rsidRPr="00961FF7">
        <w:t xml:space="preserve">HBOR s iznosom od 1,6 </w:t>
      </w:r>
      <w:r w:rsidR="00961FF7" w:rsidRPr="00961FF7">
        <w:rPr>
          <w:rFonts w:eastAsia="Times New Roman"/>
          <w:lang w:eastAsia="hr-HR"/>
        </w:rPr>
        <w:t xml:space="preserve">milijuna eura te </w:t>
      </w:r>
      <w:r w:rsidR="00961FF7" w:rsidRPr="00961FF7">
        <w:t xml:space="preserve">Ministarstvo regionalnoga razvoja i fondova Europske unije </w:t>
      </w:r>
      <w:r w:rsidRPr="00961FF7">
        <w:t xml:space="preserve">s iznosom od </w:t>
      </w:r>
      <w:r w:rsidR="00961FF7" w:rsidRPr="00961FF7">
        <w:t xml:space="preserve">277.184,79 </w:t>
      </w:r>
      <w:r w:rsidRPr="00961FF7">
        <w:rPr>
          <w:rFonts w:eastAsia="Times New Roman"/>
          <w:lang w:eastAsia="hr-HR"/>
        </w:rPr>
        <w:t>eura.</w:t>
      </w:r>
    </w:p>
    <w:p w14:paraId="192B7F76" w14:textId="50B2E1FD" w:rsidR="00BB1325" w:rsidRPr="00961FF7" w:rsidRDefault="00BB1325" w:rsidP="00BE487D">
      <w:pPr>
        <w:jc w:val="both"/>
      </w:pPr>
    </w:p>
    <w:p w14:paraId="32EC80F5" w14:textId="399E7F50" w:rsidR="00DE2B6E" w:rsidRDefault="00961FF7" w:rsidP="00DE2B6E">
      <w:pPr>
        <w:jc w:val="both"/>
      </w:pPr>
      <w:r w:rsidRPr="00B75A66">
        <w:rPr>
          <w:spacing w:val="-2"/>
          <w:u w:val="single"/>
        </w:rPr>
        <w:t>Ministarstvo gospodarstva i održivog razvoja</w:t>
      </w:r>
      <w:r w:rsidRPr="002036DB">
        <w:rPr>
          <w:spacing w:val="-2"/>
        </w:rPr>
        <w:t xml:space="preserve"> dodijelilo je u 2023. godini potpore </w:t>
      </w:r>
      <w:r w:rsidRPr="002036DB">
        <w:t xml:space="preserve">za zaštitu okoliša i uštedu energije </w:t>
      </w:r>
      <w:r w:rsidRPr="002036DB">
        <w:rPr>
          <w:spacing w:val="-2"/>
        </w:rPr>
        <w:t xml:space="preserve">putem subvencija u iznosu od </w:t>
      </w:r>
      <w:r w:rsidR="00DE2B6E" w:rsidRPr="002036DB">
        <w:rPr>
          <w:spacing w:val="-2"/>
        </w:rPr>
        <w:t>166,7</w:t>
      </w:r>
      <w:r w:rsidRPr="002036DB">
        <w:rPr>
          <w:spacing w:val="-2"/>
        </w:rPr>
        <w:t xml:space="preserve"> milijuna eura temeljem </w:t>
      </w:r>
      <w:r w:rsidR="00DE2B6E" w:rsidRPr="002036DB">
        <w:rPr>
          <w:spacing w:val="-2"/>
        </w:rPr>
        <w:t xml:space="preserve">sljedećih programa: </w:t>
      </w:r>
      <w:r w:rsidRPr="002036DB">
        <w:rPr>
          <w:spacing w:val="-2"/>
        </w:rPr>
        <w:t xml:space="preserve">Programa </w:t>
      </w:r>
      <w:r w:rsidR="00DE2B6E" w:rsidRPr="002036DB">
        <w:t>dodjele državnih potpora za mjeru C1.1.1. R4-I1 Potpora poduzećima za tranziciju na energetski i resursno učinkovito gospodarstvo</w:t>
      </w:r>
      <w:r w:rsidR="00DE2B6E" w:rsidRPr="002036DB">
        <w:rPr>
          <w:rFonts w:eastAsia="Times New Roman"/>
          <w:color w:val="000000"/>
          <w:spacing w:val="-2"/>
          <w:lang w:eastAsia="hr-HR"/>
        </w:rPr>
        <w:t xml:space="preserve"> </w:t>
      </w:r>
      <w:r w:rsidRPr="002036DB">
        <w:rPr>
          <w:rFonts w:eastAsia="Times New Roman"/>
          <w:color w:val="000000"/>
          <w:spacing w:val="-2"/>
          <w:lang w:eastAsia="hr-HR"/>
        </w:rPr>
        <w:t xml:space="preserve">u iznosu od </w:t>
      </w:r>
      <w:r w:rsidR="00DE2B6E" w:rsidRPr="002036DB">
        <w:rPr>
          <w:rFonts w:eastAsia="Times New Roman"/>
          <w:color w:val="000000"/>
          <w:spacing w:val="-2"/>
          <w:lang w:eastAsia="hr-HR"/>
        </w:rPr>
        <w:t>105,3</w:t>
      </w:r>
      <w:r w:rsidRPr="002036DB">
        <w:rPr>
          <w:rFonts w:eastAsia="Times New Roman"/>
          <w:color w:val="000000"/>
          <w:spacing w:val="-2"/>
          <w:lang w:eastAsia="hr-HR"/>
        </w:rPr>
        <w:t xml:space="preserve"> milijuna eura, kojeg je Europska komisija odobrila pod brojem </w:t>
      </w:r>
      <w:r w:rsidRPr="002036DB">
        <w:rPr>
          <w:spacing w:val="-2"/>
        </w:rPr>
        <w:t>SA.</w:t>
      </w:r>
      <w:r w:rsidR="00DE2B6E" w:rsidRPr="002036DB">
        <w:t xml:space="preserve">103782, </w:t>
      </w:r>
      <w:r w:rsidRPr="002036DB">
        <w:rPr>
          <w:spacing w:val="-2"/>
        </w:rPr>
        <w:t xml:space="preserve">temeljem </w:t>
      </w:r>
      <w:r w:rsidRPr="002036DB">
        <w:t xml:space="preserve">Programa </w:t>
      </w:r>
      <w:r w:rsidR="00DE2B6E" w:rsidRPr="002036DB">
        <w:t>dodjele državnih potpora za ulaganje u promicanje energije iz obnovljivih izvora energije</w:t>
      </w:r>
      <w:r w:rsidR="00DE2B6E" w:rsidRPr="002036DB">
        <w:rPr>
          <w:rFonts w:eastAsia="Times New Roman"/>
          <w:color w:val="000000"/>
          <w:spacing w:val="-2"/>
          <w:lang w:eastAsia="hr-HR"/>
        </w:rPr>
        <w:t xml:space="preserve"> </w:t>
      </w:r>
      <w:r w:rsidRPr="002036DB">
        <w:rPr>
          <w:rFonts w:eastAsia="Times New Roman"/>
          <w:color w:val="000000"/>
          <w:spacing w:val="-2"/>
          <w:lang w:eastAsia="hr-HR"/>
        </w:rPr>
        <w:t xml:space="preserve">u iznosu od </w:t>
      </w:r>
      <w:r w:rsidR="00DE2B6E" w:rsidRPr="002036DB">
        <w:t>42,3 milijuna</w:t>
      </w:r>
      <w:r w:rsidRPr="002036DB">
        <w:t xml:space="preserve"> </w:t>
      </w:r>
      <w:r w:rsidRPr="002036DB">
        <w:rPr>
          <w:rFonts w:eastAsia="Times New Roman"/>
          <w:color w:val="000000"/>
          <w:spacing w:val="-2"/>
          <w:lang w:eastAsia="hr-HR"/>
        </w:rPr>
        <w:t>eura</w:t>
      </w:r>
      <w:r w:rsidR="002036DB" w:rsidRPr="002036DB">
        <w:t xml:space="preserve"> i njegovih izmjena i dopuna</w:t>
      </w:r>
      <w:r w:rsidRPr="002036DB">
        <w:rPr>
          <w:rFonts w:eastAsia="Times New Roman"/>
          <w:color w:val="000000"/>
          <w:spacing w:val="-2"/>
          <w:lang w:eastAsia="hr-HR"/>
        </w:rPr>
        <w:t xml:space="preserve">, o kojem je </w:t>
      </w:r>
      <w:r w:rsidRPr="002036DB">
        <w:t>Europska komisija obaviještena pod brojem SA.</w:t>
      </w:r>
      <w:r w:rsidR="00DE2B6E" w:rsidRPr="002036DB">
        <w:t>106891,</w:t>
      </w:r>
      <w:r w:rsidR="002036DB" w:rsidRPr="002036DB">
        <w:t xml:space="preserve"> te </w:t>
      </w:r>
      <w:r w:rsidR="00DE2B6E" w:rsidRPr="002036DB">
        <w:rPr>
          <w:spacing w:val="-2"/>
        </w:rPr>
        <w:t xml:space="preserve">temeljem </w:t>
      </w:r>
      <w:r w:rsidR="00DE2B6E" w:rsidRPr="002036DB">
        <w:t xml:space="preserve">Programa dodjele državnih potpora za ulaganja u postrojenja za biološku obradu odvojeno sakupljenog </w:t>
      </w:r>
      <w:proofErr w:type="spellStart"/>
      <w:r w:rsidR="00DE2B6E" w:rsidRPr="002036DB">
        <w:t>biootpada</w:t>
      </w:r>
      <w:proofErr w:type="spellEnd"/>
      <w:r w:rsidR="00DE2B6E" w:rsidRPr="002036DB">
        <w:rPr>
          <w:rFonts w:eastAsia="Times New Roman"/>
          <w:color w:val="000000"/>
          <w:spacing w:val="-2"/>
          <w:lang w:eastAsia="hr-HR"/>
        </w:rPr>
        <w:t xml:space="preserve"> </w:t>
      </w:r>
      <w:r w:rsidR="002036DB" w:rsidRPr="002036DB">
        <w:t xml:space="preserve">i njegovih izmjena i dopuna </w:t>
      </w:r>
      <w:r w:rsidR="00DE2B6E" w:rsidRPr="002036DB">
        <w:rPr>
          <w:rFonts w:eastAsia="Times New Roman"/>
          <w:color w:val="000000"/>
          <w:spacing w:val="-2"/>
          <w:lang w:eastAsia="hr-HR"/>
        </w:rPr>
        <w:t xml:space="preserve">u iznosu od </w:t>
      </w:r>
      <w:r w:rsidR="00DE2B6E" w:rsidRPr="002036DB">
        <w:t xml:space="preserve">19,1 milijun </w:t>
      </w:r>
      <w:r w:rsidR="00DE2B6E" w:rsidRPr="002036DB">
        <w:rPr>
          <w:rFonts w:eastAsia="Times New Roman"/>
          <w:color w:val="000000"/>
          <w:spacing w:val="-2"/>
          <w:lang w:eastAsia="hr-HR"/>
        </w:rPr>
        <w:t xml:space="preserve">eura, o kojem je </w:t>
      </w:r>
      <w:r w:rsidR="00DE2B6E" w:rsidRPr="002036DB">
        <w:t>Europska komisija obaviještena pod broje</w:t>
      </w:r>
      <w:r w:rsidR="002036DB" w:rsidRPr="002036DB">
        <w:t xml:space="preserve">m SA.55702, dok je obavijest o njegovim kasnijim izmjenama Europska komisija zaprimila pod brojem SA.58742, SA.102699 i </w:t>
      </w:r>
      <w:r w:rsidR="00DE2B6E" w:rsidRPr="002036DB">
        <w:t>SA.107029.</w:t>
      </w:r>
    </w:p>
    <w:p w14:paraId="6E5F35F2" w14:textId="77777777" w:rsidR="002036DB" w:rsidRDefault="002036DB" w:rsidP="00DE2B6E">
      <w:pPr>
        <w:jc w:val="both"/>
      </w:pPr>
    </w:p>
    <w:p w14:paraId="1B2C948A" w14:textId="50C906B1" w:rsidR="00083295" w:rsidRDefault="002036DB" w:rsidP="00083295">
      <w:pPr>
        <w:jc w:val="both"/>
        <w:rPr>
          <w:spacing w:val="-2"/>
        </w:rPr>
      </w:pPr>
      <w:r w:rsidRPr="00B75A66">
        <w:rPr>
          <w:u w:val="single"/>
        </w:rPr>
        <w:t>HROTE</w:t>
      </w:r>
      <w:r w:rsidRPr="00083295">
        <w:rPr>
          <w:b/>
        </w:rPr>
        <w:t xml:space="preserve"> </w:t>
      </w:r>
      <w:r w:rsidRPr="00083295">
        <w:t xml:space="preserve">je dodijelio </w:t>
      </w:r>
      <w:r w:rsidRPr="00083295">
        <w:rPr>
          <w:spacing w:val="-2"/>
        </w:rPr>
        <w:t xml:space="preserve">u 2023. godini potpore </w:t>
      </w:r>
      <w:r w:rsidRPr="00083295">
        <w:t xml:space="preserve">za zaštitu okoliša i uštedu energije </w:t>
      </w:r>
      <w:r w:rsidR="00083295" w:rsidRPr="00083295">
        <w:rPr>
          <w:spacing w:val="-2"/>
        </w:rPr>
        <w:t>kroz porezne olakšice</w:t>
      </w:r>
      <w:r w:rsidRPr="00083295">
        <w:rPr>
          <w:spacing w:val="-2"/>
        </w:rPr>
        <w:t xml:space="preserve"> iznos od 16,3 milijuna eura temeljem</w:t>
      </w:r>
      <w:r w:rsidRPr="00083295">
        <w:t xml:space="preserve"> Uredbe o kriterijima za plaćanje umanjene naknade za </w:t>
      </w:r>
      <w:r w:rsidR="00F6727B" w:rsidRPr="00F6727B">
        <w:rPr>
          <w:spacing w:val="-2"/>
        </w:rPr>
        <w:t>obnovljiv</w:t>
      </w:r>
      <w:r w:rsidR="00F6727B">
        <w:rPr>
          <w:spacing w:val="-2"/>
        </w:rPr>
        <w:t>e</w:t>
      </w:r>
      <w:r w:rsidR="00F6727B" w:rsidRPr="00F6727B">
        <w:rPr>
          <w:spacing w:val="-2"/>
        </w:rPr>
        <w:t xml:space="preserve"> izvor</w:t>
      </w:r>
      <w:r w:rsidR="00F6727B">
        <w:rPr>
          <w:spacing w:val="-2"/>
        </w:rPr>
        <w:t>e</w:t>
      </w:r>
      <w:r w:rsidR="00F6727B" w:rsidRPr="00F6727B">
        <w:rPr>
          <w:spacing w:val="-2"/>
        </w:rPr>
        <w:t xml:space="preserve"> energije i </w:t>
      </w:r>
      <w:proofErr w:type="spellStart"/>
      <w:r w:rsidR="00F6727B" w:rsidRPr="00F6727B">
        <w:rPr>
          <w:spacing w:val="-2"/>
        </w:rPr>
        <w:t>kogeneraciju</w:t>
      </w:r>
      <w:proofErr w:type="spellEnd"/>
      <w:r w:rsidR="00F6727B">
        <w:rPr>
          <w:spacing w:val="-2"/>
        </w:rPr>
        <w:t>,</w:t>
      </w:r>
      <w:r w:rsidR="00F6727B" w:rsidRPr="00083295">
        <w:rPr>
          <w:rFonts w:eastAsia="Times New Roman"/>
          <w:color w:val="000000"/>
          <w:spacing w:val="-2"/>
          <w:lang w:eastAsia="hr-HR"/>
        </w:rPr>
        <w:t xml:space="preserve"> </w:t>
      </w:r>
      <w:r w:rsidR="00083295" w:rsidRPr="00083295">
        <w:rPr>
          <w:rFonts w:eastAsia="Times New Roman"/>
          <w:color w:val="000000"/>
          <w:spacing w:val="-2"/>
          <w:lang w:eastAsia="hr-HR"/>
        </w:rPr>
        <w:t xml:space="preserve">kojeg je Europska komisija odobrila pod brojem </w:t>
      </w:r>
      <w:r w:rsidR="00083295" w:rsidRPr="00083295">
        <w:rPr>
          <w:spacing w:val="-2"/>
        </w:rPr>
        <w:t>SA.102294.</w:t>
      </w:r>
    </w:p>
    <w:p w14:paraId="02D85A0E" w14:textId="110AFABE" w:rsidR="00083295" w:rsidRPr="00F6727B" w:rsidRDefault="00083295" w:rsidP="00F6727B">
      <w:pPr>
        <w:jc w:val="both"/>
        <w:rPr>
          <w:spacing w:val="-2"/>
        </w:rPr>
      </w:pPr>
    </w:p>
    <w:p w14:paraId="731369F9" w14:textId="04DC436C" w:rsidR="00F6727B" w:rsidRPr="00762092" w:rsidRDefault="00083295" w:rsidP="00BE487D">
      <w:pPr>
        <w:jc w:val="both"/>
      </w:pPr>
      <w:r w:rsidRPr="00B75A66">
        <w:rPr>
          <w:u w:val="single"/>
        </w:rPr>
        <w:t>HBOR</w:t>
      </w:r>
      <w:r w:rsidRPr="00762092">
        <w:t xml:space="preserve"> </w:t>
      </w:r>
      <w:r w:rsidR="00F6727B" w:rsidRPr="00762092">
        <w:t xml:space="preserve">je </w:t>
      </w:r>
      <w:r w:rsidRPr="00762092">
        <w:rPr>
          <w:spacing w:val="-2"/>
        </w:rPr>
        <w:t xml:space="preserve">dodijelilo u 2023. godini potpore </w:t>
      </w:r>
      <w:r w:rsidRPr="00762092">
        <w:t xml:space="preserve">za zaštitu okoliša i uštedu energije </w:t>
      </w:r>
      <w:r w:rsidRPr="00762092">
        <w:rPr>
          <w:spacing w:val="-2"/>
        </w:rPr>
        <w:t>putem</w:t>
      </w:r>
      <w:r w:rsidR="00F6727B" w:rsidRPr="00762092">
        <w:rPr>
          <w:spacing w:val="-2"/>
        </w:rPr>
        <w:t xml:space="preserve"> n</w:t>
      </w:r>
      <w:r w:rsidR="00F6727B" w:rsidRPr="00762092">
        <w:t xml:space="preserve">eposrednih subvencija kamata i povoljnih zajmova </w:t>
      </w:r>
      <w:r w:rsidRPr="00762092">
        <w:rPr>
          <w:spacing w:val="-2"/>
        </w:rPr>
        <w:t>u iznosu od 1,</w:t>
      </w:r>
      <w:r w:rsidR="00F6727B" w:rsidRPr="00762092">
        <w:rPr>
          <w:spacing w:val="-2"/>
        </w:rPr>
        <w:t xml:space="preserve">6 milijuna eura temeljem </w:t>
      </w:r>
      <w:r w:rsidR="00F6727B" w:rsidRPr="00762092">
        <w:t xml:space="preserve">Programa dodjele državnih potpora HBOR-a – dopune zbog uvođenja jamstva kao instrumenta i produljenje do kraja 2026. godine </w:t>
      </w:r>
      <w:r w:rsidRPr="00762092">
        <w:t>i njegovih izmjena i dopuna</w:t>
      </w:r>
      <w:r w:rsidRPr="00762092">
        <w:rPr>
          <w:rFonts w:eastAsia="Times New Roman"/>
          <w:color w:val="000000"/>
          <w:spacing w:val="-2"/>
          <w:lang w:eastAsia="hr-HR"/>
        </w:rPr>
        <w:t xml:space="preserve">, o kojem je </w:t>
      </w:r>
      <w:r w:rsidRPr="00762092">
        <w:t>Europska komisija obaviještena pod brojem SA.</w:t>
      </w:r>
      <w:r w:rsidR="00F6727B" w:rsidRPr="00762092">
        <w:t>109743.</w:t>
      </w:r>
    </w:p>
    <w:p w14:paraId="70043731" w14:textId="77777777" w:rsidR="00961FF7" w:rsidRDefault="00961FF7" w:rsidP="00BE487D">
      <w:pPr>
        <w:jc w:val="both"/>
        <w:rPr>
          <w:highlight w:val="red"/>
        </w:rPr>
      </w:pPr>
    </w:p>
    <w:p w14:paraId="150150BF" w14:textId="18E278A5" w:rsidR="00083295" w:rsidRPr="00083295" w:rsidRDefault="00083295" w:rsidP="00083295">
      <w:pPr>
        <w:jc w:val="both"/>
      </w:pPr>
      <w:r w:rsidRPr="00B75A66">
        <w:rPr>
          <w:u w:val="single"/>
        </w:rPr>
        <w:t>Ministarstvo regionalnoga razvoja i fondova Europske unije</w:t>
      </w:r>
      <w:r w:rsidRPr="00083295">
        <w:t xml:space="preserve"> </w:t>
      </w:r>
      <w:r w:rsidRPr="00083295">
        <w:rPr>
          <w:spacing w:val="-2"/>
        </w:rPr>
        <w:t xml:space="preserve">dodijelilo je u 2023. godini potpore </w:t>
      </w:r>
      <w:r w:rsidRPr="00083295">
        <w:t xml:space="preserve">za zaštitu okoliša i uštedu energije </w:t>
      </w:r>
      <w:r w:rsidRPr="00083295">
        <w:rPr>
          <w:spacing w:val="-2"/>
        </w:rPr>
        <w:t xml:space="preserve">putem subvencija u iznosu od </w:t>
      </w:r>
      <w:r w:rsidRPr="00083295">
        <w:t xml:space="preserve">277.184,79 </w:t>
      </w:r>
      <w:r w:rsidRPr="00083295">
        <w:rPr>
          <w:spacing w:val="-2"/>
        </w:rPr>
        <w:t xml:space="preserve">eura temeljem </w:t>
      </w:r>
      <w:r w:rsidRPr="00083295">
        <w:t xml:space="preserve">Programa dodjele državnih potpora za provedbu Programa “Energija i klimatske promjene“ </w:t>
      </w:r>
      <w:r w:rsidRPr="00083295">
        <w:rPr>
          <w:rFonts w:eastAsia="Times New Roman"/>
          <w:color w:val="000000"/>
          <w:spacing w:val="-2"/>
          <w:lang w:eastAsia="hr-HR"/>
        </w:rPr>
        <w:t xml:space="preserve">o kojem je </w:t>
      </w:r>
      <w:r w:rsidRPr="00083295">
        <w:t>Europska komisija obaviještena pod brojem SA.63049.</w:t>
      </w:r>
    </w:p>
    <w:p w14:paraId="3443778F" w14:textId="77777777" w:rsidR="00961FF7" w:rsidRPr="0004129C" w:rsidRDefault="00961FF7" w:rsidP="00083295"/>
    <w:p w14:paraId="234B8FE2" w14:textId="791EDC06" w:rsidR="00762092" w:rsidRPr="00C82B2A" w:rsidRDefault="00762092" w:rsidP="00762092">
      <w:pPr>
        <w:jc w:val="both"/>
      </w:pPr>
      <w:r w:rsidRPr="00B75A66">
        <w:rPr>
          <w:u w:val="single"/>
        </w:rPr>
        <w:t>Potpore male vrijednosti</w:t>
      </w:r>
      <w:r w:rsidRPr="0004129C">
        <w:t xml:space="preserve"> za zaštitu okoliša i uštedu energije su u 2023. godini dodijeljene u iznosu od 3,2 milijuna eura, te ukoliko bi se navedene potpore male vrijednosti pribrojile dodijeljenim potporama za </w:t>
      </w:r>
      <w:r w:rsidR="0004129C" w:rsidRPr="0004129C">
        <w:t xml:space="preserve">zaštitu okoliša i uštedu energije </w:t>
      </w:r>
      <w:r w:rsidRPr="0004129C">
        <w:t xml:space="preserve">u iznosu od </w:t>
      </w:r>
      <w:r w:rsidR="0004129C" w:rsidRPr="0004129C">
        <w:t>184,8</w:t>
      </w:r>
      <w:r w:rsidRPr="0004129C">
        <w:t xml:space="preserve"> milijuna eura, ukupan iznos svih dodijeljenih potpora za </w:t>
      </w:r>
      <w:r w:rsidR="0004129C" w:rsidRPr="0004129C">
        <w:t xml:space="preserve">zaštitu okoliša i uštedu energije </w:t>
      </w:r>
      <w:r w:rsidRPr="0004129C">
        <w:t xml:space="preserve">u 2023. godini iznosile bi </w:t>
      </w:r>
      <w:r w:rsidR="0004129C" w:rsidRPr="0004129C">
        <w:t>188</w:t>
      </w:r>
      <w:r w:rsidRPr="0004129C">
        <w:t xml:space="preserve"> milijuna eura.</w:t>
      </w:r>
      <w:r w:rsidRPr="00C82B2A">
        <w:t xml:space="preserve"> </w:t>
      </w:r>
    </w:p>
    <w:p w14:paraId="40D929FD" w14:textId="37E8D7F1" w:rsidR="003F5FEE" w:rsidRDefault="003F5FEE" w:rsidP="00BE487D">
      <w:pPr>
        <w:jc w:val="both"/>
      </w:pPr>
    </w:p>
    <w:p w14:paraId="7AB10C2B" w14:textId="77777777" w:rsidR="00B75A66" w:rsidRPr="00145D62" w:rsidRDefault="00B75A66" w:rsidP="00BE487D">
      <w:pPr>
        <w:jc w:val="both"/>
      </w:pPr>
    </w:p>
    <w:p w14:paraId="662CA932" w14:textId="77777777" w:rsidR="003F5FEE" w:rsidRPr="00145D62" w:rsidRDefault="003F5FEE" w:rsidP="00BE487D">
      <w:pPr>
        <w:jc w:val="both"/>
      </w:pPr>
    </w:p>
    <w:p w14:paraId="446146F8" w14:textId="77777777" w:rsidR="00BE0817" w:rsidRPr="00DB495E" w:rsidRDefault="00BE0817" w:rsidP="00BE487D">
      <w:pPr>
        <w:pStyle w:val="Heading3"/>
        <w:numPr>
          <w:ilvl w:val="2"/>
          <w:numId w:val="1"/>
        </w:numPr>
        <w:spacing w:before="0"/>
        <w:jc w:val="both"/>
        <w:rPr>
          <w:rFonts w:ascii="Times New Roman" w:hAnsi="Times New Roman" w:cs="Times New Roman"/>
          <w:b/>
          <w:i/>
          <w:color w:val="auto"/>
        </w:rPr>
      </w:pPr>
      <w:bookmarkStart w:id="25" w:name="_Toc184635855"/>
      <w:r w:rsidRPr="00DB495E">
        <w:rPr>
          <w:rFonts w:ascii="Times New Roman" w:hAnsi="Times New Roman" w:cs="Times New Roman"/>
          <w:b/>
          <w:i/>
          <w:color w:val="auto"/>
        </w:rPr>
        <w:t>P</w:t>
      </w:r>
      <w:r w:rsidR="00BC66CE" w:rsidRPr="00DB495E">
        <w:rPr>
          <w:rFonts w:ascii="Times New Roman" w:hAnsi="Times New Roman" w:cs="Times New Roman"/>
          <w:b/>
          <w:i/>
          <w:color w:val="auto"/>
        </w:rPr>
        <w:t>otpore p</w:t>
      </w:r>
      <w:r w:rsidRPr="00DB495E">
        <w:rPr>
          <w:rFonts w:ascii="Times New Roman" w:hAnsi="Times New Roman" w:cs="Times New Roman"/>
          <w:b/>
          <w:i/>
          <w:color w:val="auto"/>
        </w:rPr>
        <w:t>romet</w:t>
      </w:r>
      <w:r w:rsidR="00BC66CE" w:rsidRPr="00DB495E">
        <w:rPr>
          <w:rFonts w:ascii="Times New Roman" w:hAnsi="Times New Roman" w:cs="Times New Roman"/>
          <w:b/>
          <w:i/>
          <w:color w:val="auto"/>
        </w:rPr>
        <w:t>u</w:t>
      </w:r>
      <w:bookmarkEnd w:id="25"/>
      <w:r w:rsidRPr="00DB495E">
        <w:rPr>
          <w:rFonts w:ascii="Times New Roman" w:hAnsi="Times New Roman" w:cs="Times New Roman"/>
          <w:b/>
          <w:i/>
          <w:color w:val="auto"/>
        </w:rPr>
        <w:t xml:space="preserve"> </w:t>
      </w:r>
    </w:p>
    <w:p w14:paraId="62EC6891" w14:textId="77777777" w:rsidR="00BC66CE" w:rsidRPr="00145D62" w:rsidRDefault="00BC66CE" w:rsidP="00BE487D">
      <w:pPr>
        <w:jc w:val="both"/>
      </w:pPr>
    </w:p>
    <w:p w14:paraId="22745FAA" w14:textId="77777777" w:rsidR="00BC66CE" w:rsidRPr="00145D62" w:rsidRDefault="00BC66CE" w:rsidP="00BE487D">
      <w:pPr>
        <w:jc w:val="both"/>
      </w:pPr>
    </w:p>
    <w:p w14:paraId="011A6157" w14:textId="2574A9DE" w:rsidR="005F1DB3" w:rsidRPr="007430EB" w:rsidRDefault="005F1DB3" w:rsidP="007214A4">
      <w:pPr>
        <w:jc w:val="both"/>
      </w:pPr>
      <w:r w:rsidRPr="007430EB">
        <w:t xml:space="preserve">Potpore </w:t>
      </w:r>
      <w:r w:rsidR="00DB495E" w:rsidRPr="007430EB">
        <w:t xml:space="preserve">u sektoru prometa </w:t>
      </w:r>
      <w:r w:rsidRPr="007430EB">
        <w:t xml:space="preserve">su dodijeljene u 2023. godini u iznosu od </w:t>
      </w:r>
      <w:r w:rsidR="00DB495E" w:rsidRPr="007430EB">
        <w:t>320,6</w:t>
      </w:r>
      <w:r w:rsidRPr="007430EB">
        <w:t xml:space="preserve"> milijuna eura, što je povećanje za </w:t>
      </w:r>
      <w:r w:rsidR="007214A4" w:rsidRPr="007430EB">
        <w:t xml:space="preserve">115,7 </w:t>
      </w:r>
      <w:r w:rsidRPr="007430EB">
        <w:t xml:space="preserve">milijuna eura ili za </w:t>
      </w:r>
      <w:r w:rsidR="007214A4" w:rsidRPr="007430EB">
        <w:t xml:space="preserve">56,4 </w:t>
      </w:r>
      <w:r w:rsidRPr="007430EB">
        <w:t xml:space="preserve">posto u odnosu na 2022. godinu, kada su navedene potpore iznosile </w:t>
      </w:r>
      <w:r w:rsidR="007214A4" w:rsidRPr="007430EB">
        <w:t xml:space="preserve">205 </w:t>
      </w:r>
      <w:r w:rsidRPr="007430EB">
        <w:t xml:space="preserve">milijuna eura, te je </w:t>
      </w:r>
      <w:r w:rsidR="007214A4" w:rsidRPr="007430EB">
        <w:t xml:space="preserve">povećanje </w:t>
      </w:r>
      <w:r w:rsidRPr="007430EB">
        <w:t xml:space="preserve">za </w:t>
      </w:r>
      <w:r w:rsidR="007214A4" w:rsidRPr="007430EB">
        <w:t xml:space="preserve">160,1 </w:t>
      </w:r>
      <w:r w:rsidRPr="007430EB">
        <w:t xml:space="preserve">milijun eura ili za </w:t>
      </w:r>
      <w:r w:rsidR="007214A4" w:rsidRPr="007430EB">
        <w:t>99,7</w:t>
      </w:r>
      <w:r w:rsidRPr="007430EB">
        <w:t xml:space="preserve"> posto u odnosu na 2021. godinu kada su potpore </w:t>
      </w:r>
      <w:r w:rsidR="007430EB" w:rsidRPr="007430EB">
        <w:t xml:space="preserve">u sektoru prometa </w:t>
      </w:r>
      <w:r w:rsidRPr="007430EB">
        <w:t xml:space="preserve">iznosile </w:t>
      </w:r>
      <w:r w:rsidR="007430EB" w:rsidRPr="007430EB">
        <w:t>160,5</w:t>
      </w:r>
      <w:r w:rsidRPr="007430EB">
        <w:t xml:space="preserve"> milijuna eura.</w:t>
      </w:r>
    </w:p>
    <w:p w14:paraId="0976EE8B" w14:textId="77777777" w:rsidR="00CE5303" w:rsidRPr="007430EB" w:rsidRDefault="00CE5303" w:rsidP="00BE487D">
      <w:pPr>
        <w:pStyle w:val="T-109sred"/>
        <w:spacing w:before="0" w:after="0"/>
        <w:contextualSpacing/>
        <w:jc w:val="both"/>
        <w:rPr>
          <w:rFonts w:ascii="Times New Roman" w:hAnsi="Times New Roman"/>
          <w:b/>
          <w:sz w:val="24"/>
          <w:szCs w:val="24"/>
          <w:lang w:val="hr-HR"/>
        </w:rPr>
      </w:pPr>
    </w:p>
    <w:p w14:paraId="5B70481C" w14:textId="60DA1F86" w:rsidR="0022608B" w:rsidRPr="00B75A66" w:rsidRDefault="0022608B" w:rsidP="00BE487D">
      <w:pPr>
        <w:pStyle w:val="T-109sred"/>
        <w:spacing w:before="0" w:after="0"/>
        <w:contextualSpacing/>
        <w:jc w:val="both"/>
        <w:rPr>
          <w:rFonts w:ascii="Times New Roman" w:hAnsi="Times New Roman"/>
          <w:sz w:val="24"/>
          <w:szCs w:val="24"/>
          <w:lang w:val="hr-HR"/>
        </w:rPr>
      </w:pPr>
      <w:r w:rsidRPr="00B75A66">
        <w:rPr>
          <w:rFonts w:ascii="Times New Roman" w:hAnsi="Times New Roman"/>
          <w:sz w:val="24"/>
          <w:szCs w:val="24"/>
          <w:lang w:val="hr-HR"/>
        </w:rPr>
        <w:t xml:space="preserve">Tablica </w:t>
      </w:r>
      <w:r w:rsidR="00DA0C65" w:rsidRPr="00B75A66">
        <w:rPr>
          <w:rFonts w:ascii="Times New Roman" w:hAnsi="Times New Roman"/>
          <w:sz w:val="24"/>
          <w:szCs w:val="24"/>
          <w:lang w:val="hr-HR"/>
        </w:rPr>
        <w:t>20</w:t>
      </w:r>
      <w:r w:rsidRPr="00B75A66">
        <w:rPr>
          <w:rFonts w:ascii="Times New Roman" w:hAnsi="Times New Roman"/>
          <w:sz w:val="24"/>
          <w:szCs w:val="24"/>
          <w:lang w:val="hr-HR"/>
        </w:rPr>
        <w:t xml:space="preserve">. Potpore </w:t>
      </w:r>
      <w:r w:rsidR="00FB6521" w:rsidRPr="00B75A66">
        <w:rPr>
          <w:rFonts w:ascii="Times New Roman" w:hAnsi="Times New Roman"/>
          <w:sz w:val="24"/>
          <w:szCs w:val="24"/>
          <w:lang w:val="hr-HR"/>
        </w:rPr>
        <w:t xml:space="preserve">dodijeljene u </w:t>
      </w:r>
      <w:r w:rsidRPr="00B75A66">
        <w:rPr>
          <w:rFonts w:ascii="Times New Roman" w:hAnsi="Times New Roman"/>
          <w:sz w:val="24"/>
          <w:szCs w:val="24"/>
          <w:lang w:val="hr-HR"/>
        </w:rPr>
        <w:t xml:space="preserve">sektoru prometa </w:t>
      </w:r>
      <w:r w:rsidR="00FB6521" w:rsidRPr="00B75A66">
        <w:rPr>
          <w:rFonts w:ascii="Times New Roman" w:hAnsi="Times New Roman"/>
          <w:sz w:val="24"/>
          <w:szCs w:val="24"/>
          <w:lang w:val="hr-HR"/>
        </w:rPr>
        <w:t>u</w:t>
      </w:r>
      <w:r w:rsidRPr="00B75A66">
        <w:rPr>
          <w:rFonts w:ascii="Times New Roman" w:hAnsi="Times New Roman"/>
          <w:sz w:val="24"/>
          <w:szCs w:val="24"/>
          <w:lang w:val="hr-HR"/>
        </w:rPr>
        <w:t xml:space="preserve"> razdoblj</w:t>
      </w:r>
      <w:r w:rsidR="00FB6521" w:rsidRPr="00B75A66">
        <w:rPr>
          <w:rFonts w:ascii="Times New Roman" w:hAnsi="Times New Roman"/>
          <w:sz w:val="24"/>
          <w:szCs w:val="24"/>
          <w:lang w:val="hr-HR"/>
        </w:rPr>
        <w:t>u</w:t>
      </w:r>
      <w:r w:rsidRPr="00B75A66">
        <w:rPr>
          <w:rFonts w:ascii="Times New Roman" w:hAnsi="Times New Roman"/>
          <w:sz w:val="24"/>
          <w:szCs w:val="24"/>
          <w:lang w:val="hr-HR"/>
        </w:rPr>
        <w:t xml:space="preserve"> od 20</w:t>
      </w:r>
      <w:r w:rsidR="003C7980" w:rsidRPr="00B75A66">
        <w:rPr>
          <w:rFonts w:ascii="Times New Roman" w:hAnsi="Times New Roman"/>
          <w:sz w:val="24"/>
          <w:szCs w:val="24"/>
          <w:lang w:val="hr-HR"/>
        </w:rPr>
        <w:t>2</w:t>
      </w:r>
      <w:r w:rsidR="00DA0C65" w:rsidRPr="00B75A66">
        <w:rPr>
          <w:rFonts w:ascii="Times New Roman" w:hAnsi="Times New Roman"/>
          <w:sz w:val="24"/>
          <w:szCs w:val="24"/>
          <w:lang w:val="hr-HR"/>
        </w:rPr>
        <w:t>1</w:t>
      </w:r>
      <w:r w:rsidRPr="00B75A66">
        <w:rPr>
          <w:rFonts w:ascii="Times New Roman" w:hAnsi="Times New Roman"/>
          <w:sz w:val="24"/>
          <w:szCs w:val="24"/>
          <w:lang w:val="hr-HR"/>
        </w:rPr>
        <w:t>. do 202</w:t>
      </w:r>
      <w:r w:rsidR="00DA0C65" w:rsidRPr="00B75A66">
        <w:rPr>
          <w:rFonts w:ascii="Times New Roman" w:hAnsi="Times New Roman"/>
          <w:sz w:val="24"/>
          <w:szCs w:val="24"/>
          <w:lang w:val="hr-HR"/>
        </w:rPr>
        <w:t>3</w:t>
      </w:r>
      <w:r w:rsidRPr="00B75A66">
        <w:rPr>
          <w:rFonts w:ascii="Times New Roman" w:hAnsi="Times New Roman"/>
          <w:sz w:val="24"/>
          <w:szCs w:val="24"/>
          <w:lang w:val="hr-HR"/>
        </w:rPr>
        <w:t>. godine</w:t>
      </w:r>
    </w:p>
    <w:p w14:paraId="7D8B4504" w14:textId="77777777" w:rsidR="0022608B" w:rsidRPr="008149B5" w:rsidRDefault="0022608B" w:rsidP="00BE487D">
      <w:pPr>
        <w:pStyle w:val="T-109sred"/>
        <w:spacing w:before="0" w:after="0"/>
        <w:contextualSpacing/>
        <w:jc w:val="both"/>
        <w:rPr>
          <w:rFonts w:ascii="Times New Roman" w:hAnsi="Times New Roman"/>
          <w:sz w:val="20"/>
          <w:szCs w:val="24"/>
          <w:highlight w:val="red"/>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418"/>
        <w:gridCol w:w="1417"/>
      </w:tblGrid>
      <w:tr w:rsidR="0081459E" w:rsidRPr="007A7C7C" w14:paraId="02927689" w14:textId="77777777" w:rsidTr="00145D62">
        <w:trPr>
          <w:trHeight w:val="38"/>
        </w:trPr>
        <w:tc>
          <w:tcPr>
            <w:tcW w:w="4248" w:type="dxa"/>
            <w:vMerge w:val="restart"/>
            <w:shd w:val="clear" w:color="000000" w:fill="FFFF99"/>
            <w:noWrap/>
            <w:vAlign w:val="center"/>
            <w:hideMark/>
          </w:tcPr>
          <w:p w14:paraId="5EF60A88" w14:textId="5A2DBA17" w:rsidR="0081459E" w:rsidRPr="00145D62" w:rsidRDefault="00145D62" w:rsidP="00E627B3">
            <w:pPr>
              <w:rPr>
                <w:rFonts w:eastAsia="Times New Roman"/>
                <w:b/>
                <w:bCs/>
                <w:sz w:val="20"/>
                <w:szCs w:val="20"/>
              </w:rPr>
            </w:pPr>
            <w:r w:rsidRPr="00145D62">
              <w:rPr>
                <w:rFonts w:eastAsia="Times New Roman"/>
                <w:b/>
                <w:bCs/>
                <w:sz w:val="20"/>
                <w:lang w:eastAsia="hr-HR"/>
              </w:rPr>
              <w:t>Promet</w:t>
            </w:r>
          </w:p>
        </w:tc>
        <w:tc>
          <w:tcPr>
            <w:tcW w:w="1417" w:type="dxa"/>
            <w:shd w:val="clear" w:color="000000" w:fill="FFFF99"/>
            <w:vAlign w:val="center"/>
          </w:tcPr>
          <w:p w14:paraId="1FFEFB12" w14:textId="77777777" w:rsidR="0081459E" w:rsidRPr="00145D62" w:rsidRDefault="0081459E" w:rsidP="00E627B3">
            <w:pPr>
              <w:jc w:val="center"/>
              <w:rPr>
                <w:rFonts w:eastAsia="Times New Roman"/>
                <w:b/>
                <w:bCs/>
                <w:sz w:val="20"/>
                <w:szCs w:val="20"/>
              </w:rPr>
            </w:pPr>
            <w:r w:rsidRPr="00145D62">
              <w:rPr>
                <w:b/>
                <w:sz w:val="20"/>
                <w:szCs w:val="20"/>
              </w:rPr>
              <w:t>2021.</w:t>
            </w:r>
          </w:p>
        </w:tc>
        <w:tc>
          <w:tcPr>
            <w:tcW w:w="1418" w:type="dxa"/>
            <w:shd w:val="clear" w:color="000000" w:fill="FFFF99"/>
            <w:vAlign w:val="center"/>
          </w:tcPr>
          <w:p w14:paraId="13F29817" w14:textId="77777777" w:rsidR="0081459E" w:rsidRPr="00145D62" w:rsidRDefault="0081459E" w:rsidP="00E627B3">
            <w:pPr>
              <w:jc w:val="center"/>
              <w:rPr>
                <w:rFonts w:eastAsia="Times New Roman"/>
                <w:b/>
                <w:bCs/>
                <w:sz w:val="20"/>
                <w:szCs w:val="20"/>
              </w:rPr>
            </w:pPr>
            <w:r w:rsidRPr="00145D62">
              <w:rPr>
                <w:b/>
                <w:sz w:val="20"/>
                <w:szCs w:val="20"/>
              </w:rPr>
              <w:t>2022.</w:t>
            </w:r>
          </w:p>
        </w:tc>
        <w:tc>
          <w:tcPr>
            <w:tcW w:w="1417" w:type="dxa"/>
            <w:shd w:val="clear" w:color="000000" w:fill="FFFF99"/>
            <w:vAlign w:val="center"/>
          </w:tcPr>
          <w:p w14:paraId="5CC166D2" w14:textId="77777777" w:rsidR="0081459E" w:rsidRPr="00145D62" w:rsidRDefault="0081459E" w:rsidP="00E627B3">
            <w:pPr>
              <w:jc w:val="center"/>
              <w:rPr>
                <w:rFonts w:eastAsia="Times New Roman"/>
                <w:b/>
                <w:bCs/>
                <w:sz w:val="20"/>
                <w:szCs w:val="20"/>
              </w:rPr>
            </w:pPr>
            <w:r w:rsidRPr="00145D62">
              <w:rPr>
                <w:b/>
                <w:sz w:val="20"/>
                <w:szCs w:val="20"/>
              </w:rPr>
              <w:t>2023.</w:t>
            </w:r>
          </w:p>
        </w:tc>
      </w:tr>
      <w:tr w:rsidR="0081459E" w:rsidRPr="007A7C7C" w14:paraId="42C65104" w14:textId="77777777" w:rsidTr="00145D62">
        <w:trPr>
          <w:trHeight w:val="212"/>
        </w:trPr>
        <w:tc>
          <w:tcPr>
            <w:tcW w:w="4248" w:type="dxa"/>
            <w:vMerge/>
            <w:vAlign w:val="center"/>
            <w:hideMark/>
          </w:tcPr>
          <w:p w14:paraId="47DA1CFE" w14:textId="77777777" w:rsidR="0081459E" w:rsidRPr="00145D62" w:rsidRDefault="0081459E" w:rsidP="00E627B3">
            <w:pPr>
              <w:rPr>
                <w:rFonts w:eastAsia="Times New Roman"/>
                <w:b/>
                <w:bCs/>
                <w:sz w:val="20"/>
                <w:szCs w:val="20"/>
              </w:rPr>
            </w:pPr>
          </w:p>
        </w:tc>
        <w:tc>
          <w:tcPr>
            <w:tcW w:w="1417" w:type="dxa"/>
            <w:shd w:val="clear" w:color="000000" w:fill="FFFF99"/>
            <w:vAlign w:val="center"/>
          </w:tcPr>
          <w:p w14:paraId="15971119" w14:textId="77777777" w:rsidR="0081459E" w:rsidRPr="00145D62" w:rsidRDefault="0081459E" w:rsidP="00E627B3">
            <w:pPr>
              <w:rPr>
                <w:rFonts w:eastAsia="Times New Roman"/>
                <w:b/>
                <w:sz w:val="18"/>
                <w:szCs w:val="20"/>
              </w:rPr>
            </w:pPr>
            <w:r w:rsidRPr="00145D62">
              <w:rPr>
                <w:b/>
                <w:sz w:val="20"/>
                <w:szCs w:val="20"/>
              </w:rPr>
              <w:t xml:space="preserve">u </w:t>
            </w:r>
            <w:proofErr w:type="spellStart"/>
            <w:r w:rsidRPr="00145D62">
              <w:rPr>
                <w:b/>
                <w:sz w:val="20"/>
                <w:szCs w:val="20"/>
              </w:rPr>
              <w:t>mln</w:t>
            </w:r>
            <w:proofErr w:type="spellEnd"/>
            <w:r w:rsidRPr="00145D62">
              <w:rPr>
                <w:b/>
                <w:sz w:val="20"/>
                <w:szCs w:val="20"/>
              </w:rPr>
              <w:t xml:space="preserve"> EUR</w:t>
            </w:r>
          </w:p>
        </w:tc>
        <w:tc>
          <w:tcPr>
            <w:tcW w:w="1418" w:type="dxa"/>
            <w:shd w:val="clear" w:color="000000" w:fill="FFFF99"/>
            <w:vAlign w:val="center"/>
          </w:tcPr>
          <w:p w14:paraId="5F77A7E0" w14:textId="77777777" w:rsidR="0081459E" w:rsidRPr="00145D62" w:rsidRDefault="0081459E" w:rsidP="00E627B3">
            <w:pPr>
              <w:jc w:val="center"/>
              <w:rPr>
                <w:rFonts w:eastAsia="Times New Roman"/>
                <w:b/>
                <w:sz w:val="18"/>
                <w:szCs w:val="20"/>
              </w:rPr>
            </w:pPr>
            <w:r w:rsidRPr="00145D62">
              <w:rPr>
                <w:b/>
                <w:sz w:val="20"/>
                <w:szCs w:val="20"/>
              </w:rPr>
              <w:t xml:space="preserve">u </w:t>
            </w:r>
            <w:proofErr w:type="spellStart"/>
            <w:r w:rsidRPr="00145D62">
              <w:rPr>
                <w:b/>
                <w:sz w:val="20"/>
                <w:szCs w:val="20"/>
              </w:rPr>
              <w:t>mln</w:t>
            </w:r>
            <w:proofErr w:type="spellEnd"/>
            <w:r w:rsidRPr="00145D62">
              <w:rPr>
                <w:b/>
                <w:sz w:val="20"/>
                <w:szCs w:val="20"/>
              </w:rPr>
              <w:t xml:space="preserve"> EUR</w:t>
            </w:r>
          </w:p>
        </w:tc>
        <w:tc>
          <w:tcPr>
            <w:tcW w:w="1417" w:type="dxa"/>
            <w:shd w:val="clear" w:color="000000" w:fill="FFFF99"/>
            <w:vAlign w:val="center"/>
          </w:tcPr>
          <w:p w14:paraId="0C701445" w14:textId="77777777" w:rsidR="0081459E" w:rsidRPr="00145D62" w:rsidRDefault="0081459E" w:rsidP="00E627B3">
            <w:pPr>
              <w:jc w:val="center"/>
              <w:rPr>
                <w:rFonts w:eastAsia="Times New Roman"/>
                <w:b/>
                <w:sz w:val="18"/>
                <w:szCs w:val="20"/>
              </w:rPr>
            </w:pPr>
            <w:r w:rsidRPr="00145D62">
              <w:rPr>
                <w:b/>
                <w:sz w:val="20"/>
                <w:szCs w:val="20"/>
              </w:rPr>
              <w:t xml:space="preserve">u </w:t>
            </w:r>
            <w:proofErr w:type="spellStart"/>
            <w:r w:rsidRPr="00145D62">
              <w:rPr>
                <w:b/>
                <w:sz w:val="20"/>
                <w:szCs w:val="20"/>
              </w:rPr>
              <w:t>mln</w:t>
            </w:r>
            <w:proofErr w:type="spellEnd"/>
            <w:r w:rsidRPr="00145D62">
              <w:rPr>
                <w:b/>
                <w:sz w:val="20"/>
                <w:szCs w:val="20"/>
              </w:rPr>
              <w:t xml:space="preserve"> EUR</w:t>
            </w:r>
          </w:p>
        </w:tc>
      </w:tr>
      <w:tr w:rsidR="00145D62" w:rsidRPr="007A7C7C" w14:paraId="53495F9A" w14:textId="77777777" w:rsidTr="00145D62">
        <w:trPr>
          <w:trHeight w:val="40"/>
        </w:trPr>
        <w:tc>
          <w:tcPr>
            <w:tcW w:w="4248" w:type="dxa"/>
            <w:shd w:val="clear" w:color="auto" w:fill="auto"/>
            <w:noWrap/>
            <w:vAlign w:val="center"/>
          </w:tcPr>
          <w:p w14:paraId="4D1ED7E6" w14:textId="43B83575" w:rsidR="00145D62" w:rsidRPr="00145D62" w:rsidRDefault="00145D62" w:rsidP="00145D62">
            <w:pPr>
              <w:rPr>
                <w:rFonts w:eastAsia="Times New Roman"/>
                <w:b/>
                <w:bCs/>
                <w:sz w:val="20"/>
                <w:szCs w:val="20"/>
              </w:rPr>
            </w:pPr>
            <w:r w:rsidRPr="00145D62">
              <w:rPr>
                <w:rFonts w:eastAsia="Times New Roman"/>
                <w:sz w:val="20"/>
                <w:lang w:eastAsia="hr-HR"/>
              </w:rPr>
              <w:t>Kopneni željeznički promet</w:t>
            </w:r>
          </w:p>
        </w:tc>
        <w:tc>
          <w:tcPr>
            <w:tcW w:w="1417" w:type="dxa"/>
            <w:vAlign w:val="center"/>
          </w:tcPr>
          <w:p w14:paraId="334D7D67" w14:textId="42320EE7" w:rsidR="00145D62" w:rsidRPr="00145D62" w:rsidRDefault="00145D62" w:rsidP="00145D62">
            <w:pPr>
              <w:jc w:val="right"/>
              <w:rPr>
                <w:sz w:val="20"/>
                <w:szCs w:val="14"/>
              </w:rPr>
            </w:pPr>
            <w:r w:rsidRPr="00145D62">
              <w:rPr>
                <w:rFonts w:eastAsia="Times New Roman"/>
                <w:sz w:val="20"/>
                <w:szCs w:val="20"/>
                <w:lang w:eastAsia="hr-HR"/>
              </w:rPr>
              <w:t>65,7</w:t>
            </w:r>
          </w:p>
        </w:tc>
        <w:tc>
          <w:tcPr>
            <w:tcW w:w="1418" w:type="dxa"/>
            <w:vAlign w:val="center"/>
          </w:tcPr>
          <w:p w14:paraId="3ED0B302" w14:textId="38228348" w:rsidR="00145D62" w:rsidRPr="00145D62" w:rsidRDefault="00145D62" w:rsidP="00145D62">
            <w:pPr>
              <w:jc w:val="right"/>
              <w:rPr>
                <w:sz w:val="20"/>
                <w:szCs w:val="14"/>
              </w:rPr>
            </w:pPr>
            <w:r w:rsidRPr="00145D62">
              <w:rPr>
                <w:rFonts w:eastAsia="Times New Roman"/>
                <w:sz w:val="20"/>
                <w:szCs w:val="20"/>
                <w:lang w:eastAsia="hr-HR"/>
              </w:rPr>
              <w:t>70,3</w:t>
            </w:r>
          </w:p>
        </w:tc>
        <w:tc>
          <w:tcPr>
            <w:tcW w:w="1417" w:type="dxa"/>
            <w:vAlign w:val="center"/>
          </w:tcPr>
          <w:p w14:paraId="67701E5A" w14:textId="581D80F8" w:rsidR="00145D62" w:rsidRPr="00145D62" w:rsidRDefault="00145D62" w:rsidP="00145D62">
            <w:pPr>
              <w:jc w:val="right"/>
              <w:rPr>
                <w:sz w:val="20"/>
                <w:szCs w:val="14"/>
              </w:rPr>
            </w:pPr>
            <w:r w:rsidRPr="00145D62">
              <w:rPr>
                <w:rFonts w:eastAsia="Times New Roman"/>
                <w:sz w:val="20"/>
                <w:szCs w:val="20"/>
                <w:lang w:eastAsia="hr-HR"/>
              </w:rPr>
              <w:t>107,5</w:t>
            </w:r>
          </w:p>
        </w:tc>
      </w:tr>
      <w:tr w:rsidR="00145D62" w:rsidRPr="007A7C7C" w14:paraId="44A89259" w14:textId="77777777" w:rsidTr="00145D62">
        <w:trPr>
          <w:trHeight w:val="40"/>
        </w:trPr>
        <w:tc>
          <w:tcPr>
            <w:tcW w:w="4248" w:type="dxa"/>
            <w:shd w:val="clear" w:color="auto" w:fill="auto"/>
            <w:noWrap/>
            <w:vAlign w:val="center"/>
          </w:tcPr>
          <w:p w14:paraId="0571F23D" w14:textId="0CE78F57" w:rsidR="00145D62" w:rsidRPr="00145D62" w:rsidRDefault="00145D62" w:rsidP="00145D62">
            <w:pPr>
              <w:rPr>
                <w:rFonts w:eastAsia="Times New Roman"/>
                <w:b/>
                <w:bCs/>
                <w:sz w:val="20"/>
                <w:szCs w:val="20"/>
              </w:rPr>
            </w:pPr>
            <w:r w:rsidRPr="00145D62">
              <w:rPr>
                <w:rFonts w:eastAsia="Times New Roman"/>
                <w:sz w:val="20"/>
                <w:lang w:eastAsia="hr-HR"/>
              </w:rPr>
              <w:t xml:space="preserve">Kopneni promet ostali </w:t>
            </w:r>
            <w:r w:rsidRPr="00145D62">
              <w:rPr>
                <w:sz w:val="20"/>
                <w:lang w:eastAsia="hr-HR"/>
              </w:rPr>
              <w:t>(cestovni promet i promet unutarnjim plovnim putovima)</w:t>
            </w:r>
          </w:p>
        </w:tc>
        <w:tc>
          <w:tcPr>
            <w:tcW w:w="1417" w:type="dxa"/>
            <w:vAlign w:val="center"/>
          </w:tcPr>
          <w:p w14:paraId="7F66C41B" w14:textId="15729627" w:rsidR="00145D62" w:rsidRPr="00145D62" w:rsidRDefault="00145D62" w:rsidP="00145D62">
            <w:pPr>
              <w:jc w:val="right"/>
              <w:rPr>
                <w:sz w:val="20"/>
                <w:szCs w:val="14"/>
              </w:rPr>
            </w:pPr>
            <w:r w:rsidRPr="00145D62">
              <w:rPr>
                <w:rFonts w:eastAsia="Times New Roman"/>
                <w:sz w:val="20"/>
                <w:szCs w:val="20"/>
                <w:lang w:eastAsia="hr-HR"/>
              </w:rPr>
              <w:t>31,9</w:t>
            </w:r>
          </w:p>
        </w:tc>
        <w:tc>
          <w:tcPr>
            <w:tcW w:w="1418" w:type="dxa"/>
            <w:vAlign w:val="center"/>
          </w:tcPr>
          <w:p w14:paraId="247E379F" w14:textId="1F1324E5" w:rsidR="00145D62" w:rsidRPr="00145D62" w:rsidRDefault="00145D62" w:rsidP="00145D62">
            <w:pPr>
              <w:jc w:val="right"/>
              <w:rPr>
                <w:sz w:val="20"/>
                <w:szCs w:val="14"/>
              </w:rPr>
            </w:pPr>
            <w:r w:rsidRPr="00145D62">
              <w:rPr>
                <w:rFonts w:eastAsia="Times New Roman"/>
                <w:sz w:val="20"/>
                <w:szCs w:val="20"/>
                <w:lang w:eastAsia="hr-HR"/>
              </w:rPr>
              <w:t>32,6</w:t>
            </w:r>
          </w:p>
        </w:tc>
        <w:tc>
          <w:tcPr>
            <w:tcW w:w="1417" w:type="dxa"/>
            <w:vAlign w:val="center"/>
          </w:tcPr>
          <w:p w14:paraId="19289353" w14:textId="7EE99F34" w:rsidR="00145D62" w:rsidRPr="00145D62" w:rsidRDefault="00145D62" w:rsidP="00145D62">
            <w:pPr>
              <w:jc w:val="right"/>
              <w:rPr>
                <w:sz w:val="20"/>
                <w:szCs w:val="14"/>
              </w:rPr>
            </w:pPr>
            <w:r w:rsidRPr="00145D62">
              <w:rPr>
                <w:rFonts w:eastAsia="Times New Roman"/>
                <w:sz w:val="20"/>
                <w:szCs w:val="20"/>
                <w:lang w:eastAsia="hr-HR"/>
              </w:rPr>
              <w:t>92,3</w:t>
            </w:r>
          </w:p>
        </w:tc>
      </w:tr>
      <w:tr w:rsidR="00145D62" w:rsidRPr="007A7C7C" w14:paraId="4C5C6FC1" w14:textId="77777777" w:rsidTr="00145D62">
        <w:trPr>
          <w:trHeight w:val="40"/>
        </w:trPr>
        <w:tc>
          <w:tcPr>
            <w:tcW w:w="4248" w:type="dxa"/>
            <w:shd w:val="clear" w:color="auto" w:fill="auto"/>
            <w:noWrap/>
            <w:vAlign w:val="center"/>
          </w:tcPr>
          <w:p w14:paraId="1572A340" w14:textId="2A72BB2C" w:rsidR="00145D62" w:rsidRPr="00145D62" w:rsidRDefault="00145D62" w:rsidP="00145D62">
            <w:pPr>
              <w:rPr>
                <w:rFonts w:eastAsia="Times New Roman"/>
                <w:b/>
                <w:bCs/>
                <w:sz w:val="20"/>
                <w:szCs w:val="20"/>
              </w:rPr>
            </w:pPr>
            <w:r w:rsidRPr="00145D62">
              <w:rPr>
                <w:rFonts w:eastAsia="Times New Roman"/>
                <w:sz w:val="20"/>
                <w:lang w:eastAsia="hr-HR"/>
              </w:rPr>
              <w:t>Pomorski promet</w:t>
            </w:r>
          </w:p>
        </w:tc>
        <w:tc>
          <w:tcPr>
            <w:tcW w:w="1417" w:type="dxa"/>
            <w:vAlign w:val="center"/>
          </w:tcPr>
          <w:p w14:paraId="69ED7A28" w14:textId="67F70EA9" w:rsidR="00145D62" w:rsidRPr="00145D62" w:rsidRDefault="00145D62" w:rsidP="00145D62">
            <w:pPr>
              <w:jc w:val="right"/>
              <w:rPr>
                <w:sz w:val="20"/>
                <w:szCs w:val="14"/>
              </w:rPr>
            </w:pPr>
            <w:r w:rsidRPr="00145D62">
              <w:rPr>
                <w:rFonts w:eastAsia="Times New Roman"/>
                <w:sz w:val="20"/>
                <w:szCs w:val="20"/>
                <w:lang w:eastAsia="hr-HR"/>
              </w:rPr>
              <w:t>48,4</w:t>
            </w:r>
          </w:p>
        </w:tc>
        <w:tc>
          <w:tcPr>
            <w:tcW w:w="1418" w:type="dxa"/>
            <w:vAlign w:val="center"/>
          </w:tcPr>
          <w:p w14:paraId="56743B4E" w14:textId="3C7B2076" w:rsidR="00145D62" w:rsidRPr="00145D62" w:rsidRDefault="00145D62" w:rsidP="00145D62">
            <w:pPr>
              <w:jc w:val="right"/>
              <w:rPr>
                <w:sz w:val="20"/>
                <w:szCs w:val="14"/>
              </w:rPr>
            </w:pPr>
            <w:r w:rsidRPr="00145D62">
              <w:rPr>
                <w:rFonts w:eastAsia="Times New Roman"/>
                <w:sz w:val="20"/>
                <w:szCs w:val="20"/>
                <w:lang w:eastAsia="hr-HR"/>
              </w:rPr>
              <w:t>85,9</w:t>
            </w:r>
          </w:p>
        </w:tc>
        <w:tc>
          <w:tcPr>
            <w:tcW w:w="1417" w:type="dxa"/>
            <w:vAlign w:val="center"/>
          </w:tcPr>
          <w:p w14:paraId="4413F2F5" w14:textId="638D8A6B" w:rsidR="00145D62" w:rsidRPr="00145D62" w:rsidRDefault="00145D62" w:rsidP="00145D62">
            <w:pPr>
              <w:jc w:val="right"/>
              <w:rPr>
                <w:sz w:val="20"/>
                <w:szCs w:val="14"/>
              </w:rPr>
            </w:pPr>
            <w:r w:rsidRPr="00145D62">
              <w:rPr>
                <w:rFonts w:eastAsia="Times New Roman"/>
                <w:sz w:val="20"/>
                <w:szCs w:val="20"/>
                <w:lang w:eastAsia="hr-HR"/>
              </w:rPr>
              <w:t>90,2</w:t>
            </w:r>
          </w:p>
        </w:tc>
      </w:tr>
      <w:tr w:rsidR="00145D62" w:rsidRPr="007A7C7C" w14:paraId="09ADEC0E" w14:textId="77777777" w:rsidTr="00145D62">
        <w:trPr>
          <w:trHeight w:val="40"/>
        </w:trPr>
        <w:tc>
          <w:tcPr>
            <w:tcW w:w="4248" w:type="dxa"/>
            <w:shd w:val="clear" w:color="auto" w:fill="auto"/>
            <w:noWrap/>
            <w:vAlign w:val="center"/>
          </w:tcPr>
          <w:p w14:paraId="40E568EB" w14:textId="0E83542A" w:rsidR="00145D62" w:rsidRPr="00145D62" w:rsidRDefault="00145D62" w:rsidP="00145D62">
            <w:pPr>
              <w:rPr>
                <w:rFonts w:eastAsia="Times New Roman"/>
                <w:b/>
                <w:bCs/>
                <w:sz w:val="20"/>
                <w:szCs w:val="20"/>
              </w:rPr>
            </w:pPr>
            <w:r w:rsidRPr="00145D62">
              <w:rPr>
                <w:rFonts w:eastAsia="Times New Roman"/>
                <w:sz w:val="20"/>
                <w:lang w:eastAsia="hr-HR"/>
              </w:rPr>
              <w:t>Zračni promet</w:t>
            </w:r>
          </w:p>
        </w:tc>
        <w:tc>
          <w:tcPr>
            <w:tcW w:w="1417" w:type="dxa"/>
            <w:vAlign w:val="center"/>
          </w:tcPr>
          <w:p w14:paraId="3BF6CE45" w14:textId="0BFA67F4" w:rsidR="00145D62" w:rsidRPr="00145D62" w:rsidRDefault="00145D62" w:rsidP="00145D62">
            <w:pPr>
              <w:jc w:val="right"/>
              <w:rPr>
                <w:sz w:val="20"/>
                <w:szCs w:val="14"/>
              </w:rPr>
            </w:pPr>
            <w:r w:rsidRPr="00145D62">
              <w:rPr>
                <w:rFonts w:eastAsia="Times New Roman"/>
                <w:sz w:val="20"/>
                <w:szCs w:val="20"/>
                <w:lang w:eastAsia="hr-HR"/>
              </w:rPr>
              <w:t>14,6</w:t>
            </w:r>
          </w:p>
        </w:tc>
        <w:tc>
          <w:tcPr>
            <w:tcW w:w="1418" w:type="dxa"/>
            <w:vAlign w:val="center"/>
          </w:tcPr>
          <w:p w14:paraId="0654112D" w14:textId="5A991C57" w:rsidR="00145D62" w:rsidRPr="00145D62" w:rsidRDefault="00145D62" w:rsidP="00145D62">
            <w:pPr>
              <w:jc w:val="right"/>
              <w:rPr>
                <w:sz w:val="20"/>
                <w:szCs w:val="14"/>
              </w:rPr>
            </w:pPr>
            <w:r w:rsidRPr="00145D62">
              <w:rPr>
                <w:rFonts w:eastAsia="Times New Roman"/>
                <w:sz w:val="20"/>
                <w:szCs w:val="20"/>
                <w:lang w:eastAsia="hr-HR"/>
              </w:rPr>
              <w:t>16,1</w:t>
            </w:r>
          </w:p>
        </w:tc>
        <w:tc>
          <w:tcPr>
            <w:tcW w:w="1417" w:type="dxa"/>
            <w:vAlign w:val="center"/>
          </w:tcPr>
          <w:p w14:paraId="6223923C" w14:textId="480426E1" w:rsidR="00145D62" w:rsidRPr="00145D62" w:rsidRDefault="00145D62" w:rsidP="00145D62">
            <w:pPr>
              <w:jc w:val="right"/>
              <w:rPr>
                <w:sz w:val="20"/>
                <w:szCs w:val="14"/>
              </w:rPr>
            </w:pPr>
            <w:r w:rsidRPr="00145D62">
              <w:rPr>
                <w:rFonts w:eastAsia="Times New Roman"/>
                <w:sz w:val="20"/>
                <w:szCs w:val="20"/>
                <w:lang w:eastAsia="hr-HR"/>
              </w:rPr>
              <w:t>30,6</w:t>
            </w:r>
          </w:p>
        </w:tc>
      </w:tr>
      <w:tr w:rsidR="00145D62" w:rsidRPr="007A7C7C" w14:paraId="1459E0E8" w14:textId="77777777" w:rsidTr="00145D62">
        <w:trPr>
          <w:trHeight w:val="40"/>
        </w:trPr>
        <w:tc>
          <w:tcPr>
            <w:tcW w:w="4248" w:type="dxa"/>
            <w:shd w:val="clear" w:color="000000" w:fill="FFFF99"/>
            <w:noWrap/>
            <w:vAlign w:val="center"/>
            <w:hideMark/>
          </w:tcPr>
          <w:p w14:paraId="704589E8" w14:textId="77777777" w:rsidR="00145D62" w:rsidRPr="00145D62" w:rsidRDefault="00145D62" w:rsidP="00145D62">
            <w:pPr>
              <w:rPr>
                <w:rFonts w:eastAsia="Times New Roman"/>
                <w:b/>
                <w:bCs/>
                <w:sz w:val="20"/>
                <w:szCs w:val="20"/>
              </w:rPr>
            </w:pPr>
            <w:r w:rsidRPr="00145D62">
              <w:rPr>
                <w:rFonts w:eastAsia="Times New Roman"/>
                <w:b/>
                <w:bCs/>
                <w:sz w:val="20"/>
                <w:szCs w:val="20"/>
              </w:rPr>
              <w:t>UKUPNO</w:t>
            </w:r>
          </w:p>
        </w:tc>
        <w:tc>
          <w:tcPr>
            <w:tcW w:w="1417" w:type="dxa"/>
            <w:shd w:val="clear" w:color="000000" w:fill="FFFF99"/>
            <w:vAlign w:val="center"/>
          </w:tcPr>
          <w:p w14:paraId="36C88BA8" w14:textId="2072A71A" w:rsidR="00145D62" w:rsidRPr="00145D62" w:rsidRDefault="00145D62" w:rsidP="00145D62">
            <w:pPr>
              <w:jc w:val="right"/>
              <w:rPr>
                <w:b/>
                <w:sz w:val="20"/>
                <w:szCs w:val="14"/>
              </w:rPr>
            </w:pPr>
            <w:r w:rsidRPr="00145D62">
              <w:rPr>
                <w:rFonts w:eastAsia="Times New Roman"/>
                <w:b/>
                <w:bCs/>
                <w:sz w:val="20"/>
                <w:szCs w:val="20"/>
                <w:lang w:eastAsia="hr-HR"/>
              </w:rPr>
              <w:t>160,5</w:t>
            </w:r>
          </w:p>
        </w:tc>
        <w:tc>
          <w:tcPr>
            <w:tcW w:w="1418" w:type="dxa"/>
            <w:shd w:val="clear" w:color="000000" w:fill="FFFF99"/>
            <w:vAlign w:val="center"/>
          </w:tcPr>
          <w:p w14:paraId="46A287F8" w14:textId="3EE12EC4" w:rsidR="00145D62" w:rsidRPr="00145D62" w:rsidRDefault="00145D62" w:rsidP="00145D62">
            <w:pPr>
              <w:jc w:val="right"/>
              <w:rPr>
                <w:b/>
                <w:sz w:val="20"/>
                <w:szCs w:val="14"/>
              </w:rPr>
            </w:pPr>
            <w:r w:rsidRPr="00145D62">
              <w:rPr>
                <w:rFonts w:eastAsia="Times New Roman"/>
                <w:b/>
                <w:bCs/>
                <w:sz w:val="20"/>
                <w:szCs w:val="20"/>
                <w:lang w:eastAsia="hr-HR"/>
              </w:rPr>
              <w:t>205,0</w:t>
            </w:r>
          </w:p>
        </w:tc>
        <w:tc>
          <w:tcPr>
            <w:tcW w:w="1417" w:type="dxa"/>
            <w:shd w:val="clear" w:color="000000" w:fill="FFFF99"/>
            <w:vAlign w:val="center"/>
          </w:tcPr>
          <w:p w14:paraId="64470A0F" w14:textId="625450D1" w:rsidR="00145D62" w:rsidRPr="00145D62" w:rsidRDefault="00145D62" w:rsidP="00145D62">
            <w:pPr>
              <w:jc w:val="right"/>
              <w:rPr>
                <w:b/>
                <w:sz w:val="20"/>
                <w:szCs w:val="14"/>
              </w:rPr>
            </w:pPr>
            <w:r w:rsidRPr="00145D62">
              <w:rPr>
                <w:rFonts w:eastAsia="Times New Roman"/>
                <w:b/>
                <w:bCs/>
                <w:sz w:val="20"/>
                <w:szCs w:val="20"/>
                <w:lang w:eastAsia="hr-HR"/>
              </w:rPr>
              <w:t>320,6</w:t>
            </w:r>
          </w:p>
        </w:tc>
      </w:tr>
      <w:tr w:rsidR="00145D62" w:rsidRPr="007A7C7C" w14:paraId="28D1A34A" w14:textId="77777777" w:rsidTr="00145D62">
        <w:trPr>
          <w:trHeight w:val="40"/>
        </w:trPr>
        <w:tc>
          <w:tcPr>
            <w:tcW w:w="4248" w:type="dxa"/>
            <w:shd w:val="clear" w:color="auto" w:fill="auto"/>
            <w:vAlign w:val="center"/>
            <w:hideMark/>
          </w:tcPr>
          <w:p w14:paraId="5715D6A2" w14:textId="77777777" w:rsidR="00145D62" w:rsidRPr="00145D62" w:rsidRDefault="00145D62" w:rsidP="00145D62">
            <w:pPr>
              <w:rPr>
                <w:rFonts w:eastAsia="Times New Roman"/>
                <w:sz w:val="20"/>
                <w:szCs w:val="20"/>
              </w:rPr>
            </w:pPr>
            <w:r w:rsidRPr="00145D62">
              <w:rPr>
                <w:rFonts w:eastAsia="Times New Roman"/>
                <w:sz w:val="20"/>
              </w:rPr>
              <w:t>udio (%) u posebnim sektorima</w:t>
            </w:r>
          </w:p>
        </w:tc>
        <w:tc>
          <w:tcPr>
            <w:tcW w:w="1417" w:type="dxa"/>
            <w:vAlign w:val="center"/>
          </w:tcPr>
          <w:p w14:paraId="7BD7E116" w14:textId="30A05A42" w:rsidR="00145D62" w:rsidRPr="00145D62" w:rsidRDefault="00145D62" w:rsidP="00145D62">
            <w:pPr>
              <w:jc w:val="center"/>
              <w:rPr>
                <w:sz w:val="20"/>
                <w:szCs w:val="14"/>
              </w:rPr>
            </w:pPr>
            <w:r>
              <w:rPr>
                <w:rFonts w:eastAsia="Times New Roman"/>
                <w:sz w:val="20"/>
                <w:szCs w:val="20"/>
                <w:lang w:eastAsia="hr-HR"/>
              </w:rPr>
              <w:t>27,48</w:t>
            </w:r>
          </w:p>
        </w:tc>
        <w:tc>
          <w:tcPr>
            <w:tcW w:w="1418" w:type="dxa"/>
            <w:vAlign w:val="center"/>
          </w:tcPr>
          <w:p w14:paraId="23E2F9D6" w14:textId="4883A9D2" w:rsidR="00145D62" w:rsidRPr="00145D62" w:rsidRDefault="00145D62" w:rsidP="00145D62">
            <w:pPr>
              <w:jc w:val="center"/>
              <w:rPr>
                <w:sz w:val="20"/>
                <w:szCs w:val="14"/>
              </w:rPr>
            </w:pPr>
            <w:r>
              <w:rPr>
                <w:rFonts w:eastAsia="Times New Roman"/>
                <w:sz w:val="20"/>
                <w:szCs w:val="20"/>
                <w:lang w:eastAsia="hr-HR"/>
              </w:rPr>
              <w:t>33,93</w:t>
            </w:r>
          </w:p>
        </w:tc>
        <w:tc>
          <w:tcPr>
            <w:tcW w:w="1417" w:type="dxa"/>
            <w:vAlign w:val="center"/>
          </w:tcPr>
          <w:p w14:paraId="55974F7F" w14:textId="2D91DE92" w:rsidR="00145D62" w:rsidRPr="00145D62" w:rsidRDefault="00145D62" w:rsidP="00145D62">
            <w:pPr>
              <w:jc w:val="center"/>
              <w:rPr>
                <w:sz w:val="20"/>
                <w:szCs w:val="14"/>
              </w:rPr>
            </w:pPr>
            <w:r>
              <w:rPr>
                <w:rFonts w:eastAsia="Times New Roman"/>
                <w:sz w:val="20"/>
                <w:szCs w:val="20"/>
                <w:lang w:eastAsia="hr-HR"/>
              </w:rPr>
              <w:t>37,77</w:t>
            </w:r>
          </w:p>
        </w:tc>
      </w:tr>
      <w:tr w:rsidR="00145D62" w:rsidRPr="007A7C7C" w14:paraId="51054373" w14:textId="77777777" w:rsidTr="00145D62">
        <w:trPr>
          <w:trHeight w:val="90"/>
        </w:trPr>
        <w:tc>
          <w:tcPr>
            <w:tcW w:w="4248" w:type="dxa"/>
            <w:shd w:val="clear" w:color="auto" w:fill="auto"/>
            <w:vAlign w:val="center"/>
            <w:hideMark/>
          </w:tcPr>
          <w:p w14:paraId="0D7213CB" w14:textId="77777777" w:rsidR="00145D62" w:rsidRPr="00145D62" w:rsidRDefault="00145D62" w:rsidP="00145D62">
            <w:pPr>
              <w:rPr>
                <w:rFonts w:eastAsia="Times New Roman"/>
                <w:sz w:val="20"/>
                <w:szCs w:val="20"/>
              </w:rPr>
            </w:pPr>
            <w:r w:rsidRPr="00145D62">
              <w:rPr>
                <w:rFonts w:eastAsia="Times New Roman"/>
                <w:sz w:val="20"/>
                <w:szCs w:val="20"/>
              </w:rPr>
              <w:t>udio (%) u ukupnim potporama (bez poljoprivrede i ribarstva)</w:t>
            </w:r>
          </w:p>
        </w:tc>
        <w:tc>
          <w:tcPr>
            <w:tcW w:w="1417" w:type="dxa"/>
            <w:vAlign w:val="center"/>
          </w:tcPr>
          <w:p w14:paraId="6C6E1847" w14:textId="3CFE5FE0" w:rsidR="00145D62" w:rsidRPr="00145D62" w:rsidRDefault="00145D62" w:rsidP="00145D62">
            <w:pPr>
              <w:jc w:val="center"/>
              <w:rPr>
                <w:sz w:val="20"/>
                <w:szCs w:val="14"/>
              </w:rPr>
            </w:pPr>
            <w:r>
              <w:rPr>
                <w:rFonts w:eastAsia="Times New Roman"/>
                <w:sz w:val="20"/>
                <w:szCs w:val="20"/>
                <w:lang w:eastAsia="hr-HR"/>
              </w:rPr>
              <w:t>8,30</w:t>
            </w:r>
          </w:p>
        </w:tc>
        <w:tc>
          <w:tcPr>
            <w:tcW w:w="1418" w:type="dxa"/>
            <w:vAlign w:val="center"/>
          </w:tcPr>
          <w:p w14:paraId="56A64B36" w14:textId="76850F98" w:rsidR="00145D62" w:rsidRPr="00145D62" w:rsidRDefault="00145D62" w:rsidP="00145D62">
            <w:pPr>
              <w:jc w:val="center"/>
              <w:rPr>
                <w:sz w:val="20"/>
                <w:szCs w:val="14"/>
              </w:rPr>
            </w:pPr>
            <w:r>
              <w:rPr>
                <w:rFonts w:eastAsia="Times New Roman"/>
                <w:sz w:val="20"/>
                <w:szCs w:val="20"/>
                <w:lang w:eastAsia="hr-HR"/>
              </w:rPr>
              <w:t>10,04</w:t>
            </w:r>
          </w:p>
        </w:tc>
        <w:tc>
          <w:tcPr>
            <w:tcW w:w="1417" w:type="dxa"/>
            <w:vAlign w:val="center"/>
          </w:tcPr>
          <w:p w14:paraId="44A0345A" w14:textId="17838207" w:rsidR="00145D62" w:rsidRPr="00145D62" w:rsidRDefault="00145D62" w:rsidP="00145D62">
            <w:pPr>
              <w:jc w:val="center"/>
              <w:rPr>
                <w:sz w:val="20"/>
                <w:szCs w:val="14"/>
              </w:rPr>
            </w:pPr>
            <w:r>
              <w:rPr>
                <w:rFonts w:eastAsia="Times New Roman"/>
                <w:sz w:val="20"/>
                <w:szCs w:val="20"/>
                <w:lang w:eastAsia="hr-HR"/>
              </w:rPr>
              <w:t>16,30</w:t>
            </w:r>
          </w:p>
        </w:tc>
      </w:tr>
      <w:tr w:rsidR="00145D62" w:rsidRPr="007A7C7C" w14:paraId="6FD9BB92" w14:textId="77777777" w:rsidTr="00145D62">
        <w:trPr>
          <w:trHeight w:val="40"/>
        </w:trPr>
        <w:tc>
          <w:tcPr>
            <w:tcW w:w="4248" w:type="dxa"/>
            <w:shd w:val="clear" w:color="auto" w:fill="auto"/>
            <w:vAlign w:val="center"/>
            <w:hideMark/>
          </w:tcPr>
          <w:p w14:paraId="51F97C0D" w14:textId="77777777" w:rsidR="00145D62" w:rsidRPr="00145D62" w:rsidRDefault="00145D62" w:rsidP="00145D62">
            <w:pPr>
              <w:rPr>
                <w:rFonts w:eastAsia="Times New Roman"/>
                <w:sz w:val="20"/>
                <w:szCs w:val="20"/>
              </w:rPr>
            </w:pPr>
            <w:r w:rsidRPr="00145D62">
              <w:rPr>
                <w:rFonts w:eastAsia="Times New Roman"/>
                <w:sz w:val="20"/>
                <w:szCs w:val="20"/>
              </w:rPr>
              <w:t>udio (%) u ukupnim potporama</w:t>
            </w:r>
          </w:p>
        </w:tc>
        <w:tc>
          <w:tcPr>
            <w:tcW w:w="1417" w:type="dxa"/>
            <w:vAlign w:val="center"/>
          </w:tcPr>
          <w:p w14:paraId="6B18E06D" w14:textId="0C1551C2" w:rsidR="00145D62" w:rsidRPr="00145D62" w:rsidRDefault="00145D62" w:rsidP="00145D62">
            <w:pPr>
              <w:jc w:val="center"/>
              <w:rPr>
                <w:sz w:val="20"/>
                <w:szCs w:val="14"/>
              </w:rPr>
            </w:pPr>
            <w:r>
              <w:rPr>
                <w:rFonts w:eastAsia="Times New Roman"/>
                <w:sz w:val="20"/>
                <w:szCs w:val="20"/>
                <w:lang w:eastAsia="hr-HR"/>
              </w:rPr>
              <w:t>5,46</w:t>
            </w:r>
          </w:p>
        </w:tc>
        <w:tc>
          <w:tcPr>
            <w:tcW w:w="1418" w:type="dxa"/>
            <w:vAlign w:val="center"/>
          </w:tcPr>
          <w:p w14:paraId="3466B068" w14:textId="6285B7AB" w:rsidR="00145D62" w:rsidRPr="00145D62" w:rsidRDefault="00145D62" w:rsidP="00145D62">
            <w:pPr>
              <w:jc w:val="center"/>
              <w:rPr>
                <w:sz w:val="20"/>
                <w:szCs w:val="14"/>
              </w:rPr>
            </w:pPr>
            <w:r>
              <w:rPr>
                <w:rFonts w:eastAsia="Times New Roman"/>
                <w:sz w:val="20"/>
                <w:szCs w:val="20"/>
                <w:lang w:eastAsia="hr-HR"/>
              </w:rPr>
              <w:t>6,80</w:t>
            </w:r>
          </w:p>
        </w:tc>
        <w:tc>
          <w:tcPr>
            <w:tcW w:w="1417" w:type="dxa"/>
            <w:vAlign w:val="center"/>
          </w:tcPr>
          <w:p w14:paraId="628A5487" w14:textId="1EA589DD" w:rsidR="00145D62" w:rsidRPr="00145D62" w:rsidRDefault="00145D62" w:rsidP="00145D62">
            <w:pPr>
              <w:jc w:val="center"/>
              <w:rPr>
                <w:sz w:val="20"/>
                <w:szCs w:val="14"/>
              </w:rPr>
            </w:pPr>
            <w:r>
              <w:rPr>
                <w:rFonts w:eastAsia="Times New Roman"/>
                <w:sz w:val="20"/>
                <w:szCs w:val="20"/>
                <w:lang w:eastAsia="hr-HR"/>
              </w:rPr>
              <w:t>10,56</w:t>
            </w:r>
          </w:p>
        </w:tc>
      </w:tr>
      <w:tr w:rsidR="00145D62" w:rsidRPr="007A7C7C" w14:paraId="75EFC81D" w14:textId="77777777" w:rsidTr="00145D62">
        <w:trPr>
          <w:trHeight w:val="40"/>
        </w:trPr>
        <w:tc>
          <w:tcPr>
            <w:tcW w:w="4248" w:type="dxa"/>
            <w:shd w:val="clear" w:color="auto" w:fill="auto"/>
            <w:vAlign w:val="center"/>
            <w:hideMark/>
          </w:tcPr>
          <w:p w14:paraId="0EFDCBE6" w14:textId="77777777" w:rsidR="00145D62" w:rsidRPr="00145D62" w:rsidRDefault="00145D62" w:rsidP="00145D62">
            <w:pPr>
              <w:rPr>
                <w:rFonts w:eastAsia="Times New Roman"/>
                <w:sz w:val="20"/>
                <w:szCs w:val="20"/>
              </w:rPr>
            </w:pPr>
            <w:r w:rsidRPr="00145D62">
              <w:rPr>
                <w:rFonts w:eastAsia="Times New Roman"/>
                <w:sz w:val="20"/>
                <w:szCs w:val="20"/>
              </w:rPr>
              <w:t>udio (%) u BDP-u</w:t>
            </w:r>
          </w:p>
        </w:tc>
        <w:tc>
          <w:tcPr>
            <w:tcW w:w="1417" w:type="dxa"/>
            <w:vAlign w:val="center"/>
          </w:tcPr>
          <w:p w14:paraId="3983F3C6" w14:textId="49DB301E" w:rsidR="00145D62" w:rsidRPr="00145D62" w:rsidRDefault="00145D62" w:rsidP="00145D62">
            <w:pPr>
              <w:jc w:val="center"/>
              <w:rPr>
                <w:sz w:val="20"/>
                <w:szCs w:val="14"/>
              </w:rPr>
            </w:pPr>
            <w:r>
              <w:rPr>
                <w:rFonts w:eastAsia="Times New Roman"/>
                <w:sz w:val="20"/>
                <w:szCs w:val="20"/>
                <w:lang w:eastAsia="hr-HR"/>
              </w:rPr>
              <w:t>0,27</w:t>
            </w:r>
          </w:p>
        </w:tc>
        <w:tc>
          <w:tcPr>
            <w:tcW w:w="1418" w:type="dxa"/>
            <w:vAlign w:val="center"/>
          </w:tcPr>
          <w:p w14:paraId="162BB5C5" w14:textId="649AE3F5" w:rsidR="00145D62" w:rsidRPr="00145D62" w:rsidRDefault="00145D62" w:rsidP="00145D62">
            <w:pPr>
              <w:jc w:val="center"/>
              <w:rPr>
                <w:sz w:val="20"/>
                <w:szCs w:val="14"/>
              </w:rPr>
            </w:pPr>
            <w:r>
              <w:rPr>
                <w:rFonts w:eastAsia="Times New Roman"/>
                <w:sz w:val="20"/>
                <w:szCs w:val="20"/>
                <w:lang w:eastAsia="hr-HR"/>
              </w:rPr>
              <w:t>0,30</w:t>
            </w:r>
          </w:p>
        </w:tc>
        <w:tc>
          <w:tcPr>
            <w:tcW w:w="1417" w:type="dxa"/>
            <w:vAlign w:val="center"/>
          </w:tcPr>
          <w:p w14:paraId="25E8FAF1" w14:textId="6A11DF60" w:rsidR="00145D62" w:rsidRPr="00145D62" w:rsidRDefault="00145D62" w:rsidP="00145D62">
            <w:pPr>
              <w:jc w:val="center"/>
              <w:rPr>
                <w:sz w:val="20"/>
                <w:szCs w:val="14"/>
              </w:rPr>
            </w:pPr>
            <w:r>
              <w:rPr>
                <w:rFonts w:eastAsia="Times New Roman"/>
                <w:sz w:val="20"/>
                <w:szCs w:val="20"/>
                <w:lang w:eastAsia="hr-HR"/>
              </w:rPr>
              <w:t>0,42</w:t>
            </w:r>
          </w:p>
        </w:tc>
      </w:tr>
    </w:tbl>
    <w:p w14:paraId="54C1B59C" w14:textId="77777777" w:rsidR="00145D62" w:rsidRPr="00145D62" w:rsidRDefault="00145D62" w:rsidP="00145D62">
      <w:pPr>
        <w:contextualSpacing/>
        <w:jc w:val="both"/>
        <w:rPr>
          <w:i/>
          <w:sz w:val="20"/>
        </w:rPr>
      </w:pPr>
      <w:r w:rsidRPr="00145D62">
        <w:rPr>
          <w:i/>
          <w:sz w:val="20"/>
        </w:rPr>
        <w:t>Izvor: Ministarstvo financija i davatelji potpora; podaci obrađeni u Ministarstvu financija</w:t>
      </w:r>
    </w:p>
    <w:p w14:paraId="38189495" w14:textId="77777777" w:rsidR="00CE5303" w:rsidRPr="00145D62" w:rsidRDefault="00CE5303" w:rsidP="00BE487D">
      <w:pPr>
        <w:contextualSpacing/>
        <w:jc w:val="both"/>
        <w:rPr>
          <w:i/>
        </w:rPr>
      </w:pPr>
    </w:p>
    <w:p w14:paraId="03056641" w14:textId="3975C9D2" w:rsidR="007430EB" w:rsidRPr="007430EB" w:rsidRDefault="007430EB" w:rsidP="007430EB">
      <w:pPr>
        <w:jc w:val="both"/>
      </w:pPr>
      <w:r w:rsidRPr="007430EB">
        <w:t xml:space="preserve">Udio potpora u </w:t>
      </w:r>
      <w:r w:rsidRPr="007430EB">
        <w:rPr>
          <w:rFonts w:eastAsia="Calibri"/>
        </w:rPr>
        <w:t xml:space="preserve">sektoru prometa </w:t>
      </w:r>
      <w:r w:rsidRPr="007430EB">
        <w:t xml:space="preserve">u BDP-u u 2023. godini iznosio je 0,42 posto, u 2022. godini iznosio je 0,30 posto, dok je u 2021. godini iznosio 0,27 posto. Udio navedenih potpora u 2023. </w:t>
      </w:r>
      <w:r w:rsidRPr="007430EB">
        <w:lastRenderedPageBreak/>
        <w:t>godini u ukupno dodijeljenim potporama iznosio je 10,6 posto, udio u dodijeljenim potporama u sektoru industrije i usluga u 2023. godini iznosio je 16,3 posto, dok je udio navedenih potpora u sektorskim potporama u 2023. godini iznosio 37,8 posto.</w:t>
      </w:r>
    </w:p>
    <w:p w14:paraId="0E52F508" w14:textId="77777777" w:rsidR="005E085A" w:rsidRPr="007430EB" w:rsidRDefault="005E085A" w:rsidP="00BD5661">
      <w:pPr>
        <w:jc w:val="both"/>
      </w:pPr>
    </w:p>
    <w:p w14:paraId="082F5AD6" w14:textId="3A40C9BD" w:rsidR="00A10F81" w:rsidRPr="00A10F81" w:rsidRDefault="007430EB" w:rsidP="00A10F81">
      <w:pPr>
        <w:jc w:val="both"/>
      </w:pPr>
      <w:r w:rsidRPr="00A10F81">
        <w:t>Unutar ukupno dodijeljenih potpora u sektora prometa u 2023. godini u iznosu od 320,6 milijuna eura, najviše potpora dodijeljeno je kopnenom željezničkom prometu i to u iznosu od 107,5 milijuna eura ili s udjelom od 33,5 posto u sektoru prometa,</w:t>
      </w:r>
      <w:r w:rsidR="00A10F81" w:rsidRPr="00A10F81">
        <w:t xml:space="preserve"> slijede potpore kopnenom cestovnom prometu u iznosu od 92,3 milijuna eura ili s udjelom od 28,8 posto, potpore pomorskom prometu u iznosu od 90,2 milijuna eura ili s udjelom od 28,1 posto te potpore zračnom prometu u iznosu od 30,6 milijuna eura ili s udjelom od 9,5 posto.</w:t>
      </w:r>
    </w:p>
    <w:p w14:paraId="54098901" w14:textId="18021A76" w:rsidR="007430EB" w:rsidRPr="00A10F81" w:rsidRDefault="007430EB" w:rsidP="002E26BD">
      <w:pPr>
        <w:jc w:val="both"/>
      </w:pPr>
    </w:p>
    <w:p w14:paraId="4F91DD51" w14:textId="3BBD7F95" w:rsidR="002E26BD" w:rsidRPr="00DA0C65" w:rsidRDefault="002E26BD" w:rsidP="002E26BD">
      <w:pPr>
        <w:pStyle w:val="T-109sred"/>
        <w:spacing w:before="0" w:after="0"/>
        <w:contextualSpacing/>
        <w:jc w:val="both"/>
        <w:rPr>
          <w:rFonts w:ascii="Times New Roman" w:hAnsi="Times New Roman"/>
          <w:sz w:val="24"/>
          <w:szCs w:val="24"/>
          <w:lang w:val="hr-HR"/>
        </w:rPr>
      </w:pPr>
      <w:r w:rsidRPr="00B75A66">
        <w:rPr>
          <w:rFonts w:ascii="Times New Roman" w:hAnsi="Times New Roman"/>
          <w:sz w:val="24"/>
          <w:szCs w:val="24"/>
          <w:lang w:val="hr-HR"/>
        </w:rPr>
        <w:t>Tablica 2</w:t>
      </w:r>
      <w:r w:rsidR="00DA0C65" w:rsidRPr="00B75A66">
        <w:rPr>
          <w:rFonts w:ascii="Times New Roman" w:hAnsi="Times New Roman"/>
          <w:sz w:val="24"/>
          <w:szCs w:val="24"/>
          <w:lang w:val="hr-HR"/>
        </w:rPr>
        <w:t>1</w:t>
      </w:r>
      <w:r w:rsidRPr="00B75A66">
        <w:rPr>
          <w:rFonts w:ascii="Times New Roman" w:hAnsi="Times New Roman"/>
          <w:sz w:val="24"/>
          <w:szCs w:val="24"/>
          <w:lang w:val="hr-HR"/>
        </w:rPr>
        <w:t xml:space="preserve">. Potpore dodijeljene </w:t>
      </w:r>
      <w:r w:rsidR="00FB6521" w:rsidRPr="00B75A66">
        <w:rPr>
          <w:rFonts w:ascii="Times New Roman" w:hAnsi="Times New Roman"/>
          <w:sz w:val="24"/>
          <w:szCs w:val="24"/>
          <w:lang w:val="hr-HR"/>
        </w:rPr>
        <w:t xml:space="preserve">u </w:t>
      </w:r>
      <w:r w:rsidRPr="00B75A66">
        <w:rPr>
          <w:rFonts w:ascii="Times New Roman" w:hAnsi="Times New Roman"/>
          <w:sz w:val="24"/>
          <w:szCs w:val="24"/>
          <w:lang w:val="hr-HR"/>
        </w:rPr>
        <w:t xml:space="preserve">sektoru prometa </w:t>
      </w:r>
      <w:r w:rsidR="00FB6521" w:rsidRPr="00B75A66">
        <w:rPr>
          <w:rFonts w:ascii="Times New Roman" w:hAnsi="Times New Roman"/>
          <w:sz w:val="24"/>
          <w:szCs w:val="24"/>
          <w:lang w:val="hr-HR"/>
        </w:rPr>
        <w:t xml:space="preserve">prikazane </w:t>
      </w:r>
      <w:r w:rsidRPr="00B75A66">
        <w:rPr>
          <w:rFonts w:ascii="Times New Roman" w:hAnsi="Times New Roman"/>
          <w:sz w:val="24"/>
          <w:szCs w:val="24"/>
          <w:lang w:val="hr-HR"/>
        </w:rPr>
        <w:t xml:space="preserve">prema instrumentima </w:t>
      </w:r>
      <w:r w:rsidR="00FB6521" w:rsidRPr="00B75A66">
        <w:rPr>
          <w:rFonts w:ascii="Times New Roman" w:hAnsi="Times New Roman"/>
          <w:sz w:val="24"/>
          <w:szCs w:val="24"/>
          <w:lang w:val="hr-HR"/>
        </w:rPr>
        <w:t>u</w:t>
      </w:r>
      <w:r w:rsidRPr="00B75A66">
        <w:rPr>
          <w:rFonts w:ascii="Times New Roman" w:hAnsi="Times New Roman"/>
          <w:sz w:val="24"/>
          <w:szCs w:val="24"/>
          <w:lang w:val="hr-HR"/>
        </w:rPr>
        <w:t xml:space="preserve"> razdoblj</w:t>
      </w:r>
      <w:r w:rsidR="00FB6521" w:rsidRPr="00B75A66">
        <w:rPr>
          <w:rFonts w:ascii="Times New Roman" w:hAnsi="Times New Roman"/>
          <w:sz w:val="24"/>
          <w:szCs w:val="24"/>
          <w:lang w:val="hr-HR"/>
        </w:rPr>
        <w:t>u</w:t>
      </w:r>
      <w:r w:rsidRPr="00DA0C65">
        <w:rPr>
          <w:rFonts w:ascii="Times New Roman" w:hAnsi="Times New Roman"/>
          <w:sz w:val="24"/>
          <w:szCs w:val="24"/>
          <w:lang w:val="hr-HR"/>
        </w:rPr>
        <w:t xml:space="preserve"> od 20</w:t>
      </w:r>
      <w:r w:rsidR="00AE4AD8" w:rsidRPr="00DA0C65">
        <w:rPr>
          <w:rFonts w:ascii="Times New Roman" w:hAnsi="Times New Roman"/>
          <w:sz w:val="24"/>
          <w:szCs w:val="24"/>
          <w:lang w:val="hr-HR"/>
        </w:rPr>
        <w:t>2</w:t>
      </w:r>
      <w:r w:rsidR="00DA0C65" w:rsidRPr="00DA0C65">
        <w:rPr>
          <w:rFonts w:ascii="Times New Roman" w:hAnsi="Times New Roman"/>
          <w:sz w:val="24"/>
          <w:szCs w:val="24"/>
          <w:lang w:val="hr-HR"/>
        </w:rPr>
        <w:t>1</w:t>
      </w:r>
      <w:r w:rsidRPr="00DA0C65">
        <w:rPr>
          <w:rFonts w:ascii="Times New Roman" w:hAnsi="Times New Roman"/>
          <w:sz w:val="24"/>
          <w:szCs w:val="24"/>
          <w:lang w:val="hr-HR"/>
        </w:rPr>
        <w:t>. do 202</w:t>
      </w:r>
      <w:r w:rsidR="00DA0C65" w:rsidRPr="00DA0C65">
        <w:rPr>
          <w:rFonts w:ascii="Times New Roman" w:hAnsi="Times New Roman"/>
          <w:sz w:val="24"/>
          <w:szCs w:val="24"/>
          <w:lang w:val="hr-HR"/>
        </w:rPr>
        <w:t>3</w:t>
      </w:r>
      <w:r w:rsidRPr="00DA0C65">
        <w:rPr>
          <w:rFonts w:ascii="Times New Roman" w:hAnsi="Times New Roman"/>
          <w:sz w:val="24"/>
          <w:szCs w:val="24"/>
          <w:lang w:val="hr-HR"/>
        </w:rPr>
        <w:t xml:space="preserve">. godine (u milijunima </w:t>
      </w:r>
      <w:r w:rsidR="00DA0C65" w:rsidRPr="00DA0C65">
        <w:rPr>
          <w:rFonts w:ascii="Times New Roman" w:hAnsi="Times New Roman"/>
          <w:sz w:val="24"/>
          <w:szCs w:val="24"/>
          <w:lang w:val="hr-HR"/>
        </w:rPr>
        <w:t>eura</w:t>
      </w:r>
      <w:r w:rsidRPr="00DA0C65">
        <w:rPr>
          <w:rFonts w:ascii="Times New Roman" w:hAnsi="Times New Roman"/>
          <w:sz w:val="24"/>
          <w:szCs w:val="24"/>
          <w:lang w:val="hr-HR"/>
        </w:rPr>
        <w:t>)</w:t>
      </w:r>
    </w:p>
    <w:p w14:paraId="29E43D0D" w14:textId="77777777" w:rsidR="002E26BD" w:rsidRPr="00FB6521" w:rsidRDefault="002E26BD" w:rsidP="002E26BD">
      <w:pPr>
        <w:pStyle w:val="T-109sred"/>
        <w:spacing w:before="0" w:after="0"/>
        <w:contextualSpacing/>
        <w:jc w:val="both"/>
        <w:rPr>
          <w:rFonts w:ascii="Times New Roman" w:hAnsi="Times New Roman"/>
          <w:b/>
          <w:sz w:val="20"/>
          <w:szCs w:val="24"/>
          <w:lang w:val="hr-HR"/>
        </w:rPr>
      </w:pPr>
    </w:p>
    <w:tbl>
      <w:tblPr>
        <w:tblW w:w="7391" w:type="dxa"/>
        <w:tblLook w:val="04A0" w:firstRow="1" w:lastRow="0" w:firstColumn="1" w:lastColumn="0" w:noHBand="0" w:noVBand="1"/>
      </w:tblPr>
      <w:tblGrid>
        <w:gridCol w:w="4854"/>
        <w:gridCol w:w="821"/>
        <w:gridCol w:w="816"/>
        <w:gridCol w:w="900"/>
      </w:tblGrid>
      <w:tr w:rsidR="00FB6521" w:rsidRPr="00FB6521" w14:paraId="0660CC79" w14:textId="77777777" w:rsidTr="008724AB">
        <w:trPr>
          <w:trHeight w:val="122"/>
        </w:trPr>
        <w:tc>
          <w:tcPr>
            <w:tcW w:w="485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406E048" w14:textId="77777777" w:rsidR="00FB6521" w:rsidRPr="00FB6521" w:rsidRDefault="00FB6521" w:rsidP="00FB6521">
            <w:pPr>
              <w:jc w:val="both"/>
              <w:rPr>
                <w:b/>
                <w:bCs/>
                <w:sz w:val="20"/>
                <w:lang w:eastAsia="hr-HR"/>
              </w:rPr>
            </w:pPr>
            <w:r w:rsidRPr="00FB6521">
              <w:rPr>
                <w:b/>
                <w:bCs/>
                <w:sz w:val="20"/>
                <w:lang w:eastAsia="hr-HR"/>
              </w:rPr>
              <w:t> </w:t>
            </w:r>
          </w:p>
        </w:tc>
        <w:tc>
          <w:tcPr>
            <w:tcW w:w="821" w:type="dxa"/>
            <w:tcBorders>
              <w:top w:val="single" w:sz="4" w:space="0" w:color="auto"/>
              <w:left w:val="nil"/>
              <w:bottom w:val="single" w:sz="4" w:space="0" w:color="auto"/>
              <w:right w:val="single" w:sz="4" w:space="0" w:color="auto"/>
            </w:tcBorders>
            <w:shd w:val="clear" w:color="000000" w:fill="FFFF99"/>
            <w:noWrap/>
            <w:vAlign w:val="center"/>
            <w:hideMark/>
          </w:tcPr>
          <w:p w14:paraId="06D70BB7" w14:textId="0599FAF7" w:rsidR="00FB6521" w:rsidRPr="00FB6521" w:rsidRDefault="00FB6521" w:rsidP="00FB6521">
            <w:pPr>
              <w:jc w:val="center"/>
              <w:rPr>
                <w:b/>
                <w:sz w:val="20"/>
              </w:rPr>
            </w:pPr>
            <w:r w:rsidRPr="00FB6521">
              <w:rPr>
                <w:rFonts w:eastAsia="Times New Roman"/>
                <w:b/>
                <w:bCs/>
                <w:sz w:val="20"/>
                <w:szCs w:val="20"/>
                <w:lang w:eastAsia="hr-HR"/>
              </w:rPr>
              <w:t>2021.</w:t>
            </w:r>
          </w:p>
        </w:tc>
        <w:tc>
          <w:tcPr>
            <w:tcW w:w="816" w:type="dxa"/>
            <w:tcBorders>
              <w:top w:val="single" w:sz="4" w:space="0" w:color="auto"/>
              <w:left w:val="nil"/>
              <w:bottom w:val="single" w:sz="4" w:space="0" w:color="auto"/>
              <w:right w:val="single" w:sz="4" w:space="0" w:color="auto"/>
            </w:tcBorders>
            <w:shd w:val="clear" w:color="000000" w:fill="FFFF99"/>
            <w:noWrap/>
            <w:vAlign w:val="center"/>
            <w:hideMark/>
          </w:tcPr>
          <w:p w14:paraId="02E931FE" w14:textId="78329780" w:rsidR="00FB6521" w:rsidRPr="00FB6521" w:rsidRDefault="00FB6521" w:rsidP="00FB6521">
            <w:pPr>
              <w:jc w:val="center"/>
              <w:rPr>
                <w:b/>
                <w:sz w:val="20"/>
              </w:rPr>
            </w:pPr>
            <w:r w:rsidRPr="00FB6521">
              <w:rPr>
                <w:rFonts w:eastAsia="Times New Roman"/>
                <w:b/>
                <w:bCs/>
                <w:sz w:val="20"/>
                <w:szCs w:val="20"/>
                <w:lang w:eastAsia="hr-HR"/>
              </w:rPr>
              <w:t>2022.</w:t>
            </w:r>
          </w:p>
        </w:tc>
        <w:tc>
          <w:tcPr>
            <w:tcW w:w="900" w:type="dxa"/>
            <w:tcBorders>
              <w:top w:val="single" w:sz="4" w:space="0" w:color="auto"/>
              <w:left w:val="nil"/>
              <w:bottom w:val="single" w:sz="4" w:space="0" w:color="auto"/>
              <w:right w:val="single" w:sz="4" w:space="0" w:color="auto"/>
            </w:tcBorders>
            <w:shd w:val="clear" w:color="000000" w:fill="FFFF99"/>
            <w:noWrap/>
            <w:vAlign w:val="center"/>
            <w:hideMark/>
          </w:tcPr>
          <w:p w14:paraId="472F8DD4" w14:textId="1B1FFB56" w:rsidR="00FB6521" w:rsidRPr="00FB6521" w:rsidRDefault="00FB6521" w:rsidP="00FB6521">
            <w:pPr>
              <w:jc w:val="center"/>
              <w:rPr>
                <w:b/>
                <w:sz w:val="20"/>
              </w:rPr>
            </w:pPr>
            <w:r w:rsidRPr="00FB6521">
              <w:rPr>
                <w:rFonts w:eastAsia="Times New Roman"/>
                <w:b/>
                <w:bCs/>
                <w:sz w:val="20"/>
                <w:szCs w:val="20"/>
                <w:lang w:eastAsia="hr-HR"/>
              </w:rPr>
              <w:t>2023.</w:t>
            </w:r>
          </w:p>
        </w:tc>
      </w:tr>
      <w:tr w:rsidR="00FB6521" w:rsidRPr="00FB6521" w14:paraId="2B8D2B41" w14:textId="77777777" w:rsidTr="008724AB">
        <w:trPr>
          <w:trHeight w:val="112"/>
        </w:trPr>
        <w:tc>
          <w:tcPr>
            <w:tcW w:w="4854" w:type="dxa"/>
            <w:tcBorders>
              <w:top w:val="nil"/>
              <w:left w:val="single" w:sz="4" w:space="0" w:color="auto"/>
              <w:bottom w:val="single" w:sz="4" w:space="0" w:color="auto"/>
              <w:right w:val="single" w:sz="4" w:space="0" w:color="auto"/>
            </w:tcBorders>
            <w:shd w:val="clear" w:color="auto" w:fill="auto"/>
            <w:noWrap/>
            <w:vAlign w:val="center"/>
            <w:hideMark/>
          </w:tcPr>
          <w:p w14:paraId="4A90E8E4" w14:textId="77777777" w:rsidR="00FB6521" w:rsidRPr="00FB6521" w:rsidRDefault="00FB6521" w:rsidP="00FB6521">
            <w:pPr>
              <w:jc w:val="both"/>
              <w:rPr>
                <w:b/>
                <w:bCs/>
                <w:sz w:val="20"/>
                <w:lang w:eastAsia="hr-HR"/>
              </w:rPr>
            </w:pPr>
            <w:r w:rsidRPr="00FB6521">
              <w:rPr>
                <w:b/>
                <w:bCs/>
                <w:sz w:val="20"/>
                <w:lang w:eastAsia="hr-HR"/>
              </w:rPr>
              <w:t>A1</w:t>
            </w:r>
            <w:r w:rsidRPr="00FB6521">
              <w:rPr>
                <w:sz w:val="20"/>
                <w:lang w:eastAsia="hr-HR"/>
              </w:rPr>
              <w:t xml:space="preserve"> subvencije</w:t>
            </w:r>
          </w:p>
        </w:tc>
        <w:tc>
          <w:tcPr>
            <w:tcW w:w="821" w:type="dxa"/>
            <w:tcBorders>
              <w:top w:val="nil"/>
              <w:left w:val="nil"/>
              <w:bottom w:val="single" w:sz="4" w:space="0" w:color="auto"/>
              <w:right w:val="single" w:sz="4" w:space="0" w:color="auto"/>
            </w:tcBorders>
            <w:shd w:val="clear" w:color="auto" w:fill="auto"/>
            <w:noWrap/>
            <w:vAlign w:val="center"/>
          </w:tcPr>
          <w:p w14:paraId="34434FBE" w14:textId="16F6A9B0" w:rsidR="00FB6521" w:rsidRPr="00FB6521" w:rsidRDefault="00FB6521" w:rsidP="00FB6521">
            <w:pPr>
              <w:jc w:val="right"/>
              <w:rPr>
                <w:sz w:val="20"/>
                <w:szCs w:val="20"/>
              </w:rPr>
            </w:pPr>
            <w:r w:rsidRPr="00FB6521">
              <w:rPr>
                <w:rFonts w:eastAsia="Times New Roman"/>
                <w:sz w:val="20"/>
                <w:szCs w:val="20"/>
                <w:lang w:eastAsia="hr-HR"/>
              </w:rPr>
              <w:t>159,5</w:t>
            </w:r>
          </w:p>
        </w:tc>
        <w:tc>
          <w:tcPr>
            <w:tcW w:w="816" w:type="dxa"/>
            <w:tcBorders>
              <w:top w:val="nil"/>
              <w:left w:val="nil"/>
              <w:bottom w:val="single" w:sz="4" w:space="0" w:color="auto"/>
              <w:right w:val="single" w:sz="4" w:space="0" w:color="auto"/>
            </w:tcBorders>
            <w:shd w:val="clear" w:color="auto" w:fill="auto"/>
            <w:noWrap/>
            <w:vAlign w:val="center"/>
            <w:hideMark/>
          </w:tcPr>
          <w:p w14:paraId="1556E87E" w14:textId="01AC885C" w:rsidR="00FB6521" w:rsidRPr="00FB6521" w:rsidRDefault="00FB6521" w:rsidP="00FB6521">
            <w:pPr>
              <w:jc w:val="right"/>
              <w:rPr>
                <w:sz w:val="20"/>
                <w:szCs w:val="20"/>
              </w:rPr>
            </w:pPr>
            <w:r w:rsidRPr="00FB6521">
              <w:rPr>
                <w:rFonts w:eastAsia="Times New Roman"/>
                <w:sz w:val="20"/>
                <w:szCs w:val="20"/>
                <w:lang w:eastAsia="hr-HR"/>
              </w:rPr>
              <w:t>178,4</w:t>
            </w:r>
          </w:p>
        </w:tc>
        <w:tc>
          <w:tcPr>
            <w:tcW w:w="900" w:type="dxa"/>
            <w:tcBorders>
              <w:top w:val="nil"/>
              <w:left w:val="nil"/>
              <w:bottom w:val="single" w:sz="4" w:space="0" w:color="auto"/>
              <w:right w:val="single" w:sz="4" w:space="0" w:color="auto"/>
            </w:tcBorders>
            <w:shd w:val="clear" w:color="auto" w:fill="auto"/>
            <w:noWrap/>
            <w:vAlign w:val="center"/>
            <w:hideMark/>
          </w:tcPr>
          <w:p w14:paraId="4221F3A7" w14:textId="0C6B2DD8" w:rsidR="00FB6521" w:rsidRPr="00FB6521" w:rsidRDefault="00FB6521" w:rsidP="00FB6521">
            <w:pPr>
              <w:jc w:val="right"/>
              <w:rPr>
                <w:sz w:val="20"/>
                <w:szCs w:val="20"/>
              </w:rPr>
            </w:pPr>
            <w:r w:rsidRPr="00FB6521">
              <w:rPr>
                <w:rFonts w:eastAsia="Times New Roman"/>
                <w:sz w:val="20"/>
                <w:szCs w:val="20"/>
                <w:lang w:eastAsia="hr-HR"/>
              </w:rPr>
              <w:t>284,4</w:t>
            </w:r>
          </w:p>
        </w:tc>
      </w:tr>
      <w:tr w:rsidR="00FB6521" w:rsidRPr="00FB6521" w14:paraId="586211AD" w14:textId="77777777" w:rsidTr="008724AB">
        <w:trPr>
          <w:trHeight w:val="47"/>
        </w:trPr>
        <w:tc>
          <w:tcPr>
            <w:tcW w:w="4854" w:type="dxa"/>
            <w:tcBorders>
              <w:top w:val="nil"/>
              <w:left w:val="single" w:sz="4" w:space="0" w:color="auto"/>
              <w:bottom w:val="single" w:sz="4" w:space="0" w:color="auto"/>
              <w:right w:val="single" w:sz="4" w:space="0" w:color="auto"/>
            </w:tcBorders>
            <w:shd w:val="clear" w:color="auto" w:fill="auto"/>
            <w:vAlign w:val="center"/>
            <w:hideMark/>
          </w:tcPr>
          <w:p w14:paraId="61C1316E" w14:textId="77777777" w:rsidR="00FB6521" w:rsidRPr="00FB6521" w:rsidRDefault="00FB6521" w:rsidP="00FB6521">
            <w:pPr>
              <w:jc w:val="both"/>
              <w:rPr>
                <w:sz w:val="20"/>
                <w:lang w:eastAsia="hr-HR"/>
              </w:rPr>
            </w:pPr>
            <w:r w:rsidRPr="00FB6521">
              <w:rPr>
                <w:b/>
                <w:bCs/>
                <w:sz w:val="20"/>
                <w:lang w:eastAsia="hr-HR"/>
              </w:rPr>
              <w:t xml:space="preserve">A2 </w:t>
            </w:r>
            <w:r w:rsidRPr="00FB6521">
              <w:rPr>
                <w:sz w:val="20"/>
                <w:lang w:eastAsia="hr-HR"/>
              </w:rPr>
              <w:t>Oprost poreza, porezna oslobođenja, izuzeća i olakšice</w:t>
            </w:r>
          </w:p>
        </w:tc>
        <w:tc>
          <w:tcPr>
            <w:tcW w:w="821" w:type="dxa"/>
            <w:tcBorders>
              <w:top w:val="nil"/>
              <w:left w:val="nil"/>
              <w:bottom w:val="single" w:sz="4" w:space="0" w:color="auto"/>
              <w:right w:val="single" w:sz="4" w:space="0" w:color="auto"/>
            </w:tcBorders>
            <w:shd w:val="clear" w:color="auto" w:fill="auto"/>
            <w:noWrap/>
            <w:vAlign w:val="center"/>
          </w:tcPr>
          <w:p w14:paraId="4B923A7A" w14:textId="57DC75CE" w:rsidR="00FB6521" w:rsidRPr="00FB6521" w:rsidRDefault="00FB6521" w:rsidP="00FB6521">
            <w:pPr>
              <w:jc w:val="right"/>
              <w:rPr>
                <w:sz w:val="20"/>
                <w:szCs w:val="20"/>
              </w:rPr>
            </w:pPr>
            <w:r w:rsidRPr="00FB6521">
              <w:rPr>
                <w:rFonts w:eastAsia="Times New Roman"/>
                <w:sz w:val="20"/>
                <w:szCs w:val="20"/>
                <w:lang w:eastAsia="hr-HR"/>
              </w:rPr>
              <w:t>1,0</w:t>
            </w:r>
          </w:p>
        </w:tc>
        <w:tc>
          <w:tcPr>
            <w:tcW w:w="816" w:type="dxa"/>
            <w:tcBorders>
              <w:top w:val="nil"/>
              <w:left w:val="nil"/>
              <w:bottom w:val="single" w:sz="4" w:space="0" w:color="auto"/>
              <w:right w:val="single" w:sz="4" w:space="0" w:color="auto"/>
            </w:tcBorders>
            <w:shd w:val="clear" w:color="auto" w:fill="auto"/>
            <w:noWrap/>
            <w:vAlign w:val="center"/>
            <w:hideMark/>
          </w:tcPr>
          <w:p w14:paraId="43DA3B47" w14:textId="054C5FEC" w:rsidR="00FB6521" w:rsidRPr="00FB6521" w:rsidRDefault="00FB6521" w:rsidP="00FB6521">
            <w:pPr>
              <w:jc w:val="right"/>
              <w:rPr>
                <w:sz w:val="20"/>
                <w:szCs w:val="20"/>
              </w:rPr>
            </w:pPr>
            <w:r w:rsidRPr="00FB6521">
              <w:rPr>
                <w:rFonts w:eastAsia="Times New Roman"/>
                <w:sz w:val="20"/>
                <w:szCs w:val="20"/>
                <w:lang w:eastAsia="hr-HR"/>
              </w:rPr>
              <w:t>26,6</w:t>
            </w:r>
          </w:p>
        </w:tc>
        <w:tc>
          <w:tcPr>
            <w:tcW w:w="900" w:type="dxa"/>
            <w:tcBorders>
              <w:top w:val="nil"/>
              <w:left w:val="nil"/>
              <w:bottom w:val="single" w:sz="4" w:space="0" w:color="auto"/>
              <w:right w:val="single" w:sz="4" w:space="0" w:color="auto"/>
            </w:tcBorders>
            <w:shd w:val="clear" w:color="auto" w:fill="auto"/>
            <w:noWrap/>
            <w:vAlign w:val="center"/>
            <w:hideMark/>
          </w:tcPr>
          <w:p w14:paraId="2620EE48" w14:textId="0AE584E3" w:rsidR="00FB6521" w:rsidRPr="00FB6521" w:rsidRDefault="00FB6521" w:rsidP="00FB6521">
            <w:pPr>
              <w:jc w:val="right"/>
              <w:rPr>
                <w:sz w:val="20"/>
                <w:szCs w:val="20"/>
              </w:rPr>
            </w:pPr>
            <w:r w:rsidRPr="00FB6521">
              <w:rPr>
                <w:rFonts w:eastAsia="Times New Roman"/>
                <w:sz w:val="20"/>
                <w:szCs w:val="20"/>
                <w:lang w:eastAsia="hr-HR"/>
              </w:rPr>
              <w:t>21,6</w:t>
            </w:r>
          </w:p>
        </w:tc>
      </w:tr>
      <w:tr w:rsidR="00FB6521" w:rsidRPr="00FB6521" w14:paraId="41404777" w14:textId="77777777" w:rsidTr="008724AB">
        <w:trPr>
          <w:trHeight w:val="47"/>
        </w:trPr>
        <w:tc>
          <w:tcPr>
            <w:tcW w:w="4854" w:type="dxa"/>
            <w:tcBorders>
              <w:top w:val="nil"/>
              <w:left w:val="single" w:sz="4" w:space="0" w:color="auto"/>
              <w:bottom w:val="single" w:sz="4" w:space="0" w:color="auto"/>
              <w:right w:val="single" w:sz="4" w:space="0" w:color="auto"/>
            </w:tcBorders>
            <w:shd w:val="clear" w:color="auto" w:fill="auto"/>
            <w:vAlign w:val="center"/>
          </w:tcPr>
          <w:p w14:paraId="454D0BAA" w14:textId="77777777" w:rsidR="00FB6521" w:rsidRPr="00FB6521" w:rsidRDefault="00FB6521" w:rsidP="00FB6521">
            <w:pPr>
              <w:rPr>
                <w:sz w:val="20"/>
              </w:rPr>
            </w:pPr>
            <w:r w:rsidRPr="00FB6521">
              <w:rPr>
                <w:b/>
                <w:sz w:val="20"/>
              </w:rPr>
              <w:t>C1</w:t>
            </w:r>
            <w:r w:rsidRPr="00FB6521">
              <w:rPr>
                <w:sz w:val="20"/>
              </w:rPr>
              <w:t xml:space="preserve"> Zajmovi poduzetnicima u teškoćama</w:t>
            </w:r>
          </w:p>
        </w:tc>
        <w:tc>
          <w:tcPr>
            <w:tcW w:w="821" w:type="dxa"/>
            <w:tcBorders>
              <w:top w:val="nil"/>
              <w:left w:val="nil"/>
              <w:bottom w:val="single" w:sz="4" w:space="0" w:color="auto"/>
              <w:right w:val="single" w:sz="4" w:space="0" w:color="auto"/>
            </w:tcBorders>
            <w:shd w:val="clear" w:color="auto" w:fill="auto"/>
            <w:noWrap/>
            <w:vAlign w:val="center"/>
          </w:tcPr>
          <w:p w14:paraId="37C54F3A" w14:textId="07D6ADDA" w:rsidR="00FB6521" w:rsidRPr="00FB6521" w:rsidRDefault="00FB6521" w:rsidP="00FB6521">
            <w:pPr>
              <w:jc w:val="right"/>
              <w:rPr>
                <w:sz w:val="20"/>
                <w:szCs w:val="20"/>
              </w:rPr>
            </w:pPr>
            <w:r w:rsidRPr="00FB6521">
              <w:rPr>
                <w:rFonts w:eastAsia="Times New Roman"/>
                <w:sz w:val="20"/>
                <w:szCs w:val="20"/>
                <w:lang w:eastAsia="hr-HR"/>
              </w:rPr>
              <w:t>0,0</w:t>
            </w:r>
          </w:p>
        </w:tc>
        <w:tc>
          <w:tcPr>
            <w:tcW w:w="816" w:type="dxa"/>
            <w:tcBorders>
              <w:top w:val="nil"/>
              <w:left w:val="nil"/>
              <w:bottom w:val="single" w:sz="4" w:space="0" w:color="auto"/>
              <w:right w:val="single" w:sz="4" w:space="0" w:color="auto"/>
            </w:tcBorders>
            <w:shd w:val="clear" w:color="auto" w:fill="auto"/>
            <w:noWrap/>
            <w:vAlign w:val="center"/>
          </w:tcPr>
          <w:p w14:paraId="277D2F13" w14:textId="71497738" w:rsidR="00FB6521" w:rsidRPr="00FB6521" w:rsidRDefault="00FB6521" w:rsidP="00FB6521">
            <w:pPr>
              <w:jc w:val="right"/>
              <w:rPr>
                <w:sz w:val="20"/>
                <w:szCs w:val="20"/>
              </w:rPr>
            </w:pPr>
            <w:r w:rsidRPr="00FB6521">
              <w:rPr>
                <w:rFonts w:eastAsia="Times New Roman"/>
                <w:sz w:val="20"/>
                <w:szCs w:val="20"/>
                <w:lang w:eastAsia="hr-HR"/>
              </w:rPr>
              <w:t>0,0</w:t>
            </w:r>
          </w:p>
        </w:tc>
        <w:tc>
          <w:tcPr>
            <w:tcW w:w="900" w:type="dxa"/>
            <w:tcBorders>
              <w:top w:val="nil"/>
              <w:left w:val="nil"/>
              <w:bottom w:val="single" w:sz="4" w:space="0" w:color="auto"/>
              <w:right w:val="single" w:sz="4" w:space="0" w:color="auto"/>
            </w:tcBorders>
            <w:shd w:val="clear" w:color="auto" w:fill="auto"/>
            <w:noWrap/>
            <w:vAlign w:val="center"/>
          </w:tcPr>
          <w:p w14:paraId="0883BEED" w14:textId="160C5DD6" w:rsidR="00FB6521" w:rsidRPr="00FB6521" w:rsidRDefault="00FB6521" w:rsidP="00FB6521">
            <w:pPr>
              <w:jc w:val="right"/>
              <w:rPr>
                <w:sz w:val="20"/>
                <w:szCs w:val="20"/>
              </w:rPr>
            </w:pPr>
            <w:r w:rsidRPr="00FB6521">
              <w:rPr>
                <w:rFonts w:eastAsia="Times New Roman"/>
                <w:sz w:val="20"/>
                <w:szCs w:val="20"/>
                <w:lang w:eastAsia="hr-HR"/>
              </w:rPr>
              <w:t>14,6</w:t>
            </w:r>
          </w:p>
        </w:tc>
      </w:tr>
      <w:tr w:rsidR="00FB6521" w:rsidRPr="00FB6521" w14:paraId="74B169BE" w14:textId="77777777" w:rsidTr="008724AB">
        <w:trPr>
          <w:trHeight w:val="276"/>
        </w:trPr>
        <w:tc>
          <w:tcPr>
            <w:tcW w:w="4854" w:type="dxa"/>
            <w:tcBorders>
              <w:top w:val="nil"/>
              <w:left w:val="single" w:sz="4" w:space="0" w:color="auto"/>
              <w:bottom w:val="single" w:sz="4" w:space="0" w:color="auto"/>
              <w:right w:val="single" w:sz="4" w:space="0" w:color="auto"/>
            </w:tcBorders>
            <w:shd w:val="clear" w:color="000000" w:fill="FFFF99"/>
            <w:noWrap/>
            <w:vAlign w:val="center"/>
            <w:hideMark/>
          </w:tcPr>
          <w:p w14:paraId="5A027100" w14:textId="77777777" w:rsidR="00FB6521" w:rsidRPr="00FB6521" w:rsidRDefault="00FB6521" w:rsidP="00FB6521">
            <w:pPr>
              <w:jc w:val="both"/>
              <w:rPr>
                <w:b/>
                <w:bCs/>
                <w:sz w:val="20"/>
                <w:lang w:eastAsia="hr-HR"/>
              </w:rPr>
            </w:pPr>
            <w:r w:rsidRPr="00FB6521">
              <w:rPr>
                <w:b/>
                <w:bCs/>
                <w:sz w:val="20"/>
                <w:lang w:eastAsia="hr-HR"/>
              </w:rPr>
              <w:t>Ukupno</w:t>
            </w:r>
          </w:p>
        </w:tc>
        <w:tc>
          <w:tcPr>
            <w:tcW w:w="821" w:type="dxa"/>
            <w:tcBorders>
              <w:top w:val="nil"/>
              <w:left w:val="nil"/>
              <w:bottom w:val="single" w:sz="4" w:space="0" w:color="auto"/>
              <w:right w:val="single" w:sz="4" w:space="0" w:color="auto"/>
            </w:tcBorders>
            <w:shd w:val="clear" w:color="000000" w:fill="FFFF99"/>
            <w:noWrap/>
            <w:vAlign w:val="center"/>
            <w:hideMark/>
          </w:tcPr>
          <w:p w14:paraId="2AB605DC" w14:textId="28AF7885" w:rsidR="00FB6521" w:rsidRPr="00FB6521" w:rsidRDefault="00FB6521" w:rsidP="00FB6521">
            <w:pPr>
              <w:jc w:val="right"/>
              <w:rPr>
                <w:b/>
                <w:sz w:val="20"/>
                <w:szCs w:val="20"/>
              </w:rPr>
            </w:pPr>
            <w:r w:rsidRPr="00FB6521">
              <w:rPr>
                <w:rFonts w:eastAsia="Times New Roman"/>
                <w:b/>
                <w:bCs/>
                <w:sz w:val="20"/>
                <w:szCs w:val="20"/>
                <w:lang w:eastAsia="hr-HR"/>
              </w:rPr>
              <w:t>160,5</w:t>
            </w:r>
          </w:p>
        </w:tc>
        <w:tc>
          <w:tcPr>
            <w:tcW w:w="816" w:type="dxa"/>
            <w:tcBorders>
              <w:top w:val="nil"/>
              <w:left w:val="nil"/>
              <w:bottom w:val="single" w:sz="4" w:space="0" w:color="auto"/>
              <w:right w:val="single" w:sz="4" w:space="0" w:color="auto"/>
            </w:tcBorders>
            <w:shd w:val="clear" w:color="000000" w:fill="FFFF99"/>
            <w:noWrap/>
            <w:vAlign w:val="center"/>
            <w:hideMark/>
          </w:tcPr>
          <w:p w14:paraId="240BA23D" w14:textId="592E0E85" w:rsidR="00FB6521" w:rsidRPr="00FB6521" w:rsidRDefault="00FB6521" w:rsidP="00FB6521">
            <w:pPr>
              <w:jc w:val="right"/>
              <w:rPr>
                <w:b/>
                <w:sz w:val="20"/>
                <w:szCs w:val="20"/>
              </w:rPr>
            </w:pPr>
            <w:r w:rsidRPr="00FB6521">
              <w:rPr>
                <w:rFonts w:eastAsia="Times New Roman"/>
                <w:b/>
                <w:bCs/>
                <w:sz w:val="20"/>
                <w:szCs w:val="20"/>
                <w:lang w:eastAsia="hr-HR"/>
              </w:rPr>
              <w:t>205,0</w:t>
            </w:r>
          </w:p>
        </w:tc>
        <w:tc>
          <w:tcPr>
            <w:tcW w:w="900" w:type="dxa"/>
            <w:tcBorders>
              <w:top w:val="nil"/>
              <w:left w:val="nil"/>
              <w:bottom w:val="single" w:sz="4" w:space="0" w:color="auto"/>
              <w:right w:val="single" w:sz="4" w:space="0" w:color="auto"/>
            </w:tcBorders>
            <w:shd w:val="clear" w:color="000000" w:fill="FFFF99"/>
            <w:noWrap/>
            <w:vAlign w:val="center"/>
            <w:hideMark/>
          </w:tcPr>
          <w:p w14:paraId="6D5BC56A" w14:textId="4E944EE3" w:rsidR="00FB6521" w:rsidRPr="00FB6521" w:rsidRDefault="00FB6521" w:rsidP="00FB6521">
            <w:pPr>
              <w:jc w:val="right"/>
              <w:rPr>
                <w:b/>
                <w:sz w:val="20"/>
                <w:szCs w:val="20"/>
              </w:rPr>
            </w:pPr>
            <w:r w:rsidRPr="00FB6521">
              <w:rPr>
                <w:rFonts w:eastAsia="Times New Roman"/>
                <w:b/>
                <w:bCs/>
                <w:sz w:val="20"/>
                <w:szCs w:val="20"/>
                <w:lang w:eastAsia="hr-HR"/>
              </w:rPr>
              <w:t>320,6</w:t>
            </w:r>
          </w:p>
        </w:tc>
      </w:tr>
    </w:tbl>
    <w:p w14:paraId="55329023" w14:textId="77777777" w:rsidR="002E26BD" w:rsidRPr="00FB6521" w:rsidRDefault="002E26BD" w:rsidP="002E26BD">
      <w:pPr>
        <w:contextualSpacing/>
        <w:jc w:val="both"/>
        <w:rPr>
          <w:i/>
          <w:sz w:val="20"/>
        </w:rPr>
      </w:pPr>
      <w:r w:rsidRPr="00FB6521">
        <w:rPr>
          <w:i/>
          <w:sz w:val="20"/>
        </w:rPr>
        <w:t>Izvor: Ministarstvo financija i davatelji potpora; podaci obrađeni u Ministarstvu financija</w:t>
      </w:r>
    </w:p>
    <w:p w14:paraId="6C015C8D" w14:textId="77777777" w:rsidR="00CE5303" w:rsidRPr="008149B5" w:rsidRDefault="00CE5303" w:rsidP="00BE487D">
      <w:pPr>
        <w:jc w:val="both"/>
        <w:rPr>
          <w:highlight w:val="red"/>
        </w:rPr>
      </w:pPr>
    </w:p>
    <w:p w14:paraId="63E17862" w14:textId="6CBD0B4D" w:rsidR="00A10F81" w:rsidRPr="00D059F5" w:rsidRDefault="00A10F81" w:rsidP="00A10F81">
      <w:pPr>
        <w:jc w:val="both"/>
      </w:pPr>
      <w:r w:rsidRPr="00D059F5">
        <w:t xml:space="preserve">Potpore u sektoru prometa u 2023. godini su dodijeljene u iznosu od 320,6 milijuna eura, i to najvećim dijelom putem subvencija u iznosu od </w:t>
      </w:r>
      <w:r w:rsidRPr="00D059F5">
        <w:rPr>
          <w:rFonts w:eastAsia="Times New Roman"/>
          <w:lang w:eastAsia="hr-HR"/>
        </w:rPr>
        <w:t xml:space="preserve">284,4 </w:t>
      </w:r>
      <w:r w:rsidRPr="00D059F5">
        <w:t xml:space="preserve">milijuna eura ili s udjelom od </w:t>
      </w:r>
      <w:r w:rsidRPr="00D059F5">
        <w:rPr>
          <w:rFonts w:eastAsia="Times New Roman"/>
          <w:lang w:eastAsia="hr-HR"/>
        </w:rPr>
        <w:t xml:space="preserve">88,7 </w:t>
      </w:r>
      <w:r w:rsidRPr="00D059F5">
        <w:t xml:space="preserve">posto u sektoru prometa, slijede porezne olakšice u iznosu od 21,6 milijuna eura ili s udjelom od </w:t>
      </w:r>
      <w:r w:rsidRPr="00D059F5">
        <w:rPr>
          <w:rFonts w:eastAsia="Times New Roman"/>
          <w:lang w:eastAsia="hr-HR"/>
        </w:rPr>
        <w:t xml:space="preserve">6,8 </w:t>
      </w:r>
      <w:r w:rsidRPr="00D059F5">
        <w:t>posto</w:t>
      </w:r>
      <w:r w:rsidR="00D059F5" w:rsidRPr="00D059F5">
        <w:t xml:space="preserve"> te </w:t>
      </w:r>
      <w:r w:rsidRPr="00D059F5">
        <w:t xml:space="preserve">povoljni zajmovi u iznosu od </w:t>
      </w:r>
      <w:r w:rsidR="00D059F5" w:rsidRPr="00D059F5">
        <w:t>14,6</w:t>
      </w:r>
      <w:r w:rsidRPr="00D059F5">
        <w:t xml:space="preserve"> milijun</w:t>
      </w:r>
      <w:r w:rsidR="00D059F5" w:rsidRPr="00D059F5">
        <w:t>a</w:t>
      </w:r>
      <w:r w:rsidRPr="00D059F5">
        <w:t xml:space="preserve"> eura ili </w:t>
      </w:r>
      <w:r w:rsidR="00D059F5" w:rsidRPr="00D059F5">
        <w:t>4,6</w:t>
      </w:r>
      <w:r w:rsidRPr="00D059F5">
        <w:t xml:space="preserve"> posto.</w:t>
      </w:r>
    </w:p>
    <w:p w14:paraId="2FD12681" w14:textId="5F11C507" w:rsidR="00BD5661" w:rsidRPr="00D059F5" w:rsidRDefault="00BD5661" w:rsidP="00BE487D">
      <w:pPr>
        <w:jc w:val="both"/>
      </w:pPr>
    </w:p>
    <w:p w14:paraId="59E550E4" w14:textId="630BFC60" w:rsidR="00D059F5" w:rsidRPr="00343ABC" w:rsidRDefault="00D059F5" w:rsidP="00D059F5">
      <w:pPr>
        <w:jc w:val="both"/>
      </w:pPr>
      <w:r w:rsidRPr="00B75A66">
        <w:rPr>
          <w:b/>
        </w:rPr>
        <w:t>Potpore</w:t>
      </w:r>
      <w:r w:rsidRPr="00B75A66">
        <w:t xml:space="preserve"> </w:t>
      </w:r>
      <w:r w:rsidRPr="00B75A66">
        <w:rPr>
          <w:b/>
        </w:rPr>
        <w:t>željezničkom prometu</w:t>
      </w:r>
      <w:r w:rsidRPr="00D059F5">
        <w:t xml:space="preserve"> </w:t>
      </w:r>
      <w:r w:rsidR="005F1DB3" w:rsidRPr="00D059F5">
        <w:t xml:space="preserve">su dodijeljene u 2023. godini u iznosu od </w:t>
      </w:r>
      <w:r w:rsidRPr="00D059F5">
        <w:t>107,5</w:t>
      </w:r>
      <w:r w:rsidR="005F1DB3" w:rsidRPr="00D059F5">
        <w:t xml:space="preserve"> milijuna eura, što je povećanje za </w:t>
      </w:r>
      <w:r w:rsidRPr="00D059F5">
        <w:t>37,2</w:t>
      </w:r>
      <w:r w:rsidR="005F1DB3" w:rsidRPr="00D059F5">
        <w:t xml:space="preserve"> milijuna eura ili za </w:t>
      </w:r>
      <w:r w:rsidRPr="00D059F5">
        <w:t>52,8</w:t>
      </w:r>
      <w:r w:rsidR="005F1DB3" w:rsidRPr="00D059F5">
        <w:t xml:space="preserve"> posto u odnosu na 2022. godinu, kada su navedene potpore iznosile </w:t>
      </w:r>
      <w:r w:rsidRPr="00D059F5">
        <w:t xml:space="preserve">70,3 </w:t>
      </w:r>
      <w:r w:rsidR="005F1DB3" w:rsidRPr="00D059F5">
        <w:t xml:space="preserve">milijuna eura, te je </w:t>
      </w:r>
      <w:r w:rsidRPr="00D059F5">
        <w:t xml:space="preserve">povećanje </w:t>
      </w:r>
      <w:r w:rsidR="005F1DB3" w:rsidRPr="00D059F5">
        <w:t xml:space="preserve">za </w:t>
      </w:r>
      <w:r w:rsidRPr="00D059F5">
        <w:t xml:space="preserve">41,8 </w:t>
      </w:r>
      <w:r w:rsidR="005F1DB3" w:rsidRPr="00D059F5">
        <w:t xml:space="preserve">milijuna eura ili za </w:t>
      </w:r>
      <w:r w:rsidRPr="00D059F5">
        <w:t xml:space="preserve">63,7 </w:t>
      </w:r>
      <w:r w:rsidR="005F1DB3" w:rsidRPr="00343ABC">
        <w:t xml:space="preserve">posto u odnosu na 2021. godinu kada su potpore </w:t>
      </w:r>
      <w:r w:rsidRPr="00343ABC">
        <w:t xml:space="preserve">željezničkom prometu </w:t>
      </w:r>
      <w:r w:rsidR="005F1DB3" w:rsidRPr="00343ABC">
        <w:t xml:space="preserve">iznosile </w:t>
      </w:r>
      <w:r w:rsidRPr="00343ABC">
        <w:t>65,7</w:t>
      </w:r>
      <w:r w:rsidR="005F1DB3" w:rsidRPr="00343ABC">
        <w:t xml:space="preserve"> milijuna eura.</w:t>
      </w:r>
      <w:r w:rsidRPr="00343ABC">
        <w:t xml:space="preserve"> Udio navedenih potpora u BDP-u u 2023. godini iznosio je 0,14 posto, udio u ukupno dodijeljenim potporama iznosio je 3,</w:t>
      </w:r>
      <w:r w:rsidR="00343ABC" w:rsidRPr="00343ABC">
        <w:t>5</w:t>
      </w:r>
      <w:r w:rsidRPr="00343ABC">
        <w:t xml:space="preserve"> posto, udio u dodijeljenim sektorskim potporama iznosio je </w:t>
      </w:r>
      <w:r w:rsidR="00343ABC" w:rsidRPr="00343ABC">
        <w:t>12,7</w:t>
      </w:r>
      <w:r w:rsidRPr="00343ABC">
        <w:t xml:space="preserve"> posto, dok je udio u sektoru prometa iznosio 3</w:t>
      </w:r>
      <w:r w:rsidR="00343ABC" w:rsidRPr="00343ABC">
        <w:t>3,5</w:t>
      </w:r>
      <w:r w:rsidRPr="00343ABC">
        <w:t xml:space="preserve"> posto. </w:t>
      </w:r>
      <w:r w:rsidR="00343ABC" w:rsidRPr="00343ABC">
        <w:t xml:space="preserve">Potpore željezničkom prometu najvećim dijelom su dodjeljivane putem subvencija u iznosu od 92,9 milijuna eura ili s udjelom od 86,4 posto u </w:t>
      </w:r>
      <w:r w:rsidR="00343ABC">
        <w:t xml:space="preserve">navedenim </w:t>
      </w:r>
      <w:r w:rsidR="00343ABC" w:rsidRPr="00343ABC">
        <w:t xml:space="preserve">potporama te putem povoljnih zajmova </w:t>
      </w:r>
      <w:r w:rsidR="00343ABC">
        <w:t xml:space="preserve">dodijeljen je </w:t>
      </w:r>
      <w:r w:rsidR="00343ABC" w:rsidRPr="00343ABC">
        <w:t>iznos od 14,6 milijuna eura ili 13,6 posto.</w:t>
      </w:r>
    </w:p>
    <w:p w14:paraId="78D28B2D" w14:textId="77777777" w:rsidR="00343ABC" w:rsidRPr="00343ABC" w:rsidRDefault="00343ABC" w:rsidP="00D059F5">
      <w:pPr>
        <w:jc w:val="both"/>
      </w:pPr>
    </w:p>
    <w:p w14:paraId="7ADF2A31" w14:textId="77777777" w:rsidR="00343ABC" w:rsidRPr="00725AFD" w:rsidRDefault="00BC3981" w:rsidP="00343ABC">
      <w:pPr>
        <w:jc w:val="both"/>
      </w:pPr>
      <w:r w:rsidRPr="00B75A66">
        <w:rPr>
          <w:u w:val="single"/>
        </w:rPr>
        <w:t>Ministarstvo mora, prometa i infrastrukture</w:t>
      </w:r>
      <w:r w:rsidRPr="00725AFD">
        <w:t xml:space="preserve"> je </w:t>
      </w:r>
      <w:r w:rsidR="00343ABC" w:rsidRPr="00725AFD">
        <w:t xml:space="preserve">u 2023. godini </w:t>
      </w:r>
      <w:r w:rsidR="00E21B45" w:rsidRPr="00725AFD">
        <w:t xml:space="preserve">davatelj potpora željezničkom prometu </w:t>
      </w:r>
      <w:r w:rsidR="00343ABC" w:rsidRPr="00725AFD">
        <w:t>u ukupnom iznosu od 107,5 milijuna eura</w:t>
      </w:r>
      <w:r w:rsidRPr="00725AFD">
        <w:t>,</w:t>
      </w:r>
      <w:r w:rsidR="00343ABC" w:rsidRPr="00725AFD">
        <w:t xml:space="preserve"> gdje je za obavljanje usluga od općeg gospodarskog interesa temeljem pojedinačne potpore pod nazivom Javne usluge od općeg gospodarskog interesa u javnom željezničkom prometu Republike Hrvatske – HŽ Putnički prijevoz d.o.o. dodijeljeno 79,6 milijuna eura, temeljem pojedinačne potpore pod nazivom Državna potpora za sanaciju društva Pružne građevine d.o.o. iznos od 14,6 milijuna eura te temeljem programa Primjena zelenih tehnologija u željezničkom putničkom prijevozu iznos od 13,3 milijuna eura.</w:t>
      </w:r>
    </w:p>
    <w:p w14:paraId="22AB8978" w14:textId="77777777" w:rsidR="00343ABC" w:rsidRDefault="00343ABC" w:rsidP="00BE487D">
      <w:pPr>
        <w:jc w:val="both"/>
      </w:pPr>
    </w:p>
    <w:p w14:paraId="6BAFCD42" w14:textId="56953DDF" w:rsidR="00725AFD" w:rsidRPr="00725AFD" w:rsidRDefault="00725AFD" w:rsidP="00725AFD">
      <w:pPr>
        <w:jc w:val="both"/>
      </w:pPr>
      <w:r w:rsidRPr="00B75A66">
        <w:rPr>
          <w:b/>
        </w:rPr>
        <w:t>Potpore</w:t>
      </w:r>
      <w:r w:rsidRPr="00B75A66">
        <w:t xml:space="preserve"> </w:t>
      </w:r>
      <w:r w:rsidRPr="00B75A66">
        <w:rPr>
          <w:b/>
        </w:rPr>
        <w:t>kopnenom cestovnom prometu</w:t>
      </w:r>
      <w:r w:rsidRPr="00725AFD">
        <w:t xml:space="preserve"> su dodijeljene u 2023. godini u iznosu od 92,3 milijuna eura, što je povećanje za 59,7 milijuna eura ili za 183 posto u odnosu na 2022. godinu, kada su navedene potpore iznosile 32,6 milijuna eura, te je povećanje za 60,4 milijuna eura ili za 189,6 posto u odnosu na 2021. godinu kada su potpore kopnenom cestovnom prometu iznosile 31,9 milijuna eura. Udio navedenih potpora u BDP-u u 2023. godini iznosio je 0,12 </w:t>
      </w:r>
      <w:r w:rsidRPr="00725AFD">
        <w:lastRenderedPageBreak/>
        <w:t>posto, udio u ukupno dodijeljenim potporama iznosio je 3 posto, udio u dodijeljenim sektorskim potporama iznosio je 10,9 posto, dok je udio u sektoru prometa iznosio 28,8 posto. Navedene potpore isključivo su dodjeljivane u 2023. godini putem subvencija.</w:t>
      </w:r>
    </w:p>
    <w:p w14:paraId="7B7F3615" w14:textId="77777777" w:rsidR="00725AFD" w:rsidRPr="00725AFD" w:rsidRDefault="00725AFD" w:rsidP="00BC3981"/>
    <w:p w14:paraId="0B7417D7" w14:textId="3A2335DA" w:rsidR="00BC3981" w:rsidRPr="00B92C11" w:rsidRDefault="004578AB" w:rsidP="00BC3981">
      <w:pPr>
        <w:jc w:val="both"/>
      </w:pPr>
      <w:r w:rsidRPr="00B75A66">
        <w:rPr>
          <w:rFonts w:eastAsiaTheme="minorEastAsia"/>
          <w:u w:val="single"/>
        </w:rPr>
        <w:t>Ministarstvo mora, prometa i infrastrukture</w:t>
      </w:r>
      <w:r w:rsidRPr="00B92C11">
        <w:t xml:space="preserve"> </w:t>
      </w:r>
      <w:r w:rsidR="007340CF" w:rsidRPr="00B92C11">
        <w:t xml:space="preserve">je u 2023. godini davatelj potpora </w:t>
      </w:r>
      <w:r w:rsidR="00BC3981" w:rsidRPr="00B92C11">
        <w:t xml:space="preserve">za kopneni cestovni promet </w:t>
      </w:r>
      <w:r w:rsidR="007340CF" w:rsidRPr="00B92C11">
        <w:t>u ukupnom iznosu od 92,3</w:t>
      </w:r>
      <w:r w:rsidR="00BC3981" w:rsidRPr="00B92C11">
        <w:t xml:space="preserve"> milijuna </w:t>
      </w:r>
      <w:r w:rsidR="007340CF" w:rsidRPr="00B92C11">
        <w:t>eura putem subvencija za obavljanje usluga od općeg gospodarskog interesa, od čega je temeljem pojedinačne potpore pod nazivom Nabava 20 niskopodnih tramvaja za ZET d.o.o. dodijeljeno 39,8 milijuna eura, temeljem Ugovora o koncesiji za financiranje, građenje, upravljanje i održavanje Jadranske autoceste dionica 2B2-2 i 2B2-3 i njegovih izmjena i dopuna iznos od 20,5 milijuna eura, a o kojima je Europska komisija odlučivala u postupcima koji su vođeni pod brojem SA.103361</w:t>
      </w:r>
      <w:r w:rsidR="00B92C11" w:rsidRPr="00B92C11">
        <w:t xml:space="preserve"> koji je isto tako vezan i za </w:t>
      </w:r>
      <w:r w:rsidR="00BC3981" w:rsidRPr="00B92C11">
        <w:t xml:space="preserve">Ugovor o koncesiji za financiranje, građenje, upravljanje i održavanje „Jadranske autoceste“ dionica Dragonja </w:t>
      </w:r>
      <w:r w:rsidR="00BC3981" w:rsidRPr="00B92C11">
        <w:rPr>
          <w:rFonts w:eastAsiaTheme="minorEastAsia"/>
        </w:rPr>
        <w:t>–</w:t>
      </w:r>
      <w:r w:rsidR="00BC3981" w:rsidRPr="00B92C11">
        <w:t xml:space="preserve"> Pula i </w:t>
      </w:r>
      <w:proofErr w:type="spellStart"/>
      <w:r w:rsidR="00BC3981" w:rsidRPr="00B92C11">
        <w:t>Kanfanar</w:t>
      </w:r>
      <w:proofErr w:type="spellEnd"/>
      <w:r w:rsidR="00BC3981" w:rsidRPr="00B92C11">
        <w:t xml:space="preserve"> </w:t>
      </w:r>
      <w:r w:rsidR="00BC3981" w:rsidRPr="00B92C11">
        <w:rPr>
          <w:rFonts w:eastAsiaTheme="minorEastAsia"/>
        </w:rPr>
        <w:t xml:space="preserve">– </w:t>
      </w:r>
      <w:r w:rsidR="00BC3981" w:rsidRPr="00B92C11">
        <w:t xml:space="preserve">Pazin </w:t>
      </w:r>
      <w:r w:rsidR="00BC3981" w:rsidRPr="00B92C11">
        <w:rPr>
          <w:rFonts w:eastAsiaTheme="minorEastAsia"/>
        </w:rPr>
        <w:t xml:space="preserve">– </w:t>
      </w:r>
      <w:r w:rsidR="00BC3981" w:rsidRPr="00B92C11">
        <w:t xml:space="preserve">Matulji i njegovih izmjena i dopuna </w:t>
      </w:r>
      <w:r w:rsidR="00B92C11" w:rsidRPr="00B92C11">
        <w:t xml:space="preserve">kojim je dodijeljen </w:t>
      </w:r>
      <w:r w:rsidR="007340CF" w:rsidRPr="00B92C11">
        <w:t xml:space="preserve">iznos od 12 milijuna eura, a </w:t>
      </w:r>
      <w:r w:rsidR="00BC3981" w:rsidRPr="00B92C11">
        <w:t>o kojima je Europska komisija odlučivala u postupcima koji su vođeni</w:t>
      </w:r>
      <w:r w:rsidR="00B92C11" w:rsidRPr="00B92C11">
        <w:t xml:space="preserve"> pod brojem SA.48472 i SA.56832, te je temeljem pojedinačne potpore pod nazivom Nabava novih niskopodnih tramvaja za potrebe modernizacije tramvajskog voznog parka u Osijeku dodijeljeno 19,9 milijuna eura.</w:t>
      </w:r>
    </w:p>
    <w:p w14:paraId="7FC3515E" w14:textId="68BF3285" w:rsidR="00BC3981" w:rsidRPr="00B92C11" w:rsidRDefault="00BC3981" w:rsidP="00BE487D">
      <w:pPr>
        <w:jc w:val="both"/>
      </w:pPr>
    </w:p>
    <w:p w14:paraId="5F3DA66D" w14:textId="13F8BDD3" w:rsidR="00E369FC" w:rsidRPr="00E369FC" w:rsidRDefault="00B92C11" w:rsidP="00E369FC">
      <w:pPr>
        <w:jc w:val="both"/>
        <w:rPr>
          <w:spacing w:val="-2"/>
        </w:rPr>
      </w:pPr>
      <w:r w:rsidRPr="00B75A66">
        <w:rPr>
          <w:b/>
          <w:spacing w:val="-2"/>
        </w:rPr>
        <w:t>Potpore</w:t>
      </w:r>
      <w:r w:rsidRPr="00B75A66">
        <w:rPr>
          <w:spacing w:val="-2"/>
        </w:rPr>
        <w:t xml:space="preserve"> </w:t>
      </w:r>
      <w:r w:rsidRPr="00B75A66">
        <w:rPr>
          <w:b/>
          <w:spacing w:val="-2"/>
        </w:rPr>
        <w:t>pomorskom prometu</w:t>
      </w:r>
      <w:r w:rsidRPr="00E369FC">
        <w:rPr>
          <w:spacing w:val="-2"/>
        </w:rPr>
        <w:t xml:space="preserve"> </w:t>
      </w:r>
      <w:r w:rsidR="005F1DB3" w:rsidRPr="00E369FC">
        <w:rPr>
          <w:spacing w:val="-2"/>
        </w:rPr>
        <w:t xml:space="preserve">su dodijeljene u 2023. godini u iznosu od </w:t>
      </w:r>
      <w:r w:rsidRPr="00E369FC">
        <w:rPr>
          <w:spacing w:val="-2"/>
        </w:rPr>
        <w:t xml:space="preserve">90,2 </w:t>
      </w:r>
      <w:r w:rsidR="005F1DB3" w:rsidRPr="00E369FC">
        <w:rPr>
          <w:spacing w:val="-2"/>
        </w:rPr>
        <w:t xml:space="preserve">milijuna eura, što je povećanje za </w:t>
      </w:r>
      <w:r w:rsidRPr="00E369FC">
        <w:rPr>
          <w:spacing w:val="-2"/>
        </w:rPr>
        <w:t xml:space="preserve">4,3 </w:t>
      </w:r>
      <w:r w:rsidR="005F1DB3" w:rsidRPr="00E369FC">
        <w:rPr>
          <w:spacing w:val="-2"/>
        </w:rPr>
        <w:t xml:space="preserve">milijuna eura ili za </w:t>
      </w:r>
      <w:r w:rsidRPr="00E369FC">
        <w:rPr>
          <w:spacing w:val="-2"/>
        </w:rPr>
        <w:t xml:space="preserve">5 </w:t>
      </w:r>
      <w:r w:rsidR="005F1DB3" w:rsidRPr="00E369FC">
        <w:rPr>
          <w:spacing w:val="-2"/>
        </w:rPr>
        <w:t xml:space="preserve">posto u odnosu na 2022. godinu, kada su navedene potpore iznosile </w:t>
      </w:r>
      <w:r w:rsidRPr="00E369FC">
        <w:rPr>
          <w:spacing w:val="-2"/>
        </w:rPr>
        <w:t xml:space="preserve">85,9 </w:t>
      </w:r>
      <w:r w:rsidR="005F1DB3" w:rsidRPr="00E369FC">
        <w:rPr>
          <w:spacing w:val="-2"/>
        </w:rPr>
        <w:t xml:space="preserve">milijuna eura, te je </w:t>
      </w:r>
      <w:r w:rsidR="008A58C4" w:rsidRPr="00E369FC">
        <w:rPr>
          <w:spacing w:val="-2"/>
        </w:rPr>
        <w:t xml:space="preserve">povećanje </w:t>
      </w:r>
      <w:r w:rsidR="005F1DB3" w:rsidRPr="00E369FC">
        <w:rPr>
          <w:spacing w:val="-2"/>
        </w:rPr>
        <w:t xml:space="preserve">za </w:t>
      </w:r>
      <w:r w:rsidR="008A58C4" w:rsidRPr="00E369FC">
        <w:rPr>
          <w:spacing w:val="-2"/>
        </w:rPr>
        <w:t xml:space="preserve">41,8 </w:t>
      </w:r>
      <w:r w:rsidR="005F1DB3" w:rsidRPr="00E369FC">
        <w:rPr>
          <w:spacing w:val="-2"/>
        </w:rPr>
        <w:t xml:space="preserve">milijuna eura ili za </w:t>
      </w:r>
      <w:r w:rsidR="008A58C4" w:rsidRPr="00E369FC">
        <w:rPr>
          <w:spacing w:val="-2"/>
        </w:rPr>
        <w:t xml:space="preserve">86,4 </w:t>
      </w:r>
      <w:r w:rsidR="005F1DB3" w:rsidRPr="00E369FC">
        <w:rPr>
          <w:spacing w:val="-2"/>
        </w:rPr>
        <w:t xml:space="preserve">posto u odnosu na 2021. godinu kada su potpore </w:t>
      </w:r>
      <w:r w:rsidR="008A58C4" w:rsidRPr="00E369FC">
        <w:rPr>
          <w:spacing w:val="-2"/>
        </w:rPr>
        <w:t xml:space="preserve">pomorskom prometu </w:t>
      </w:r>
      <w:r w:rsidR="005F1DB3" w:rsidRPr="00E369FC">
        <w:rPr>
          <w:spacing w:val="-2"/>
        </w:rPr>
        <w:t>iznosile 4</w:t>
      </w:r>
      <w:r w:rsidR="008A58C4" w:rsidRPr="00E369FC">
        <w:rPr>
          <w:spacing w:val="-2"/>
        </w:rPr>
        <w:t>8,4</w:t>
      </w:r>
      <w:r w:rsidR="005F1DB3" w:rsidRPr="00E369FC">
        <w:rPr>
          <w:spacing w:val="-2"/>
        </w:rPr>
        <w:t xml:space="preserve"> milijuna eura.</w:t>
      </w:r>
      <w:r w:rsidR="008A58C4" w:rsidRPr="00E369FC">
        <w:rPr>
          <w:spacing w:val="-2"/>
        </w:rPr>
        <w:t xml:space="preserve"> Udio potpora pomorskom prometu u BDP-u u 2023. godini iznosio je 0,12 posto, udio u ukupno dodijeljenim potporama iznosio je 3 posto, udio u sektorskim potporama iznosio je 10,6 posto, dok je udio u sektoru prometa iznosio </w:t>
      </w:r>
      <w:r w:rsidR="00E369FC" w:rsidRPr="00E369FC">
        <w:rPr>
          <w:spacing w:val="-2"/>
        </w:rPr>
        <w:t>28,1</w:t>
      </w:r>
      <w:r w:rsidR="008A58C4" w:rsidRPr="00E369FC">
        <w:rPr>
          <w:spacing w:val="-2"/>
        </w:rPr>
        <w:t xml:space="preserve"> posto. </w:t>
      </w:r>
      <w:r w:rsidR="00E369FC" w:rsidRPr="00E369FC">
        <w:rPr>
          <w:spacing w:val="-2"/>
        </w:rPr>
        <w:t>Potpore pomorskom prometu najvećim dijelom su dodjeljivane putem subvencija u iznosu od 68,6 milijuna eura ili s udjelom od 76 posto u navedenim potporama te putem poreznih olakšica u iznosu od 21,6 milijuna eura ili 24 posto.</w:t>
      </w:r>
    </w:p>
    <w:p w14:paraId="2EF5C73D" w14:textId="77777777" w:rsidR="00CE5303" w:rsidRPr="00E369FC" w:rsidRDefault="00CE5303" w:rsidP="008320D4"/>
    <w:p w14:paraId="66EEB3B7" w14:textId="551E3421" w:rsidR="00E369FC" w:rsidRPr="00E369FC" w:rsidRDefault="00E369FC" w:rsidP="00E369FC">
      <w:pPr>
        <w:jc w:val="both"/>
        <w:rPr>
          <w:rFonts w:eastAsia="Times New Roman"/>
          <w:lang w:eastAsia="hr-HR"/>
        </w:rPr>
      </w:pPr>
      <w:r w:rsidRPr="00E369FC">
        <w:t xml:space="preserve">U 2023. godini davatelji potpora pomorskom prometu, koje su dodijeljene u iznosu od 90,2 milijuna eura, su Agencija za obalni linijski pomorski promet s iznosom od 63,3 </w:t>
      </w:r>
      <w:r w:rsidRPr="00E369FC">
        <w:rPr>
          <w:rFonts w:eastAsia="Times New Roman"/>
          <w:lang w:eastAsia="hr-HR"/>
        </w:rPr>
        <w:t xml:space="preserve">milijuna eura i </w:t>
      </w:r>
      <w:r w:rsidRPr="00E369FC">
        <w:t>Ministarstvo mora, prometa i infrastrukture</w:t>
      </w:r>
      <w:r w:rsidRPr="00E369FC">
        <w:rPr>
          <w:rFonts w:eastAsia="Times New Roman"/>
          <w:lang w:eastAsia="hr-HR"/>
        </w:rPr>
        <w:t xml:space="preserve"> </w:t>
      </w:r>
      <w:r w:rsidRPr="00E369FC">
        <w:t xml:space="preserve">s iznosom od 26,9 </w:t>
      </w:r>
      <w:r w:rsidRPr="00E369FC">
        <w:rPr>
          <w:rFonts w:eastAsia="Times New Roman"/>
          <w:lang w:eastAsia="hr-HR"/>
        </w:rPr>
        <w:t>milijuna eura.</w:t>
      </w:r>
    </w:p>
    <w:p w14:paraId="2C4CF157" w14:textId="77777777" w:rsidR="00EE0FD6" w:rsidRPr="00E369FC" w:rsidRDefault="00EE0FD6" w:rsidP="00831A3A"/>
    <w:p w14:paraId="1ED3540D" w14:textId="4FF61803" w:rsidR="00EE0FD6" w:rsidRPr="002E6DF8" w:rsidRDefault="00C169B5" w:rsidP="00EE0FD6">
      <w:pPr>
        <w:jc w:val="both"/>
      </w:pPr>
      <w:r w:rsidRPr="00B75A66">
        <w:rPr>
          <w:u w:val="single"/>
        </w:rPr>
        <w:t>Agencija za obalni linijski pomorski promet</w:t>
      </w:r>
      <w:r w:rsidRPr="00E369FC">
        <w:t xml:space="preserve"> je </w:t>
      </w:r>
      <w:r w:rsidR="00E369FC" w:rsidRPr="00E369FC">
        <w:t xml:space="preserve">u 2023. godini </w:t>
      </w:r>
      <w:r w:rsidRPr="00E369FC">
        <w:t xml:space="preserve">dodijelila </w:t>
      </w:r>
      <w:r w:rsidR="00E369FC" w:rsidRPr="00E369FC">
        <w:t xml:space="preserve">63,3 </w:t>
      </w:r>
      <w:r w:rsidR="00E369FC" w:rsidRPr="00E369FC">
        <w:rPr>
          <w:rFonts w:eastAsia="Times New Roman"/>
          <w:lang w:eastAsia="hr-HR"/>
        </w:rPr>
        <w:t xml:space="preserve">milijuna eura </w:t>
      </w:r>
      <w:r w:rsidR="00610D16" w:rsidRPr="002E6DF8">
        <w:t>subvencija</w:t>
      </w:r>
      <w:r w:rsidRPr="002E6DF8">
        <w:t xml:space="preserve"> </w:t>
      </w:r>
      <w:r w:rsidR="00EE0FD6" w:rsidRPr="002E6DF8">
        <w:t>poduzetnicima za obavljanje usluga od općeg gospodarskog interesa odnosno javne usluge pomorskog prijevoza</w:t>
      </w:r>
      <w:r w:rsidRPr="002E6DF8">
        <w:t xml:space="preserve">, </w:t>
      </w:r>
      <w:r w:rsidR="00E369FC" w:rsidRPr="002E6DF8">
        <w:t xml:space="preserve">a </w:t>
      </w:r>
      <w:r w:rsidRPr="002E6DF8">
        <w:t>p</w:t>
      </w:r>
      <w:r w:rsidR="00831A3A" w:rsidRPr="002E6DF8">
        <w:t xml:space="preserve">otpore su dodijeljene </w:t>
      </w:r>
      <w:r w:rsidR="00EE0FD6" w:rsidRPr="002E6DF8">
        <w:t xml:space="preserve">temeljem </w:t>
      </w:r>
      <w:r w:rsidR="00335E92" w:rsidRPr="002E6DF8">
        <w:t xml:space="preserve">sljedećih </w:t>
      </w:r>
      <w:r w:rsidR="00EE0FD6" w:rsidRPr="002E6DF8">
        <w:t>programa</w:t>
      </w:r>
      <w:r w:rsidR="00335E92" w:rsidRPr="002E6DF8">
        <w:t>:</w:t>
      </w:r>
      <w:r w:rsidR="00EE0FD6" w:rsidRPr="002E6DF8">
        <w:t xml:space="preserve"> </w:t>
      </w:r>
    </w:p>
    <w:p w14:paraId="4B090F69" w14:textId="5613C61C" w:rsidR="002E6DF8" w:rsidRPr="002E6DF8" w:rsidRDefault="002E6DF8" w:rsidP="002E6DF8">
      <w:pPr>
        <w:pStyle w:val="ListParagraph"/>
        <w:numPr>
          <w:ilvl w:val="0"/>
          <w:numId w:val="23"/>
        </w:numPr>
        <w:jc w:val="both"/>
      </w:pPr>
      <w:r w:rsidRPr="002E6DF8">
        <w:rPr>
          <w:rFonts w:eastAsia="Times New Roman"/>
          <w:color w:val="000000"/>
        </w:rPr>
        <w:t xml:space="preserve">Programa državne potpore za usluge od općeg gospodarskog interesa u obliku naknade za obavljanje javne usluge javnog obalnog linijskog pomorskog prijevoza za razdoblje od 2018. do 2023. godine uz mogućnost produljenja do 2027. godine na </w:t>
      </w:r>
      <w:r w:rsidRPr="002E6DF8">
        <w:t>državnim trajektnim linijama u iznosu od</w:t>
      </w:r>
      <w:r w:rsidRPr="002E6DF8">
        <w:rPr>
          <w:rFonts w:eastAsia="Times New Roman"/>
          <w:color w:val="000000"/>
        </w:rPr>
        <w:t xml:space="preserve"> 25,6</w:t>
      </w:r>
      <w:r w:rsidRPr="002E6DF8">
        <w:t xml:space="preserve"> milijuna eura </w:t>
      </w:r>
    </w:p>
    <w:p w14:paraId="3887077F" w14:textId="3C611C60" w:rsidR="002E6DF8" w:rsidRPr="00742C83" w:rsidRDefault="002E6DF8" w:rsidP="002E6DF8">
      <w:pPr>
        <w:pStyle w:val="ListParagraph"/>
        <w:numPr>
          <w:ilvl w:val="0"/>
          <w:numId w:val="23"/>
        </w:numPr>
        <w:jc w:val="both"/>
      </w:pPr>
      <w:r w:rsidRPr="002E6DF8">
        <w:rPr>
          <w:rFonts w:eastAsia="Times New Roman"/>
          <w:color w:val="000000"/>
        </w:rPr>
        <w:t xml:space="preserve">Programa državne potpore za usluge od općeg gospodarskog interesa u obliku naknade za obavljanje usluge javnog obalnog linijskog pomorskog prijevoza za razdoblje 2018. </w:t>
      </w:r>
      <w:r w:rsidRPr="00742C83">
        <w:rPr>
          <w:rFonts w:eastAsia="Times New Roman"/>
          <w:color w:val="000000"/>
        </w:rPr>
        <w:t xml:space="preserve">do 2023. godine uz mogućnost produljenja do 2027. godine na državnim </w:t>
      </w:r>
      <w:proofErr w:type="spellStart"/>
      <w:r w:rsidRPr="00742C83">
        <w:rPr>
          <w:rFonts w:eastAsia="Times New Roman"/>
          <w:color w:val="000000"/>
        </w:rPr>
        <w:t>brzobrodskim</w:t>
      </w:r>
      <w:proofErr w:type="spellEnd"/>
      <w:r w:rsidRPr="00742C83">
        <w:rPr>
          <w:rFonts w:eastAsia="Times New Roman"/>
          <w:color w:val="000000"/>
        </w:rPr>
        <w:t xml:space="preserve"> linijama </w:t>
      </w:r>
      <w:r w:rsidRPr="00742C83">
        <w:t>u iznosu od</w:t>
      </w:r>
      <w:r w:rsidRPr="00742C83">
        <w:rPr>
          <w:rFonts w:eastAsia="Times New Roman"/>
          <w:color w:val="000000"/>
        </w:rPr>
        <w:t xml:space="preserve"> 19,6 </w:t>
      </w:r>
      <w:r w:rsidRPr="00742C83">
        <w:t>milijuna eura</w:t>
      </w:r>
    </w:p>
    <w:p w14:paraId="786AD550" w14:textId="4EC06111" w:rsidR="00742C83" w:rsidRPr="00BF051C" w:rsidRDefault="002E6DF8" w:rsidP="002E6DF8">
      <w:pPr>
        <w:pStyle w:val="ListParagraph"/>
        <w:numPr>
          <w:ilvl w:val="0"/>
          <w:numId w:val="23"/>
        </w:numPr>
        <w:jc w:val="both"/>
        <w:rPr>
          <w:spacing w:val="-2"/>
        </w:rPr>
      </w:pPr>
      <w:r w:rsidRPr="00BF051C">
        <w:rPr>
          <w:spacing w:val="-2"/>
        </w:rPr>
        <w:t>Programa državne potpore za usluge od općeg gospodarskog interesa u obliku naknade za obavljanje javne usluge javnog obalnog linijskog pomorskog prijevoza za razdoblje od 6 godine na državnim trajektnim linijama 338, 532 i 831 u iznosu od</w:t>
      </w:r>
      <w:r w:rsidRPr="00BF051C">
        <w:rPr>
          <w:rFonts w:eastAsia="Times New Roman"/>
          <w:color w:val="000000"/>
          <w:spacing w:val="-2"/>
        </w:rPr>
        <w:t xml:space="preserve"> </w:t>
      </w:r>
      <w:r w:rsidR="00742C83" w:rsidRPr="00BF051C">
        <w:rPr>
          <w:spacing w:val="-2"/>
        </w:rPr>
        <w:t>4,7</w:t>
      </w:r>
      <w:r w:rsidRPr="00BF051C">
        <w:rPr>
          <w:spacing w:val="-2"/>
        </w:rPr>
        <w:t xml:space="preserve"> milijuna eura </w:t>
      </w:r>
    </w:p>
    <w:p w14:paraId="28866AC1" w14:textId="13CC1891" w:rsidR="00BF051C" w:rsidRPr="00BF051C" w:rsidRDefault="00BF051C" w:rsidP="00BF051C">
      <w:pPr>
        <w:pStyle w:val="ListParagraph"/>
        <w:numPr>
          <w:ilvl w:val="0"/>
          <w:numId w:val="23"/>
        </w:numPr>
        <w:jc w:val="both"/>
      </w:pPr>
      <w:r w:rsidRPr="00742C83">
        <w:t xml:space="preserve">Programa državne potpore za usluge od općeg gospodarskog interesa u obliku naknade za obavljanje javne usluge javnog obalnog linijskog pomorskog prijevoza za razdoblje </w:t>
      </w:r>
      <w:r w:rsidRPr="00BF051C">
        <w:t>od 3 godine na državnim brodskim linijama 310, 311, 501, 614 i 807 i njegovih izmjena, u iznosu od</w:t>
      </w:r>
      <w:r w:rsidRPr="00BF051C">
        <w:rPr>
          <w:rFonts w:eastAsia="Times New Roman"/>
          <w:color w:val="000000"/>
        </w:rPr>
        <w:t xml:space="preserve"> </w:t>
      </w:r>
      <w:r w:rsidRPr="00BF051C">
        <w:t>4 milijuna eura</w:t>
      </w:r>
    </w:p>
    <w:p w14:paraId="45E7EAD7" w14:textId="77777777" w:rsidR="00BF051C" w:rsidRPr="00BF051C" w:rsidRDefault="00BF051C" w:rsidP="00BF051C">
      <w:pPr>
        <w:pStyle w:val="ListParagraph"/>
        <w:numPr>
          <w:ilvl w:val="0"/>
          <w:numId w:val="23"/>
        </w:numPr>
        <w:jc w:val="both"/>
      </w:pPr>
      <w:r w:rsidRPr="00BF051C">
        <w:lastRenderedPageBreak/>
        <w:t>Programa državne potpore za usluge od općeg gospodarskog interesa u obliku naknade za obavljanje javne usluge javnog obalnog linijskog pomorskog prijevoza za razdoblje od 6 godina na državnim linijama 405, 406, 505 i 612 i njegovih izmjena, u iznosu od</w:t>
      </w:r>
      <w:r w:rsidRPr="00BF051C">
        <w:rPr>
          <w:rFonts w:eastAsia="Times New Roman"/>
          <w:color w:val="000000"/>
        </w:rPr>
        <w:t xml:space="preserve"> 2,4 </w:t>
      </w:r>
      <w:r w:rsidRPr="00BF051C">
        <w:t>milijuna eura</w:t>
      </w:r>
    </w:p>
    <w:p w14:paraId="73FD1859" w14:textId="2A42CAC7" w:rsidR="00742C83" w:rsidRPr="00742C83" w:rsidRDefault="00742C83" w:rsidP="00742C83">
      <w:pPr>
        <w:pStyle w:val="ListParagraph"/>
        <w:numPr>
          <w:ilvl w:val="0"/>
          <w:numId w:val="23"/>
        </w:numPr>
        <w:jc w:val="both"/>
      </w:pPr>
      <w:r w:rsidRPr="00BF051C">
        <w:t xml:space="preserve">Programa </w:t>
      </w:r>
      <w:r w:rsidRPr="00BF051C">
        <w:rPr>
          <w:rFonts w:eastAsia="Times New Roman"/>
          <w:color w:val="000000"/>
        </w:rPr>
        <w:t>državne potpore za usluge od općeg gospodarskog interesa u obliku naknade za obavljanje javne usluge javnog obalnog linijskog pomorskog prijevoza na državnim trajektnim linijama broj</w:t>
      </w:r>
      <w:r w:rsidRPr="00742C83">
        <w:rPr>
          <w:rFonts w:eastAsia="Times New Roman"/>
          <w:color w:val="000000"/>
        </w:rPr>
        <w:t xml:space="preserve"> 431, 432 i 632, </w:t>
      </w:r>
      <w:r w:rsidRPr="00742C83">
        <w:t>u iznosu od</w:t>
      </w:r>
      <w:r w:rsidRPr="00742C83">
        <w:rPr>
          <w:rFonts w:eastAsia="Times New Roman"/>
          <w:color w:val="000000"/>
        </w:rPr>
        <w:t xml:space="preserve"> 2,3</w:t>
      </w:r>
      <w:r w:rsidRPr="00742C83">
        <w:t xml:space="preserve"> milijuna eura koji je Europska komisija odobrila u postupku koji se vodio pod brojevima SA.48119 i SA.49523</w:t>
      </w:r>
    </w:p>
    <w:p w14:paraId="0DFB1258" w14:textId="6FC3BA67" w:rsidR="00742C83" w:rsidRPr="001C4DCE" w:rsidRDefault="00742C83" w:rsidP="00742C83">
      <w:pPr>
        <w:pStyle w:val="ListParagraph"/>
        <w:numPr>
          <w:ilvl w:val="0"/>
          <w:numId w:val="23"/>
        </w:numPr>
        <w:jc w:val="both"/>
      </w:pPr>
      <w:r w:rsidRPr="00742C83">
        <w:t xml:space="preserve">Programa državne potpore za usluge od općeg gospodarskog interesa u obliku naknade za obavljanje javne usluge javnog obalnog linijskog pomorskog prijevoza za razdoblje od 6 godina (očekivano od 2021. do 2026. godine) na državnoj </w:t>
      </w:r>
      <w:proofErr w:type="spellStart"/>
      <w:r w:rsidRPr="00742C83">
        <w:t>brzobrodskoj</w:t>
      </w:r>
      <w:proofErr w:type="spellEnd"/>
      <w:r w:rsidRPr="00742C83">
        <w:t xml:space="preserve"> liniji 9808 </w:t>
      </w:r>
      <w:r w:rsidRPr="001C4DCE">
        <w:t>Lastovo – Korčula – Dubrovnik u iznosu od 1,8 milijuna eura</w:t>
      </w:r>
    </w:p>
    <w:p w14:paraId="5DA9ECDF" w14:textId="67E5F9FE" w:rsidR="00FB6D64" w:rsidRPr="001C4DCE" w:rsidRDefault="00BF051C" w:rsidP="00152869">
      <w:pPr>
        <w:pStyle w:val="ListParagraph"/>
        <w:numPr>
          <w:ilvl w:val="0"/>
          <w:numId w:val="23"/>
        </w:numPr>
        <w:jc w:val="both"/>
      </w:pPr>
      <w:r w:rsidRPr="001C4DCE">
        <w:t>Programa državne potpore za usluge od općeg gospodarskog interesa u obliku naknade za obavljanje javne usluge javnog obalnog linijskog pomorskog prijevoza za razdoblje od 6 godina na državnoj liniji 9141 njegovih izmjena u iznosu od</w:t>
      </w:r>
      <w:r w:rsidRPr="001C4DCE">
        <w:rPr>
          <w:rFonts w:eastAsia="Times New Roman"/>
          <w:color w:val="000000"/>
        </w:rPr>
        <w:t xml:space="preserve"> 1,4</w:t>
      </w:r>
      <w:r w:rsidRPr="001C4DCE">
        <w:t xml:space="preserve"> milijuna eura </w:t>
      </w:r>
    </w:p>
    <w:p w14:paraId="6E479701" w14:textId="1BE1F520" w:rsidR="001C4DCE" w:rsidRPr="001C4DCE" w:rsidRDefault="001C4DCE" w:rsidP="001C4DCE">
      <w:pPr>
        <w:pStyle w:val="ListParagraph"/>
        <w:numPr>
          <w:ilvl w:val="0"/>
          <w:numId w:val="23"/>
        </w:numPr>
        <w:jc w:val="both"/>
      </w:pPr>
      <w:r w:rsidRPr="001C4DCE">
        <w:t xml:space="preserve">Programa </w:t>
      </w:r>
      <w:r w:rsidRPr="001C4DCE">
        <w:rPr>
          <w:rFonts w:eastAsia="Times New Roman"/>
          <w:color w:val="000000"/>
        </w:rPr>
        <w:t xml:space="preserve">državne potpore za usluge od općeg gospodarskog interesa u obliku naknade za obavljanje javne usluge javnog obalnog linijskog pomorskog prijevoza za razdoblje od 2020. do 2025. godine na državnoj </w:t>
      </w:r>
      <w:proofErr w:type="spellStart"/>
      <w:r w:rsidRPr="001C4DCE">
        <w:rPr>
          <w:rFonts w:eastAsia="Times New Roman"/>
          <w:color w:val="000000"/>
        </w:rPr>
        <w:t>brzobrodskoj</w:t>
      </w:r>
      <w:proofErr w:type="spellEnd"/>
      <w:r w:rsidRPr="001C4DCE">
        <w:rPr>
          <w:rFonts w:eastAsia="Times New Roman"/>
          <w:color w:val="000000"/>
        </w:rPr>
        <w:t xml:space="preserve"> liniji 9502 </w:t>
      </w:r>
      <w:proofErr w:type="spellStart"/>
      <w:r w:rsidRPr="001C4DCE">
        <w:rPr>
          <w:rFonts w:eastAsia="Times New Roman"/>
          <w:color w:val="000000"/>
        </w:rPr>
        <w:t>Žirje</w:t>
      </w:r>
      <w:proofErr w:type="spellEnd"/>
      <w:r w:rsidRPr="001C4DCE">
        <w:rPr>
          <w:rFonts w:eastAsia="Times New Roman"/>
          <w:color w:val="000000"/>
        </w:rPr>
        <w:t xml:space="preserve"> – </w:t>
      </w:r>
      <w:proofErr w:type="spellStart"/>
      <w:r w:rsidRPr="001C4DCE">
        <w:rPr>
          <w:rFonts w:eastAsia="Times New Roman"/>
          <w:color w:val="000000"/>
        </w:rPr>
        <w:t>Kaprije</w:t>
      </w:r>
      <w:proofErr w:type="spellEnd"/>
      <w:r w:rsidRPr="001C4DCE">
        <w:rPr>
          <w:rFonts w:eastAsia="Times New Roman"/>
          <w:color w:val="000000"/>
        </w:rPr>
        <w:t xml:space="preserve"> – Šibenik i obratno</w:t>
      </w:r>
      <w:r w:rsidRPr="001C4DCE">
        <w:t>, u iznosu od</w:t>
      </w:r>
      <w:r w:rsidRPr="001C4DCE">
        <w:rPr>
          <w:rFonts w:eastAsia="Times New Roman"/>
          <w:color w:val="000000"/>
        </w:rPr>
        <w:t xml:space="preserve"> </w:t>
      </w:r>
      <w:r w:rsidRPr="001C4DCE">
        <w:t xml:space="preserve">787.378,69 eura </w:t>
      </w:r>
    </w:p>
    <w:p w14:paraId="5F95559A" w14:textId="36A09AE3" w:rsidR="001C4DCE" w:rsidRPr="001C4DCE" w:rsidRDefault="001C4DCE" w:rsidP="001C4DCE">
      <w:pPr>
        <w:pStyle w:val="ListParagraph"/>
        <w:numPr>
          <w:ilvl w:val="0"/>
          <w:numId w:val="23"/>
        </w:numPr>
        <w:jc w:val="both"/>
      </w:pPr>
      <w:r w:rsidRPr="001C4DCE">
        <w:t>Programa državne potpore za usluge od općeg gospodarskog interesa u obliku naknade za obavljanje javne usluge javnog obalnog linijskog pomorskog prijevoza na državnoj trajektnoj liniji broj 635 u iznosu od</w:t>
      </w:r>
      <w:r w:rsidRPr="001C4DCE">
        <w:rPr>
          <w:rFonts w:eastAsia="Times New Roman"/>
          <w:color w:val="000000"/>
        </w:rPr>
        <w:t xml:space="preserve"> </w:t>
      </w:r>
      <w:r w:rsidRPr="001C4DCE">
        <w:t>579.759,03 eura, koji je Europska komisija odobrila u postupku koji se vodio pod brojem SA.48119 i SA.49523</w:t>
      </w:r>
    </w:p>
    <w:p w14:paraId="7DA0E2AF" w14:textId="27ABEC01" w:rsidR="001C4DCE" w:rsidRPr="001C4DCE" w:rsidRDefault="001C4DCE" w:rsidP="001C4DCE">
      <w:pPr>
        <w:pStyle w:val="ListParagraph"/>
        <w:numPr>
          <w:ilvl w:val="0"/>
          <w:numId w:val="23"/>
        </w:numPr>
        <w:jc w:val="both"/>
      </w:pPr>
      <w:r w:rsidRPr="001C4DCE">
        <w:t xml:space="preserve">Programa </w:t>
      </w:r>
      <w:r w:rsidRPr="001C4DCE">
        <w:rPr>
          <w:rFonts w:eastAsia="Times New Roman"/>
          <w:color w:val="000000"/>
        </w:rPr>
        <w:t xml:space="preserve">državne potpore za usluge od općeg gospodarskog interesa u obliku naknade za obavljanje javne usluge javnog obalnog linijskog pomorskog prijevoza za razdoblje od 2018. do 2020. godine uz mogućnost produljenja do 2029. godine </w:t>
      </w:r>
      <w:r w:rsidRPr="001C4DCE">
        <w:t>u iznosu od</w:t>
      </w:r>
      <w:r w:rsidRPr="001C4DCE">
        <w:rPr>
          <w:rFonts w:eastAsia="Times New Roman"/>
          <w:color w:val="000000"/>
        </w:rPr>
        <w:t xml:space="preserve"> </w:t>
      </w:r>
      <w:r w:rsidRPr="001C4DCE">
        <w:t>285.736,55 eura.</w:t>
      </w:r>
    </w:p>
    <w:p w14:paraId="4FED796D" w14:textId="5DC2635B" w:rsidR="007F2488" w:rsidRPr="001C4DCE" w:rsidRDefault="007F2488" w:rsidP="00BE487D">
      <w:pPr>
        <w:jc w:val="both"/>
      </w:pPr>
    </w:p>
    <w:p w14:paraId="32CCE0CF" w14:textId="50031242" w:rsidR="001C4DCE" w:rsidRPr="0025054A" w:rsidRDefault="00C169B5" w:rsidP="00BE487D">
      <w:pPr>
        <w:jc w:val="both"/>
      </w:pPr>
      <w:r w:rsidRPr="00B75A66">
        <w:rPr>
          <w:u w:val="single"/>
        </w:rPr>
        <w:t>Ministarstvo mora, prometa i infrastrukture</w:t>
      </w:r>
      <w:r w:rsidRPr="0025054A">
        <w:t xml:space="preserve"> </w:t>
      </w:r>
      <w:r w:rsidR="00E369FC" w:rsidRPr="0025054A">
        <w:t xml:space="preserve">je u 2023. godini </w:t>
      </w:r>
      <w:r w:rsidRPr="0025054A">
        <w:t xml:space="preserve">dodijelilo </w:t>
      </w:r>
      <w:r w:rsidR="0025054A" w:rsidRPr="0025054A">
        <w:t xml:space="preserve">ukupno </w:t>
      </w:r>
      <w:r w:rsidR="00E369FC" w:rsidRPr="0025054A">
        <w:t>26,9</w:t>
      </w:r>
      <w:r w:rsidRPr="0025054A">
        <w:t xml:space="preserve"> milijuna </w:t>
      </w:r>
      <w:r w:rsidR="00E369FC" w:rsidRPr="0025054A">
        <w:t xml:space="preserve">eura </w:t>
      </w:r>
      <w:r w:rsidR="001C4DCE" w:rsidRPr="0025054A">
        <w:t xml:space="preserve">i to </w:t>
      </w:r>
      <w:r w:rsidR="0022608B" w:rsidRPr="0025054A">
        <w:t>temeljem Programa državnih potpora u obliku poreza po tonaži broda</w:t>
      </w:r>
      <w:r w:rsidR="0025054A" w:rsidRPr="0025054A">
        <w:t xml:space="preserve">, porezne olakšice u </w:t>
      </w:r>
      <w:r w:rsidR="001C4DCE" w:rsidRPr="0025054A">
        <w:t>iznos</w:t>
      </w:r>
      <w:r w:rsidR="0025054A" w:rsidRPr="0025054A">
        <w:t>u</w:t>
      </w:r>
      <w:r w:rsidR="001C4DCE" w:rsidRPr="0025054A">
        <w:t xml:space="preserve"> od 21,6 milijuna eura, a program</w:t>
      </w:r>
      <w:r w:rsidR="002E22BD" w:rsidRPr="0025054A">
        <w:t xml:space="preserve"> je </w:t>
      </w:r>
      <w:r w:rsidR="0022608B" w:rsidRPr="0025054A">
        <w:t xml:space="preserve">Europska komisija odobrila </w:t>
      </w:r>
      <w:r w:rsidR="004F3496" w:rsidRPr="0025054A">
        <w:t xml:space="preserve">u postupku koji se vodio </w:t>
      </w:r>
      <w:r w:rsidR="0022608B" w:rsidRPr="0025054A">
        <w:t>pod brojem SA.37912</w:t>
      </w:r>
      <w:r w:rsidR="001C4DCE" w:rsidRPr="0025054A">
        <w:t>, te temelje</w:t>
      </w:r>
      <w:r w:rsidR="0025054A" w:rsidRPr="0025054A">
        <w:t xml:space="preserve">m Programa dodjele državnih potpora za ulaganja u modernizaciju luka otvorenih za javni promet iznos od 5,3 milijuna eura subvencija, o </w:t>
      </w:r>
      <w:r w:rsidR="00CF5370">
        <w:t>kojem</w:t>
      </w:r>
      <w:r w:rsidR="0025054A" w:rsidRPr="0025054A">
        <w:t xml:space="preserve"> je Europska komisija obaviještena pod brojem SA.105734.</w:t>
      </w:r>
    </w:p>
    <w:p w14:paraId="4F871719" w14:textId="105E51F3" w:rsidR="00712138" w:rsidRDefault="00712138" w:rsidP="00BE487D">
      <w:pPr>
        <w:jc w:val="both"/>
        <w:rPr>
          <w:rFonts w:eastAsia="Calibri"/>
          <w:highlight w:val="green"/>
        </w:rPr>
      </w:pPr>
    </w:p>
    <w:p w14:paraId="7069357F" w14:textId="31B37E84" w:rsidR="00426D82" w:rsidRPr="007D08B6" w:rsidRDefault="00426D82" w:rsidP="00426D82">
      <w:pPr>
        <w:jc w:val="both"/>
      </w:pPr>
      <w:r w:rsidRPr="00B75A66">
        <w:rPr>
          <w:b/>
        </w:rPr>
        <w:t>Potpore</w:t>
      </w:r>
      <w:r w:rsidRPr="00B75A66">
        <w:t xml:space="preserve"> </w:t>
      </w:r>
      <w:r w:rsidRPr="00B75A66">
        <w:rPr>
          <w:b/>
        </w:rPr>
        <w:t>zračnom prometu</w:t>
      </w:r>
      <w:r w:rsidRPr="007509FC">
        <w:t xml:space="preserve"> </w:t>
      </w:r>
      <w:r w:rsidR="005F1DB3" w:rsidRPr="007509FC">
        <w:t xml:space="preserve">su dodijeljene u 2023. godini u iznosu od </w:t>
      </w:r>
      <w:r w:rsidR="007509FC" w:rsidRPr="007509FC">
        <w:t xml:space="preserve">30,6 </w:t>
      </w:r>
      <w:r w:rsidR="005F1DB3" w:rsidRPr="007509FC">
        <w:t xml:space="preserve">milijuna eura, što je povećanje za </w:t>
      </w:r>
      <w:r w:rsidR="007509FC" w:rsidRPr="007509FC">
        <w:t xml:space="preserve">14,5 </w:t>
      </w:r>
      <w:r w:rsidR="005F1DB3" w:rsidRPr="007509FC">
        <w:t xml:space="preserve">milijuna eura ili za </w:t>
      </w:r>
      <w:r w:rsidR="007509FC" w:rsidRPr="007509FC">
        <w:t xml:space="preserve">90,2 </w:t>
      </w:r>
      <w:r w:rsidR="005F1DB3" w:rsidRPr="007509FC">
        <w:t xml:space="preserve">posto u odnosu na 2022. godinu, kada su navedene potpore iznosile </w:t>
      </w:r>
      <w:r w:rsidR="007509FC" w:rsidRPr="007509FC">
        <w:t xml:space="preserve">16,1 </w:t>
      </w:r>
      <w:r w:rsidR="005F1DB3" w:rsidRPr="007509FC">
        <w:t xml:space="preserve">milijun eura, te je </w:t>
      </w:r>
      <w:r w:rsidR="007509FC" w:rsidRPr="007509FC">
        <w:t xml:space="preserve">povećanje </w:t>
      </w:r>
      <w:r w:rsidR="005F1DB3" w:rsidRPr="007509FC">
        <w:t xml:space="preserve">za </w:t>
      </w:r>
      <w:r w:rsidR="007509FC" w:rsidRPr="007509FC">
        <w:t>16</w:t>
      </w:r>
      <w:r w:rsidR="005F1DB3" w:rsidRPr="007509FC">
        <w:t xml:space="preserve"> milijuna eura ili za </w:t>
      </w:r>
      <w:r w:rsidR="007509FC" w:rsidRPr="007509FC">
        <w:t>110,1</w:t>
      </w:r>
      <w:r w:rsidR="005F1DB3" w:rsidRPr="007509FC">
        <w:t xml:space="preserve"> posto u odnosu na 2021. godinu kada su potpore za </w:t>
      </w:r>
      <w:r w:rsidR="007509FC" w:rsidRPr="007509FC">
        <w:t>zračni promet</w:t>
      </w:r>
      <w:r w:rsidR="005F1DB3" w:rsidRPr="007509FC">
        <w:t xml:space="preserve"> iznosile </w:t>
      </w:r>
      <w:r w:rsidR="007509FC" w:rsidRPr="007509FC">
        <w:t>14,6</w:t>
      </w:r>
      <w:r w:rsidR="005F1DB3" w:rsidRPr="007509FC">
        <w:t xml:space="preserve"> milijuna eura.</w:t>
      </w:r>
      <w:r w:rsidRPr="007509FC">
        <w:t xml:space="preserve"> Udio potpora u zračnom prometu u BDP-u u 202</w:t>
      </w:r>
      <w:r w:rsidR="007509FC" w:rsidRPr="007509FC">
        <w:t>3</w:t>
      </w:r>
      <w:r w:rsidRPr="007509FC">
        <w:t>. godini iznosio je 0,0</w:t>
      </w:r>
      <w:r w:rsidR="007509FC" w:rsidRPr="007509FC">
        <w:t>4</w:t>
      </w:r>
      <w:r w:rsidRPr="007509FC">
        <w:t xml:space="preserve"> posto, udio u ukupno dodijeljenim potporama iznosio je </w:t>
      </w:r>
      <w:r w:rsidR="007509FC" w:rsidRPr="007509FC">
        <w:t>1</w:t>
      </w:r>
      <w:r w:rsidRPr="007509FC">
        <w:t xml:space="preserve"> posto, udio u sektorskim potporama iznosio je </w:t>
      </w:r>
      <w:r w:rsidR="007509FC" w:rsidRPr="007509FC">
        <w:t>3,6</w:t>
      </w:r>
      <w:r w:rsidRPr="007509FC">
        <w:t xml:space="preserve"> posto, dok je udio u sektoru prometa iznosio </w:t>
      </w:r>
      <w:r w:rsidR="007509FC" w:rsidRPr="007509FC">
        <w:t>9,5</w:t>
      </w:r>
      <w:r w:rsidRPr="007509FC">
        <w:t xml:space="preserve"> posto. Instrument dodjele navedenih potpora u 202</w:t>
      </w:r>
      <w:r w:rsidR="007509FC" w:rsidRPr="007509FC">
        <w:t>3</w:t>
      </w:r>
      <w:r w:rsidRPr="007509FC">
        <w:t>. godini su isključivo subvencije.</w:t>
      </w:r>
      <w:r w:rsidR="007D08B6" w:rsidRPr="007D08B6">
        <w:t xml:space="preserve"> </w:t>
      </w:r>
      <w:r w:rsidR="007D08B6">
        <w:t>Jedini davatelj navedenih potpora je</w:t>
      </w:r>
      <w:r w:rsidR="007D08B6" w:rsidRPr="007D08B6">
        <w:rPr>
          <w:b/>
        </w:rPr>
        <w:t xml:space="preserve"> </w:t>
      </w:r>
      <w:r w:rsidR="007D08B6" w:rsidRPr="007D08B6">
        <w:t>Ministarstvo mora, prometa i infrastrukture</w:t>
      </w:r>
      <w:r w:rsidR="007D08B6">
        <w:t>.</w:t>
      </w:r>
    </w:p>
    <w:p w14:paraId="4E759579" w14:textId="67337552" w:rsidR="002E6DF8" w:rsidRPr="007509FC" w:rsidRDefault="002E6DF8" w:rsidP="002E6DF8">
      <w:pPr>
        <w:jc w:val="both"/>
      </w:pPr>
    </w:p>
    <w:p w14:paraId="0C8DEA09" w14:textId="2447916B" w:rsidR="00A97F44" w:rsidRPr="007D08B6" w:rsidRDefault="008320D4" w:rsidP="00BE487D">
      <w:pPr>
        <w:jc w:val="both"/>
      </w:pPr>
      <w:r w:rsidRPr="00B75A66">
        <w:rPr>
          <w:u w:val="single"/>
        </w:rPr>
        <w:t>Ministarstvo mora, prometa i infrastrukture</w:t>
      </w:r>
      <w:r w:rsidRPr="007D08B6">
        <w:t xml:space="preserve"> je u</w:t>
      </w:r>
      <w:r w:rsidR="00A97F44" w:rsidRPr="007D08B6">
        <w:t xml:space="preserve"> 202</w:t>
      </w:r>
      <w:r w:rsidR="007D08B6" w:rsidRPr="007D08B6">
        <w:t>3</w:t>
      </w:r>
      <w:r w:rsidR="00A97F44" w:rsidRPr="007D08B6">
        <w:t xml:space="preserve">. godini </w:t>
      </w:r>
      <w:r w:rsidR="007D08B6" w:rsidRPr="007D08B6">
        <w:t xml:space="preserve">ukupno </w:t>
      </w:r>
      <w:r w:rsidRPr="007D08B6">
        <w:t>dodijelilo potpore</w:t>
      </w:r>
      <w:r w:rsidR="00A97F44" w:rsidRPr="007D08B6">
        <w:t xml:space="preserve"> zračnom prometu </w:t>
      </w:r>
      <w:r w:rsidRPr="007D08B6">
        <w:t xml:space="preserve">u </w:t>
      </w:r>
      <w:r w:rsidR="00A97F44" w:rsidRPr="007D08B6">
        <w:t>iznos</w:t>
      </w:r>
      <w:r w:rsidRPr="007D08B6">
        <w:t>u</w:t>
      </w:r>
      <w:r w:rsidR="00A97F44" w:rsidRPr="007D08B6">
        <w:t xml:space="preserve"> od </w:t>
      </w:r>
      <w:r w:rsidR="007D08B6" w:rsidRPr="007D08B6">
        <w:t>30,6</w:t>
      </w:r>
      <w:r w:rsidR="0022608B" w:rsidRPr="007D08B6">
        <w:t xml:space="preserve"> milijuna </w:t>
      </w:r>
      <w:r w:rsidR="007D08B6" w:rsidRPr="007D08B6">
        <w:t>eura</w:t>
      </w:r>
      <w:r w:rsidR="00A97F44" w:rsidRPr="007D08B6">
        <w:t xml:space="preserve">. Temeljem programa Očuvanje prometne povezanosti regije (domaći linijski zračni prijevoz) dodijeljeno je </w:t>
      </w:r>
      <w:r w:rsidR="007D08B6" w:rsidRPr="007D08B6">
        <w:t>20,5</w:t>
      </w:r>
      <w:r w:rsidR="00A97F44" w:rsidRPr="007D08B6">
        <w:t xml:space="preserve"> milijuna </w:t>
      </w:r>
      <w:r w:rsidR="007D08B6" w:rsidRPr="007D08B6">
        <w:t xml:space="preserve">eura, temeljem pojedinačne potpore pod nazivom Elektrifikacija i ozelenjivanje sustava prihvata i otpreme </w:t>
      </w:r>
      <w:r w:rsidR="007D08B6" w:rsidRPr="007D08B6">
        <w:lastRenderedPageBreak/>
        <w:t xml:space="preserve">zrakoplova te električno napajanje zrakoplova u Zračnoj luci Zadar dodijeljeno je 9,3 milijuna eura, a </w:t>
      </w:r>
      <w:r w:rsidR="007D08B6" w:rsidRPr="007D08B6">
        <w:rPr>
          <w:rFonts w:eastAsia="Times New Roman"/>
          <w:color w:val="000000"/>
          <w:lang w:eastAsia="hr-HR"/>
        </w:rPr>
        <w:t xml:space="preserve">kojeg je Europska komisija odobrila pod brojem </w:t>
      </w:r>
      <w:r w:rsidR="007D08B6" w:rsidRPr="007D08B6">
        <w:t xml:space="preserve">SA.107779, te je </w:t>
      </w:r>
      <w:r w:rsidR="00CE0DC4" w:rsidRPr="007D08B6">
        <w:t xml:space="preserve">temeljem </w:t>
      </w:r>
      <w:r w:rsidR="0022608B" w:rsidRPr="007D08B6">
        <w:t>programa Očuvanje vremena otvorenosti Zračne luke Osijek d.o.o. za javni zračni promet</w:t>
      </w:r>
      <w:r w:rsidR="00CE0DC4" w:rsidRPr="007D08B6">
        <w:t xml:space="preserve"> </w:t>
      </w:r>
      <w:r w:rsidR="00A97F44" w:rsidRPr="007D08B6">
        <w:t xml:space="preserve">dodijeljen iznos od </w:t>
      </w:r>
      <w:r w:rsidR="007D08B6" w:rsidRPr="007D08B6">
        <w:t>836.154,02 eura</w:t>
      </w:r>
      <w:r w:rsidR="00CE0DC4" w:rsidRPr="007D08B6">
        <w:t>.</w:t>
      </w:r>
      <w:r w:rsidR="00A97F44" w:rsidRPr="007D08B6">
        <w:t xml:space="preserve"> </w:t>
      </w:r>
    </w:p>
    <w:p w14:paraId="2C0C4EFA" w14:textId="77777777" w:rsidR="0030508F" w:rsidRPr="007D08B6" w:rsidRDefault="0030508F" w:rsidP="00BE487D">
      <w:pPr>
        <w:jc w:val="both"/>
      </w:pPr>
    </w:p>
    <w:p w14:paraId="78692863" w14:textId="1CBB835C" w:rsidR="007D08B6" w:rsidRPr="007D08B6" w:rsidRDefault="007D08B6" w:rsidP="007D08B6">
      <w:pPr>
        <w:jc w:val="both"/>
      </w:pPr>
      <w:r w:rsidRPr="00B75A66">
        <w:rPr>
          <w:u w:val="single"/>
        </w:rPr>
        <w:t>Potpore male vrijednosti</w:t>
      </w:r>
      <w:r w:rsidRPr="007D08B6">
        <w:t xml:space="preserve"> u sektoru prometa su u 2023. godini dodijeljene u iznosu od 537.124,20 eura, te ukoliko bi se navedene potpore male vrijednosti pribrojile dodijeljenim potporama u sektoru prometa u iznosu od 320,6 milijuna eura, ukupan iznos svih dodijeljenih potpora u sektoru prometa u 2023. godini iznosile bi 320,7 milijuna eura. </w:t>
      </w:r>
    </w:p>
    <w:p w14:paraId="39B3EA95" w14:textId="4971C2D7" w:rsidR="002F5134" w:rsidRPr="007D08B6" w:rsidRDefault="002F5134" w:rsidP="00BE487D">
      <w:pPr>
        <w:jc w:val="both"/>
      </w:pPr>
    </w:p>
    <w:p w14:paraId="2C4C8AD2" w14:textId="77777777" w:rsidR="007D08B6" w:rsidRPr="007D08B6" w:rsidRDefault="007D08B6" w:rsidP="00BE487D">
      <w:pPr>
        <w:jc w:val="both"/>
      </w:pPr>
    </w:p>
    <w:p w14:paraId="70F8B7E4" w14:textId="77777777" w:rsidR="00BC66CE" w:rsidRPr="007D08B6" w:rsidRDefault="00BC66CE" w:rsidP="00BE487D"/>
    <w:p w14:paraId="659B268F" w14:textId="77777777" w:rsidR="00BE0817" w:rsidRPr="007D08B6" w:rsidRDefault="00BC66CE" w:rsidP="00BE487D">
      <w:pPr>
        <w:pStyle w:val="Heading3"/>
        <w:numPr>
          <w:ilvl w:val="2"/>
          <w:numId w:val="1"/>
        </w:numPr>
        <w:spacing w:before="0"/>
        <w:jc w:val="both"/>
        <w:rPr>
          <w:rFonts w:ascii="Times New Roman" w:hAnsi="Times New Roman" w:cs="Times New Roman"/>
          <w:b/>
          <w:i/>
          <w:color w:val="auto"/>
        </w:rPr>
      </w:pPr>
      <w:bookmarkStart w:id="26" w:name="_Toc184635856"/>
      <w:r w:rsidRPr="007D08B6">
        <w:rPr>
          <w:rFonts w:ascii="Times New Roman" w:hAnsi="Times New Roman" w:cs="Times New Roman"/>
          <w:b/>
          <w:i/>
          <w:color w:val="auto"/>
        </w:rPr>
        <w:t>Potpore b</w:t>
      </w:r>
      <w:r w:rsidR="00BE0817" w:rsidRPr="007D08B6">
        <w:rPr>
          <w:rFonts w:ascii="Times New Roman" w:hAnsi="Times New Roman" w:cs="Times New Roman"/>
          <w:b/>
          <w:i/>
          <w:color w:val="auto"/>
        </w:rPr>
        <w:t>rodogradnj</w:t>
      </w:r>
      <w:r w:rsidRPr="007D08B6">
        <w:rPr>
          <w:rFonts w:ascii="Times New Roman" w:hAnsi="Times New Roman" w:cs="Times New Roman"/>
          <w:b/>
          <w:i/>
          <w:color w:val="auto"/>
        </w:rPr>
        <w:t>i</w:t>
      </w:r>
      <w:bookmarkEnd w:id="26"/>
      <w:r w:rsidR="00BE0817" w:rsidRPr="007D08B6">
        <w:rPr>
          <w:rFonts w:ascii="Times New Roman" w:hAnsi="Times New Roman" w:cs="Times New Roman"/>
          <w:b/>
          <w:i/>
          <w:color w:val="auto"/>
        </w:rPr>
        <w:t xml:space="preserve"> </w:t>
      </w:r>
    </w:p>
    <w:p w14:paraId="0C2332B7" w14:textId="77777777" w:rsidR="00BC66CE" w:rsidRPr="007D08B6" w:rsidRDefault="00BC66CE" w:rsidP="00BE487D">
      <w:pPr>
        <w:jc w:val="both"/>
      </w:pPr>
    </w:p>
    <w:p w14:paraId="3D5D4623" w14:textId="77777777" w:rsidR="0087793D" w:rsidRPr="007D08B6" w:rsidRDefault="0087793D" w:rsidP="00BE487D">
      <w:pPr>
        <w:jc w:val="both"/>
      </w:pPr>
    </w:p>
    <w:p w14:paraId="7DD40C5C" w14:textId="6DDE64D2" w:rsidR="005F1DB3" w:rsidRPr="007D08B6" w:rsidRDefault="005F1DB3" w:rsidP="007D08B6">
      <w:pPr>
        <w:jc w:val="both"/>
        <w:rPr>
          <w:spacing w:val="-2"/>
        </w:rPr>
      </w:pPr>
      <w:r w:rsidRPr="007D08B6">
        <w:rPr>
          <w:spacing w:val="-2"/>
        </w:rPr>
        <w:t xml:space="preserve">Potpore </w:t>
      </w:r>
      <w:r w:rsidR="007D08B6" w:rsidRPr="007D08B6">
        <w:rPr>
          <w:spacing w:val="-2"/>
        </w:rPr>
        <w:t xml:space="preserve">u sektoru brodogradnje </w:t>
      </w:r>
      <w:r w:rsidRPr="007D08B6">
        <w:rPr>
          <w:spacing w:val="-2"/>
        </w:rPr>
        <w:t xml:space="preserve">su dodijeljene u 2023. godini u iznosu od </w:t>
      </w:r>
      <w:r w:rsidR="007D08B6" w:rsidRPr="007D08B6">
        <w:rPr>
          <w:spacing w:val="-2"/>
        </w:rPr>
        <w:t>29,5</w:t>
      </w:r>
      <w:r w:rsidRPr="007D08B6">
        <w:rPr>
          <w:spacing w:val="-2"/>
        </w:rPr>
        <w:t xml:space="preserve"> milijuna eura, što je </w:t>
      </w:r>
      <w:r w:rsidR="007D08B6" w:rsidRPr="007D08B6">
        <w:rPr>
          <w:spacing w:val="-2"/>
        </w:rPr>
        <w:t>smanjenje</w:t>
      </w:r>
      <w:r w:rsidRPr="007D08B6">
        <w:rPr>
          <w:spacing w:val="-2"/>
        </w:rPr>
        <w:t xml:space="preserve"> za </w:t>
      </w:r>
      <w:r w:rsidR="007D08B6" w:rsidRPr="007D08B6">
        <w:rPr>
          <w:spacing w:val="-2"/>
        </w:rPr>
        <w:t>31,7</w:t>
      </w:r>
      <w:r w:rsidRPr="007D08B6">
        <w:rPr>
          <w:spacing w:val="-2"/>
        </w:rPr>
        <w:t xml:space="preserve"> milijuna eura ili za </w:t>
      </w:r>
      <w:r w:rsidR="007D08B6" w:rsidRPr="007D08B6">
        <w:rPr>
          <w:spacing w:val="-2"/>
        </w:rPr>
        <w:t>51,8</w:t>
      </w:r>
      <w:r w:rsidRPr="007D08B6">
        <w:rPr>
          <w:spacing w:val="-2"/>
        </w:rPr>
        <w:t xml:space="preserve"> posto u odnosu na 2022. godinu, kada su navedene potpore iznosile </w:t>
      </w:r>
      <w:r w:rsidR="007D08B6" w:rsidRPr="007D08B6">
        <w:rPr>
          <w:spacing w:val="-2"/>
        </w:rPr>
        <w:t>61,2</w:t>
      </w:r>
      <w:r w:rsidRPr="007D08B6">
        <w:rPr>
          <w:spacing w:val="-2"/>
        </w:rPr>
        <w:t xml:space="preserve"> milijuna eura, te je smanjenje za </w:t>
      </w:r>
      <w:r w:rsidR="007D08B6" w:rsidRPr="007D08B6">
        <w:rPr>
          <w:spacing w:val="-2"/>
        </w:rPr>
        <w:t>63,2</w:t>
      </w:r>
      <w:r w:rsidRPr="007D08B6">
        <w:rPr>
          <w:spacing w:val="-2"/>
        </w:rPr>
        <w:t xml:space="preserve"> milijuna eura ili za </w:t>
      </w:r>
      <w:r w:rsidR="007D08B6" w:rsidRPr="007D08B6">
        <w:rPr>
          <w:spacing w:val="-2"/>
        </w:rPr>
        <w:t>68,2</w:t>
      </w:r>
      <w:r w:rsidRPr="007D08B6">
        <w:rPr>
          <w:spacing w:val="-2"/>
        </w:rPr>
        <w:t xml:space="preserve"> posto u odnosu na 2021. godinu kada su potpore </w:t>
      </w:r>
      <w:r w:rsidR="007D08B6" w:rsidRPr="007D08B6">
        <w:rPr>
          <w:spacing w:val="-2"/>
        </w:rPr>
        <w:t xml:space="preserve">u sektoru brodogradnje </w:t>
      </w:r>
      <w:r w:rsidRPr="007D08B6">
        <w:rPr>
          <w:spacing w:val="-2"/>
        </w:rPr>
        <w:t xml:space="preserve">iznosile </w:t>
      </w:r>
      <w:r w:rsidR="007D08B6" w:rsidRPr="007D08B6">
        <w:rPr>
          <w:spacing w:val="-2"/>
        </w:rPr>
        <w:t>92,7</w:t>
      </w:r>
      <w:r w:rsidRPr="007D08B6">
        <w:rPr>
          <w:spacing w:val="-2"/>
        </w:rPr>
        <w:t xml:space="preserve"> milijuna eura.</w:t>
      </w:r>
    </w:p>
    <w:p w14:paraId="73EBD102" w14:textId="77777777" w:rsidR="009D7505" w:rsidRPr="007D08B6" w:rsidRDefault="009D7505" w:rsidP="003F0669">
      <w:pPr>
        <w:jc w:val="both"/>
      </w:pPr>
    </w:p>
    <w:p w14:paraId="33821B0C" w14:textId="3A1EF560" w:rsidR="0087793D" w:rsidRPr="00B75A66" w:rsidRDefault="0087793D" w:rsidP="00BE487D">
      <w:pPr>
        <w:contextualSpacing/>
        <w:jc w:val="both"/>
      </w:pPr>
      <w:r w:rsidRPr="00B75A66">
        <w:t>Tablica 2</w:t>
      </w:r>
      <w:r w:rsidR="00C01B6B" w:rsidRPr="00B75A66">
        <w:t>2</w:t>
      </w:r>
      <w:r w:rsidRPr="00B75A66">
        <w:t xml:space="preserve">. Potpore </w:t>
      </w:r>
      <w:r w:rsidR="0033578C" w:rsidRPr="00B75A66">
        <w:t xml:space="preserve">dodijeljene u </w:t>
      </w:r>
      <w:r w:rsidRPr="00B75A66">
        <w:t xml:space="preserve">sektoru brodogradnje </w:t>
      </w:r>
      <w:r w:rsidR="0033578C" w:rsidRPr="00B75A66">
        <w:t>u</w:t>
      </w:r>
      <w:r w:rsidRPr="00B75A66">
        <w:t xml:space="preserve"> razdoblj</w:t>
      </w:r>
      <w:r w:rsidR="0033578C" w:rsidRPr="00B75A66">
        <w:t>u</w:t>
      </w:r>
      <w:r w:rsidRPr="00B75A66">
        <w:t xml:space="preserve"> od 20</w:t>
      </w:r>
      <w:r w:rsidR="007F2488" w:rsidRPr="00B75A66">
        <w:t>2</w:t>
      </w:r>
      <w:r w:rsidR="00C01B6B" w:rsidRPr="00B75A66">
        <w:t>1</w:t>
      </w:r>
      <w:r w:rsidRPr="00B75A66">
        <w:t>. do 202</w:t>
      </w:r>
      <w:r w:rsidR="00C01B6B" w:rsidRPr="00B75A66">
        <w:t>3</w:t>
      </w:r>
      <w:r w:rsidRPr="00B75A66">
        <w:t>. godine</w:t>
      </w:r>
    </w:p>
    <w:p w14:paraId="21545AE7" w14:textId="77777777" w:rsidR="0087793D" w:rsidRPr="0033578C" w:rsidRDefault="0087793D" w:rsidP="00BE487D">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33578C" w:rsidRPr="0033578C" w14:paraId="5AFE7488" w14:textId="77777777" w:rsidTr="00E627B3">
        <w:trPr>
          <w:trHeight w:val="38"/>
        </w:trPr>
        <w:tc>
          <w:tcPr>
            <w:tcW w:w="3376" w:type="dxa"/>
            <w:vMerge w:val="restart"/>
            <w:shd w:val="clear" w:color="000000" w:fill="FFFF99"/>
            <w:noWrap/>
            <w:vAlign w:val="center"/>
            <w:hideMark/>
          </w:tcPr>
          <w:p w14:paraId="7C9AB1E4" w14:textId="57876BE6" w:rsidR="0081459E" w:rsidRPr="0033578C" w:rsidRDefault="0033578C" w:rsidP="00E627B3">
            <w:pPr>
              <w:rPr>
                <w:rFonts w:eastAsia="Times New Roman"/>
                <w:b/>
                <w:bCs/>
                <w:sz w:val="20"/>
                <w:szCs w:val="20"/>
              </w:rPr>
            </w:pPr>
            <w:r w:rsidRPr="0033578C">
              <w:rPr>
                <w:rFonts w:eastAsia="Times New Roman"/>
                <w:b/>
                <w:bCs/>
                <w:sz w:val="20"/>
                <w:lang w:eastAsia="hr-HR"/>
              </w:rPr>
              <w:t>Brodogradnja</w:t>
            </w:r>
          </w:p>
        </w:tc>
        <w:tc>
          <w:tcPr>
            <w:tcW w:w="1439" w:type="dxa"/>
            <w:shd w:val="clear" w:color="000000" w:fill="FFFF99"/>
            <w:vAlign w:val="center"/>
          </w:tcPr>
          <w:p w14:paraId="55A782BF" w14:textId="77777777" w:rsidR="0081459E" w:rsidRPr="0033578C" w:rsidRDefault="0081459E" w:rsidP="00E627B3">
            <w:pPr>
              <w:jc w:val="center"/>
              <w:rPr>
                <w:rFonts w:eastAsia="Times New Roman"/>
                <w:b/>
                <w:bCs/>
                <w:sz w:val="20"/>
                <w:szCs w:val="20"/>
              </w:rPr>
            </w:pPr>
            <w:r w:rsidRPr="0033578C">
              <w:rPr>
                <w:b/>
                <w:sz w:val="20"/>
                <w:szCs w:val="20"/>
              </w:rPr>
              <w:t>2021.</w:t>
            </w:r>
          </w:p>
        </w:tc>
        <w:tc>
          <w:tcPr>
            <w:tcW w:w="1559" w:type="dxa"/>
            <w:shd w:val="clear" w:color="000000" w:fill="FFFF99"/>
            <w:vAlign w:val="center"/>
          </w:tcPr>
          <w:p w14:paraId="164FAA3D" w14:textId="77777777" w:rsidR="0081459E" w:rsidRPr="0033578C" w:rsidRDefault="0081459E" w:rsidP="00E627B3">
            <w:pPr>
              <w:jc w:val="center"/>
              <w:rPr>
                <w:rFonts w:eastAsia="Times New Roman"/>
                <w:b/>
                <w:bCs/>
                <w:sz w:val="20"/>
                <w:szCs w:val="20"/>
              </w:rPr>
            </w:pPr>
            <w:r w:rsidRPr="0033578C">
              <w:rPr>
                <w:b/>
                <w:sz w:val="20"/>
                <w:szCs w:val="20"/>
              </w:rPr>
              <w:t>2022.</w:t>
            </w:r>
          </w:p>
        </w:tc>
        <w:tc>
          <w:tcPr>
            <w:tcW w:w="1559" w:type="dxa"/>
            <w:shd w:val="clear" w:color="000000" w:fill="FFFF99"/>
            <w:vAlign w:val="center"/>
          </w:tcPr>
          <w:p w14:paraId="09429944" w14:textId="77777777" w:rsidR="0081459E" w:rsidRPr="0033578C" w:rsidRDefault="0081459E" w:rsidP="00E627B3">
            <w:pPr>
              <w:jc w:val="center"/>
              <w:rPr>
                <w:rFonts w:eastAsia="Times New Roman"/>
                <w:b/>
                <w:bCs/>
                <w:sz w:val="20"/>
                <w:szCs w:val="20"/>
              </w:rPr>
            </w:pPr>
            <w:r w:rsidRPr="0033578C">
              <w:rPr>
                <w:b/>
                <w:sz w:val="20"/>
                <w:szCs w:val="20"/>
              </w:rPr>
              <w:t>2023.</w:t>
            </w:r>
          </w:p>
        </w:tc>
      </w:tr>
      <w:tr w:rsidR="0033578C" w:rsidRPr="0033578C" w14:paraId="6CB62248" w14:textId="77777777" w:rsidTr="00E627B3">
        <w:trPr>
          <w:trHeight w:val="212"/>
        </w:trPr>
        <w:tc>
          <w:tcPr>
            <w:tcW w:w="3376" w:type="dxa"/>
            <w:vMerge/>
            <w:vAlign w:val="center"/>
            <w:hideMark/>
          </w:tcPr>
          <w:p w14:paraId="6EC97366" w14:textId="77777777" w:rsidR="0081459E" w:rsidRPr="0033578C" w:rsidRDefault="0081459E" w:rsidP="00E627B3">
            <w:pPr>
              <w:rPr>
                <w:rFonts w:eastAsia="Times New Roman"/>
                <w:b/>
                <w:bCs/>
                <w:sz w:val="20"/>
                <w:szCs w:val="20"/>
              </w:rPr>
            </w:pPr>
          </w:p>
        </w:tc>
        <w:tc>
          <w:tcPr>
            <w:tcW w:w="1439" w:type="dxa"/>
            <w:shd w:val="clear" w:color="000000" w:fill="FFFF99"/>
            <w:vAlign w:val="center"/>
          </w:tcPr>
          <w:p w14:paraId="415D02C5" w14:textId="77777777" w:rsidR="0081459E" w:rsidRPr="0033578C" w:rsidRDefault="0081459E" w:rsidP="00E627B3">
            <w:pPr>
              <w:rPr>
                <w:rFonts w:eastAsia="Times New Roman"/>
                <w:b/>
                <w:sz w:val="18"/>
                <w:szCs w:val="20"/>
              </w:rPr>
            </w:pPr>
            <w:r w:rsidRPr="0033578C">
              <w:rPr>
                <w:b/>
                <w:sz w:val="20"/>
                <w:szCs w:val="20"/>
              </w:rPr>
              <w:t xml:space="preserve">u </w:t>
            </w:r>
            <w:proofErr w:type="spellStart"/>
            <w:r w:rsidRPr="0033578C">
              <w:rPr>
                <w:b/>
                <w:sz w:val="20"/>
                <w:szCs w:val="20"/>
              </w:rPr>
              <w:t>mln</w:t>
            </w:r>
            <w:proofErr w:type="spellEnd"/>
            <w:r w:rsidRPr="0033578C">
              <w:rPr>
                <w:b/>
                <w:sz w:val="20"/>
                <w:szCs w:val="20"/>
              </w:rPr>
              <w:t xml:space="preserve"> EUR</w:t>
            </w:r>
          </w:p>
        </w:tc>
        <w:tc>
          <w:tcPr>
            <w:tcW w:w="1559" w:type="dxa"/>
            <w:shd w:val="clear" w:color="000000" w:fill="FFFF99"/>
            <w:vAlign w:val="center"/>
          </w:tcPr>
          <w:p w14:paraId="28401D01" w14:textId="77777777" w:rsidR="0081459E" w:rsidRPr="0033578C" w:rsidRDefault="0081459E" w:rsidP="00E627B3">
            <w:pPr>
              <w:jc w:val="center"/>
              <w:rPr>
                <w:rFonts w:eastAsia="Times New Roman"/>
                <w:b/>
                <w:sz w:val="18"/>
                <w:szCs w:val="20"/>
              </w:rPr>
            </w:pPr>
            <w:r w:rsidRPr="0033578C">
              <w:rPr>
                <w:b/>
                <w:sz w:val="20"/>
                <w:szCs w:val="20"/>
              </w:rPr>
              <w:t xml:space="preserve">u </w:t>
            </w:r>
            <w:proofErr w:type="spellStart"/>
            <w:r w:rsidRPr="0033578C">
              <w:rPr>
                <w:b/>
                <w:sz w:val="20"/>
                <w:szCs w:val="20"/>
              </w:rPr>
              <w:t>mln</w:t>
            </w:r>
            <w:proofErr w:type="spellEnd"/>
            <w:r w:rsidRPr="0033578C">
              <w:rPr>
                <w:b/>
                <w:sz w:val="20"/>
                <w:szCs w:val="20"/>
              </w:rPr>
              <w:t xml:space="preserve"> EUR</w:t>
            </w:r>
          </w:p>
        </w:tc>
        <w:tc>
          <w:tcPr>
            <w:tcW w:w="1559" w:type="dxa"/>
            <w:shd w:val="clear" w:color="000000" w:fill="FFFF99"/>
            <w:vAlign w:val="center"/>
          </w:tcPr>
          <w:p w14:paraId="3EA5763F" w14:textId="77777777" w:rsidR="0081459E" w:rsidRPr="0033578C" w:rsidRDefault="0081459E" w:rsidP="00E627B3">
            <w:pPr>
              <w:jc w:val="center"/>
              <w:rPr>
                <w:rFonts w:eastAsia="Times New Roman"/>
                <w:b/>
                <w:sz w:val="18"/>
                <w:szCs w:val="20"/>
              </w:rPr>
            </w:pPr>
            <w:r w:rsidRPr="0033578C">
              <w:rPr>
                <w:b/>
                <w:sz w:val="20"/>
                <w:szCs w:val="20"/>
              </w:rPr>
              <w:t xml:space="preserve">u </w:t>
            </w:r>
            <w:proofErr w:type="spellStart"/>
            <w:r w:rsidRPr="0033578C">
              <w:rPr>
                <w:b/>
                <w:sz w:val="20"/>
                <w:szCs w:val="20"/>
              </w:rPr>
              <w:t>mln</w:t>
            </w:r>
            <w:proofErr w:type="spellEnd"/>
            <w:r w:rsidRPr="0033578C">
              <w:rPr>
                <w:b/>
                <w:sz w:val="20"/>
                <w:szCs w:val="20"/>
              </w:rPr>
              <w:t xml:space="preserve"> EUR</w:t>
            </w:r>
          </w:p>
        </w:tc>
      </w:tr>
      <w:tr w:rsidR="0033578C" w:rsidRPr="0033578C" w14:paraId="5DF9C752" w14:textId="77777777" w:rsidTr="00E627B3">
        <w:trPr>
          <w:trHeight w:val="40"/>
        </w:trPr>
        <w:tc>
          <w:tcPr>
            <w:tcW w:w="3376" w:type="dxa"/>
            <w:shd w:val="clear" w:color="auto" w:fill="auto"/>
            <w:noWrap/>
            <w:vAlign w:val="center"/>
            <w:hideMark/>
          </w:tcPr>
          <w:p w14:paraId="224E045E" w14:textId="3B40DCDE" w:rsidR="0033578C" w:rsidRPr="0033578C" w:rsidRDefault="0033578C" w:rsidP="0033578C">
            <w:pPr>
              <w:rPr>
                <w:rFonts w:eastAsia="Times New Roman"/>
                <w:b/>
                <w:bCs/>
                <w:sz w:val="20"/>
                <w:szCs w:val="20"/>
              </w:rPr>
            </w:pPr>
            <w:r w:rsidRPr="0033578C">
              <w:rPr>
                <w:rFonts w:eastAsia="Times New Roman"/>
                <w:b/>
                <w:bCs/>
                <w:sz w:val="20"/>
                <w:szCs w:val="20"/>
                <w:lang w:eastAsia="hr-HR"/>
              </w:rPr>
              <w:t>D</w:t>
            </w:r>
            <w:r w:rsidRPr="0033578C">
              <w:rPr>
                <w:rFonts w:eastAsia="Times New Roman"/>
                <w:sz w:val="20"/>
                <w:szCs w:val="20"/>
                <w:lang w:eastAsia="hr-HR"/>
              </w:rPr>
              <w:t xml:space="preserve"> jamstva</w:t>
            </w:r>
          </w:p>
        </w:tc>
        <w:tc>
          <w:tcPr>
            <w:tcW w:w="1439" w:type="dxa"/>
            <w:vAlign w:val="center"/>
          </w:tcPr>
          <w:p w14:paraId="260A4651" w14:textId="1981C781" w:rsidR="0033578C" w:rsidRPr="0033578C" w:rsidRDefault="0033578C" w:rsidP="0033578C">
            <w:pPr>
              <w:jc w:val="right"/>
              <w:rPr>
                <w:sz w:val="20"/>
                <w:szCs w:val="14"/>
              </w:rPr>
            </w:pPr>
            <w:r w:rsidRPr="0033578C">
              <w:rPr>
                <w:rFonts w:eastAsia="Times New Roman"/>
                <w:sz w:val="20"/>
                <w:szCs w:val="20"/>
                <w:lang w:eastAsia="hr-HR"/>
              </w:rPr>
              <w:t>92,7</w:t>
            </w:r>
          </w:p>
        </w:tc>
        <w:tc>
          <w:tcPr>
            <w:tcW w:w="1559" w:type="dxa"/>
            <w:vAlign w:val="center"/>
          </w:tcPr>
          <w:p w14:paraId="733865CB" w14:textId="500C8B9E" w:rsidR="0033578C" w:rsidRPr="0033578C" w:rsidRDefault="0033578C" w:rsidP="0033578C">
            <w:pPr>
              <w:jc w:val="right"/>
              <w:rPr>
                <w:sz w:val="20"/>
                <w:szCs w:val="14"/>
              </w:rPr>
            </w:pPr>
            <w:r w:rsidRPr="0033578C">
              <w:rPr>
                <w:rFonts w:eastAsia="Times New Roman"/>
                <w:sz w:val="20"/>
                <w:szCs w:val="20"/>
                <w:lang w:eastAsia="hr-HR"/>
              </w:rPr>
              <w:t>61,2</w:t>
            </w:r>
          </w:p>
        </w:tc>
        <w:tc>
          <w:tcPr>
            <w:tcW w:w="1559" w:type="dxa"/>
            <w:vAlign w:val="center"/>
          </w:tcPr>
          <w:p w14:paraId="55A60AD1" w14:textId="3992F3BD" w:rsidR="0033578C" w:rsidRPr="0033578C" w:rsidRDefault="0033578C" w:rsidP="0033578C">
            <w:pPr>
              <w:jc w:val="right"/>
              <w:rPr>
                <w:sz w:val="20"/>
                <w:szCs w:val="14"/>
              </w:rPr>
            </w:pPr>
            <w:r w:rsidRPr="0033578C">
              <w:rPr>
                <w:rFonts w:eastAsia="Times New Roman"/>
                <w:sz w:val="20"/>
                <w:szCs w:val="20"/>
                <w:lang w:eastAsia="hr-HR"/>
              </w:rPr>
              <w:t>29,5</w:t>
            </w:r>
          </w:p>
        </w:tc>
      </w:tr>
      <w:tr w:rsidR="0033578C" w:rsidRPr="0033578C" w14:paraId="166C1BFC" w14:textId="77777777" w:rsidTr="00E627B3">
        <w:trPr>
          <w:trHeight w:val="40"/>
        </w:trPr>
        <w:tc>
          <w:tcPr>
            <w:tcW w:w="3376" w:type="dxa"/>
            <w:shd w:val="clear" w:color="000000" w:fill="FFFF99"/>
            <w:noWrap/>
            <w:vAlign w:val="center"/>
            <w:hideMark/>
          </w:tcPr>
          <w:p w14:paraId="0E42EA1C" w14:textId="77777777" w:rsidR="0033578C" w:rsidRPr="0033578C" w:rsidRDefault="0033578C" w:rsidP="0033578C">
            <w:pPr>
              <w:rPr>
                <w:rFonts w:eastAsia="Times New Roman"/>
                <w:b/>
                <w:bCs/>
                <w:sz w:val="20"/>
                <w:szCs w:val="20"/>
              </w:rPr>
            </w:pPr>
            <w:r w:rsidRPr="0033578C">
              <w:rPr>
                <w:rFonts w:eastAsia="Times New Roman"/>
                <w:b/>
                <w:bCs/>
                <w:sz w:val="20"/>
                <w:szCs w:val="20"/>
              </w:rPr>
              <w:t>UKUPNO</w:t>
            </w:r>
          </w:p>
        </w:tc>
        <w:tc>
          <w:tcPr>
            <w:tcW w:w="1439" w:type="dxa"/>
            <w:shd w:val="clear" w:color="000000" w:fill="FFFF99"/>
            <w:vAlign w:val="center"/>
          </w:tcPr>
          <w:p w14:paraId="381BEB65" w14:textId="22CF682C" w:rsidR="0033578C" w:rsidRPr="0033578C" w:rsidRDefault="0033578C" w:rsidP="0033578C">
            <w:pPr>
              <w:jc w:val="right"/>
              <w:rPr>
                <w:b/>
                <w:sz w:val="20"/>
                <w:szCs w:val="14"/>
              </w:rPr>
            </w:pPr>
            <w:r w:rsidRPr="0033578C">
              <w:rPr>
                <w:rFonts w:eastAsia="Times New Roman"/>
                <w:b/>
                <w:bCs/>
                <w:sz w:val="20"/>
                <w:szCs w:val="20"/>
                <w:lang w:eastAsia="hr-HR"/>
              </w:rPr>
              <w:t>92,7</w:t>
            </w:r>
          </w:p>
        </w:tc>
        <w:tc>
          <w:tcPr>
            <w:tcW w:w="1559" w:type="dxa"/>
            <w:shd w:val="clear" w:color="000000" w:fill="FFFF99"/>
            <w:vAlign w:val="center"/>
          </w:tcPr>
          <w:p w14:paraId="22225683" w14:textId="3597FB6D" w:rsidR="0033578C" w:rsidRPr="0033578C" w:rsidRDefault="0033578C" w:rsidP="0033578C">
            <w:pPr>
              <w:jc w:val="right"/>
              <w:rPr>
                <w:b/>
                <w:sz w:val="20"/>
                <w:szCs w:val="14"/>
              </w:rPr>
            </w:pPr>
            <w:r w:rsidRPr="0033578C">
              <w:rPr>
                <w:rFonts w:eastAsia="Times New Roman"/>
                <w:b/>
                <w:bCs/>
                <w:sz w:val="20"/>
                <w:szCs w:val="20"/>
                <w:lang w:eastAsia="hr-HR"/>
              </w:rPr>
              <w:t>61,2</w:t>
            </w:r>
          </w:p>
        </w:tc>
        <w:tc>
          <w:tcPr>
            <w:tcW w:w="1559" w:type="dxa"/>
            <w:shd w:val="clear" w:color="000000" w:fill="FFFF99"/>
            <w:vAlign w:val="center"/>
          </w:tcPr>
          <w:p w14:paraId="1A5DAABF" w14:textId="559D79F1" w:rsidR="0033578C" w:rsidRPr="0033578C" w:rsidRDefault="0033578C" w:rsidP="0033578C">
            <w:pPr>
              <w:jc w:val="right"/>
              <w:rPr>
                <w:b/>
                <w:sz w:val="20"/>
                <w:szCs w:val="14"/>
              </w:rPr>
            </w:pPr>
            <w:r w:rsidRPr="0033578C">
              <w:rPr>
                <w:rFonts w:eastAsia="Times New Roman"/>
                <w:b/>
                <w:bCs/>
                <w:sz w:val="20"/>
                <w:szCs w:val="20"/>
                <w:lang w:eastAsia="hr-HR"/>
              </w:rPr>
              <w:t>29,5</w:t>
            </w:r>
          </w:p>
        </w:tc>
      </w:tr>
      <w:tr w:rsidR="0033578C" w:rsidRPr="0033578C" w14:paraId="27E665DE" w14:textId="77777777" w:rsidTr="00E627B3">
        <w:trPr>
          <w:trHeight w:val="40"/>
        </w:trPr>
        <w:tc>
          <w:tcPr>
            <w:tcW w:w="3376" w:type="dxa"/>
            <w:shd w:val="clear" w:color="auto" w:fill="auto"/>
            <w:vAlign w:val="center"/>
            <w:hideMark/>
          </w:tcPr>
          <w:p w14:paraId="4C7A47AC" w14:textId="77777777" w:rsidR="0033578C" w:rsidRPr="0033578C" w:rsidRDefault="0033578C" w:rsidP="0033578C">
            <w:pPr>
              <w:rPr>
                <w:rFonts w:eastAsia="Times New Roman"/>
                <w:sz w:val="20"/>
                <w:szCs w:val="20"/>
              </w:rPr>
            </w:pPr>
            <w:r w:rsidRPr="0033578C">
              <w:rPr>
                <w:rFonts w:eastAsia="Times New Roman"/>
                <w:sz w:val="20"/>
              </w:rPr>
              <w:t>udio (%) u posebnim sektorima</w:t>
            </w:r>
          </w:p>
        </w:tc>
        <w:tc>
          <w:tcPr>
            <w:tcW w:w="1439" w:type="dxa"/>
            <w:vAlign w:val="center"/>
          </w:tcPr>
          <w:p w14:paraId="0A1C6303" w14:textId="7031C32A" w:rsidR="0033578C" w:rsidRPr="0033578C" w:rsidRDefault="0033578C" w:rsidP="0033578C">
            <w:pPr>
              <w:jc w:val="center"/>
              <w:rPr>
                <w:sz w:val="20"/>
                <w:szCs w:val="14"/>
              </w:rPr>
            </w:pPr>
            <w:r w:rsidRPr="0033578C">
              <w:rPr>
                <w:rFonts w:eastAsia="Times New Roman"/>
                <w:sz w:val="20"/>
                <w:szCs w:val="20"/>
                <w:lang w:eastAsia="hr-HR"/>
              </w:rPr>
              <w:t>15,87</w:t>
            </w:r>
          </w:p>
        </w:tc>
        <w:tc>
          <w:tcPr>
            <w:tcW w:w="1559" w:type="dxa"/>
            <w:vAlign w:val="center"/>
          </w:tcPr>
          <w:p w14:paraId="7E0F0F2D" w14:textId="3DC438FB" w:rsidR="0033578C" w:rsidRPr="0033578C" w:rsidRDefault="0033578C" w:rsidP="0033578C">
            <w:pPr>
              <w:jc w:val="center"/>
              <w:rPr>
                <w:sz w:val="20"/>
                <w:szCs w:val="14"/>
              </w:rPr>
            </w:pPr>
            <w:r w:rsidRPr="0033578C">
              <w:rPr>
                <w:rFonts w:eastAsia="Times New Roman"/>
                <w:sz w:val="20"/>
                <w:szCs w:val="20"/>
                <w:lang w:eastAsia="hr-HR"/>
              </w:rPr>
              <w:t>10,13</w:t>
            </w:r>
          </w:p>
        </w:tc>
        <w:tc>
          <w:tcPr>
            <w:tcW w:w="1559" w:type="dxa"/>
            <w:vAlign w:val="center"/>
          </w:tcPr>
          <w:p w14:paraId="22C62E2E" w14:textId="4331A2AA" w:rsidR="0033578C" w:rsidRPr="0033578C" w:rsidRDefault="0033578C" w:rsidP="0033578C">
            <w:pPr>
              <w:jc w:val="center"/>
              <w:rPr>
                <w:sz w:val="20"/>
                <w:szCs w:val="14"/>
              </w:rPr>
            </w:pPr>
            <w:r w:rsidRPr="0033578C">
              <w:rPr>
                <w:rFonts w:eastAsia="Times New Roman"/>
                <w:sz w:val="20"/>
                <w:szCs w:val="20"/>
                <w:lang w:eastAsia="hr-HR"/>
              </w:rPr>
              <w:t>3,47</w:t>
            </w:r>
          </w:p>
        </w:tc>
      </w:tr>
      <w:tr w:rsidR="0033578C" w:rsidRPr="0033578C" w14:paraId="21D82DE1" w14:textId="77777777" w:rsidTr="00E627B3">
        <w:trPr>
          <w:trHeight w:val="90"/>
        </w:trPr>
        <w:tc>
          <w:tcPr>
            <w:tcW w:w="3376" w:type="dxa"/>
            <w:shd w:val="clear" w:color="auto" w:fill="auto"/>
            <w:vAlign w:val="center"/>
            <w:hideMark/>
          </w:tcPr>
          <w:p w14:paraId="4CDEB03E" w14:textId="77777777" w:rsidR="0033578C" w:rsidRPr="0033578C" w:rsidRDefault="0033578C" w:rsidP="0033578C">
            <w:pPr>
              <w:rPr>
                <w:rFonts w:eastAsia="Times New Roman"/>
                <w:sz w:val="20"/>
                <w:szCs w:val="20"/>
              </w:rPr>
            </w:pPr>
            <w:r w:rsidRPr="0033578C">
              <w:rPr>
                <w:rFonts w:eastAsia="Times New Roman"/>
                <w:sz w:val="20"/>
                <w:szCs w:val="20"/>
              </w:rPr>
              <w:t>udio (%) u ukupnim potporama (bez poljoprivrede i ribarstva)</w:t>
            </w:r>
          </w:p>
        </w:tc>
        <w:tc>
          <w:tcPr>
            <w:tcW w:w="1439" w:type="dxa"/>
            <w:vAlign w:val="center"/>
          </w:tcPr>
          <w:p w14:paraId="161C1604" w14:textId="309376ED" w:rsidR="0033578C" w:rsidRPr="0033578C" w:rsidRDefault="0033578C" w:rsidP="0033578C">
            <w:pPr>
              <w:jc w:val="center"/>
              <w:rPr>
                <w:sz w:val="20"/>
                <w:szCs w:val="14"/>
              </w:rPr>
            </w:pPr>
            <w:r w:rsidRPr="0033578C">
              <w:rPr>
                <w:rFonts w:eastAsia="Times New Roman"/>
                <w:sz w:val="20"/>
                <w:szCs w:val="20"/>
                <w:lang w:eastAsia="hr-HR"/>
              </w:rPr>
              <w:t>4,79</w:t>
            </w:r>
          </w:p>
        </w:tc>
        <w:tc>
          <w:tcPr>
            <w:tcW w:w="1559" w:type="dxa"/>
            <w:vAlign w:val="center"/>
          </w:tcPr>
          <w:p w14:paraId="4E85429C" w14:textId="75118D6B" w:rsidR="0033578C" w:rsidRPr="0033578C" w:rsidRDefault="0033578C" w:rsidP="0033578C">
            <w:pPr>
              <w:jc w:val="center"/>
              <w:rPr>
                <w:sz w:val="20"/>
                <w:szCs w:val="14"/>
              </w:rPr>
            </w:pPr>
            <w:r w:rsidRPr="0033578C">
              <w:rPr>
                <w:rFonts w:eastAsia="Times New Roman"/>
                <w:sz w:val="20"/>
                <w:szCs w:val="20"/>
                <w:lang w:eastAsia="hr-HR"/>
              </w:rPr>
              <w:t>3,00</w:t>
            </w:r>
          </w:p>
        </w:tc>
        <w:tc>
          <w:tcPr>
            <w:tcW w:w="1559" w:type="dxa"/>
            <w:vAlign w:val="center"/>
          </w:tcPr>
          <w:p w14:paraId="69594C7C" w14:textId="6B5BFE3F" w:rsidR="0033578C" w:rsidRPr="0033578C" w:rsidRDefault="0033578C" w:rsidP="0033578C">
            <w:pPr>
              <w:jc w:val="center"/>
              <w:rPr>
                <w:sz w:val="20"/>
                <w:szCs w:val="14"/>
              </w:rPr>
            </w:pPr>
            <w:r w:rsidRPr="0033578C">
              <w:rPr>
                <w:rFonts w:eastAsia="Times New Roman"/>
                <w:sz w:val="20"/>
                <w:szCs w:val="20"/>
                <w:lang w:eastAsia="hr-HR"/>
              </w:rPr>
              <w:t>1,50</w:t>
            </w:r>
          </w:p>
        </w:tc>
      </w:tr>
      <w:tr w:rsidR="0033578C" w:rsidRPr="0033578C" w14:paraId="7632CA76" w14:textId="77777777" w:rsidTr="00E627B3">
        <w:trPr>
          <w:trHeight w:val="40"/>
        </w:trPr>
        <w:tc>
          <w:tcPr>
            <w:tcW w:w="3376" w:type="dxa"/>
            <w:shd w:val="clear" w:color="auto" w:fill="auto"/>
            <w:vAlign w:val="center"/>
            <w:hideMark/>
          </w:tcPr>
          <w:p w14:paraId="7D64DBBD" w14:textId="77777777" w:rsidR="0033578C" w:rsidRPr="0033578C" w:rsidRDefault="0033578C" w:rsidP="0033578C">
            <w:pPr>
              <w:rPr>
                <w:rFonts w:eastAsia="Times New Roman"/>
                <w:sz w:val="20"/>
                <w:szCs w:val="20"/>
              </w:rPr>
            </w:pPr>
            <w:r w:rsidRPr="0033578C">
              <w:rPr>
                <w:rFonts w:eastAsia="Times New Roman"/>
                <w:sz w:val="20"/>
                <w:szCs w:val="20"/>
              </w:rPr>
              <w:t>udio (%) u ukupnim potporama</w:t>
            </w:r>
          </w:p>
        </w:tc>
        <w:tc>
          <w:tcPr>
            <w:tcW w:w="1439" w:type="dxa"/>
            <w:vAlign w:val="center"/>
          </w:tcPr>
          <w:p w14:paraId="214EDB0C" w14:textId="6E5B999A" w:rsidR="0033578C" w:rsidRPr="0033578C" w:rsidRDefault="0033578C" w:rsidP="0033578C">
            <w:pPr>
              <w:jc w:val="center"/>
              <w:rPr>
                <w:sz w:val="20"/>
                <w:szCs w:val="14"/>
              </w:rPr>
            </w:pPr>
            <w:r w:rsidRPr="0033578C">
              <w:rPr>
                <w:rFonts w:eastAsia="Times New Roman"/>
                <w:sz w:val="20"/>
                <w:szCs w:val="20"/>
                <w:lang w:eastAsia="hr-HR"/>
              </w:rPr>
              <w:t>3,15</w:t>
            </w:r>
          </w:p>
        </w:tc>
        <w:tc>
          <w:tcPr>
            <w:tcW w:w="1559" w:type="dxa"/>
            <w:vAlign w:val="center"/>
          </w:tcPr>
          <w:p w14:paraId="693618B9" w14:textId="1B9F50F4" w:rsidR="0033578C" w:rsidRPr="0033578C" w:rsidRDefault="0033578C" w:rsidP="0033578C">
            <w:pPr>
              <w:jc w:val="center"/>
              <w:rPr>
                <w:sz w:val="20"/>
                <w:szCs w:val="14"/>
              </w:rPr>
            </w:pPr>
            <w:r w:rsidRPr="0033578C">
              <w:rPr>
                <w:rFonts w:eastAsia="Times New Roman"/>
                <w:sz w:val="20"/>
                <w:szCs w:val="20"/>
                <w:lang w:eastAsia="hr-HR"/>
              </w:rPr>
              <w:t>2,03</w:t>
            </w:r>
          </w:p>
        </w:tc>
        <w:tc>
          <w:tcPr>
            <w:tcW w:w="1559" w:type="dxa"/>
            <w:vAlign w:val="center"/>
          </w:tcPr>
          <w:p w14:paraId="5B5F6857" w14:textId="6304F076" w:rsidR="0033578C" w:rsidRPr="0033578C" w:rsidRDefault="0033578C" w:rsidP="0033578C">
            <w:pPr>
              <w:jc w:val="center"/>
              <w:rPr>
                <w:sz w:val="20"/>
                <w:szCs w:val="14"/>
              </w:rPr>
            </w:pPr>
            <w:r w:rsidRPr="0033578C">
              <w:rPr>
                <w:rFonts w:eastAsia="Times New Roman"/>
                <w:sz w:val="20"/>
                <w:szCs w:val="20"/>
                <w:lang w:eastAsia="hr-HR"/>
              </w:rPr>
              <w:t>0,97</w:t>
            </w:r>
          </w:p>
        </w:tc>
      </w:tr>
      <w:tr w:rsidR="0033578C" w:rsidRPr="0033578C" w14:paraId="0F0898D0" w14:textId="77777777" w:rsidTr="00E627B3">
        <w:trPr>
          <w:trHeight w:val="40"/>
        </w:trPr>
        <w:tc>
          <w:tcPr>
            <w:tcW w:w="3376" w:type="dxa"/>
            <w:shd w:val="clear" w:color="auto" w:fill="auto"/>
            <w:vAlign w:val="center"/>
            <w:hideMark/>
          </w:tcPr>
          <w:p w14:paraId="158E108C" w14:textId="77777777" w:rsidR="0033578C" w:rsidRPr="0033578C" w:rsidRDefault="0033578C" w:rsidP="0033578C">
            <w:pPr>
              <w:rPr>
                <w:rFonts w:eastAsia="Times New Roman"/>
                <w:sz w:val="20"/>
                <w:szCs w:val="20"/>
              </w:rPr>
            </w:pPr>
            <w:r w:rsidRPr="0033578C">
              <w:rPr>
                <w:rFonts w:eastAsia="Times New Roman"/>
                <w:sz w:val="20"/>
                <w:szCs w:val="20"/>
              </w:rPr>
              <w:t>udio (%) u BDP-u</w:t>
            </w:r>
          </w:p>
        </w:tc>
        <w:tc>
          <w:tcPr>
            <w:tcW w:w="1439" w:type="dxa"/>
            <w:vAlign w:val="center"/>
          </w:tcPr>
          <w:p w14:paraId="061D921F" w14:textId="6CC77644" w:rsidR="0033578C" w:rsidRPr="0033578C" w:rsidRDefault="0033578C" w:rsidP="0033578C">
            <w:pPr>
              <w:jc w:val="center"/>
              <w:rPr>
                <w:sz w:val="20"/>
                <w:szCs w:val="14"/>
              </w:rPr>
            </w:pPr>
            <w:r w:rsidRPr="0033578C">
              <w:rPr>
                <w:rFonts w:eastAsia="Times New Roman"/>
                <w:sz w:val="20"/>
                <w:szCs w:val="20"/>
                <w:lang w:eastAsia="hr-HR"/>
              </w:rPr>
              <w:t>0,16</w:t>
            </w:r>
          </w:p>
        </w:tc>
        <w:tc>
          <w:tcPr>
            <w:tcW w:w="1559" w:type="dxa"/>
            <w:vAlign w:val="center"/>
          </w:tcPr>
          <w:p w14:paraId="377B58C6" w14:textId="5273D726" w:rsidR="0033578C" w:rsidRPr="0033578C" w:rsidRDefault="0033578C" w:rsidP="0033578C">
            <w:pPr>
              <w:jc w:val="center"/>
              <w:rPr>
                <w:sz w:val="20"/>
                <w:szCs w:val="14"/>
              </w:rPr>
            </w:pPr>
            <w:r w:rsidRPr="0033578C">
              <w:rPr>
                <w:rFonts w:eastAsia="Times New Roman"/>
                <w:sz w:val="20"/>
                <w:szCs w:val="20"/>
                <w:lang w:eastAsia="hr-HR"/>
              </w:rPr>
              <w:t>0,09</w:t>
            </w:r>
          </w:p>
        </w:tc>
        <w:tc>
          <w:tcPr>
            <w:tcW w:w="1559" w:type="dxa"/>
            <w:vAlign w:val="center"/>
          </w:tcPr>
          <w:p w14:paraId="12096F89" w14:textId="0871579E" w:rsidR="0033578C" w:rsidRPr="0033578C" w:rsidRDefault="0033578C" w:rsidP="0033578C">
            <w:pPr>
              <w:jc w:val="center"/>
              <w:rPr>
                <w:sz w:val="20"/>
                <w:szCs w:val="14"/>
              </w:rPr>
            </w:pPr>
            <w:r w:rsidRPr="0033578C">
              <w:rPr>
                <w:rFonts w:eastAsia="Times New Roman"/>
                <w:sz w:val="20"/>
                <w:szCs w:val="20"/>
                <w:lang w:eastAsia="hr-HR"/>
              </w:rPr>
              <w:t>0,04</w:t>
            </w:r>
          </w:p>
        </w:tc>
      </w:tr>
    </w:tbl>
    <w:p w14:paraId="1AFE7B2F" w14:textId="77777777" w:rsidR="0033578C" w:rsidRPr="0033578C" w:rsidRDefault="0033578C" w:rsidP="0033578C">
      <w:pPr>
        <w:contextualSpacing/>
        <w:jc w:val="both"/>
        <w:rPr>
          <w:i/>
          <w:sz w:val="20"/>
        </w:rPr>
      </w:pPr>
      <w:r w:rsidRPr="0033578C">
        <w:rPr>
          <w:i/>
          <w:sz w:val="20"/>
        </w:rPr>
        <w:t>Izvor: Ministarstvo financija i davatelji potpora; podaci obrađeni u Ministarstvu financija</w:t>
      </w:r>
    </w:p>
    <w:p w14:paraId="1CA407EC" w14:textId="77777777" w:rsidR="009D7505" w:rsidRPr="008149B5" w:rsidRDefault="009D7505" w:rsidP="00BE487D">
      <w:pPr>
        <w:jc w:val="both"/>
        <w:rPr>
          <w:highlight w:val="red"/>
        </w:rPr>
      </w:pPr>
    </w:p>
    <w:p w14:paraId="2DE6F015" w14:textId="61B3BA7B" w:rsidR="00A368AA" w:rsidRPr="00A368AA" w:rsidRDefault="00A368AA" w:rsidP="00A368AA">
      <w:pPr>
        <w:jc w:val="both"/>
      </w:pPr>
      <w:r w:rsidRPr="00A368AA">
        <w:t>Udio potpora u sektoru brodogradnje u BDP-u u 2023. godini iznosio je 0,04 posto, u 2022. godini iznosio je 0,09 posto, dok je u 2021. godini iznosio 0,16 posto. Udio navedenih potpora u 2023. godini u ukupno dodijeljenim potporama iznosio je 1 posto, udio u dodijeljenim potporama u sektoru industrije i usluga u 2023. godini iznosio je 1,5 posto, dok je udio navedenih potpora u sektorskim potporama u 2023. godini iznosio 3,5 posto. Jedini instrument putem kojeg su dodjeljivane potpore u brodogradnji su izdana jamstva.</w:t>
      </w:r>
    </w:p>
    <w:p w14:paraId="405DCDB2" w14:textId="77777777" w:rsidR="002B47AD" w:rsidRPr="00A368AA" w:rsidRDefault="002B47AD" w:rsidP="00BE487D">
      <w:pPr>
        <w:jc w:val="both"/>
      </w:pPr>
    </w:p>
    <w:p w14:paraId="69A8F490" w14:textId="77777777" w:rsidR="0087793D" w:rsidRPr="00A368AA" w:rsidRDefault="00DA6C07" w:rsidP="00BE487D">
      <w:pPr>
        <w:jc w:val="both"/>
        <w:rPr>
          <w:spacing w:val="-2"/>
        </w:rPr>
      </w:pPr>
      <w:r w:rsidRPr="00A368AA">
        <w:rPr>
          <w:spacing w:val="-2"/>
        </w:rPr>
        <w:t>P</w:t>
      </w:r>
      <w:r w:rsidR="0087793D" w:rsidRPr="00A368AA">
        <w:rPr>
          <w:spacing w:val="-2"/>
        </w:rPr>
        <w:t>otpora sadržana u državnim jamstvima za kredite brodogradilišta, izračunava se u stopostotnom iznosu izdanog jamstva jer država preuz</w:t>
      </w:r>
      <w:r w:rsidRPr="00A368AA">
        <w:rPr>
          <w:spacing w:val="-2"/>
        </w:rPr>
        <w:t>ima</w:t>
      </w:r>
      <w:r w:rsidR="0087793D" w:rsidRPr="00A368AA">
        <w:rPr>
          <w:spacing w:val="-2"/>
        </w:rPr>
        <w:t xml:space="preserve"> otplatu kredita </w:t>
      </w:r>
      <w:r w:rsidRPr="00A368AA">
        <w:rPr>
          <w:spacing w:val="-2"/>
        </w:rPr>
        <w:t xml:space="preserve">onih </w:t>
      </w:r>
      <w:r w:rsidR="0087793D" w:rsidRPr="00A368AA">
        <w:rPr>
          <w:spacing w:val="-2"/>
        </w:rPr>
        <w:t>brodogradilišta koja su u teškoćama</w:t>
      </w:r>
      <w:r w:rsidRPr="00A368AA">
        <w:rPr>
          <w:spacing w:val="-2"/>
        </w:rPr>
        <w:t xml:space="preserve">, a s </w:t>
      </w:r>
      <w:r w:rsidR="0087793D" w:rsidRPr="00A368AA">
        <w:rPr>
          <w:spacing w:val="-2"/>
        </w:rPr>
        <w:t xml:space="preserve">obzirom da se na primljene avanse kupaca brodova ne plaća kamata, potpora u izdanim državnim jamstvima za avanse brodogradilišta izračunava se kao iznos tržišne kamate koji bi bio plaćen za </w:t>
      </w:r>
      <w:r w:rsidRPr="00A368AA">
        <w:rPr>
          <w:spacing w:val="-2"/>
        </w:rPr>
        <w:t xml:space="preserve">te </w:t>
      </w:r>
      <w:r w:rsidR="0087793D" w:rsidRPr="00A368AA">
        <w:rPr>
          <w:spacing w:val="-2"/>
        </w:rPr>
        <w:t>avanse</w:t>
      </w:r>
      <w:r w:rsidR="000763C6" w:rsidRPr="00A368AA">
        <w:rPr>
          <w:spacing w:val="-2"/>
        </w:rPr>
        <w:t xml:space="preserve"> te se </w:t>
      </w:r>
      <w:r w:rsidRPr="00A368AA">
        <w:rPr>
          <w:spacing w:val="-2"/>
        </w:rPr>
        <w:t xml:space="preserve">iz navedenog razloga </w:t>
      </w:r>
      <w:r w:rsidR="0087793D" w:rsidRPr="00A368AA">
        <w:rPr>
          <w:spacing w:val="-2"/>
        </w:rPr>
        <w:t>državna jamstva smatraju dodijeljenima u trenutku izdavanja, a ne</w:t>
      </w:r>
      <w:r w:rsidR="004F3496" w:rsidRPr="00A368AA">
        <w:rPr>
          <w:spacing w:val="-2"/>
        </w:rPr>
        <w:t xml:space="preserve"> u trenutku njihovog protestiranja</w:t>
      </w:r>
      <w:r w:rsidRPr="00A368AA">
        <w:rPr>
          <w:spacing w:val="-2"/>
        </w:rPr>
        <w:t xml:space="preserve"> odnosno aktiviranja.</w:t>
      </w:r>
    </w:p>
    <w:p w14:paraId="11BB1C6B" w14:textId="77777777" w:rsidR="002F5134" w:rsidRPr="00A368AA" w:rsidRDefault="002F5134" w:rsidP="00BE487D">
      <w:pPr>
        <w:jc w:val="both"/>
      </w:pPr>
    </w:p>
    <w:p w14:paraId="69819E6B" w14:textId="0DC4C542" w:rsidR="007A4FAB" w:rsidRPr="007A4FAB" w:rsidRDefault="004F3496" w:rsidP="00643078">
      <w:pPr>
        <w:jc w:val="both"/>
      </w:pPr>
      <w:r w:rsidRPr="00B75A66">
        <w:rPr>
          <w:u w:val="single"/>
        </w:rPr>
        <w:t>Ministarstvo gospodarstva i održivog razvoja</w:t>
      </w:r>
      <w:r w:rsidR="00A368AA" w:rsidRPr="007A4FAB">
        <w:rPr>
          <w:b/>
        </w:rPr>
        <w:t xml:space="preserve"> </w:t>
      </w:r>
      <w:r w:rsidR="00A368AA" w:rsidRPr="007A4FAB">
        <w:t>je jedini davatelj potpora u brodogradnji</w:t>
      </w:r>
      <w:r w:rsidR="00A368AA" w:rsidRPr="007A4FAB">
        <w:rPr>
          <w:b/>
        </w:rPr>
        <w:t xml:space="preserve"> </w:t>
      </w:r>
      <w:r w:rsidR="00A368AA" w:rsidRPr="007A4FAB">
        <w:t>u 2023. godini, te je po pojedinačnim potporama i</w:t>
      </w:r>
      <w:r w:rsidR="00DA6C07" w:rsidRPr="007A4FAB">
        <w:t>zda</w:t>
      </w:r>
      <w:r w:rsidR="00A368AA" w:rsidRPr="007A4FAB">
        <w:t xml:space="preserve">lo </w:t>
      </w:r>
      <w:r w:rsidR="00DA6C07" w:rsidRPr="007A4FAB">
        <w:t xml:space="preserve">jamstva </w:t>
      </w:r>
      <w:r w:rsidR="00A368AA" w:rsidRPr="007A4FAB">
        <w:t>za Kreditno zaduženje za dovršetak i isporuku gradnje broda Nov. 527 u iznosu od 23,5 milijuna eura</w:t>
      </w:r>
      <w:r w:rsidR="007A4FAB" w:rsidRPr="007A4FAB">
        <w:t xml:space="preserve">, za Izgradnju Nov. 370 – fazu B u iznosu od 4 milijuna eura, za Dodatno kreditno zaduženje za izgradnju broda Nov. 535 u </w:t>
      </w:r>
      <w:r w:rsidR="007A4FAB" w:rsidRPr="007A4FAB">
        <w:lastRenderedPageBreak/>
        <w:t>iznosu od 1 milijun eura te za Kreditno zaduženje za izgradnju Nov. 535. u iznosu od 960.000,00 eura.</w:t>
      </w:r>
    </w:p>
    <w:p w14:paraId="05BB7621" w14:textId="77777777" w:rsidR="008B7CC4" w:rsidRPr="007A4FAB" w:rsidRDefault="008B7CC4" w:rsidP="00BE487D">
      <w:pPr>
        <w:jc w:val="both"/>
      </w:pPr>
    </w:p>
    <w:p w14:paraId="64D87882" w14:textId="77777777" w:rsidR="00BE0817" w:rsidRPr="007A4FAB" w:rsidRDefault="00BC66CE" w:rsidP="00BE487D">
      <w:pPr>
        <w:pStyle w:val="Heading3"/>
        <w:numPr>
          <w:ilvl w:val="2"/>
          <w:numId w:val="1"/>
        </w:numPr>
        <w:spacing w:before="0"/>
        <w:jc w:val="both"/>
        <w:rPr>
          <w:rFonts w:ascii="Times New Roman" w:hAnsi="Times New Roman" w:cs="Times New Roman"/>
          <w:b/>
          <w:i/>
          <w:color w:val="auto"/>
        </w:rPr>
      </w:pPr>
      <w:bookmarkStart w:id="27" w:name="_Toc184635857"/>
      <w:r w:rsidRPr="007A4FAB">
        <w:rPr>
          <w:rFonts w:ascii="Times New Roman" w:hAnsi="Times New Roman" w:cs="Times New Roman"/>
          <w:b/>
          <w:i/>
          <w:color w:val="auto"/>
        </w:rPr>
        <w:t>Potpore t</w:t>
      </w:r>
      <w:r w:rsidR="00BE0817" w:rsidRPr="007A4FAB">
        <w:rPr>
          <w:rFonts w:ascii="Times New Roman" w:hAnsi="Times New Roman" w:cs="Times New Roman"/>
          <w:b/>
          <w:i/>
          <w:color w:val="auto"/>
        </w:rPr>
        <w:t>urizm</w:t>
      </w:r>
      <w:r w:rsidRPr="007A4FAB">
        <w:rPr>
          <w:rFonts w:ascii="Times New Roman" w:hAnsi="Times New Roman" w:cs="Times New Roman"/>
          <w:b/>
          <w:i/>
          <w:color w:val="auto"/>
        </w:rPr>
        <w:t>u</w:t>
      </w:r>
      <w:bookmarkEnd w:id="27"/>
      <w:r w:rsidR="00BE0817" w:rsidRPr="007A4FAB">
        <w:rPr>
          <w:rFonts w:ascii="Times New Roman" w:hAnsi="Times New Roman" w:cs="Times New Roman"/>
          <w:b/>
          <w:i/>
          <w:color w:val="auto"/>
        </w:rPr>
        <w:t xml:space="preserve"> </w:t>
      </w:r>
    </w:p>
    <w:p w14:paraId="5F93F621" w14:textId="77777777" w:rsidR="00BC66CE" w:rsidRPr="007A4FAB" w:rsidRDefault="00BC66CE" w:rsidP="00BE487D">
      <w:pPr>
        <w:jc w:val="both"/>
      </w:pPr>
    </w:p>
    <w:p w14:paraId="4A564733" w14:textId="77777777" w:rsidR="00BC66CE" w:rsidRPr="007A4FAB" w:rsidRDefault="00BC66CE" w:rsidP="00BE487D">
      <w:pPr>
        <w:jc w:val="both"/>
      </w:pPr>
    </w:p>
    <w:p w14:paraId="5FBB2E5E" w14:textId="37FE322B" w:rsidR="005F1DB3" w:rsidRPr="007A4FAB" w:rsidRDefault="005F1DB3" w:rsidP="007A4FAB">
      <w:pPr>
        <w:jc w:val="both"/>
      </w:pPr>
      <w:r w:rsidRPr="007A4FAB">
        <w:t xml:space="preserve">Potpore </w:t>
      </w:r>
      <w:r w:rsidR="007A4FAB" w:rsidRPr="007A4FAB">
        <w:t xml:space="preserve">u sektoru turizma </w:t>
      </w:r>
      <w:r w:rsidRPr="007A4FAB">
        <w:t xml:space="preserve">su dodijeljene u 2023. godini u iznosu od </w:t>
      </w:r>
      <w:r w:rsidR="007A4FAB" w:rsidRPr="007A4FAB">
        <w:t xml:space="preserve">130,5 </w:t>
      </w:r>
      <w:r w:rsidRPr="007A4FAB">
        <w:t xml:space="preserve">milijuna eura, što je povećanje za </w:t>
      </w:r>
      <w:r w:rsidR="007A4FAB" w:rsidRPr="007A4FAB">
        <w:t xml:space="preserve">129,8 </w:t>
      </w:r>
      <w:r w:rsidRPr="007A4FAB">
        <w:t xml:space="preserve">milijuna eura u odnosu na 2022. godinu, kada su navedene potpore iznosile </w:t>
      </w:r>
      <w:r w:rsidR="007A4FAB" w:rsidRPr="007A4FAB">
        <w:t xml:space="preserve">728.989,14 </w:t>
      </w:r>
      <w:r w:rsidRPr="007A4FAB">
        <w:t xml:space="preserve">eura, te je </w:t>
      </w:r>
      <w:r w:rsidR="007A4FAB" w:rsidRPr="007A4FAB">
        <w:t xml:space="preserve">povećanje </w:t>
      </w:r>
      <w:r w:rsidRPr="007A4FAB">
        <w:t xml:space="preserve">za </w:t>
      </w:r>
      <w:r w:rsidR="007A4FAB" w:rsidRPr="007A4FAB">
        <w:t>129,6</w:t>
      </w:r>
      <w:r w:rsidRPr="007A4FAB">
        <w:t xml:space="preserve"> milijuna eura u odnosu na 2021. godinu kada su potpore </w:t>
      </w:r>
      <w:r w:rsidR="007A4FAB" w:rsidRPr="007A4FAB">
        <w:t xml:space="preserve">u sektoru turizma </w:t>
      </w:r>
      <w:r w:rsidRPr="007A4FAB">
        <w:t xml:space="preserve">iznosile </w:t>
      </w:r>
      <w:r w:rsidR="007A4FAB" w:rsidRPr="007A4FAB">
        <w:t xml:space="preserve">896.488,04 </w:t>
      </w:r>
      <w:r w:rsidRPr="007A4FAB">
        <w:t>eura.</w:t>
      </w:r>
    </w:p>
    <w:p w14:paraId="028E53C1" w14:textId="77777777" w:rsidR="006039A1" w:rsidRPr="008149B5" w:rsidRDefault="006039A1" w:rsidP="00BE487D">
      <w:pPr>
        <w:jc w:val="both"/>
        <w:rPr>
          <w:highlight w:val="red"/>
        </w:rPr>
      </w:pPr>
    </w:p>
    <w:p w14:paraId="11207C4E" w14:textId="639561ED" w:rsidR="00F40008" w:rsidRPr="00B75A66" w:rsidRDefault="00F40008" w:rsidP="00BE487D">
      <w:pPr>
        <w:contextualSpacing/>
        <w:jc w:val="both"/>
      </w:pPr>
      <w:r w:rsidRPr="00B75A66">
        <w:t xml:space="preserve">Tablica </w:t>
      </w:r>
      <w:r w:rsidR="00C01B6B" w:rsidRPr="00B75A66">
        <w:t>23</w:t>
      </w:r>
      <w:r w:rsidRPr="00B75A66">
        <w:t xml:space="preserve">. Potpore </w:t>
      </w:r>
      <w:r w:rsidR="0033578C" w:rsidRPr="00B75A66">
        <w:t xml:space="preserve">dodijeljene </w:t>
      </w:r>
      <w:r w:rsidRPr="00B75A66">
        <w:t xml:space="preserve">u turizmu </w:t>
      </w:r>
      <w:r w:rsidR="0033578C" w:rsidRPr="00B75A66">
        <w:t>u</w:t>
      </w:r>
      <w:r w:rsidRPr="00B75A66">
        <w:t xml:space="preserve"> razdoblj</w:t>
      </w:r>
      <w:r w:rsidR="0033578C" w:rsidRPr="00B75A66">
        <w:t>u</w:t>
      </w:r>
      <w:r w:rsidRPr="00B75A66">
        <w:t xml:space="preserve"> od 20</w:t>
      </w:r>
      <w:r w:rsidR="000C31DD" w:rsidRPr="00B75A66">
        <w:t>2</w:t>
      </w:r>
      <w:r w:rsidR="00C01B6B" w:rsidRPr="00B75A66">
        <w:t>1</w:t>
      </w:r>
      <w:r w:rsidRPr="00B75A66">
        <w:t>. do 202</w:t>
      </w:r>
      <w:r w:rsidR="00C01B6B" w:rsidRPr="00B75A66">
        <w:t>3</w:t>
      </w:r>
      <w:r w:rsidRPr="00B75A66">
        <w:t xml:space="preserve">. godine </w:t>
      </w:r>
    </w:p>
    <w:p w14:paraId="264D694B" w14:textId="77777777" w:rsidR="00F40008" w:rsidRPr="00D148B9" w:rsidRDefault="00F40008" w:rsidP="00BE487D">
      <w:pPr>
        <w:contextualSpacing/>
        <w:jc w:val="both"/>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81459E" w:rsidRPr="00D148B9" w14:paraId="3364FED9" w14:textId="77777777" w:rsidTr="00E627B3">
        <w:trPr>
          <w:trHeight w:val="38"/>
        </w:trPr>
        <w:tc>
          <w:tcPr>
            <w:tcW w:w="3376" w:type="dxa"/>
            <w:vMerge w:val="restart"/>
            <w:shd w:val="clear" w:color="000000" w:fill="FFFF99"/>
            <w:noWrap/>
            <w:vAlign w:val="center"/>
            <w:hideMark/>
          </w:tcPr>
          <w:p w14:paraId="51881E57" w14:textId="52829F04" w:rsidR="0081459E" w:rsidRPr="00D148B9" w:rsidRDefault="00D148B9" w:rsidP="00E627B3">
            <w:pPr>
              <w:rPr>
                <w:rFonts w:eastAsia="Times New Roman"/>
                <w:b/>
                <w:bCs/>
                <w:sz w:val="20"/>
                <w:szCs w:val="20"/>
              </w:rPr>
            </w:pPr>
            <w:r w:rsidRPr="00D148B9">
              <w:rPr>
                <w:rFonts w:eastAsia="Times New Roman"/>
                <w:b/>
                <w:bCs/>
                <w:sz w:val="20"/>
                <w:szCs w:val="20"/>
                <w:lang w:eastAsia="hr-HR"/>
              </w:rPr>
              <w:t>Turizam</w:t>
            </w:r>
          </w:p>
        </w:tc>
        <w:tc>
          <w:tcPr>
            <w:tcW w:w="1439" w:type="dxa"/>
            <w:shd w:val="clear" w:color="000000" w:fill="FFFF99"/>
            <w:vAlign w:val="center"/>
          </w:tcPr>
          <w:p w14:paraId="6E00BF1A" w14:textId="77777777" w:rsidR="0081459E" w:rsidRPr="00D148B9" w:rsidRDefault="0081459E" w:rsidP="00E627B3">
            <w:pPr>
              <w:jc w:val="center"/>
              <w:rPr>
                <w:rFonts w:eastAsia="Times New Roman"/>
                <w:b/>
                <w:bCs/>
                <w:sz w:val="20"/>
                <w:szCs w:val="20"/>
              </w:rPr>
            </w:pPr>
            <w:r w:rsidRPr="00D148B9">
              <w:rPr>
                <w:b/>
                <w:sz w:val="20"/>
                <w:szCs w:val="20"/>
              </w:rPr>
              <w:t>2021.</w:t>
            </w:r>
          </w:p>
        </w:tc>
        <w:tc>
          <w:tcPr>
            <w:tcW w:w="1559" w:type="dxa"/>
            <w:shd w:val="clear" w:color="000000" w:fill="FFFF99"/>
            <w:vAlign w:val="center"/>
          </w:tcPr>
          <w:p w14:paraId="2DB03DEF" w14:textId="77777777" w:rsidR="0081459E" w:rsidRPr="00D148B9" w:rsidRDefault="0081459E" w:rsidP="00E627B3">
            <w:pPr>
              <w:jc w:val="center"/>
              <w:rPr>
                <w:rFonts w:eastAsia="Times New Roman"/>
                <w:b/>
                <w:bCs/>
                <w:sz w:val="20"/>
                <w:szCs w:val="20"/>
              </w:rPr>
            </w:pPr>
            <w:r w:rsidRPr="00D148B9">
              <w:rPr>
                <w:b/>
                <w:sz w:val="20"/>
                <w:szCs w:val="20"/>
              </w:rPr>
              <w:t>2022.</w:t>
            </w:r>
          </w:p>
        </w:tc>
        <w:tc>
          <w:tcPr>
            <w:tcW w:w="1559" w:type="dxa"/>
            <w:shd w:val="clear" w:color="000000" w:fill="FFFF99"/>
            <w:vAlign w:val="center"/>
          </w:tcPr>
          <w:p w14:paraId="5D44CC78" w14:textId="77777777" w:rsidR="0081459E" w:rsidRPr="00D148B9" w:rsidRDefault="0081459E" w:rsidP="00E627B3">
            <w:pPr>
              <w:jc w:val="center"/>
              <w:rPr>
                <w:rFonts w:eastAsia="Times New Roman"/>
                <w:b/>
                <w:bCs/>
                <w:sz w:val="20"/>
                <w:szCs w:val="20"/>
              </w:rPr>
            </w:pPr>
            <w:r w:rsidRPr="00D148B9">
              <w:rPr>
                <w:b/>
                <w:sz w:val="20"/>
                <w:szCs w:val="20"/>
              </w:rPr>
              <w:t>2023.</w:t>
            </w:r>
          </w:p>
        </w:tc>
      </w:tr>
      <w:tr w:rsidR="0081459E" w:rsidRPr="00D148B9" w14:paraId="7B0FC504" w14:textId="77777777" w:rsidTr="00E627B3">
        <w:trPr>
          <w:trHeight w:val="212"/>
        </w:trPr>
        <w:tc>
          <w:tcPr>
            <w:tcW w:w="3376" w:type="dxa"/>
            <w:vMerge/>
            <w:vAlign w:val="center"/>
            <w:hideMark/>
          </w:tcPr>
          <w:p w14:paraId="449189D9" w14:textId="77777777" w:rsidR="0081459E" w:rsidRPr="00D148B9" w:rsidRDefault="0081459E" w:rsidP="00E627B3">
            <w:pPr>
              <w:rPr>
                <w:rFonts w:eastAsia="Times New Roman"/>
                <w:b/>
                <w:bCs/>
                <w:sz w:val="20"/>
                <w:szCs w:val="20"/>
              </w:rPr>
            </w:pPr>
          </w:p>
        </w:tc>
        <w:tc>
          <w:tcPr>
            <w:tcW w:w="1439" w:type="dxa"/>
            <w:shd w:val="clear" w:color="000000" w:fill="FFFF99"/>
            <w:vAlign w:val="center"/>
          </w:tcPr>
          <w:p w14:paraId="1E621A75" w14:textId="77777777" w:rsidR="0081459E" w:rsidRPr="00D148B9" w:rsidRDefault="0081459E" w:rsidP="00E627B3">
            <w:pP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c>
          <w:tcPr>
            <w:tcW w:w="1559" w:type="dxa"/>
            <w:shd w:val="clear" w:color="000000" w:fill="FFFF99"/>
            <w:vAlign w:val="center"/>
          </w:tcPr>
          <w:p w14:paraId="349DBF10" w14:textId="77777777" w:rsidR="0081459E" w:rsidRPr="00D148B9" w:rsidRDefault="0081459E" w:rsidP="00E627B3">
            <w:pPr>
              <w:jc w:val="cente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c>
          <w:tcPr>
            <w:tcW w:w="1559" w:type="dxa"/>
            <w:shd w:val="clear" w:color="000000" w:fill="FFFF99"/>
            <w:vAlign w:val="center"/>
          </w:tcPr>
          <w:p w14:paraId="22B7AA5F" w14:textId="77777777" w:rsidR="0081459E" w:rsidRPr="00D148B9" w:rsidRDefault="0081459E" w:rsidP="00E627B3">
            <w:pPr>
              <w:jc w:val="cente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r>
      <w:tr w:rsidR="00D148B9" w:rsidRPr="00D148B9" w14:paraId="5E05EA76" w14:textId="77777777" w:rsidTr="00E627B3">
        <w:trPr>
          <w:trHeight w:val="40"/>
        </w:trPr>
        <w:tc>
          <w:tcPr>
            <w:tcW w:w="3376" w:type="dxa"/>
            <w:shd w:val="clear" w:color="auto" w:fill="auto"/>
            <w:noWrap/>
            <w:vAlign w:val="center"/>
            <w:hideMark/>
          </w:tcPr>
          <w:p w14:paraId="270627BC" w14:textId="60D99470" w:rsidR="00D148B9" w:rsidRPr="00D148B9" w:rsidRDefault="00D148B9" w:rsidP="00D148B9">
            <w:pPr>
              <w:rPr>
                <w:rFonts w:eastAsia="Times New Roman"/>
                <w:b/>
                <w:bCs/>
                <w:sz w:val="20"/>
                <w:szCs w:val="20"/>
              </w:rPr>
            </w:pPr>
            <w:r w:rsidRPr="00D148B9">
              <w:rPr>
                <w:rFonts w:eastAsia="Times New Roman"/>
                <w:b/>
                <w:bCs/>
                <w:sz w:val="20"/>
                <w:szCs w:val="20"/>
                <w:lang w:eastAsia="hr-HR"/>
              </w:rPr>
              <w:t>A1</w:t>
            </w:r>
            <w:r w:rsidRPr="00D148B9">
              <w:rPr>
                <w:rFonts w:eastAsia="Times New Roman"/>
                <w:sz w:val="20"/>
                <w:szCs w:val="20"/>
                <w:lang w:eastAsia="hr-HR"/>
              </w:rPr>
              <w:t xml:space="preserve"> neposredne subvencije kamata</w:t>
            </w:r>
          </w:p>
        </w:tc>
        <w:tc>
          <w:tcPr>
            <w:tcW w:w="1439" w:type="dxa"/>
            <w:vAlign w:val="center"/>
          </w:tcPr>
          <w:p w14:paraId="322F25BF" w14:textId="699E18A5" w:rsidR="00D148B9" w:rsidRPr="00D148B9" w:rsidRDefault="00D148B9" w:rsidP="00D148B9">
            <w:pPr>
              <w:jc w:val="right"/>
              <w:rPr>
                <w:sz w:val="20"/>
                <w:szCs w:val="14"/>
              </w:rPr>
            </w:pPr>
            <w:r w:rsidRPr="00D148B9">
              <w:rPr>
                <w:rFonts w:eastAsia="Times New Roman"/>
                <w:sz w:val="20"/>
                <w:szCs w:val="20"/>
                <w:lang w:eastAsia="hr-HR"/>
              </w:rPr>
              <w:t>0,9</w:t>
            </w:r>
          </w:p>
        </w:tc>
        <w:tc>
          <w:tcPr>
            <w:tcW w:w="1559" w:type="dxa"/>
            <w:vAlign w:val="center"/>
          </w:tcPr>
          <w:p w14:paraId="55C7F10B" w14:textId="67FE8EA8" w:rsidR="00D148B9" w:rsidRPr="00D148B9" w:rsidRDefault="00D148B9" w:rsidP="00D148B9">
            <w:pPr>
              <w:jc w:val="right"/>
              <w:rPr>
                <w:sz w:val="20"/>
                <w:szCs w:val="14"/>
              </w:rPr>
            </w:pPr>
            <w:r w:rsidRPr="00D148B9">
              <w:rPr>
                <w:rFonts w:eastAsia="Times New Roman"/>
                <w:sz w:val="20"/>
                <w:szCs w:val="20"/>
                <w:lang w:eastAsia="hr-HR"/>
              </w:rPr>
              <w:t>0,7</w:t>
            </w:r>
          </w:p>
        </w:tc>
        <w:tc>
          <w:tcPr>
            <w:tcW w:w="1559" w:type="dxa"/>
            <w:vAlign w:val="center"/>
          </w:tcPr>
          <w:p w14:paraId="727718F9" w14:textId="17DE9E94" w:rsidR="00D148B9" w:rsidRPr="00D148B9" w:rsidRDefault="00D148B9" w:rsidP="00D148B9">
            <w:pPr>
              <w:jc w:val="right"/>
              <w:rPr>
                <w:sz w:val="20"/>
                <w:szCs w:val="14"/>
              </w:rPr>
            </w:pPr>
            <w:r w:rsidRPr="00D148B9">
              <w:rPr>
                <w:rFonts w:eastAsia="Times New Roman"/>
                <w:sz w:val="20"/>
                <w:szCs w:val="20"/>
                <w:lang w:eastAsia="hr-HR"/>
              </w:rPr>
              <w:t>0,5</w:t>
            </w:r>
          </w:p>
        </w:tc>
      </w:tr>
      <w:tr w:rsidR="00D148B9" w:rsidRPr="00D148B9" w14:paraId="2A30C22B" w14:textId="77777777" w:rsidTr="00E627B3">
        <w:trPr>
          <w:trHeight w:val="40"/>
        </w:trPr>
        <w:tc>
          <w:tcPr>
            <w:tcW w:w="3376" w:type="dxa"/>
            <w:shd w:val="clear" w:color="auto" w:fill="auto"/>
            <w:noWrap/>
            <w:vAlign w:val="center"/>
            <w:hideMark/>
          </w:tcPr>
          <w:p w14:paraId="2400A130" w14:textId="77A1F154" w:rsidR="00D148B9" w:rsidRPr="00D148B9" w:rsidRDefault="00D148B9" w:rsidP="00D148B9">
            <w:pPr>
              <w:rPr>
                <w:rFonts w:eastAsia="Times New Roman"/>
                <w:b/>
                <w:bCs/>
                <w:sz w:val="20"/>
                <w:szCs w:val="20"/>
              </w:rPr>
            </w:pPr>
            <w:r w:rsidRPr="00D148B9">
              <w:rPr>
                <w:rFonts w:eastAsia="Times New Roman"/>
                <w:b/>
                <w:bCs/>
                <w:sz w:val="20"/>
                <w:szCs w:val="20"/>
                <w:lang w:eastAsia="hr-HR"/>
              </w:rPr>
              <w:t>A1</w:t>
            </w:r>
            <w:r w:rsidRPr="00D148B9">
              <w:rPr>
                <w:rFonts w:eastAsia="Times New Roman"/>
                <w:sz w:val="20"/>
                <w:szCs w:val="20"/>
                <w:lang w:eastAsia="hr-HR"/>
              </w:rPr>
              <w:t xml:space="preserve"> subvencije</w:t>
            </w:r>
          </w:p>
        </w:tc>
        <w:tc>
          <w:tcPr>
            <w:tcW w:w="1439" w:type="dxa"/>
            <w:vAlign w:val="center"/>
          </w:tcPr>
          <w:p w14:paraId="47346CA1" w14:textId="71246734" w:rsidR="00D148B9" w:rsidRPr="00D148B9" w:rsidRDefault="00D148B9" w:rsidP="00D148B9">
            <w:pPr>
              <w:jc w:val="right"/>
              <w:rPr>
                <w:sz w:val="20"/>
                <w:szCs w:val="14"/>
              </w:rPr>
            </w:pPr>
            <w:r w:rsidRPr="00D148B9">
              <w:rPr>
                <w:rFonts w:eastAsia="Times New Roman"/>
                <w:sz w:val="20"/>
                <w:szCs w:val="20"/>
                <w:lang w:eastAsia="hr-HR"/>
              </w:rPr>
              <w:t>0,0</w:t>
            </w:r>
          </w:p>
        </w:tc>
        <w:tc>
          <w:tcPr>
            <w:tcW w:w="1559" w:type="dxa"/>
            <w:vAlign w:val="center"/>
          </w:tcPr>
          <w:p w14:paraId="41382D30" w14:textId="2BB3AB09" w:rsidR="00D148B9" w:rsidRPr="00D148B9" w:rsidRDefault="00D148B9" w:rsidP="00D148B9">
            <w:pPr>
              <w:jc w:val="right"/>
              <w:rPr>
                <w:sz w:val="20"/>
                <w:szCs w:val="14"/>
              </w:rPr>
            </w:pPr>
            <w:r w:rsidRPr="00D148B9">
              <w:rPr>
                <w:rFonts w:eastAsia="Times New Roman"/>
                <w:sz w:val="20"/>
                <w:szCs w:val="20"/>
                <w:lang w:eastAsia="hr-HR"/>
              </w:rPr>
              <w:t>0,0</w:t>
            </w:r>
          </w:p>
        </w:tc>
        <w:tc>
          <w:tcPr>
            <w:tcW w:w="1559" w:type="dxa"/>
            <w:vAlign w:val="center"/>
          </w:tcPr>
          <w:p w14:paraId="232A55F8" w14:textId="52763F73" w:rsidR="00D148B9" w:rsidRPr="00D148B9" w:rsidRDefault="00D148B9" w:rsidP="00D148B9">
            <w:pPr>
              <w:jc w:val="right"/>
              <w:rPr>
                <w:sz w:val="20"/>
                <w:szCs w:val="14"/>
              </w:rPr>
            </w:pPr>
            <w:r w:rsidRPr="00D148B9">
              <w:rPr>
                <w:rFonts w:eastAsia="Times New Roman"/>
                <w:sz w:val="20"/>
                <w:szCs w:val="20"/>
                <w:lang w:eastAsia="hr-HR"/>
              </w:rPr>
              <w:t>129,9</w:t>
            </w:r>
          </w:p>
        </w:tc>
      </w:tr>
      <w:tr w:rsidR="00D148B9" w:rsidRPr="00D148B9" w14:paraId="64D825AD" w14:textId="77777777" w:rsidTr="00E627B3">
        <w:trPr>
          <w:trHeight w:val="40"/>
        </w:trPr>
        <w:tc>
          <w:tcPr>
            <w:tcW w:w="3376" w:type="dxa"/>
            <w:shd w:val="clear" w:color="000000" w:fill="FFFF99"/>
            <w:noWrap/>
            <w:vAlign w:val="center"/>
            <w:hideMark/>
          </w:tcPr>
          <w:p w14:paraId="2B95B281" w14:textId="77777777" w:rsidR="00D148B9" w:rsidRPr="00D148B9" w:rsidRDefault="00D148B9" w:rsidP="00D148B9">
            <w:pPr>
              <w:rPr>
                <w:rFonts w:eastAsia="Times New Roman"/>
                <w:b/>
                <w:bCs/>
                <w:sz w:val="20"/>
                <w:szCs w:val="20"/>
              </w:rPr>
            </w:pPr>
            <w:r w:rsidRPr="00D148B9">
              <w:rPr>
                <w:rFonts w:eastAsia="Times New Roman"/>
                <w:b/>
                <w:bCs/>
                <w:sz w:val="20"/>
                <w:szCs w:val="20"/>
              </w:rPr>
              <w:t>UKUPNO</w:t>
            </w:r>
          </w:p>
        </w:tc>
        <w:tc>
          <w:tcPr>
            <w:tcW w:w="1439" w:type="dxa"/>
            <w:shd w:val="clear" w:color="000000" w:fill="FFFF99"/>
            <w:vAlign w:val="center"/>
          </w:tcPr>
          <w:p w14:paraId="28EDD243" w14:textId="1C9819FF" w:rsidR="00D148B9" w:rsidRPr="00D148B9" w:rsidRDefault="00D148B9" w:rsidP="00D148B9">
            <w:pPr>
              <w:jc w:val="right"/>
              <w:rPr>
                <w:b/>
                <w:sz w:val="20"/>
                <w:szCs w:val="14"/>
              </w:rPr>
            </w:pPr>
            <w:r w:rsidRPr="00D148B9">
              <w:rPr>
                <w:rFonts w:eastAsia="Times New Roman"/>
                <w:b/>
                <w:bCs/>
                <w:sz w:val="20"/>
                <w:szCs w:val="20"/>
                <w:lang w:eastAsia="hr-HR"/>
              </w:rPr>
              <w:t>0,9</w:t>
            </w:r>
          </w:p>
        </w:tc>
        <w:tc>
          <w:tcPr>
            <w:tcW w:w="1559" w:type="dxa"/>
            <w:shd w:val="clear" w:color="000000" w:fill="FFFF99"/>
            <w:vAlign w:val="center"/>
          </w:tcPr>
          <w:p w14:paraId="46A80E2F" w14:textId="26B5303E" w:rsidR="00D148B9" w:rsidRPr="00D148B9" w:rsidRDefault="00D148B9" w:rsidP="00D148B9">
            <w:pPr>
              <w:jc w:val="right"/>
              <w:rPr>
                <w:b/>
                <w:sz w:val="20"/>
                <w:szCs w:val="14"/>
              </w:rPr>
            </w:pPr>
            <w:r w:rsidRPr="00D148B9">
              <w:rPr>
                <w:rFonts w:eastAsia="Times New Roman"/>
                <w:b/>
                <w:bCs/>
                <w:sz w:val="20"/>
                <w:szCs w:val="20"/>
                <w:lang w:eastAsia="hr-HR"/>
              </w:rPr>
              <w:t>0,7</w:t>
            </w:r>
          </w:p>
        </w:tc>
        <w:tc>
          <w:tcPr>
            <w:tcW w:w="1559" w:type="dxa"/>
            <w:shd w:val="clear" w:color="000000" w:fill="FFFF99"/>
            <w:vAlign w:val="center"/>
          </w:tcPr>
          <w:p w14:paraId="3835039B" w14:textId="1D6CF4A6" w:rsidR="00D148B9" w:rsidRPr="00D148B9" w:rsidRDefault="00D148B9" w:rsidP="00D148B9">
            <w:pPr>
              <w:jc w:val="right"/>
              <w:rPr>
                <w:b/>
                <w:sz w:val="20"/>
                <w:szCs w:val="14"/>
              </w:rPr>
            </w:pPr>
            <w:r w:rsidRPr="00D148B9">
              <w:rPr>
                <w:rFonts w:eastAsia="Times New Roman"/>
                <w:b/>
                <w:bCs/>
                <w:sz w:val="20"/>
                <w:szCs w:val="20"/>
                <w:lang w:eastAsia="hr-HR"/>
              </w:rPr>
              <w:t>130,5</w:t>
            </w:r>
          </w:p>
        </w:tc>
      </w:tr>
      <w:tr w:rsidR="00D148B9" w:rsidRPr="00D148B9" w14:paraId="4DD6BB03" w14:textId="77777777" w:rsidTr="00E627B3">
        <w:trPr>
          <w:trHeight w:val="40"/>
        </w:trPr>
        <w:tc>
          <w:tcPr>
            <w:tcW w:w="3376" w:type="dxa"/>
            <w:shd w:val="clear" w:color="auto" w:fill="auto"/>
            <w:vAlign w:val="center"/>
            <w:hideMark/>
          </w:tcPr>
          <w:p w14:paraId="532A4BEB" w14:textId="77777777" w:rsidR="00D148B9" w:rsidRPr="00D148B9" w:rsidRDefault="00D148B9" w:rsidP="00D148B9">
            <w:pPr>
              <w:rPr>
                <w:rFonts w:eastAsia="Times New Roman"/>
                <w:sz w:val="20"/>
                <w:szCs w:val="20"/>
              </w:rPr>
            </w:pPr>
            <w:r w:rsidRPr="00D148B9">
              <w:rPr>
                <w:rFonts w:eastAsia="Times New Roman"/>
                <w:sz w:val="20"/>
              </w:rPr>
              <w:t>udio (%) u posebnim sektorima</w:t>
            </w:r>
          </w:p>
        </w:tc>
        <w:tc>
          <w:tcPr>
            <w:tcW w:w="1439" w:type="dxa"/>
            <w:vAlign w:val="center"/>
          </w:tcPr>
          <w:p w14:paraId="18AF49B2" w14:textId="46EFC43B" w:rsidR="00D148B9" w:rsidRPr="00D148B9" w:rsidRDefault="00D148B9" w:rsidP="00D148B9">
            <w:pPr>
              <w:jc w:val="center"/>
              <w:rPr>
                <w:sz w:val="20"/>
                <w:szCs w:val="14"/>
              </w:rPr>
            </w:pPr>
            <w:r>
              <w:rPr>
                <w:rFonts w:eastAsia="Times New Roman"/>
                <w:sz w:val="20"/>
                <w:szCs w:val="20"/>
                <w:lang w:eastAsia="hr-HR"/>
              </w:rPr>
              <w:t>0,15</w:t>
            </w:r>
          </w:p>
        </w:tc>
        <w:tc>
          <w:tcPr>
            <w:tcW w:w="1559" w:type="dxa"/>
            <w:vAlign w:val="center"/>
          </w:tcPr>
          <w:p w14:paraId="17AAE48B" w14:textId="4ED475D2" w:rsidR="00D148B9" w:rsidRPr="00D148B9" w:rsidRDefault="00D148B9" w:rsidP="00D148B9">
            <w:pPr>
              <w:jc w:val="center"/>
              <w:rPr>
                <w:sz w:val="20"/>
                <w:szCs w:val="14"/>
              </w:rPr>
            </w:pPr>
            <w:r>
              <w:rPr>
                <w:rFonts w:eastAsia="Times New Roman"/>
                <w:sz w:val="20"/>
                <w:szCs w:val="20"/>
                <w:lang w:eastAsia="hr-HR"/>
              </w:rPr>
              <w:t>0,12</w:t>
            </w:r>
          </w:p>
        </w:tc>
        <w:tc>
          <w:tcPr>
            <w:tcW w:w="1559" w:type="dxa"/>
            <w:vAlign w:val="center"/>
          </w:tcPr>
          <w:p w14:paraId="120E68CA" w14:textId="0A193F39" w:rsidR="00D148B9" w:rsidRPr="00D148B9" w:rsidRDefault="00D148B9" w:rsidP="00D148B9">
            <w:pPr>
              <w:jc w:val="center"/>
              <w:rPr>
                <w:sz w:val="20"/>
                <w:szCs w:val="14"/>
              </w:rPr>
            </w:pPr>
            <w:r>
              <w:rPr>
                <w:rFonts w:eastAsia="Times New Roman"/>
                <w:sz w:val="20"/>
                <w:szCs w:val="20"/>
                <w:lang w:eastAsia="hr-HR"/>
              </w:rPr>
              <w:t>15,37</w:t>
            </w:r>
          </w:p>
        </w:tc>
      </w:tr>
      <w:tr w:rsidR="00D148B9" w:rsidRPr="00D148B9" w14:paraId="052DADFA" w14:textId="77777777" w:rsidTr="00E627B3">
        <w:trPr>
          <w:trHeight w:val="90"/>
        </w:trPr>
        <w:tc>
          <w:tcPr>
            <w:tcW w:w="3376" w:type="dxa"/>
            <w:shd w:val="clear" w:color="auto" w:fill="auto"/>
            <w:vAlign w:val="center"/>
            <w:hideMark/>
          </w:tcPr>
          <w:p w14:paraId="41D153AE" w14:textId="77777777" w:rsidR="00D148B9" w:rsidRPr="00D148B9" w:rsidRDefault="00D148B9" w:rsidP="00D148B9">
            <w:pPr>
              <w:rPr>
                <w:rFonts w:eastAsia="Times New Roman"/>
                <w:sz w:val="20"/>
                <w:szCs w:val="20"/>
              </w:rPr>
            </w:pPr>
            <w:r w:rsidRPr="00D148B9">
              <w:rPr>
                <w:rFonts w:eastAsia="Times New Roman"/>
                <w:sz w:val="20"/>
                <w:szCs w:val="20"/>
              </w:rPr>
              <w:t>udio (%) u ukupnim potporama (bez poljoprivrede i ribarstva)</w:t>
            </w:r>
          </w:p>
        </w:tc>
        <w:tc>
          <w:tcPr>
            <w:tcW w:w="1439" w:type="dxa"/>
            <w:vAlign w:val="center"/>
          </w:tcPr>
          <w:p w14:paraId="16842224" w14:textId="577DCB17" w:rsidR="00D148B9" w:rsidRPr="00D148B9" w:rsidRDefault="00D148B9" w:rsidP="00D148B9">
            <w:pPr>
              <w:jc w:val="center"/>
              <w:rPr>
                <w:sz w:val="20"/>
                <w:szCs w:val="14"/>
              </w:rPr>
            </w:pPr>
            <w:r>
              <w:rPr>
                <w:rFonts w:eastAsia="Times New Roman"/>
                <w:sz w:val="20"/>
                <w:szCs w:val="20"/>
                <w:lang w:eastAsia="hr-HR"/>
              </w:rPr>
              <w:t>0,05</w:t>
            </w:r>
          </w:p>
        </w:tc>
        <w:tc>
          <w:tcPr>
            <w:tcW w:w="1559" w:type="dxa"/>
            <w:vAlign w:val="center"/>
          </w:tcPr>
          <w:p w14:paraId="661E7014" w14:textId="58B11F0C" w:rsidR="00D148B9" w:rsidRPr="00D148B9" w:rsidRDefault="00D148B9" w:rsidP="00D148B9">
            <w:pPr>
              <w:jc w:val="center"/>
              <w:rPr>
                <w:sz w:val="20"/>
                <w:szCs w:val="14"/>
              </w:rPr>
            </w:pPr>
            <w:r>
              <w:rPr>
                <w:rFonts w:eastAsia="Times New Roman"/>
                <w:sz w:val="20"/>
                <w:szCs w:val="20"/>
                <w:lang w:eastAsia="hr-HR"/>
              </w:rPr>
              <w:t>0,04</w:t>
            </w:r>
          </w:p>
        </w:tc>
        <w:tc>
          <w:tcPr>
            <w:tcW w:w="1559" w:type="dxa"/>
            <w:vAlign w:val="center"/>
          </w:tcPr>
          <w:p w14:paraId="38BEA787" w14:textId="5D8CD05A" w:rsidR="00D148B9" w:rsidRPr="00D148B9" w:rsidRDefault="00D148B9" w:rsidP="00D148B9">
            <w:pPr>
              <w:jc w:val="center"/>
              <w:rPr>
                <w:sz w:val="20"/>
                <w:szCs w:val="14"/>
              </w:rPr>
            </w:pPr>
            <w:r>
              <w:rPr>
                <w:rFonts w:eastAsia="Times New Roman"/>
                <w:sz w:val="20"/>
                <w:szCs w:val="20"/>
                <w:lang w:eastAsia="hr-HR"/>
              </w:rPr>
              <w:t>6,63</w:t>
            </w:r>
          </w:p>
        </w:tc>
      </w:tr>
      <w:tr w:rsidR="00D148B9" w:rsidRPr="00D148B9" w14:paraId="77C41A97" w14:textId="77777777" w:rsidTr="00E627B3">
        <w:trPr>
          <w:trHeight w:val="40"/>
        </w:trPr>
        <w:tc>
          <w:tcPr>
            <w:tcW w:w="3376" w:type="dxa"/>
            <w:shd w:val="clear" w:color="auto" w:fill="auto"/>
            <w:vAlign w:val="center"/>
            <w:hideMark/>
          </w:tcPr>
          <w:p w14:paraId="447811AF" w14:textId="77777777" w:rsidR="00D148B9" w:rsidRPr="00D148B9" w:rsidRDefault="00D148B9" w:rsidP="00D148B9">
            <w:pPr>
              <w:rPr>
                <w:rFonts w:eastAsia="Times New Roman"/>
                <w:sz w:val="20"/>
                <w:szCs w:val="20"/>
              </w:rPr>
            </w:pPr>
            <w:r w:rsidRPr="00D148B9">
              <w:rPr>
                <w:rFonts w:eastAsia="Times New Roman"/>
                <w:sz w:val="20"/>
                <w:szCs w:val="20"/>
              </w:rPr>
              <w:t>udio (%) u ukupnim potporama</w:t>
            </w:r>
          </w:p>
        </w:tc>
        <w:tc>
          <w:tcPr>
            <w:tcW w:w="1439" w:type="dxa"/>
            <w:vAlign w:val="center"/>
          </w:tcPr>
          <w:p w14:paraId="4D4B3373" w14:textId="5C7F992A" w:rsidR="00D148B9" w:rsidRPr="00D148B9" w:rsidRDefault="00D148B9" w:rsidP="00D148B9">
            <w:pPr>
              <w:jc w:val="center"/>
              <w:rPr>
                <w:sz w:val="20"/>
                <w:szCs w:val="14"/>
              </w:rPr>
            </w:pPr>
            <w:r>
              <w:rPr>
                <w:rFonts w:eastAsia="Times New Roman"/>
                <w:sz w:val="20"/>
                <w:szCs w:val="20"/>
                <w:lang w:eastAsia="hr-HR"/>
              </w:rPr>
              <w:t>0,03</w:t>
            </w:r>
          </w:p>
        </w:tc>
        <w:tc>
          <w:tcPr>
            <w:tcW w:w="1559" w:type="dxa"/>
            <w:vAlign w:val="center"/>
          </w:tcPr>
          <w:p w14:paraId="5901AA8D" w14:textId="670C3F43" w:rsidR="00D148B9" w:rsidRPr="00D148B9" w:rsidRDefault="00D148B9" w:rsidP="00D148B9">
            <w:pPr>
              <w:jc w:val="center"/>
              <w:rPr>
                <w:sz w:val="20"/>
                <w:szCs w:val="14"/>
              </w:rPr>
            </w:pPr>
            <w:r>
              <w:rPr>
                <w:rFonts w:eastAsia="Times New Roman"/>
                <w:sz w:val="20"/>
                <w:szCs w:val="20"/>
                <w:lang w:eastAsia="hr-HR"/>
              </w:rPr>
              <w:t>0,02</w:t>
            </w:r>
          </w:p>
        </w:tc>
        <w:tc>
          <w:tcPr>
            <w:tcW w:w="1559" w:type="dxa"/>
            <w:vAlign w:val="center"/>
          </w:tcPr>
          <w:p w14:paraId="2FF8D304" w14:textId="7E8F5804" w:rsidR="00D148B9" w:rsidRPr="00D148B9" w:rsidRDefault="00D148B9" w:rsidP="00D148B9">
            <w:pPr>
              <w:jc w:val="center"/>
              <w:rPr>
                <w:sz w:val="20"/>
                <w:szCs w:val="14"/>
              </w:rPr>
            </w:pPr>
            <w:r>
              <w:rPr>
                <w:rFonts w:eastAsia="Times New Roman"/>
                <w:sz w:val="20"/>
                <w:szCs w:val="20"/>
                <w:lang w:eastAsia="hr-HR"/>
              </w:rPr>
              <w:t>4,30</w:t>
            </w:r>
          </w:p>
        </w:tc>
      </w:tr>
      <w:tr w:rsidR="00D148B9" w:rsidRPr="00D148B9" w14:paraId="5368CC36" w14:textId="77777777" w:rsidTr="00E627B3">
        <w:trPr>
          <w:trHeight w:val="40"/>
        </w:trPr>
        <w:tc>
          <w:tcPr>
            <w:tcW w:w="3376" w:type="dxa"/>
            <w:shd w:val="clear" w:color="auto" w:fill="auto"/>
            <w:vAlign w:val="center"/>
            <w:hideMark/>
          </w:tcPr>
          <w:p w14:paraId="393D0067" w14:textId="77777777" w:rsidR="00D148B9" w:rsidRPr="00D148B9" w:rsidRDefault="00D148B9" w:rsidP="00D148B9">
            <w:pPr>
              <w:rPr>
                <w:rFonts w:eastAsia="Times New Roman"/>
                <w:sz w:val="20"/>
                <w:szCs w:val="20"/>
              </w:rPr>
            </w:pPr>
            <w:r w:rsidRPr="00D148B9">
              <w:rPr>
                <w:rFonts w:eastAsia="Times New Roman"/>
                <w:sz w:val="20"/>
                <w:szCs w:val="20"/>
              </w:rPr>
              <w:t>udio (%) u BDP-u</w:t>
            </w:r>
          </w:p>
        </w:tc>
        <w:tc>
          <w:tcPr>
            <w:tcW w:w="1439" w:type="dxa"/>
            <w:vAlign w:val="center"/>
          </w:tcPr>
          <w:p w14:paraId="74453878" w14:textId="297BB662" w:rsidR="00D148B9" w:rsidRPr="00D148B9" w:rsidRDefault="00D148B9" w:rsidP="00D148B9">
            <w:pPr>
              <w:jc w:val="center"/>
              <w:rPr>
                <w:sz w:val="20"/>
                <w:szCs w:val="14"/>
              </w:rPr>
            </w:pPr>
            <w:r>
              <w:rPr>
                <w:rFonts w:eastAsia="Times New Roman"/>
                <w:sz w:val="20"/>
                <w:szCs w:val="20"/>
                <w:lang w:eastAsia="hr-HR"/>
              </w:rPr>
              <w:t>0,002</w:t>
            </w:r>
          </w:p>
        </w:tc>
        <w:tc>
          <w:tcPr>
            <w:tcW w:w="1559" w:type="dxa"/>
            <w:vAlign w:val="center"/>
          </w:tcPr>
          <w:p w14:paraId="1E94579F" w14:textId="7F4D286A" w:rsidR="00D148B9" w:rsidRPr="00D148B9" w:rsidRDefault="00D148B9" w:rsidP="00D148B9">
            <w:pPr>
              <w:jc w:val="center"/>
              <w:rPr>
                <w:sz w:val="20"/>
                <w:szCs w:val="14"/>
              </w:rPr>
            </w:pPr>
            <w:r>
              <w:rPr>
                <w:rFonts w:eastAsia="Times New Roman"/>
                <w:sz w:val="20"/>
                <w:szCs w:val="20"/>
                <w:lang w:eastAsia="hr-HR"/>
              </w:rPr>
              <w:t>0,001</w:t>
            </w:r>
          </w:p>
        </w:tc>
        <w:tc>
          <w:tcPr>
            <w:tcW w:w="1559" w:type="dxa"/>
            <w:vAlign w:val="center"/>
          </w:tcPr>
          <w:p w14:paraId="3BF22456" w14:textId="4E823849" w:rsidR="00D148B9" w:rsidRPr="00D148B9" w:rsidRDefault="00D148B9" w:rsidP="00D148B9">
            <w:pPr>
              <w:jc w:val="center"/>
              <w:rPr>
                <w:sz w:val="20"/>
                <w:szCs w:val="14"/>
              </w:rPr>
            </w:pPr>
            <w:r>
              <w:rPr>
                <w:rFonts w:eastAsia="Times New Roman"/>
                <w:sz w:val="20"/>
                <w:szCs w:val="20"/>
                <w:lang w:eastAsia="hr-HR"/>
              </w:rPr>
              <w:t>0,17</w:t>
            </w:r>
          </w:p>
        </w:tc>
      </w:tr>
    </w:tbl>
    <w:p w14:paraId="4FF2EAC0" w14:textId="77777777" w:rsidR="00D148B9" w:rsidRPr="00D148B9" w:rsidRDefault="00D148B9" w:rsidP="00D148B9">
      <w:pPr>
        <w:jc w:val="both"/>
        <w:rPr>
          <w:sz w:val="20"/>
        </w:rPr>
      </w:pPr>
      <w:r w:rsidRPr="00D148B9">
        <w:rPr>
          <w:i/>
          <w:sz w:val="20"/>
        </w:rPr>
        <w:t>Izvor: Ministarstvo financija i ostali davatelji potpora; podaci obrađeni u Ministarstvu financija</w:t>
      </w:r>
    </w:p>
    <w:p w14:paraId="2BCF600D" w14:textId="281A6D78" w:rsidR="0081459E" w:rsidRPr="00D148B9" w:rsidRDefault="0081459E" w:rsidP="00BE487D">
      <w:pPr>
        <w:jc w:val="both"/>
      </w:pPr>
    </w:p>
    <w:p w14:paraId="02137C16" w14:textId="02D5D6ED" w:rsidR="007A4FAB" w:rsidRPr="005D6B00" w:rsidRDefault="007A4FAB" w:rsidP="007A4FAB">
      <w:pPr>
        <w:jc w:val="both"/>
      </w:pPr>
      <w:r w:rsidRPr="005D6B00">
        <w:t xml:space="preserve">Udio potpora u sektoru turizma u BDP-u u 2023. godini iznosio je 0,17 posto, u 2022. godini iznosio je 0,001 posto, dok je u 2021. godini iznosio 0,002 posto. Udio navedenih potpora u 2023. godini u ukupno dodijeljenim potporama iznosio je </w:t>
      </w:r>
      <w:r w:rsidR="005D6B00" w:rsidRPr="005D6B00">
        <w:t>4,3</w:t>
      </w:r>
      <w:r w:rsidRPr="005D6B00">
        <w:t xml:space="preserve"> posto, udio u dodijeljenim potporama u sektoru industrije i usluga u 2023. godini iznosio je </w:t>
      </w:r>
      <w:r w:rsidR="005D6B00" w:rsidRPr="005D6B00">
        <w:t>6,6</w:t>
      </w:r>
      <w:r w:rsidRPr="005D6B00">
        <w:t xml:space="preserve"> posto, dok je udio navedenih potpora u sektorskim potporama u 2023. godini iznosio </w:t>
      </w:r>
      <w:r w:rsidR="005D6B00" w:rsidRPr="005D6B00">
        <w:t>15,4</w:t>
      </w:r>
      <w:r w:rsidRPr="005D6B00">
        <w:t xml:space="preserve"> posto.</w:t>
      </w:r>
    </w:p>
    <w:p w14:paraId="0A823665" w14:textId="0CE2038D" w:rsidR="00F40008" w:rsidRPr="005D6B00" w:rsidRDefault="00F40008" w:rsidP="00BE487D">
      <w:pPr>
        <w:jc w:val="both"/>
      </w:pPr>
    </w:p>
    <w:p w14:paraId="11EC5345" w14:textId="1D23DB67" w:rsidR="005D6B00" w:rsidRPr="005D6B00" w:rsidRDefault="005D6B00" w:rsidP="005D6B00">
      <w:pPr>
        <w:jc w:val="both"/>
      </w:pPr>
      <w:r w:rsidRPr="005D6B00">
        <w:t>Potpore u sektoru turizma u 2023. godini dodijeljene u iznosu od 130,5 milijuna eura, najvećim dijelom su dodijeljene putem subvencija u iznosu od 129,9 milijuna eura ili s udjelom od 99,6 posto u sektoru turizma, te je putem neposrednih subvencija kamata dodijeljeno 533.466,17 eura ili 0,4 posto.</w:t>
      </w:r>
    </w:p>
    <w:p w14:paraId="454A420C" w14:textId="77777777" w:rsidR="002F5134" w:rsidRPr="005D6B00" w:rsidRDefault="002F5134" w:rsidP="00BE487D">
      <w:pPr>
        <w:jc w:val="both"/>
      </w:pPr>
    </w:p>
    <w:p w14:paraId="4CD4A225" w14:textId="10192C39" w:rsidR="000364DE" w:rsidRPr="005D6B00" w:rsidRDefault="005D6B00" w:rsidP="005D6B00">
      <w:pPr>
        <w:jc w:val="both"/>
        <w:rPr>
          <w:spacing w:val="-2"/>
        </w:rPr>
      </w:pPr>
      <w:r w:rsidRPr="00B75A66">
        <w:rPr>
          <w:spacing w:val="-2"/>
          <w:u w:val="single"/>
        </w:rPr>
        <w:t>Ministarstvo turizma i sporta</w:t>
      </w:r>
      <w:r w:rsidRPr="005D6B00">
        <w:rPr>
          <w:spacing w:val="-2"/>
        </w:rPr>
        <w:t xml:space="preserve"> je u 2023. godini jedini d</w:t>
      </w:r>
      <w:r w:rsidR="00F4656D" w:rsidRPr="005D6B00">
        <w:rPr>
          <w:spacing w:val="-2"/>
        </w:rPr>
        <w:t xml:space="preserve">avatelj potpora </w:t>
      </w:r>
      <w:r w:rsidR="00E92A05" w:rsidRPr="005D6B00">
        <w:rPr>
          <w:spacing w:val="-2"/>
        </w:rPr>
        <w:t>u</w:t>
      </w:r>
      <w:r w:rsidR="00F4656D" w:rsidRPr="005D6B00">
        <w:rPr>
          <w:spacing w:val="-2"/>
        </w:rPr>
        <w:t xml:space="preserve"> sektoru turizma </w:t>
      </w:r>
      <w:r w:rsidRPr="005D6B00">
        <w:rPr>
          <w:spacing w:val="-2"/>
        </w:rPr>
        <w:t xml:space="preserve">koje je </w:t>
      </w:r>
      <w:r w:rsidR="00E92A05" w:rsidRPr="005D6B00">
        <w:rPr>
          <w:spacing w:val="-2"/>
        </w:rPr>
        <w:t xml:space="preserve">dodijelilo </w:t>
      </w:r>
      <w:r w:rsidRPr="005D6B00">
        <w:rPr>
          <w:spacing w:val="-2"/>
        </w:rPr>
        <w:t xml:space="preserve">temeljem Programa dodjele državnih potpora za ulaganja u sektoru turizma iznos od 129,9 milijuna eura putem subvencija, </w:t>
      </w:r>
      <w:r w:rsidRPr="005D6B00">
        <w:rPr>
          <w:rFonts w:eastAsia="Times New Roman"/>
          <w:color w:val="000000"/>
          <w:spacing w:val="-2"/>
          <w:lang w:eastAsia="hr-HR"/>
        </w:rPr>
        <w:t xml:space="preserve">o kojem je </w:t>
      </w:r>
      <w:r w:rsidRPr="005D6B00">
        <w:rPr>
          <w:spacing w:val="-2"/>
        </w:rPr>
        <w:t xml:space="preserve">Europska komisija obaviještena pod brojem SA.104072 te temeljem </w:t>
      </w:r>
      <w:r w:rsidR="00077E9C" w:rsidRPr="005D6B00">
        <w:rPr>
          <w:spacing w:val="-2"/>
        </w:rPr>
        <w:t xml:space="preserve">Programa </w:t>
      </w:r>
      <w:r w:rsidR="00F40008" w:rsidRPr="005D6B00">
        <w:rPr>
          <w:spacing w:val="-2"/>
        </w:rPr>
        <w:t>Poticaj za uspjeh</w:t>
      </w:r>
      <w:r w:rsidRPr="005D6B00">
        <w:rPr>
          <w:spacing w:val="-2"/>
        </w:rPr>
        <w:t xml:space="preserve"> iznos od 533.466,17 eura kroz neposredne subvencije kamata</w:t>
      </w:r>
      <w:r w:rsidR="00F40008" w:rsidRPr="005D6B00">
        <w:rPr>
          <w:spacing w:val="-2"/>
        </w:rPr>
        <w:t xml:space="preserve">. </w:t>
      </w:r>
    </w:p>
    <w:p w14:paraId="59C1EE48" w14:textId="77777777" w:rsidR="00B26CC6" w:rsidRPr="005D6B00" w:rsidRDefault="00B26CC6" w:rsidP="00BE487D">
      <w:pPr>
        <w:jc w:val="both"/>
      </w:pPr>
    </w:p>
    <w:p w14:paraId="7C93DE42" w14:textId="6A6920E7" w:rsidR="005F1DB3" w:rsidRPr="005D6B00" w:rsidRDefault="005F1DB3" w:rsidP="005F1DB3">
      <w:pPr>
        <w:jc w:val="both"/>
      </w:pPr>
      <w:r w:rsidRPr="00B75A66">
        <w:rPr>
          <w:u w:val="single"/>
        </w:rPr>
        <w:t>Potpore male vrijednosti</w:t>
      </w:r>
      <w:r w:rsidRPr="005D6B00">
        <w:t xml:space="preserve"> u sektoru turizma su u 2023. godini dodijeljene u iznosu od </w:t>
      </w:r>
      <w:r w:rsidR="005D6B00" w:rsidRPr="005D6B00">
        <w:t>6,7</w:t>
      </w:r>
      <w:r w:rsidRPr="005D6B00">
        <w:t xml:space="preserve"> milijuna eura, te ukoliko bi se navedene potpore male vrijednosti pribrojile dodijeljenim potporama u sektoru turizma u iznosu od </w:t>
      </w:r>
      <w:r w:rsidR="005D6B00" w:rsidRPr="005D6B00">
        <w:t>130,5</w:t>
      </w:r>
      <w:r w:rsidRPr="005D6B00">
        <w:t xml:space="preserve"> milijuna eura, ukupan iznos svih dodijeljenih potpora u sektoru turizma u 2023. godini iznosile bi </w:t>
      </w:r>
      <w:r w:rsidR="005D6B00" w:rsidRPr="005D6B00">
        <w:t>137,2</w:t>
      </w:r>
      <w:r w:rsidRPr="005D6B00">
        <w:t xml:space="preserve"> milijuna eura. </w:t>
      </w:r>
    </w:p>
    <w:p w14:paraId="11E32093" w14:textId="77777777" w:rsidR="005F1DB3" w:rsidRPr="008149B5" w:rsidRDefault="005F1DB3" w:rsidP="00EB5847"/>
    <w:p w14:paraId="7A957CED" w14:textId="65331E29" w:rsidR="00BC66CE" w:rsidRPr="00D148B9" w:rsidRDefault="00BC66CE" w:rsidP="00BE487D">
      <w:pPr>
        <w:jc w:val="both"/>
      </w:pPr>
    </w:p>
    <w:p w14:paraId="7518FC69" w14:textId="3FCC8F5E" w:rsidR="00CF5370" w:rsidRDefault="00CF5370">
      <w:r>
        <w:br w:type="page"/>
      </w:r>
    </w:p>
    <w:p w14:paraId="25A4EE01" w14:textId="77777777" w:rsidR="004E1347" w:rsidRPr="00D148B9" w:rsidRDefault="004E1347" w:rsidP="00BE487D">
      <w:pPr>
        <w:jc w:val="both"/>
      </w:pPr>
    </w:p>
    <w:p w14:paraId="53E683C9" w14:textId="73506273" w:rsidR="00BE0817" w:rsidRPr="00D148B9" w:rsidRDefault="00BC66CE" w:rsidP="00BE487D">
      <w:pPr>
        <w:pStyle w:val="Heading3"/>
        <w:numPr>
          <w:ilvl w:val="2"/>
          <w:numId w:val="1"/>
        </w:numPr>
        <w:spacing w:before="0"/>
        <w:jc w:val="both"/>
        <w:rPr>
          <w:rFonts w:ascii="Times New Roman" w:hAnsi="Times New Roman" w:cs="Times New Roman"/>
          <w:b/>
          <w:i/>
          <w:color w:val="auto"/>
        </w:rPr>
      </w:pPr>
      <w:bookmarkStart w:id="28" w:name="_Toc184635858"/>
      <w:r w:rsidRPr="00D148B9">
        <w:rPr>
          <w:rFonts w:ascii="Times New Roman" w:hAnsi="Times New Roman" w:cs="Times New Roman"/>
          <w:b/>
          <w:i/>
          <w:color w:val="auto"/>
        </w:rPr>
        <w:t>Potpore za s</w:t>
      </w:r>
      <w:r w:rsidR="00BE0817" w:rsidRPr="00D148B9">
        <w:rPr>
          <w:rFonts w:ascii="Times New Roman" w:hAnsi="Times New Roman" w:cs="Times New Roman"/>
          <w:b/>
          <w:i/>
          <w:color w:val="auto"/>
        </w:rPr>
        <w:t>anacij</w:t>
      </w:r>
      <w:r w:rsidRPr="00D148B9">
        <w:rPr>
          <w:rFonts w:ascii="Times New Roman" w:hAnsi="Times New Roman" w:cs="Times New Roman"/>
          <w:b/>
          <w:i/>
          <w:color w:val="auto"/>
        </w:rPr>
        <w:t>u</w:t>
      </w:r>
      <w:r w:rsidR="00BE0817" w:rsidRPr="00D148B9">
        <w:rPr>
          <w:rFonts w:ascii="Times New Roman" w:hAnsi="Times New Roman" w:cs="Times New Roman"/>
          <w:b/>
          <w:i/>
          <w:color w:val="auto"/>
        </w:rPr>
        <w:t xml:space="preserve"> i restrukturiranje</w:t>
      </w:r>
      <w:bookmarkEnd w:id="28"/>
    </w:p>
    <w:p w14:paraId="4D5AA13E" w14:textId="77777777" w:rsidR="00BC66CE" w:rsidRPr="00D148B9" w:rsidRDefault="00BC66CE" w:rsidP="00BE487D">
      <w:pPr>
        <w:jc w:val="both"/>
      </w:pPr>
    </w:p>
    <w:p w14:paraId="28E89E98" w14:textId="77777777" w:rsidR="00BC66CE" w:rsidRPr="00D148B9" w:rsidRDefault="00BC66CE" w:rsidP="00BE487D">
      <w:pPr>
        <w:jc w:val="both"/>
      </w:pPr>
    </w:p>
    <w:p w14:paraId="0DFE5B71" w14:textId="08438313" w:rsidR="00BF2A09" w:rsidRPr="00BF2A09" w:rsidRDefault="005D6B00" w:rsidP="005D6B00">
      <w:pPr>
        <w:jc w:val="both"/>
      </w:pPr>
      <w:r w:rsidRPr="00BF2A09">
        <w:t>Potpore za sanaciju i restrukturiranje poduzetnika u teškoćama</w:t>
      </w:r>
      <w:r w:rsidRPr="00BF2A09">
        <w:rPr>
          <w:rStyle w:val="FootnoteReference"/>
        </w:rPr>
        <w:footnoteReference w:id="32"/>
      </w:r>
      <w:r w:rsidRPr="00BF2A09">
        <w:t xml:space="preserve"> </w:t>
      </w:r>
      <w:r w:rsidR="005F1DB3" w:rsidRPr="00BF2A09">
        <w:t xml:space="preserve">su dodijeljene u 2023. godini u iznosu od </w:t>
      </w:r>
      <w:r w:rsidR="00BF2A09" w:rsidRPr="00BF2A09">
        <w:t>9</w:t>
      </w:r>
      <w:r w:rsidR="005F1DB3" w:rsidRPr="00BF2A09">
        <w:t xml:space="preserve"> milijuna eura, </w:t>
      </w:r>
      <w:r w:rsidR="00BF2A09" w:rsidRPr="00BF2A09">
        <w:t>dok u 2022. i 2021. godini nisu dodjeljivane.</w:t>
      </w:r>
    </w:p>
    <w:p w14:paraId="39DB3AB6" w14:textId="77777777" w:rsidR="005D6B00" w:rsidRPr="00BF2A09" w:rsidRDefault="005D6B00" w:rsidP="00BE487D">
      <w:pPr>
        <w:jc w:val="both"/>
      </w:pPr>
    </w:p>
    <w:p w14:paraId="426872EA" w14:textId="026EDA66" w:rsidR="00FC755A" w:rsidRPr="00B75A66" w:rsidRDefault="00FC755A" w:rsidP="00BE487D">
      <w:pPr>
        <w:jc w:val="both"/>
      </w:pPr>
      <w:r w:rsidRPr="00B75A66">
        <w:t>Tablica 2</w:t>
      </w:r>
      <w:r w:rsidR="00C01B6B" w:rsidRPr="00B75A66">
        <w:t>4</w:t>
      </w:r>
      <w:r w:rsidRPr="00B75A66">
        <w:t>. Potpore za sanaciju i restrukturiranje za razdoblje od 20</w:t>
      </w:r>
      <w:r w:rsidR="000C31DD" w:rsidRPr="00B75A66">
        <w:t>2</w:t>
      </w:r>
      <w:r w:rsidR="00C01B6B" w:rsidRPr="00B75A66">
        <w:t>1</w:t>
      </w:r>
      <w:r w:rsidRPr="00B75A66">
        <w:t>. do 202</w:t>
      </w:r>
      <w:r w:rsidR="00C01B6B" w:rsidRPr="00B75A66">
        <w:t>3</w:t>
      </w:r>
      <w:r w:rsidRPr="00B75A66">
        <w:t>. godine</w:t>
      </w:r>
    </w:p>
    <w:p w14:paraId="3C0D560C" w14:textId="77777777" w:rsidR="00FC755A" w:rsidRPr="00D148B9" w:rsidRDefault="00FC755A" w:rsidP="00BE487D">
      <w:pPr>
        <w:contextualSpacing/>
        <w:jc w:val="both"/>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81459E" w:rsidRPr="00D148B9" w14:paraId="0725E52E" w14:textId="77777777" w:rsidTr="00E627B3">
        <w:trPr>
          <w:trHeight w:val="38"/>
        </w:trPr>
        <w:tc>
          <w:tcPr>
            <w:tcW w:w="3376" w:type="dxa"/>
            <w:vMerge w:val="restart"/>
            <w:shd w:val="clear" w:color="000000" w:fill="FFFF99"/>
            <w:noWrap/>
            <w:vAlign w:val="center"/>
            <w:hideMark/>
          </w:tcPr>
          <w:p w14:paraId="36B4311E" w14:textId="2EFBE284" w:rsidR="0081459E" w:rsidRPr="00D148B9" w:rsidRDefault="00D148B9" w:rsidP="00E627B3">
            <w:pPr>
              <w:rPr>
                <w:rFonts w:eastAsia="Times New Roman"/>
                <w:b/>
                <w:bCs/>
                <w:sz w:val="20"/>
                <w:szCs w:val="20"/>
              </w:rPr>
            </w:pPr>
            <w:r w:rsidRPr="00D148B9">
              <w:rPr>
                <w:rFonts w:eastAsia="Times New Roman"/>
                <w:b/>
                <w:bCs/>
                <w:sz w:val="20"/>
                <w:lang w:eastAsia="hr-HR"/>
              </w:rPr>
              <w:t>Sanacija i restrukturiranje</w:t>
            </w:r>
          </w:p>
        </w:tc>
        <w:tc>
          <w:tcPr>
            <w:tcW w:w="1439" w:type="dxa"/>
            <w:shd w:val="clear" w:color="000000" w:fill="FFFF99"/>
            <w:vAlign w:val="center"/>
          </w:tcPr>
          <w:p w14:paraId="39CD2D75" w14:textId="77777777" w:rsidR="0081459E" w:rsidRPr="00D148B9" w:rsidRDefault="0081459E" w:rsidP="00E627B3">
            <w:pPr>
              <w:jc w:val="center"/>
              <w:rPr>
                <w:rFonts w:eastAsia="Times New Roman"/>
                <w:b/>
                <w:bCs/>
                <w:sz w:val="20"/>
                <w:szCs w:val="20"/>
              </w:rPr>
            </w:pPr>
            <w:r w:rsidRPr="00D148B9">
              <w:rPr>
                <w:b/>
                <w:sz w:val="20"/>
                <w:szCs w:val="20"/>
              </w:rPr>
              <w:t>2021.</w:t>
            </w:r>
          </w:p>
        </w:tc>
        <w:tc>
          <w:tcPr>
            <w:tcW w:w="1559" w:type="dxa"/>
            <w:shd w:val="clear" w:color="000000" w:fill="FFFF99"/>
            <w:vAlign w:val="center"/>
          </w:tcPr>
          <w:p w14:paraId="0F55A804" w14:textId="77777777" w:rsidR="0081459E" w:rsidRPr="00D148B9" w:rsidRDefault="0081459E" w:rsidP="00E627B3">
            <w:pPr>
              <w:jc w:val="center"/>
              <w:rPr>
                <w:rFonts w:eastAsia="Times New Roman"/>
                <w:b/>
                <w:bCs/>
                <w:sz w:val="20"/>
                <w:szCs w:val="20"/>
              </w:rPr>
            </w:pPr>
            <w:r w:rsidRPr="00D148B9">
              <w:rPr>
                <w:b/>
                <w:sz w:val="20"/>
                <w:szCs w:val="20"/>
              </w:rPr>
              <w:t>2022.</w:t>
            </w:r>
          </w:p>
        </w:tc>
        <w:tc>
          <w:tcPr>
            <w:tcW w:w="1559" w:type="dxa"/>
            <w:shd w:val="clear" w:color="000000" w:fill="FFFF99"/>
            <w:vAlign w:val="center"/>
          </w:tcPr>
          <w:p w14:paraId="641B5201" w14:textId="77777777" w:rsidR="0081459E" w:rsidRPr="00D148B9" w:rsidRDefault="0081459E" w:rsidP="00E627B3">
            <w:pPr>
              <w:jc w:val="center"/>
              <w:rPr>
                <w:rFonts w:eastAsia="Times New Roman"/>
                <w:b/>
                <w:bCs/>
                <w:sz w:val="20"/>
                <w:szCs w:val="20"/>
              </w:rPr>
            </w:pPr>
            <w:r w:rsidRPr="00D148B9">
              <w:rPr>
                <w:b/>
                <w:sz w:val="20"/>
                <w:szCs w:val="20"/>
              </w:rPr>
              <w:t>2023.</w:t>
            </w:r>
          </w:p>
        </w:tc>
      </w:tr>
      <w:tr w:rsidR="0081459E" w:rsidRPr="00D148B9" w14:paraId="2EFC6D77" w14:textId="77777777" w:rsidTr="00E627B3">
        <w:trPr>
          <w:trHeight w:val="212"/>
        </w:trPr>
        <w:tc>
          <w:tcPr>
            <w:tcW w:w="3376" w:type="dxa"/>
            <w:vMerge/>
            <w:vAlign w:val="center"/>
            <w:hideMark/>
          </w:tcPr>
          <w:p w14:paraId="53D5D001" w14:textId="77777777" w:rsidR="0081459E" w:rsidRPr="00D148B9" w:rsidRDefault="0081459E" w:rsidP="00E627B3">
            <w:pPr>
              <w:rPr>
                <w:rFonts w:eastAsia="Times New Roman"/>
                <w:b/>
                <w:bCs/>
                <w:sz w:val="20"/>
                <w:szCs w:val="20"/>
              </w:rPr>
            </w:pPr>
          </w:p>
        </w:tc>
        <w:tc>
          <w:tcPr>
            <w:tcW w:w="1439" w:type="dxa"/>
            <w:shd w:val="clear" w:color="000000" w:fill="FFFF99"/>
            <w:vAlign w:val="center"/>
          </w:tcPr>
          <w:p w14:paraId="4C999C57" w14:textId="77777777" w:rsidR="0081459E" w:rsidRPr="00D148B9" w:rsidRDefault="0081459E" w:rsidP="00E627B3">
            <w:pP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c>
          <w:tcPr>
            <w:tcW w:w="1559" w:type="dxa"/>
            <w:shd w:val="clear" w:color="000000" w:fill="FFFF99"/>
            <w:vAlign w:val="center"/>
          </w:tcPr>
          <w:p w14:paraId="3C0F979D" w14:textId="77777777" w:rsidR="0081459E" w:rsidRPr="00D148B9" w:rsidRDefault="0081459E" w:rsidP="00E627B3">
            <w:pPr>
              <w:jc w:val="cente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c>
          <w:tcPr>
            <w:tcW w:w="1559" w:type="dxa"/>
            <w:shd w:val="clear" w:color="000000" w:fill="FFFF99"/>
            <w:vAlign w:val="center"/>
          </w:tcPr>
          <w:p w14:paraId="3D382BFD" w14:textId="77777777" w:rsidR="0081459E" w:rsidRPr="00D148B9" w:rsidRDefault="0081459E" w:rsidP="00E627B3">
            <w:pPr>
              <w:jc w:val="center"/>
              <w:rPr>
                <w:rFonts w:eastAsia="Times New Roman"/>
                <w:b/>
                <w:sz w:val="18"/>
                <w:szCs w:val="20"/>
              </w:rPr>
            </w:pPr>
            <w:r w:rsidRPr="00D148B9">
              <w:rPr>
                <w:b/>
                <w:sz w:val="20"/>
                <w:szCs w:val="20"/>
              </w:rPr>
              <w:t xml:space="preserve">u </w:t>
            </w:r>
            <w:proofErr w:type="spellStart"/>
            <w:r w:rsidRPr="00D148B9">
              <w:rPr>
                <w:b/>
                <w:sz w:val="20"/>
                <w:szCs w:val="20"/>
              </w:rPr>
              <w:t>mln</w:t>
            </w:r>
            <w:proofErr w:type="spellEnd"/>
            <w:r w:rsidRPr="00D148B9">
              <w:rPr>
                <w:b/>
                <w:sz w:val="20"/>
                <w:szCs w:val="20"/>
              </w:rPr>
              <w:t xml:space="preserve"> EUR</w:t>
            </w:r>
          </w:p>
        </w:tc>
      </w:tr>
      <w:tr w:rsidR="00D148B9" w:rsidRPr="00D148B9" w14:paraId="0527C061" w14:textId="77777777" w:rsidTr="00D148B9">
        <w:trPr>
          <w:trHeight w:val="40"/>
        </w:trPr>
        <w:tc>
          <w:tcPr>
            <w:tcW w:w="3376" w:type="dxa"/>
            <w:shd w:val="clear" w:color="auto" w:fill="auto"/>
            <w:noWrap/>
            <w:vAlign w:val="center"/>
            <w:hideMark/>
          </w:tcPr>
          <w:p w14:paraId="25003EEE" w14:textId="61331E98" w:rsidR="00D148B9" w:rsidRPr="00D148B9" w:rsidRDefault="00D148B9" w:rsidP="00D148B9">
            <w:pPr>
              <w:rPr>
                <w:rFonts w:eastAsia="Times New Roman"/>
                <w:b/>
                <w:bCs/>
                <w:sz w:val="20"/>
                <w:szCs w:val="20"/>
              </w:rPr>
            </w:pPr>
            <w:r w:rsidRPr="00D148B9">
              <w:rPr>
                <w:rFonts w:eastAsia="Times New Roman"/>
                <w:b/>
                <w:bCs/>
                <w:sz w:val="20"/>
                <w:szCs w:val="20"/>
                <w:lang w:eastAsia="hr-HR"/>
              </w:rPr>
              <w:t>D</w:t>
            </w:r>
            <w:r w:rsidRPr="00D148B9">
              <w:rPr>
                <w:rFonts w:eastAsia="Times New Roman"/>
                <w:sz w:val="20"/>
                <w:szCs w:val="20"/>
                <w:lang w:eastAsia="hr-HR"/>
              </w:rPr>
              <w:t xml:space="preserve"> jamstva</w:t>
            </w:r>
          </w:p>
        </w:tc>
        <w:tc>
          <w:tcPr>
            <w:tcW w:w="1439" w:type="dxa"/>
            <w:vAlign w:val="center"/>
          </w:tcPr>
          <w:p w14:paraId="157AFBFE" w14:textId="28450530" w:rsidR="00D148B9" w:rsidRPr="00D148B9" w:rsidRDefault="00D148B9" w:rsidP="00D148B9">
            <w:pPr>
              <w:jc w:val="right"/>
              <w:rPr>
                <w:sz w:val="20"/>
                <w:szCs w:val="14"/>
              </w:rPr>
            </w:pPr>
            <w:r w:rsidRPr="00D148B9">
              <w:rPr>
                <w:b/>
                <w:sz w:val="20"/>
              </w:rPr>
              <w:t>–</w:t>
            </w:r>
          </w:p>
        </w:tc>
        <w:tc>
          <w:tcPr>
            <w:tcW w:w="1559" w:type="dxa"/>
          </w:tcPr>
          <w:p w14:paraId="2A21F659" w14:textId="138E5480" w:rsidR="00D148B9" w:rsidRPr="00D148B9" w:rsidRDefault="00D148B9" w:rsidP="00D148B9">
            <w:pPr>
              <w:jc w:val="right"/>
              <w:rPr>
                <w:sz w:val="20"/>
                <w:szCs w:val="14"/>
              </w:rPr>
            </w:pPr>
            <w:r w:rsidRPr="00D148B9">
              <w:rPr>
                <w:b/>
                <w:sz w:val="20"/>
              </w:rPr>
              <w:t>–</w:t>
            </w:r>
          </w:p>
        </w:tc>
        <w:tc>
          <w:tcPr>
            <w:tcW w:w="1559" w:type="dxa"/>
            <w:vAlign w:val="center"/>
          </w:tcPr>
          <w:p w14:paraId="73F47B36" w14:textId="50B45F55" w:rsidR="00D148B9" w:rsidRPr="00D148B9" w:rsidRDefault="00D148B9" w:rsidP="00D148B9">
            <w:pPr>
              <w:jc w:val="right"/>
              <w:rPr>
                <w:sz w:val="20"/>
                <w:szCs w:val="14"/>
              </w:rPr>
            </w:pPr>
            <w:r w:rsidRPr="00D148B9">
              <w:rPr>
                <w:rFonts w:eastAsia="Times New Roman"/>
                <w:sz w:val="20"/>
                <w:szCs w:val="20"/>
                <w:lang w:eastAsia="hr-HR"/>
              </w:rPr>
              <w:t>9,0</w:t>
            </w:r>
          </w:p>
        </w:tc>
      </w:tr>
      <w:tr w:rsidR="00D148B9" w:rsidRPr="00D148B9" w14:paraId="1D6A0F5A" w14:textId="77777777" w:rsidTr="00D148B9">
        <w:trPr>
          <w:trHeight w:val="40"/>
        </w:trPr>
        <w:tc>
          <w:tcPr>
            <w:tcW w:w="3376" w:type="dxa"/>
            <w:shd w:val="clear" w:color="000000" w:fill="FFFF99"/>
            <w:noWrap/>
            <w:vAlign w:val="center"/>
            <w:hideMark/>
          </w:tcPr>
          <w:p w14:paraId="10C7C861" w14:textId="77777777" w:rsidR="00D148B9" w:rsidRPr="00D148B9" w:rsidRDefault="00D148B9" w:rsidP="00D148B9">
            <w:pPr>
              <w:rPr>
                <w:rFonts w:eastAsia="Times New Roman"/>
                <w:b/>
                <w:bCs/>
                <w:sz w:val="20"/>
                <w:szCs w:val="20"/>
              </w:rPr>
            </w:pPr>
            <w:r w:rsidRPr="00D148B9">
              <w:rPr>
                <w:rFonts w:eastAsia="Times New Roman"/>
                <w:b/>
                <w:bCs/>
                <w:sz w:val="20"/>
                <w:szCs w:val="20"/>
              </w:rPr>
              <w:t>UKUPNO</w:t>
            </w:r>
          </w:p>
        </w:tc>
        <w:tc>
          <w:tcPr>
            <w:tcW w:w="1439" w:type="dxa"/>
            <w:shd w:val="clear" w:color="000000" w:fill="FFFF99"/>
            <w:vAlign w:val="center"/>
          </w:tcPr>
          <w:p w14:paraId="5B5EF367" w14:textId="6FFF78E1" w:rsidR="00D148B9" w:rsidRPr="00D148B9" w:rsidRDefault="00D148B9" w:rsidP="00D148B9">
            <w:pPr>
              <w:jc w:val="right"/>
              <w:rPr>
                <w:b/>
                <w:sz w:val="20"/>
                <w:szCs w:val="14"/>
              </w:rPr>
            </w:pPr>
            <w:r w:rsidRPr="00D148B9">
              <w:rPr>
                <w:b/>
                <w:sz w:val="20"/>
              </w:rPr>
              <w:t>–</w:t>
            </w:r>
          </w:p>
        </w:tc>
        <w:tc>
          <w:tcPr>
            <w:tcW w:w="1559" w:type="dxa"/>
            <w:shd w:val="clear" w:color="000000" w:fill="FFFF99"/>
          </w:tcPr>
          <w:p w14:paraId="64AC8FCE" w14:textId="4CA8F137" w:rsidR="00D148B9" w:rsidRPr="00D148B9" w:rsidRDefault="00D148B9" w:rsidP="00D148B9">
            <w:pPr>
              <w:jc w:val="right"/>
              <w:rPr>
                <w:b/>
                <w:sz w:val="20"/>
                <w:szCs w:val="14"/>
              </w:rPr>
            </w:pPr>
            <w:r w:rsidRPr="00D148B9">
              <w:rPr>
                <w:b/>
                <w:sz w:val="20"/>
              </w:rPr>
              <w:t>–</w:t>
            </w:r>
          </w:p>
        </w:tc>
        <w:tc>
          <w:tcPr>
            <w:tcW w:w="1559" w:type="dxa"/>
            <w:shd w:val="clear" w:color="000000" w:fill="FFFF99"/>
            <w:vAlign w:val="center"/>
          </w:tcPr>
          <w:p w14:paraId="4B15C66D" w14:textId="32BA258F" w:rsidR="00D148B9" w:rsidRPr="00D148B9" w:rsidRDefault="00D148B9" w:rsidP="00D148B9">
            <w:pPr>
              <w:jc w:val="right"/>
              <w:rPr>
                <w:b/>
                <w:sz w:val="20"/>
                <w:szCs w:val="14"/>
              </w:rPr>
            </w:pPr>
            <w:r w:rsidRPr="00D148B9">
              <w:rPr>
                <w:rFonts w:eastAsia="Times New Roman"/>
                <w:b/>
                <w:bCs/>
                <w:sz w:val="20"/>
                <w:szCs w:val="20"/>
                <w:lang w:eastAsia="hr-HR"/>
              </w:rPr>
              <w:t>9,0</w:t>
            </w:r>
          </w:p>
        </w:tc>
      </w:tr>
      <w:tr w:rsidR="00D148B9" w:rsidRPr="00D148B9" w14:paraId="4D3E5348" w14:textId="77777777" w:rsidTr="00D148B9">
        <w:trPr>
          <w:trHeight w:val="40"/>
        </w:trPr>
        <w:tc>
          <w:tcPr>
            <w:tcW w:w="3376" w:type="dxa"/>
            <w:shd w:val="clear" w:color="auto" w:fill="auto"/>
            <w:vAlign w:val="center"/>
            <w:hideMark/>
          </w:tcPr>
          <w:p w14:paraId="08DBBBAD" w14:textId="77777777" w:rsidR="00D148B9" w:rsidRPr="00D148B9" w:rsidRDefault="00D148B9" w:rsidP="00D148B9">
            <w:pPr>
              <w:rPr>
                <w:rFonts w:eastAsia="Times New Roman"/>
                <w:sz w:val="20"/>
                <w:szCs w:val="20"/>
              </w:rPr>
            </w:pPr>
            <w:r w:rsidRPr="00D148B9">
              <w:rPr>
                <w:rFonts w:eastAsia="Times New Roman"/>
                <w:sz w:val="20"/>
              </w:rPr>
              <w:t>udio (%) u posebnim sektorima</w:t>
            </w:r>
          </w:p>
        </w:tc>
        <w:tc>
          <w:tcPr>
            <w:tcW w:w="1439" w:type="dxa"/>
          </w:tcPr>
          <w:p w14:paraId="70BB965D" w14:textId="5149EC1E" w:rsidR="00D148B9" w:rsidRPr="00D148B9" w:rsidRDefault="00D148B9" w:rsidP="00D148B9">
            <w:pPr>
              <w:jc w:val="center"/>
              <w:rPr>
                <w:sz w:val="20"/>
                <w:szCs w:val="14"/>
              </w:rPr>
            </w:pPr>
            <w:r w:rsidRPr="00D148B9">
              <w:rPr>
                <w:b/>
                <w:sz w:val="20"/>
              </w:rPr>
              <w:t>–</w:t>
            </w:r>
          </w:p>
        </w:tc>
        <w:tc>
          <w:tcPr>
            <w:tcW w:w="1559" w:type="dxa"/>
          </w:tcPr>
          <w:p w14:paraId="678468AA" w14:textId="4E08E283" w:rsidR="00D148B9" w:rsidRPr="00D148B9" w:rsidRDefault="00D148B9" w:rsidP="00D148B9">
            <w:pPr>
              <w:jc w:val="center"/>
              <w:rPr>
                <w:sz w:val="20"/>
                <w:szCs w:val="14"/>
              </w:rPr>
            </w:pPr>
            <w:r w:rsidRPr="00D148B9">
              <w:rPr>
                <w:b/>
                <w:sz w:val="20"/>
              </w:rPr>
              <w:t>–</w:t>
            </w:r>
          </w:p>
        </w:tc>
        <w:tc>
          <w:tcPr>
            <w:tcW w:w="1559" w:type="dxa"/>
            <w:vAlign w:val="center"/>
          </w:tcPr>
          <w:p w14:paraId="5DB03DC3" w14:textId="4CCE8969" w:rsidR="00D148B9" w:rsidRPr="00D148B9" w:rsidRDefault="00D148B9" w:rsidP="00D148B9">
            <w:pPr>
              <w:jc w:val="center"/>
              <w:rPr>
                <w:sz w:val="20"/>
                <w:szCs w:val="14"/>
              </w:rPr>
            </w:pPr>
            <w:r w:rsidRPr="00D148B9">
              <w:rPr>
                <w:rFonts w:eastAsia="Times New Roman"/>
                <w:sz w:val="20"/>
                <w:szCs w:val="20"/>
                <w:lang w:eastAsia="hr-HR"/>
              </w:rPr>
              <w:t>1,06</w:t>
            </w:r>
          </w:p>
        </w:tc>
      </w:tr>
      <w:tr w:rsidR="00D148B9" w:rsidRPr="00D148B9" w14:paraId="67E5509E" w14:textId="77777777" w:rsidTr="00D148B9">
        <w:trPr>
          <w:trHeight w:val="90"/>
        </w:trPr>
        <w:tc>
          <w:tcPr>
            <w:tcW w:w="3376" w:type="dxa"/>
            <w:shd w:val="clear" w:color="auto" w:fill="auto"/>
            <w:vAlign w:val="center"/>
            <w:hideMark/>
          </w:tcPr>
          <w:p w14:paraId="6B0DCB25" w14:textId="77777777" w:rsidR="00D148B9" w:rsidRPr="00D148B9" w:rsidRDefault="00D148B9" w:rsidP="00D148B9">
            <w:pPr>
              <w:rPr>
                <w:rFonts w:eastAsia="Times New Roman"/>
                <w:sz w:val="20"/>
                <w:szCs w:val="20"/>
              </w:rPr>
            </w:pPr>
            <w:r w:rsidRPr="00D148B9">
              <w:rPr>
                <w:rFonts w:eastAsia="Times New Roman"/>
                <w:sz w:val="20"/>
                <w:szCs w:val="20"/>
              </w:rPr>
              <w:t>udio (%) u ukupnim potporama (bez poljoprivrede i ribarstva)</w:t>
            </w:r>
          </w:p>
        </w:tc>
        <w:tc>
          <w:tcPr>
            <w:tcW w:w="1439" w:type="dxa"/>
          </w:tcPr>
          <w:p w14:paraId="0B372A0E" w14:textId="018F5D03" w:rsidR="00D148B9" w:rsidRPr="00D148B9" w:rsidRDefault="00D148B9" w:rsidP="00D148B9">
            <w:pPr>
              <w:jc w:val="center"/>
              <w:rPr>
                <w:sz w:val="20"/>
                <w:szCs w:val="14"/>
              </w:rPr>
            </w:pPr>
            <w:r w:rsidRPr="00D148B9">
              <w:rPr>
                <w:b/>
                <w:sz w:val="20"/>
              </w:rPr>
              <w:t>–</w:t>
            </w:r>
          </w:p>
        </w:tc>
        <w:tc>
          <w:tcPr>
            <w:tcW w:w="1559" w:type="dxa"/>
          </w:tcPr>
          <w:p w14:paraId="5E5505DE" w14:textId="394D36A7" w:rsidR="00D148B9" w:rsidRPr="00D148B9" w:rsidRDefault="00D148B9" w:rsidP="00D148B9">
            <w:pPr>
              <w:jc w:val="center"/>
              <w:rPr>
                <w:sz w:val="20"/>
                <w:szCs w:val="14"/>
              </w:rPr>
            </w:pPr>
            <w:r w:rsidRPr="00D148B9">
              <w:rPr>
                <w:b/>
                <w:sz w:val="20"/>
              </w:rPr>
              <w:t>–</w:t>
            </w:r>
          </w:p>
        </w:tc>
        <w:tc>
          <w:tcPr>
            <w:tcW w:w="1559" w:type="dxa"/>
            <w:vAlign w:val="center"/>
          </w:tcPr>
          <w:p w14:paraId="7ECF0AFC" w14:textId="6F9840BF" w:rsidR="00D148B9" w:rsidRPr="00D148B9" w:rsidRDefault="00D148B9" w:rsidP="00D148B9">
            <w:pPr>
              <w:jc w:val="center"/>
              <w:rPr>
                <w:sz w:val="20"/>
                <w:szCs w:val="14"/>
              </w:rPr>
            </w:pPr>
            <w:r w:rsidRPr="00D148B9">
              <w:rPr>
                <w:rFonts w:eastAsia="Times New Roman"/>
                <w:sz w:val="20"/>
                <w:szCs w:val="20"/>
                <w:lang w:eastAsia="hr-HR"/>
              </w:rPr>
              <w:t>0,46</w:t>
            </w:r>
          </w:p>
        </w:tc>
      </w:tr>
      <w:tr w:rsidR="00D148B9" w:rsidRPr="00D148B9" w14:paraId="31F22B61" w14:textId="77777777" w:rsidTr="00D148B9">
        <w:trPr>
          <w:trHeight w:val="40"/>
        </w:trPr>
        <w:tc>
          <w:tcPr>
            <w:tcW w:w="3376" w:type="dxa"/>
            <w:shd w:val="clear" w:color="auto" w:fill="auto"/>
            <w:vAlign w:val="center"/>
            <w:hideMark/>
          </w:tcPr>
          <w:p w14:paraId="6352ACF7" w14:textId="77777777" w:rsidR="00D148B9" w:rsidRPr="00D148B9" w:rsidRDefault="00D148B9" w:rsidP="00D148B9">
            <w:pPr>
              <w:rPr>
                <w:rFonts w:eastAsia="Times New Roman"/>
                <w:sz w:val="20"/>
                <w:szCs w:val="20"/>
              </w:rPr>
            </w:pPr>
            <w:r w:rsidRPr="00D148B9">
              <w:rPr>
                <w:rFonts w:eastAsia="Times New Roman"/>
                <w:sz w:val="20"/>
                <w:szCs w:val="20"/>
              </w:rPr>
              <w:t>udio (%) u ukupnim potporama</w:t>
            </w:r>
          </w:p>
        </w:tc>
        <w:tc>
          <w:tcPr>
            <w:tcW w:w="1439" w:type="dxa"/>
          </w:tcPr>
          <w:p w14:paraId="75C26B53" w14:textId="56C93F38" w:rsidR="00D148B9" w:rsidRPr="00D148B9" w:rsidRDefault="00D148B9" w:rsidP="00D148B9">
            <w:pPr>
              <w:jc w:val="center"/>
              <w:rPr>
                <w:sz w:val="20"/>
                <w:szCs w:val="14"/>
              </w:rPr>
            </w:pPr>
            <w:r w:rsidRPr="00D148B9">
              <w:rPr>
                <w:b/>
                <w:sz w:val="20"/>
              </w:rPr>
              <w:t>–</w:t>
            </w:r>
          </w:p>
        </w:tc>
        <w:tc>
          <w:tcPr>
            <w:tcW w:w="1559" w:type="dxa"/>
          </w:tcPr>
          <w:p w14:paraId="3E9C4910" w14:textId="5D9AAA2D" w:rsidR="00D148B9" w:rsidRPr="00D148B9" w:rsidRDefault="00D148B9" w:rsidP="00D148B9">
            <w:pPr>
              <w:jc w:val="center"/>
              <w:rPr>
                <w:sz w:val="20"/>
                <w:szCs w:val="14"/>
              </w:rPr>
            </w:pPr>
            <w:r w:rsidRPr="00D148B9">
              <w:rPr>
                <w:b/>
                <w:sz w:val="20"/>
              </w:rPr>
              <w:t>–</w:t>
            </w:r>
          </w:p>
        </w:tc>
        <w:tc>
          <w:tcPr>
            <w:tcW w:w="1559" w:type="dxa"/>
            <w:vAlign w:val="center"/>
          </w:tcPr>
          <w:p w14:paraId="0CABB2AC" w14:textId="38F6ED9A" w:rsidR="00D148B9" w:rsidRPr="00D148B9" w:rsidRDefault="00D148B9" w:rsidP="00D148B9">
            <w:pPr>
              <w:jc w:val="center"/>
              <w:rPr>
                <w:sz w:val="20"/>
                <w:szCs w:val="14"/>
              </w:rPr>
            </w:pPr>
            <w:r w:rsidRPr="00D148B9">
              <w:rPr>
                <w:rFonts w:eastAsia="Times New Roman"/>
                <w:sz w:val="20"/>
                <w:szCs w:val="20"/>
                <w:lang w:eastAsia="hr-HR"/>
              </w:rPr>
              <w:t>0,30</w:t>
            </w:r>
          </w:p>
        </w:tc>
      </w:tr>
      <w:tr w:rsidR="00D148B9" w:rsidRPr="00D148B9" w14:paraId="53AFC7A2" w14:textId="77777777" w:rsidTr="00D148B9">
        <w:trPr>
          <w:trHeight w:val="40"/>
        </w:trPr>
        <w:tc>
          <w:tcPr>
            <w:tcW w:w="3376" w:type="dxa"/>
            <w:shd w:val="clear" w:color="auto" w:fill="auto"/>
            <w:vAlign w:val="center"/>
            <w:hideMark/>
          </w:tcPr>
          <w:p w14:paraId="3276F93D" w14:textId="77777777" w:rsidR="00D148B9" w:rsidRPr="00D148B9" w:rsidRDefault="00D148B9" w:rsidP="00D148B9">
            <w:pPr>
              <w:rPr>
                <w:rFonts w:eastAsia="Times New Roman"/>
                <w:sz w:val="20"/>
                <w:szCs w:val="20"/>
              </w:rPr>
            </w:pPr>
            <w:r w:rsidRPr="00D148B9">
              <w:rPr>
                <w:rFonts w:eastAsia="Times New Roman"/>
                <w:sz w:val="20"/>
                <w:szCs w:val="20"/>
              </w:rPr>
              <w:t>udio (%) u BDP-u</w:t>
            </w:r>
          </w:p>
        </w:tc>
        <w:tc>
          <w:tcPr>
            <w:tcW w:w="1439" w:type="dxa"/>
          </w:tcPr>
          <w:p w14:paraId="19445A33" w14:textId="52930D97" w:rsidR="00D148B9" w:rsidRPr="00D148B9" w:rsidRDefault="00D148B9" w:rsidP="00D148B9">
            <w:pPr>
              <w:jc w:val="center"/>
              <w:rPr>
                <w:sz w:val="20"/>
                <w:szCs w:val="14"/>
              </w:rPr>
            </w:pPr>
            <w:r w:rsidRPr="00D148B9">
              <w:rPr>
                <w:b/>
                <w:sz w:val="20"/>
              </w:rPr>
              <w:t>–</w:t>
            </w:r>
          </w:p>
        </w:tc>
        <w:tc>
          <w:tcPr>
            <w:tcW w:w="1559" w:type="dxa"/>
          </w:tcPr>
          <w:p w14:paraId="6E45237A" w14:textId="5F90DFA4" w:rsidR="00D148B9" w:rsidRPr="00D148B9" w:rsidRDefault="00D148B9" w:rsidP="00D148B9">
            <w:pPr>
              <w:jc w:val="center"/>
              <w:rPr>
                <w:sz w:val="20"/>
                <w:szCs w:val="14"/>
              </w:rPr>
            </w:pPr>
            <w:r w:rsidRPr="00D148B9">
              <w:rPr>
                <w:b/>
                <w:sz w:val="20"/>
              </w:rPr>
              <w:t>–</w:t>
            </w:r>
          </w:p>
        </w:tc>
        <w:tc>
          <w:tcPr>
            <w:tcW w:w="1559" w:type="dxa"/>
            <w:vAlign w:val="center"/>
          </w:tcPr>
          <w:p w14:paraId="6D6EEE10" w14:textId="70E1939C" w:rsidR="00D148B9" w:rsidRPr="00D148B9" w:rsidRDefault="00D148B9" w:rsidP="00D148B9">
            <w:pPr>
              <w:jc w:val="center"/>
              <w:rPr>
                <w:sz w:val="20"/>
                <w:szCs w:val="14"/>
              </w:rPr>
            </w:pPr>
            <w:r w:rsidRPr="00D148B9">
              <w:rPr>
                <w:rFonts w:eastAsia="Times New Roman"/>
                <w:sz w:val="20"/>
                <w:szCs w:val="20"/>
                <w:lang w:eastAsia="hr-HR"/>
              </w:rPr>
              <w:t>0,01</w:t>
            </w:r>
          </w:p>
        </w:tc>
      </w:tr>
    </w:tbl>
    <w:p w14:paraId="75249783" w14:textId="77777777" w:rsidR="00D148B9" w:rsidRPr="00BF2A09" w:rsidRDefault="00D148B9" w:rsidP="00D148B9">
      <w:pPr>
        <w:jc w:val="both"/>
        <w:rPr>
          <w:i/>
          <w:sz w:val="20"/>
        </w:rPr>
      </w:pPr>
      <w:r w:rsidRPr="00BF2A09">
        <w:rPr>
          <w:i/>
          <w:sz w:val="20"/>
        </w:rPr>
        <w:t>Izvor: Ministarstvo financija i ostali davatelji potpora; podaci obrađeni u Ministarstvu financija</w:t>
      </w:r>
    </w:p>
    <w:p w14:paraId="30B35A04" w14:textId="4FDDA495" w:rsidR="0081459E" w:rsidRPr="00BF2A09" w:rsidRDefault="0081459E" w:rsidP="00BE487D">
      <w:pPr>
        <w:jc w:val="both"/>
      </w:pPr>
    </w:p>
    <w:p w14:paraId="399E0F18" w14:textId="43FDB27D" w:rsidR="00BF2A09" w:rsidRPr="00BF2A09" w:rsidRDefault="00BF2A09" w:rsidP="00BF2A09">
      <w:pPr>
        <w:jc w:val="both"/>
      </w:pPr>
      <w:r w:rsidRPr="00BF2A09">
        <w:t xml:space="preserve">Udio potpora za sanaciju i restrukturiranje poduzetnika u teškoćama u BDP-u u 2023. godini iznosio je 0,01 posto, udio u ukupno dodijeljenim potporama iznosio je 0,3 posto, udio u dodijeljenim potporama u sektoru industrije i usluga u 2023. godini iznosio je 0,5 posto, dok je udio navedenih potpora u sektorskim potporama u 2023. godini iznosio 1,1 posto. </w:t>
      </w:r>
      <w:r w:rsidRPr="00025431">
        <w:t xml:space="preserve">Jedini </w:t>
      </w:r>
      <w:r w:rsidRPr="00BF2A09">
        <w:t>instrument putem kojih su dodijeljene navedene potpore su izdana jamstva.</w:t>
      </w:r>
    </w:p>
    <w:p w14:paraId="1C62A246" w14:textId="27F78639" w:rsidR="00BF2A09" w:rsidRPr="00BF2A09" w:rsidRDefault="00BF2A09" w:rsidP="00BF2A09">
      <w:pPr>
        <w:jc w:val="both"/>
      </w:pPr>
    </w:p>
    <w:p w14:paraId="7899E4BD" w14:textId="4626CFC6" w:rsidR="00BF2A09" w:rsidRPr="00BF2A09" w:rsidRDefault="00BF2A09" w:rsidP="00BF2A09">
      <w:pPr>
        <w:jc w:val="both"/>
      </w:pPr>
      <w:r w:rsidRPr="00B75A66">
        <w:rPr>
          <w:u w:val="single"/>
        </w:rPr>
        <w:t>Ministarstvo gospodarstva</w:t>
      </w:r>
      <w:r w:rsidR="00DF44C6">
        <w:rPr>
          <w:u w:val="single"/>
        </w:rPr>
        <w:t xml:space="preserve"> i održivog razvoja</w:t>
      </w:r>
      <w:r w:rsidRPr="00BF2A09">
        <w:t xml:space="preserve"> je jedini davatelj potpora za sanaciju i restrukturiranje poduzetnika u teškoćama u 2023. godini te je</w:t>
      </w:r>
      <w:r w:rsidRPr="00BF2A09">
        <w:rPr>
          <w:b/>
        </w:rPr>
        <w:t xml:space="preserve"> </w:t>
      </w:r>
      <w:r w:rsidRPr="00BF2A09">
        <w:t xml:space="preserve">temeljem pojedinačne potpore pod nazivom Restrukturiranje trgovačkog društva "Đuro Đaković d.d." izdalo jamstva u iznosu od 9 milijuna eura, </w:t>
      </w:r>
      <w:r w:rsidRPr="00BF2A09">
        <w:rPr>
          <w:rFonts w:eastAsia="Times New Roman"/>
          <w:color w:val="000000"/>
          <w:lang w:eastAsia="hr-HR"/>
        </w:rPr>
        <w:t xml:space="preserve">kojeg je Europska komisija odobrila pod brojem </w:t>
      </w:r>
      <w:r w:rsidRPr="00BF2A09">
        <w:t>SA.58248.</w:t>
      </w:r>
    </w:p>
    <w:p w14:paraId="3618A2E4" w14:textId="77777777" w:rsidR="00BF2A09" w:rsidRPr="00BF2A09" w:rsidRDefault="00BF2A09" w:rsidP="00BE487D">
      <w:pPr>
        <w:jc w:val="both"/>
      </w:pPr>
    </w:p>
    <w:p w14:paraId="6C8EB952" w14:textId="77777777" w:rsidR="006039A1" w:rsidRPr="00D148B9" w:rsidRDefault="006039A1" w:rsidP="00BE487D">
      <w:pPr>
        <w:jc w:val="both"/>
      </w:pPr>
    </w:p>
    <w:p w14:paraId="2BF9EDD9" w14:textId="67E95AE8" w:rsidR="004E1347" w:rsidRPr="00D148B9" w:rsidRDefault="004E1347"/>
    <w:p w14:paraId="2E2679EC" w14:textId="18F65DD9" w:rsidR="00BE0817" w:rsidRPr="00BF2A09" w:rsidRDefault="00BC66CE" w:rsidP="00BE487D">
      <w:pPr>
        <w:pStyle w:val="Heading3"/>
        <w:numPr>
          <w:ilvl w:val="2"/>
          <w:numId w:val="1"/>
        </w:numPr>
        <w:spacing w:before="0"/>
        <w:jc w:val="both"/>
        <w:rPr>
          <w:rFonts w:ascii="Times New Roman" w:hAnsi="Times New Roman" w:cs="Times New Roman"/>
          <w:b/>
          <w:i/>
          <w:color w:val="auto"/>
        </w:rPr>
      </w:pPr>
      <w:bookmarkStart w:id="29" w:name="_Toc184635859"/>
      <w:r w:rsidRPr="00BF2A09">
        <w:rPr>
          <w:rFonts w:ascii="Times New Roman" w:hAnsi="Times New Roman" w:cs="Times New Roman"/>
          <w:b/>
          <w:i/>
          <w:color w:val="auto"/>
        </w:rPr>
        <w:t>Potpore za javno radiotelevizijsko emitiranje</w:t>
      </w:r>
      <w:r w:rsidR="00480665" w:rsidRPr="00BF2A09">
        <w:rPr>
          <w:rFonts w:ascii="Times New Roman" w:hAnsi="Times New Roman" w:cs="Times New Roman"/>
          <w:b/>
          <w:i/>
          <w:color w:val="auto"/>
        </w:rPr>
        <w:t xml:space="preserve"> i audiovizualnu industriju</w:t>
      </w:r>
      <w:bookmarkEnd w:id="29"/>
    </w:p>
    <w:p w14:paraId="15200F48" w14:textId="77777777" w:rsidR="00BC66CE" w:rsidRPr="00D148B9" w:rsidRDefault="00BC66CE" w:rsidP="00BE487D">
      <w:pPr>
        <w:jc w:val="both"/>
      </w:pPr>
    </w:p>
    <w:p w14:paraId="09F6E7A5" w14:textId="77777777" w:rsidR="00BC66CE" w:rsidRPr="00D148B9" w:rsidRDefault="00BC66CE" w:rsidP="00BE487D">
      <w:pPr>
        <w:jc w:val="both"/>
      </w:pPr>
    </w:p>
    <w:p w14:paraId="29E42584" w14:textId="045D82AD" w:rsidR="00BF2A09" w:rsidRPr="00C51F59" w:rsidRDefault="00DE3F6A" w:rsidP="00E92A05">
      <w:pPr>
        <w:jc w:val="both"/>
      </w:pPr>
      <w:r w:rsidRPr="00C51F59">
        <w:t>Potpore za javno radiotelevizijsko emitiranje i audiovizualnu industriju</w:t>
      </w:r>
      <w:r w:rsidRPr="00C51F59">
        <w:rPr>
          <w:rStyle w:val="FootnoteReference"/>
        </w:rPr>
        <w:footnoteReference w:id="33"/>
      </w:r>
      <w:r w:rsidRPr="00C51F59">
        <w:t xml:space="preserve"> </w:t>
      </w:r>
      <w:r w:rsidR="00BF2A09" w:rsidRPr="00C51F59">
        <w:t xml:space="preserve">su dodijeljene u 2023. godini u iznosu od </w:t>
      </w:r>
      <w:r w:rsidR="00C51F59" w:rsidRPr="00C51F59">
        <w:t xml:space="preserve">153,9 </w:t>
      </w:r>
      <w:r w:rsidR="00BF2A09" w:rsidRPr="00C51F59">
        <w:t xml:space="preserve">milijuna eura, što je povećanje za </w:t>
      </w:r>
      <w:r w:rsidR="00C51F59" w:rsidRPr="00C51F59">
        <w:t xml:space="preserve">699.650,58 </w:t>
      </w:r>
      <w:r w:rsidR="00BF2A09" w:rsidRPr="00C51F59">
        <w:t xml:space="preserve">eura ili za </w:t>
      </w:r>
      <w:r w:rsidR="00C51F59" w:rsidRPr="00C51F59">
        <w:t>0,5</w:t>
      </w:r>
      <w:r w:rsidR="00BF2A09" w:rsidRPr="00C51F59">
        <w:t xml:space="preserve"> posto u odnosu na 2022. godinu, kada su navedene potpore iznosile </w:t>
      </w:r>
      <w:r w:rsidR="00C51F59" w:rsidRPr="00C51F59">
        <w:t xml:space="preserve">153,2 </w:t>
      </w:r>
      <w:r w:rsidR="00BF2A09" w:rsidRPr="00C51F59">
        <w:t xml:space="preserve">milijuna eura, te je smanjenje za </w:t>
      </w:r>
      <w:r w:rsidR="00C51F59" w:rsidRPr="00C51F59">
        <w:t xml:space="preserve">36.662,98 eura </w:t>
      </w:r>
      <w:r w:rsidR="00BF2A09" w:rsidRPr="00C51F59">
        <w:t xml:space="preserve">ili za </w:t>
      </w:r>
      <w:r w:rsidR="00C51F59" w:rsidRPr="00C51F59">
        <w:t>0,02</w:t>
      </w:r>
      <w:r w:rsidR="00BF2A09" w:rsidRPr="00C51F59">
        <w:t xml:space="preserve"> posto u odnosu na 2021. godinu kada su </w:t>
      </w:r>
      <w:r w:rsidR="00C51F59" w:rsidRPr="00C51F59">
        <w:t xml:space="preserve">navedene </w:t>
      </w:r>
      <w:r w:rsidR="00BF2A09" w:rsidRPr="00C51F59">
        <w:t>potpore iznosile</w:t>
      </w:r>
      <w:r w:rsidR="00C51F59" w:rsidRPr="00C51F59">
        <w:t xml:space="preserve"> također 153,9</w:t>
      </w:r>
      <w:r w:rsidR="00BF2A09" w:rsidRPr="00C51F59">
        <w:t xml:space="preserve"> milijuna eura.</w:t>
      </w:r>
    </w:p>
    <w:p w14:paraId="61C45226" w14:textId="1C6AC9E2" w:rsidR="00C51F59" w:rsidRPr="00C51F59" w:rsidRDefault="00C51F59" w:rsidP="00C51F59"/>
    <w:p w14:paraId="24E9707E" w14:textId="77777777" w:rsidR="00CF5370" w:rsidRDefault="00CF5370">
      <w:pPr>
        <w:rPr>
          <w:b/>
        </w:rPr>
      </w:pPr>
      <w:r>
        <w:rPr>
          <w:b/>
        </w:rPr>
        <w:br w:type="page"/>
      </w:r>
    </w:p>
    <w:p w14:paraId="55BEE66E" w14:textId="5F8FA63E" w:rsidR="00DE3F6A" w:rsidRPr="003131F9" w:rsidRDefault="00DE3F6A" w:rsidP="00BE487D">
      <w:pPr>
        <w:contextualSpacing/>
        <w:jc w:val="both"/>
      </w:pPr>
      <w:r w:rsidRPr="00B75A66">
        <w:lastRenderedPageBreak/>
        <w:t xml:space="preserve">Tablica </w:t>
      </w:r>
      <w:r w:rsidR="002C2979" w:rsidRPr="00B75A66">
        <w:t>2</w:t>
      </w:r>
      <w:r w:rsidR="005C62D5" w:rsidRPr="00B75A66">
        <w:t>5</w:t>
      </w:r>
      <w:r w:rsidRPr="00B75A66">
        <w:t xml:space="preserve">. Potpore </w:t>
      </w:r>
      <w:r w:rsidR="00D148B9" w:rsidRPr="00B75A66">
        <w:t xml:space="preserve">dodijeljene </w:t>
      </w:r>
      <w:r w:rsidRPr="00B75A66">
        <w:t>za javno radiotelevizijsko emitiranje i audiovizualnu industriju</w:t>
      </w:r>
      <w:r w:rsidRPr="005C62D5">
        <w:t xml:space="preserve"> </w:t>
      </w:r>
      <w:r w:rsidR="003131F9" w:rsidRPr="003131F9">
        <w:t>u</w:t>
      </w:r>
      <w:r w:rsidRPr="003131F9">
        <w:t xml:space="preserve"> razdoblj</w:t>
      </w:r>
      <w:r w:rsidR="003131F9" w:rsidRPr="003131F9">
        <w:t>u</w:t>
      </w:r>
      <w:r w:rsidRPr="003131F9">
        <w:t xml:space="preserve"> od 20</w:t>
      </w:r>
      <w:r w:rsidR="00BE22C8" w:rsidRPr="003131F9">
        <w:t>2</w:t>
      </w:r>
      <w:r w:rsidR="005C62D5" w:rsidRPr="003131F9">
        <w:t>1</w:t>
      </w:r>
      <w:r w:rsidRPr="003131F9">
        <w:t>. do 202</w:t>
      </w:r>
      <w:r w:rsidR="005C62D5" w:rsidRPr="003131F9">
        <w:t>3</w:t>
      </w:r>
      <w:r w:rsidRPr="003131F9">
        <w:t>. godine</w:t>
      </w:r>
    </w:p>
    <w:p w14:paraId="179AFCAE" w14:textId="77777777" w:rsidR="00DE3F6A" w:rsidRPr="003131F9" w:rsidRDefault="00DE3F6A" w:rsidP="00BE487D">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81459E" w:rsidRPr="003131F9" w14:paraId="5EC4AC4C" w14:textId="77777777" w:rsidTr="00E627B3">
        <w:trPr>
          <w:trHeight w:val="38"/>
        </w:trPr>
        <w:tc>
          <w:tcPr>
            <w:tcW w:w="3376" w:type="dxa"/>
            <w:vMerge w:val="restart"/>
            <w:shd w:val="clear" w:color="000000" w:fill="FFFF99"/>
            <w:noWrap/>
            <w:vAlign w:val="center"/>
            <w:hideMark/>
          </w:tcPr>
          <w:p w14:paraId="1F85726E" w14:textId="14CF83A0" w:rsidR="0081459E" w:rsidRPr="003131F9" w:rsidRDefault="003131F9" w:rsidP="00E627B3">
            <w:pPr>
              <w:rPr>
                <w:rFonts w:eastAsia="Times New Roman"/>
                <w:b/>
                <w:bCs/>
                <w:sz w:val="20"/>
                <w:szCs w:val="20"/>
              </w:rPr>
            </w:pPr>
            <w:r w:rsidRPr="003131F9">
              <w:rPr>
                <w:b/>
                <w:sz w:val="20"/>
              </w:rPr>
              <w:t>Radiotelevizijsko emitiranje i audiovizualna industrija</w:t>
            </w:r>
          </w:p>
        </w:tc>
        <w:tc>
          <w:tcPr>
            <w:tcW w:w="1439" w:type="dxa"/>
            <w:shd w:val="clear" w:color="000000" w:fill="FFFF99"/>
            <w:vAlign w:val="center"/>
          </w:tcPr>
          <w:p w14:paraId="5D83B78E" w14:textId="77777777" w:rsidR="0081459E" w:rsidRPr="003131F9" w:rsidRDefault="0081459E" w:rsidP="00E627B3">
            <w:pPr>
              <w:jc w:val="center"/>
              <w:rPr>
                <w:rFonts w:eastAsia="Times New Roman"/>
                <w:b/>
                <w:bCs/>
                <w:sz w:val="20"/>
                <w:szCs w:val="20"/>
              </w:rPr>
            </w:pPr>
            <w:r w:rsidRPr="003131F9">
              <w:rPr>
                <w:b/>
                <w:sz w:val="20"/>
                <w:szCs w:val="20"/>
              </w:rPr>
              <w:t>2021.</w:t>
            </w:r>
          </w:p>
        </w:tc>
        <w:tc>
          <w:tcPr>
            <w:tcW w:w="1559" w:type="dxa"/>
            <w:shd w:val="clear" w:color="000000" w:fill="FFFF99"/>
            <w:vAlign w:val="center"/>
          </w:tcPr>
          <w:p w14:paraId="2125BB5F" w14:textId="77777777" w:rsidR="0081459E" w:rsidRPr="003131F9" w:rsidRDefault="0081459E" w:rsidP="00E627B3">
            <w:pPr>
              <w:jc w:val="center"/>
              <w:rPr>
                <w:rFonts w:eastAsia="Times New Roman"/>
                <w:b/>
                <w:bCs/>
                <w:sz w:val="20"/>
                <w:szCs w:val="20"/>
              </w:rPr>
            </w:pPr>
            <w:r w:rsidRPr="003131F9">
              <w:rPr>
                <w:b/>
                <w:sz w:val="20"/>
                <w:szCs w:val="20"/>
              </w:rPr>
              <w:t>2022.</w:t>
            </w:r>
          </w:p>
        </w:tc>
        <w:tc>
          <w:tcPr>
            <w:tcW w:w="1559" w:type="dxa"/>
            <w:shd w:val="clear" w:color="000000" w:fill="FFFF99"/>
            <w:vAlign w:val="center"/>
          </w:tcPr>
          <w:p w14:paraId="3F91FDDC" w14:textId="77777777" w:rsidR="0081459E" w:rsidRPr="003131F9" w:rsidRDefault="0081459E" w:rsidP="00E627B3">
            <w:pPr>
              <w:jc w:val="center"/>
              <w:rPr>
                <w:rFonts w:eastAsia="Times New Roman"/>
                <w:b/>
                <w:bCs/>
                <w:sz w:val="20"/>
                <w:szCs w:val="20"/>
              </w:rPr>
            </w:pPr>
            <w:r w:rsidRPr="003131F9">
              <w:rPr>
                <w:b/>
                <w:sz w:val="20"/>
                <w:szCs w:val="20"/>
              </w:rPr>
              <w:t>2023.</w:t>
            </w:r>
          </w:p>
        </w:tc>
      </w:tr>
      <w:tr w:rsidR="0081459E" w:rsidRPr="003131F9" w14:paraId="71187E88" w14:textId="77777777" w:rsidTr="00E627B3">
        <w:trPr>
          <w:trHeight w:val="212"/>
        </w:trPr>
        <w:tc>
          <w:tcPr>
            <w:tcW w:w="3376" w:type="dxa"/>
            <w:vMerge/>
            <w:vAlign w:val="center"/>
            <w:hideMark/>
          </w:tcPr>
          <w:p w14:paraId="3A12D579" w14:textId="77777777" w:rsidR="0081459E" w:rsidRPr="003131F9" w:rsidRDefault="0081459E" w:rsidP="00E627B3">
            <w:pPr>
              <w:rPr>
                <w:rFonts w:eastAsia="Times New Roman"/>
                <w:b/>
                <w:bCs/>
                <w:sz w:val="20"/>
                <w:szCs w:val="20"/>
              </w:rPr>
            </w:pPr>
          </w:p>
        </w:tc>
        <w:tc>
          <w:tcPr>
            <w:tcW w:w="1439" w:type="dxa"/>
            <w:shd w:val="clear" w:color="000000" w:fill="FFFF99"/>
            <w:vAlign w:val="center"/>
          </w:tcPr>
          <w:p w14:paraId="7F945214" w14:textId="77777777" w:rsidR="0081459E" w:rsidRPr="003131F9" w:rsidRDefault="0081459E" w:rsidP="00E627B3">
            <w:pPr>
              <w:rPr>
                <w:rFonts w:eastAsia="Times New Roman"/>
                <w:b/>
                <w:sz w:val="18"/>
                <w:szCs w:val="20"/>
              </w:rPr>
            </w:pPr>
            <w:r w:rsidRPr="003131F9">
              <w:rPr>
                <w:b/>
                <w:sz w:val="20"/>
                <w:szCs w:val="20"/>
              </w:rPr>
              <w:t xml:space="preserve">u </w:t>
            </w:r>
            <w:proofErr w:type="spellStart"/>
            <w:r w:rsidRPr="003131F9">
              <w:rPr>
                <w:b/>
                <w:sz w:val="20"/>
                <w:szCs w:val="20"/>
              </w:rPr>
              <w:t>mln</w:t>
            </w:r>
            <w:proofErr w:type="spellEnd"/>
            <w:r w:rsidRPr="003131F9">
              <w:rPr>
                <w:b/>
                <w:sz w:val="20"/>
                <w:szCs w:val="20"/>
              </w:rPr>
              <w:t xml:space="preserve"> EUR</w:t>
            </w:r>
          </w:p>
        </w:tc>
        <w:tc>
          <w:tcPr>
            <w:tcW w:w="1559" w:type="dxa"/>
            <w:shd w:val="clear" w:color="000000" w:fill="FFFF99"/>
            <w:vAlign w:val="center"/>
          </w:tcPr>
          <w:p w14:paraId="781DC246" w14:textId="77777777" w:rsidR="0081459E" w:rsidRPr="003131F9" w:rsidRDefault="0081459E" w:rsidP="00E627B3">
            <w:pPr>
              <w:jc w:val="center"/>
              <w:rPr>
                <w:rFonts w:eastAsia="Times New Roman"/>
                <w:b/>
                <w:sz w:val="18"/>
                <w:szCs w:val="20"/>
              </w:rPr>
            </w:pPr>
            <w:r w:rsidRPr="003131F9">
              <w:rPr>
                <w:b/>
                <w:sz w:val="20"/>
                <w:szCs w:val="20"/>
              </w:rPr>
              <w:t xml:space="preserve">u </w:t>
            </w:r>
            <w:proofErr w:type="spellStart"/>
            <w:r w:rsidRPr="003131F9">
              <w:rPr>
                <w:b/>
                <w:sz w:val="20"/>
                <w:szCs w:val="20"/>
              </w:rPr>
              <w:t>mln</w:t>
            </w:r>
            <w:proofErr w:type="spellEnd"/>
            <w:r w:rsidRPr="003131F9">
              <w:rPr>
                <w:b/>
                <w:sz w:val="20"/>
                <w:szCs w:val="20"/>
              </w:rPr>
              <w:t xml:space="preserve"> EUR</w:t>
            </w:r>
          </w:p>
        </w:tc>
        <w:tc>
          <w:tcPr>
            <w:tcW w:w="1559" w:type="dxa"/>
            <w:shd w:val="clear" w:color="000000" w:fill="FFFF99"/>
            <w:vAlign w:val="center"/>
          </w:tcPr>
          <w:p w14:paraId="28B2DEC2" w14:textId="77777777" w:rsidR="0081459E" w:rsidRPr="003131F9" w:rsidRDefault="0081459E" w:rsidP="00E627B3">
            <w:pPr>
              <w:jc w:val="center"/>
              <w:rPr>
                <w:rFonts w:eastAsia="Times New Roman"/>
                <w:b/>
                <w:sz w:val="18"/>
                <w:szCs w:val="20"/>
              </w:rPr>
            </w:pPr>
            <w:r w:rsidRPr="003131F9">
              <w:rPr>
                <w:b/>
                <w:sz w:val="20"/>
                <w:szCs w:val="20"/>
              </w:rPr>
              <w:t xml:space="preserve">u </w:t>
            </w:r>
            <w:proofErr w:type="spellStart"/>
            <w:r w:rsidRPr="003131F9">
              <w:rPr>
                <w:b/>
                <w:sz w:val="20"/>
                <w:szCs w:val="20"/>
              </w:rPr>
              <w:t>mln</w:t>
            </w:r>
            <w:proofErr w:type="spellEnd"/>
            <w:r w:rsidRPr="003131F9">
              <w:rPr>
                <w:b/>
                <w:sz w:val="20"/>
                <w:szCs w:val="20"/>
              </w:rPr>
              <w:t xml:space="preserve"> EUR</w:t>
            </w:r>
          </w:p>
        </w:tc>
      </w:tr>
      <w:tr w:rsidR="003131F9" w:rsidRPr="003131F9" w14:paraId="7DC08718" w14:textId="77777777" w:rsidTr="003131F9">
        <w:trPr>
          <w:trHeight w:val="40"/>
        </w:trPr>
        <w:tc>
          <w:tcPr>
            <w:tcW w:w="3376" w:type="dxa"/>
            <w:shd w:val="clear" w:color="auto" w:fill="auto"/>
            <w:noWrap/>
            <w:vAlign w:val="center"/>
          </w:tcPr>
          <w:p w14:paraId="53BB213D" w14:textId="5EDCDAA7" w:rsidR="003131F9" w:rsidRPr="003131F9" w:rsidRDefault="003131F9" w:rsidP="003131F9">
            <w:pPr>
              <w:rPr>
                <w:rFonts w:eastAsia="Times New Roman"/>
                <w:bCs/>
                <w:sz w:val="20"/>
                <w:szCs w:val="20"/>
              </w:rPr>
            </w:pPr>
            <w:r w:rsidRPr="003131F9">
              <w:rPr>
                <w:rFonts w:eastAsia="Times New Roman"/>
                <w:bCs/>
                <w:sz w:val="20"/>
                <w:szCs w:val="20"/>
                <w:lang w:eastAsia="hr-HR"/>
              </w:rPr>
              <w:t>A1</w:t>
            </w:r>
            <w:r w:rsidRPr="003131F9">
              <w:rPr>
                <w:rFonts w:eastAsia="Times New Roman"/>
                <w:sz w:val="20"/>
                <w:szCs w:val="20"/>
                <w:lang w:eastAsia="hr-HR"/>
              </w:rPr>
              <w:t xml:space="preserve"> subvencije</w:t>
            </w:r>
          </w:p>
        </w:tc>
        <w:tc>
          <w:tcPr>
            <w:tcW w:w="1439" w:type="dxa"/>
            <w:vAlign w:val="center"/>
          </w:tcPr>
          <w:p w14:paraId="4CF7087C" w14:textId="02576655" w:rsidR="003131F9" w:rsidRPr="003131F9" w:rsidRDefault="003131F9" w:rsidP="003131F9">
            <w:pPr>
              <w:jc w:val="right"/>
              <w:rPr>
                <w:sz w:val="20"/>
                <w:szCs w:val="14"/>
              </w:rPr>
            </w:pPr>
            <w:r w:rsidRPr="003131F9">
              <w:rPr>
                <w:rFonts w:eastAsia="Times New Roman"/>
                <w:sz w:val="20"/>
                <w:szCs w:val="20"/>
                <w:lang w:eastAsia="hr-HR"/>
              </w:rPr>
              <w:t>2,2</w:t>
            </w:r>
          </w:p>
        </w:tc>
        <w:tc>
          <w:tcPr>
            <w:tcW w:w="1559" w:type="dxa"/>
            <w:vAlign w:val="center"/>
          </w:tcPr>
          <w:p w14:paraId="3C0D6965" w14:textId="43D10794" w:rsidR="003131F9" w:rsidRPr="003131F9" w:rsidRDefault="003131F9" w:rsidP="003131F9">
            <w:pPr>
              <w:jc w:val="right"/>
              <w:rPr>
                <w:sz w:val="20"/>
                <w:szCs w:val="14"/>
              </w:rPr>
            </w:pPr>
            <w:r w:rsidRPr="003131F9">
              <w:rPr>
                <w:rFonts w:eastAsia="Times New Roman"/>
                <w:sz w:val="20"/>
                <w:szCs w:val="20"/>
                <w:lang w:eastAsia="hr-HR"/>
              </w:rPr>
              <w:t>2,2</w:t>
            </w:r>
          </w:p>
        </w:tc>
        <w:tc>
          <w:tcPr>
            <w:tcW w:w="1559" w:type="dxa"/>
            <w:vAlign w:val="center"/>
          </w:tcPr>
          <w:p w14:paraId="69911431" w14:textId="2E51839C" w:rsidR="003131F9" w:rsidRPr="003131F9" w:rsidRDefault="003131F9" w:rsidP="003131F9">
            <w:pPr>
              <w:jc w:val="right"/>
              <w:rPr>
                <w:sz w:val="20"/>
                <w:szCs w:val="14"/>
              </w:rPr>
            </w:pPr>
            <w:r w:rsidRPr="003131F9">
              <w:rPr>
                <w:rFonts w:eastAsia="Times New Roman"/>
                <w:sz w:val="20"/>
                <w:szCs w:val="20"/>
                <w:lang w:eastAsia="hr-HR"/>
              </w:rPr>
              <w:t>1,7</w:t>
            </w:r>
          </w:p>
        </w:tc>
      </w:tr>
      <w:tr w:rsidR="003131F9" w:rsidRPr="003131F9" w14:paraId="20C491A0" w14:textId="77777777" w:rsidTr="003131F9">
        <w:trPr>
          <w:trHeight w:val="40"/>
        </w:trPr>
        <w:tc>
          <w:tcPr>
            <w:tcW w:w="3376" w:type="dxa"/>
            <w:shd w:val="clear" w:color="auto" w:fill="auto"/>
            <w:noWrap/>
            <w:vAlign w:val="center"/>
          </w:tcPr>
          <w:p w14:paraId="5E0BA81E" w14:textId="59BD19B3" w:rsidR="003131F9" w:rsidRPr="003131F9" w:rsidRDefault="003131F9" w:rsidP="003131F9">
            <w:pPr>
              <w:rPr>
                <w:rFonts w:eastAsia="Times New Roman"/>
                <w:bCs/>
                <w:sz w:val="20"/>
                <w:szCs w:val="20"/>
              </w:rPr>
            </w:pPr>
            <w:r w:rsidRPr="003131F9">
              <w:rPr>
                <w:rFonts w:eastAsia="Times New Roman"/>
                <w:bCs/>
                <w:sz w:val="20"/>
                <w:szCs w:val="20"/>
                <w:lang w:eastAsia="hr-HR"/>
              </w:rPr>
              <w:t>A1</w:t>
            </w:r>
            <w:r w:rsidRPr="003131F9">
              <w:rPr>
                <w:rFonts w:eastAsia="Times New Roman"/>
                <w:sz w:val="20"/>
                <w:szCs w:val="20"/>
                <w:lang w:eastAsia="hr-HR"/>
              </w:rPr>
              <w:t xml:space="preserve"> RTV pristojba</w:t>
            </w:r>
          </w:p>
        </w:tc>
        <w:tc>
          <w:tcPr>
            <w:tcW w:w="1439" w:type="dxa"/>
            <w:vAlign w:val="center"/>
          </w:tcPr>
          <w:p w14:paraId="003D5F3E" w14:textId="6DFD6AA5" w:rsidR="003131F9" w:rsidRPr="003131F9" w:rsidRDefault="003131F9" w:rsidP="003131F9">
            <w:pPr>
              <w:jc w:val="right"/>
              <w:rPr>
                <w:sz w:val="20"/>
                <w:szCs w:val="14"/>
              </w:rPr>
            </w:pPr>
            <w:r w:rsidRPr="003131F9">
              <w:rPr>
                <w:rFonts w:eastAsia="Times New Roman"/>
                <w:sz w:val="20"/>
                <w:szCs w:val="20"/>
                <w:lang w:eastAsia="hr-HR"/>
              </w:rPr>
              <w:t>151,7</w:t>
            </w:r>
          </w:p>
        </w:tc>
        <w:tc>
          <w:tcPr>
            <w:tcW w:w="1559" w:type="dxa"/>
            <w:vAlign w:val="center"/>
          </w:tcPr>
          <w:p w14:paraId="4D7B86EB" w14:textId="451CA2B7" w:rsidR="003131F9" w:rsidRPr="003131F9" w:rsidRDefault="003131F9" w:rsidP="003131F9">
            <w:pPr>
              <w:jc w:val="right"/>
              <w:rPr>
                <w:sz w:val="20"/>
                <w:szCs w:val="14"/>
              </w:rPr>
            </w:pPr>
            <w:r w:rsidRPr="003131F9">
              <w:rPr>
                <w:rFonts w:eastAsia="Times New Roman"/>
                <w:sz w:val="20"/>
                <w:szCs w:val="20"/>
                <w:lang w:eastAsia="hr-HR"/>
              </w:rPr>
              <w:t>151,0</w:t>
            </w:r>
          </w:p>
        </w:tc>
        <w:tc>
          <w:tcPr>
            <w:tcW w:w="1559" w:type="dxa"/>
            <w:vAlign w:val="center"/>
          </w:tcPr>
          <w:p w14:paraId="16F3C476" w14:textId="0832CBAC" w:rsidR="003131F9" w:rsidRPr="003131F9" w:rsidRDefault="003131F9" w:rsidP="003131F9">
            <w:pPr>
              <w:jc w:val="right"/>
              <w:rPr>
                <w:sz w:val="20"/>
                <w:szCs w:val="14"/>
              </w:rPr>
            </w:pPr>
            <w:r w:rsidRPr="003131F9">
              <w:rPr>
                <w:rFonts w:eastAsia="Times New Roman"/>
                <w:sz w:val="20"/>
                <w:szCs w:val="20"/>
                <w:lang w:eastAsia="hr-HR"/>
              </w:rPr>
              <w:t>152,2</w:t>
            </w:r>
          </w:p>
        </w:tc>
      </w:tr>
      <w:tr w:rsidR="003131F9" w:rsidRPr="003131F9" w14:paraId="486C2D3D" w14:textId="77777777" w:rsidTr="00E627B3">
        <w:trPr>
          <w:trHeight w:val="40"/>
        </w:trPr>
        <w:tc>
          <w:tcPr>
            <w:tcW w:w="3376" w:type="dxa"/>
            <w:shd w:val="clear" w:color="000000" w:fill="FFFF99"/>
            <w:noWrap/>
            <w:vAlign w:val="center"/>
            <w:hideMark/>
          </w:tcPr>
          <w:p w14:paraId="301367CA" w14:textId="77777777" w:rsidR="003131F9" w:rsidRPr="003131F9" w:rsidRDefault="003131F9" w:rsidP="003131F9">
            <w:pPr>
              <w:rPr>
                <w:rFonts w:eastAsia="Times New Roman"/>
                <w:b/>
                <w:bCs/>
                <w:sz w:val="20"/>
                <w:szCs w:val="20"/>
              </w:rPr>
            </w:pPr>
            <w:r w:rsidRPr="003131F9">
              <w:rPr>
                <w:rFonts w:eastAsia="Times New Roman"/>
                <w:b/>
                <w:bCs/>
                <w:sz w:val="20"/>
                <w:szCs w:val="20"/>
              </w:rPr>
              <w:t>UKUPNO</w:t>
            </w:r>
          </w:p>
        </w:tc>
        <w:tc>
          <w:tcPr>
            <w:tcW w:w="1439" w:type="dxa"/>
            <w:shd w:val="clear" w:color="000000" w:fill="FFFF99"/>
            <w:vAlign w:val="center"/>
          </w:tcPr>
          <w:p w14:paraId="738180DA" w14:textId="2DF13CBF" w:rsidR="003131F9" w:rsidRPr="003131F9" w:rsidRDefault="003131F9" w:rsidP="003131F9">
            <w:pPr>
              <w:jc w:val="right"/>
              <w:rPr>
                <w:b/>
                <w:sz w:val="20"/>
                <w:szCs w:val="14"/>
              </w:rPr>
            </w:pPr>
            <w:r w:rsidRPr="003131F9">
              <w:rPr>
                <w:rFonts w:eastAsia="Times New Roman"/>
                <w:b/>
                <w:bCs/>
                <w:sz w:val="20"/>
                <w:szCs w:val="20"/>
                <w:lang w:eastAsia="hr-HR"/>
              </w:rPr>
              <w:t>153,9</w:t>
            </w:r>
          </w:p>
        </w:tc>
        <w:tc>
          <w:tcPr>
            <w:tcW w:w="1559" w:type="dxa"/>
            <w:shd w:val="clear" w:color="000000" w:fill="FFFF99"/>
            <w:vAlign w:val="center"/>
          </w:tcPr>
          <w:p w14:paraId="4A392E8B" w14:textId="769B1A2C" w:rsidR="003131F9" w:rsidRPr="003131F9" w:rsidRDefault="003131F9" w:rsidP="003131F9">
            <w:pPr>
              <w:jc w:val="right"/>
              <w:rPr>
                <w:b/>
                <w:sz w:val="20"/>
                <w:szCs w:val="14"/>
              </w:rPr>
            </w:pPr>
            <w:r w:rsidRPr="003131F9">
              <w:rPr>
                <w:rFonts w:eastAsia="Times New Roman"/>
                <w:b/>
                <w:bCs/>
                <w:sz w:val="20"/>
                <w:szCs w:val="20"/>
                <w:lang w:eastAsia="hr-HR"/>
              </w:rPr>
              <w:t>153,2</w:t>
            </w:r>
          </w:p>
        </w:tc>
        <w:tc>
          <w:tcPr>
            <w:tcW w:w="1559" w:type="dxa"/>
            <w:shd w:val="clear" w:color="000000" w:fill="FFFF99"/>
            <w:vAlign w:val="center"/>
          </w:tcPr>
          <w:p w14:paraId="0EBB7460" w14:textId="1FBC2A5A" w:rsidR="003131F9" w:rsidRPr="003131F9" w:rsidRDefault="003131F9" w:rsidP="003131F9">
            <w:pPr>
              <w:jc w:val="right"/>
              <w:rPr>
                <w:b/>
                <w:sz w:val="20"/>
                <w:szCs w:val="14"/>
              </w:rPr>
            </w:pPr>
            <w:r w:rsidRPr="003131F9">
              <w:rPr>
                <w:rFonts w:eastAsia="Times New Roman"/>
                <w:b/>
                <w:bCs/>
                <w:sz w:val="20"/>
                <w:szCs w:val="20"/>
                <w:lang w:eastAsia="hr-HR"/>
              </w:rPr>
              <w:t>153,9</w:t>
            </w:r>
          </w:p>
        </w:tc>
      </w:tr>
      <w:tr w:rsidR="003131F9" w:rsidRPr="003131F9" w14:paraId="4639407B" w14:textId="77777777" w:rsidTr="00E627B3">
        <w:trPr>
          <w:trHeight w:val="40"/>
        </w:trPr>
        <w:tc>
          <w:tcPr>
            <w:tcW w:w="3376" w:type="dxa"/>
            <w:shd w:val="clear" w:color="auto" w:fill="auto"/>
            <w:vAlign w:val="center"/>
            <w:hideMark/>
          </w:tcPr>
          <w:p w14:paraId="791056FF" w14:textId="77777777" w:rsidR="003131F9" w:rsidRPr="003131F9" w:rsidRDefault="003131F9" w:rsidP="003131F9">
            <w:pPr>
              <w:rPr>
                <w:rFonts w:eastAsia="Times New Roman"/>
                <w:sz w:val="20"/>
                <w:szCs w:val="20"/>
              </w:rPr>
            </w:pPr>
            <w:r w:rsidRPr="003131F9">
              <w:rPr>
                <w:rFonts w:eastAsia="Times New Roman"/>
                <w:sz w:val="20"/>
              </w:rPr>
              <w:t>udio (%) u posebnim sektorima</w:t>
            </w:r>
          </w:p>
        </w:tc>
        <w:tc>
          <w:tcPr>
            <w:tcW w:w="1439" w:type="dxa"/>
            <w:vAlign w:val="center"/>
          </w:tcPr>
          <w:p w14:paraId="02E66CAD" w14:textId="5F48B057" w:rsidR="003131F9" w:rsidRPr="003131F9" w:rsidRDefault="003131F9" w:rsidP="003131F9">
            <w:pPr>
              <w:jc w:val="center"/>
              <w:rPr>
                <w:sz w:val="20"/>
                <w:szCs w:val="14"/>
              </w:rPr>
            </w:pPr>
            <w:r w:rsidRPr="003131F9">
              <w:rPr>
                <w:rFonts w:eastAsia="Times New Roman"/>
                <w:sz w:val="20"/>
                <w:szCs w:val="20"/>
                <w:lang w:eastAsia="hr-HR"/>
              </w:rPr>
              <w:t>26,34</w:t>
            </w:r>
          </w:p>
        </w:tc>
        <w:tc>
          <w:tcPr>
            <w:tcW w:w="1559" w:type="dxa"/>
            <w:vAlign w:val="center"/>
          </w:tcPr>
          <w:p w14:paraId="5CE3DC06" w14:textId="320EC10C" w:rsidR="003131F9" w:rsidRPr="003131F9" w:rsidRDefault="003131F9" w:rsidP="003131F9">
            <w:pPr>
              <w:jc w:val="center"/>
              <w:rPr>
                <w:sz w:val="20"/>
                <w:szCs w:val="14"/>
              </w:rPr>
            </w:pPr>
            <w:r w:rsidRPr="003131F9">
              <w:rPr>
                <w:rFonts w:eastAsia="Times New Roman"/>
                <w:sz w:val="20"/>
                <w:szCs w:val="20"/>
                <w:lang w:eastAsia="hr-HR"/>
              </w:rPr>
              <w:t>25,35</w:t>
            </w:r>
          </w:p>
        </w:tc>
        <w:tc>
          <w:tcPr>
            <w:tcW w:w="1559" w:type="dxa"/>
            <w:vAlign w:val="center"/>
          </w:tcPr>
          <w:p w14:paraId="2C7CAE58" w14:textId="76343131" w:rsidR="003131F9" w:rsidRPr="003131F9" w:rsidRDefault="003131F9" w:rsidP="003131F9">
            <w:pPr>
              <w:jc w:val="center"/>
              <w:rPr>
                <w:sz w:val="20"/>
                <w:szCs w:val="14"/>
              </w:rPr>
            </w:pPr>
            <w:r w:rsidRPr="003131F9">
              <w:rPr>
                <w:rFonts w:eastAsia="Times New Roman"/>
                <w:sz w:val="20"/>
                <w:szCs w:val="20"/>
                <w:lang w:eastAsia="hr-HR"/>
              </w:rPr>
              <w:t>18,12</w:t>
            </w:r>
          </w:p>
        </w:tc>
      </w:tr>
      <w:tr w:rsidR="003131F9" w:rsidRPr="003131F9" w14:paraId="648265CC" w14:textId="77777777" w:rsidTr="00E627B3">
        <w:trPr>
          <w:trHeight w:val="90"/>
        </w:trPr>
        <w:tc>
          <w:tcPr>
            <w:tcW w:w="3376" w:type="dxa"/>
            <w:shd w:val="clear" w:color="auto" w:fill="auto"/>
            <w:vAlign w:val="center"/>
            <w:hideMark/>
          </w:tcPr>
          <w:p w14:paraId="1D6B98B6" w14:textId="77777777" w:rsidR="003131F9" w:rsidRPr="003131F9" w:rsidRDefault="003131F9" w:rsidP="003131F9">
            <w:pPr>
              <w:rPr>
                <w:rFonts w:eastAsia="Times New Roman"/>
                <w:sz w:val="20"/>
                <w:szCs w:val="20"/>
              </w:rPr>
            </w:pPr>
            <w:r w:rsidRPr="003131F9">
              <w:rPr>
                <w:rFonts w:eastAsia="Times New Roman"/>
                <w:sz w:val="20"/>
                <w:szCs w:val="20"/>
              </w:rPr>
              <w:t>udio (%) u ukupnim potporama (bez poljoprivrede i ribarstva)</w:t>
            </w:r>
          </w:p>
        </w:tc>
        <w:tc>
          <w:tcPr>
            <w:tcW w:w="1439" w:type="dxa"/>
            <w:vAlign w:val="center"/>
          </w:tcPr>
          <w:p w14:paraId="43CE326B" w14:textId="612D7904" w:rsidR="003131F9" w:rsidRPr="003131F9" w:rsidRDefault="003131F9" w:rsidP="003131F9">
            <w:pPr>
              <w:jc w:val="center"/>
              <w:rPr>
                <w:sz w:val="20"/>
                <w:szCs w:val="14"/>
              </w:rPr>
            </w:pPr>
            <w:r w:rsidRPr="003131F9">
              <w:rPr>
                <w:rFonts w:eastAsia="Times New Roman"/>
                <w:sz w:val="20"/>
                <w:szCs w:val="20"/>
                <w:lang w:eastAsia="hr-HR"/>
              </w:rPr>
              <w:t>7,96</w:t>
            </w:r>
          </w:p>
        </w:tc>
        <w:tc>
          <w:tcPr>
            <w:tcW w:w="1559" w:type="dxa"/>
            <w:vAlign w:val="center"/>
          </w:tcPr>
          <w:p w14:paraId="58710478" w14:textId="5F706C15" w:rsidR="003131F9" w:rsidRPr="003131F9" w:rsidRDefault="003131F9" w:rsidP="003131F9">
            <w:pPr>
              <w:jc w:val="center"/>
              <w:rPr>
                <w:sz w:val="20"/>
                <w:szCs w:val="14"/>
              </w:rPr>
            </w:pPr>
            <w:r w:rsidRPr="003131F9">
              <w:rPr>
                <w:rFonts w:eastAsia="Times New Roman"/>
                <w:sz w:val="20"/>
                <w:szCs w:val="20"/>
                <w:lang w:eastAsia="hr-HR"/>
              </w:rPr>
              <w:t>7,50</w:t>
            </w:r>
          </w:p>
        </w:tc>
        <w:tc>
          <w:tcPr>
            <w:tcW w:w="1559" w:type="dxa"/>
            <w:vAlign w:val="center"/>
          </w:tcPr>
          <w:p w14:paraId="02C54205" w14:textId="2BD6B36A" w:rsidR="003131F9" w:rsidRPr="003131F9" w:rsidRDefault="003131F9" w:rsidP="003131F9">
            <w:pPr>
              <w:jc w:val="center"/>
              <w:rPr>
                <w:sz w:val="20"/>
                <w:szCs w:val="14"/>
              </w:rPr>
            </w:pPr>
            <w:r w:rsidRPr="003131F9">
              <w:rPr>
                <w:rFonts w:eastAsia="Times New Roman"/>
                <w:sz w:val="20"/>
                <w:szCs w:val="20"/>
                <w:lang w:eastAsia="hr-HR"/>
              </w:rPr>
              <w:t>7,82</w:t>
            </w:r>
          </w:p>
        </w:tc>
      </w:tr>
      <w:tr w:rsidR="003131F9" w:rsidRPr="003131F9" w14:paraId="32ED22EA" w14:textId="77777777" w:rsidTr="00E627B3">
        <w:trPr>
          <w:trHeight w:val="40"/>
        </w:trPr>
        <w:tc>
          <w:tcPr>
            <w:tcW w:w="3376" w:type="dxa"/>
            <w:shd w:val="clear" w:color="auto" w:fill="auto"/>
            <w:vAlign w:val="center"/>
            <w:hideMark/>
          </w:tcPr>
          <w:p w14:paraId="798834DA" w14:textId="77777777" w:rsidR="003131F9" w:rsidRPr="003131F9" w:rsidRDefault="003131F9" w:rsidP="003131F9">
            <w:pPr>
              <w:rPr>
                <w:rFonts w:eastAsia="Times New Roman"/>
                <w:sz w:val="20"/>
                <w:szCs w:val="20"/>
              </w:rPr>
            </w:pPr>
            <w:r w:rsidRPr="003131F9">
              <w:rPr>
                <w:rFonts w:eastAsia="Times New Roman"/>
                <w:sz w:val="20"/>
                <w:szCs w:val="20"/>
              </w:rPr>
              <w:t>udio (%) u ukupnim potporama</w:t>
            </w:r>
          </w:p>
        </w:tc>
        <w:tc>
          <w:tcPr>
            <w:tcW w:w="1439" w:type="dxa"/>
            <w:vAlign w:val="center"/>
          </w:tcPr>
          <w:p w14:paraId="796075B2" w14:textId="41912CDE" w:rsidR="003131F9" w:rsidRPr="003131F9" w:rsidRDefault="003131F9" w:rsidP="003131F9">
            <w:pPr>
              <w:jc w:val="center"/>
              <w:rPr>
                <w:sz w:val="20"/>
                <w:szCs w:val="14"/>
              </w:rPr>
            </w:pPr>
            <w:r w:rsidRPr="003131F9">
              <w:rPr>
                <w:rFonts w:eastAsia="Times New Roman"/>
                <w:sz w:val="20"/>
                <w:szCs w:val="20"/>
                <w:lang w:eastAsia="hr-HR"/>
              </w:rPr>
              <w:t>5,23</w:t>
            </w:r>
          </w:p>
        </w:tc>
        <w:tc>
          <w:tcPr>
            <w:tcW w:w="1559" w:type="dxa"/>
            <w:vAlign w:val="center"/>
          </w:tcPr>
          <w:p w14:paraId="04901A17" w14:textId="18C7B97D" w:rsidR="003131F9" w:rsidRPr="003131F9" w:rsidRDefault="003131F9" w:rsidP="003131F9">
            <w:pPr>
              <w:jc w:val="center"/>
              <w:rPr>
                <w:sz w:val="20"/>
                <w:szCs w:val="14"/>
              </w:rPr>
            </w:pPr>
            <w:r w:rsidRPr="003131F9">
              <w:rPr>
                <w:rFonts w:eastAsia="Times New Roman"/>
                <w:sz w:val="20"/>
                <w:szCs w:val="20"/>
                <w:lang w:eastAsia="hr-HR"/>
              </w:rPr>
              <w:t>5,08</w:t>
            </w:r>
          </w:p>
        </w:tc>
        <w:tc>
          <w:tcPr>
            <w:tcW w:w="1559" w:type="dxa"/>
            <w:vAlign w:val="center"/>
          </w:tcPr>
          <w:p w14:paraId="2745918A" w14:textId="5D4FE9F5" w:rsidR="003131F9" w:rsidRPr="003131F9" w:rsidRDefault="003131F9" w:rsidP="003131F9">
            <w:pPr>
              <w:jc w:val="center"/>
              <w:rPr>
                <w:sz w:val="20"/>
                <w:szCs w:val="14"/>
              </w:rPr>
            </w:pPr>
            <w:r w:rsidRPr="003131F9">
              <w:rPr>
                <w:rFonts w:eastAsia="Times New Roman"/>
                <w:sz w:val="20"/>
                <w:szCs w:val="20"/>
                <w:lang w:eastAsia="hr-HR"/>
              </w:rPr>
              <w:t>5,07</w:t>
            </w:r>
          </w:p>
        </w:tc>
      </w:tr>
      <w:tr w:rsidR="003131F9" w:rsidRPr="003131F9" w14:paraId="47D5DF12" w14:textId="77777777" w:rsidTr="00E627B3">
        <w:trPr>
          <w:trHeight w:val="40"/>
        </w:trPr>
        <w:tc>
          <w:tcPr>
            <w:tcW w:w="3376" w:type="dxa"/>
            <w:shd w:val="clear" w:color="auto" w:fill="auto"/>
            <w:vAlign w:val="center"/>
            <w:hideMark/>
          </w:tcPr>
          <w:p w14:paraId="4E61454C" w14:textId="77777777" w:rsidR="003131F9" w:rsidRPr="003131F9" w:rsidRDefault="003131F9" w:rsidP="003131F9">
            <w:pPr>
              <w:rPr>
                <w:rFonts w:eastAsia="Times New Roman"/>
                <w:sz w:val="20"/>
                <w:szCs w:val="20"/>
              </w:rPr>
            </w:pPr>
            <w:r w:rsidRPr="003131F9">
              <w:rPr>
                <w:rFonts w:eastAsia="Times New Roman"/>
                <w:sz w:val="20"/>
                <w:szCs w:val="20"/>
              </w:rPr>
              <w:t>udio (%) u BDP-u</w:t>
            </w:r>
          </w:p>
        </w:tc>
        <w:tc>
          <w:tcPr>
            <w:tcW w:w="1439" w:type="dxa"/>
            <w:vAlign w:val="center"/>
          </w:tcPr>
          <w:p w14:paraId="04AC49BB" w14:textId="0A577502" w:rsidR="003131F9" w:rsidRPr="003131F9" w:rsidRDefault="003131F9" w:rsidP="003131F9">
            <w:pPr>
              <w:jc w:val="center"/>
              <w:rPr>
                <w:sz w:val="20"/>
                <w:szCs w:val="14"/>
              </w:rPr>
            </w:pPr>
            <w:r w:rsidRPr="003131F9">
              <w:rPr>
                <w:rFonts w:eastAsia="Times New Roman"/>
                <w:sz w:val="20"/>
                <w:szCs w:val="20"/>
                <w:lang w:eastAsia="hr-HR"/>
              </w:rPr>
              <w:t>0,26</w:t>
            </w:r>
          </w:p>
        </w:tc>
        <w:tc>
          <w:tcPr>
            <w:tcW w:w="1559" w:type="dxa"/>
            <w:vAlign w:val="center"/>
          </w:tcPr>
          <w:p w14:paraId="60954B98" w14:textId="1587A0F5" w:rsidR="003131F9" w:rsidRPr="003131F9" w:rsidRDefault="003131F9" w:rsidP="003131F9">
            <w:pPr>
              <w:jc w:val="center"/>
              <w:rPr>
                <w:sz w:val="20"/>
                <w:szCs w:val="14"/>
              </w:rPr>
            </w:pPr>
            <w:r w:rsidRPr="003131F9">
              <w:rPr>
                <w:rFonts w:eastAsia="Times New Roman"/>
                <w:sz w:val="20"/>
                <w:szCs w:val="20"/>
                <w:lang w:eastAsia="hr-HR"/>
              </w:rPr>
              <w:t>0,22</w:t>
            </w:r>
          </w:p>
        </w:tc>
        <w:tc>
          <w:tcPr>
            <w:tcW w:w="1559" w:type="dxa"/>
            <w:vAlign w:val="center"/>
          </w:tcPr>
          <w:p w14:paraId="5A81FD0E" w14:textId="4419B780" w:rsidR="003131F9" w:rsidRPr="003131F9" w:rsidRDefault="003131F9" w:rsidP="003131F9">
            <w:pPr>
              <w:jc w:val="center"/>
              <w:rPr>
                <w:sz w:val="20"/>
                <w:szCs w:val="14"/>
              </w:rPr>
            </w:pPr>
            <w:r w:rsidRPr="003131F9">
              <w:rPr>
                <w:rFonts w:eastAsia="Times New Roman"/>
                <w:sz w:val="20"/>
                <w:szCs w:val="20"/>
                <w:lang w:eastAsia="hr-HR"/>
              </w:rPr>
              <w:t>0,20</w:t>
            </w:r>
          </w:p>
        </w:tc>
      </w:tr>
    </w:tbl>
    <w:p w14:paraId="616C289B" w14:textId="77777777" w:rsidR="003131F9" w:rsidRPr="003131F9" w:rsidRDefault="003131F9" w:rsidP="003131F9">
      <w:pPr>
        <w:contextualSpacing/>
        <w:jc w:val="both"/>
        <w:rPr>
          <w:i/>
          <w:sz w:val="20"/>
        </w:rPr>
      </w:pPr>
      <w:r w:rsidRPr="003131F9">
        <w:rPr>
          <w:i/>
          <w:sz w:val="20"/>
        </w:rPr>
        <w:t>Izvor: Ministarstvo financija i ostali davatelji potpora; podaci obrađeni u Ministarstvu financija</w:t>
      </w:r>
    </w:p>
    <w:p w14:paraId="2D823CAD" w14:textId="77777777" w:rsidR="006039A1" w:rsidRPr="003131F9" w:rsidRDefault="006039A1" w:rsidP="00BE487D">
      <w:pPr>
        <w:jc w:val="both"/>
      </w:pPr>
    </w:p>
    <w:p w14:paraId="5DCD170C" w14:textId="0BF0A01E" w:rsidR="00C51F59" w:rsidRPr="00C51F59" w:rsidRDefault="00C51F59" w:rsidP="00C51F59">
      <w:pPr>
        <w:jc w:val="both"/>
      </w:pPr>
      <w:r w:rsidRPr="00C51F59">
        <w:t>Udio potpora za javno radiotelevizijsko emitiranje i audiovizualnu industriju u BDP-u u 2023. godini iznosio je 0,20 posto, u 2022. godini iznosio je 0,22 posto, dok je u 2021. godini iznosio 0,26 posto. Udio navedenih potpora u 2023. godini u ukupno dodijeljenim potporama iznosio je 5,1 posto, udio u dodijeljenim potporama u sektoru industrije i usluga u 2023. godini iznosio je 7,8 posto, dok je udio navedenih potpora u sektorskim potporama iznosio 18,1 posto.</w:t>
      </w:r>
    </w:p>
    <w:p w14:paraId="54F33EC6" w14:textId="0503DF4B" w:rsidR="00DE3F6A" w:rsidRPr="00C51F59" w:rsidRDefault="00DE3F6A" w:rsidP="00BE487D">
      <w:pPr>
        <w:jc w:val="both"/>
      </w:pPr>
    </w:p>
    <w:p w14:paraId="12BC1091" w14:textId="35E7EF13" w:rsidR="007A21F3" w:rsidRPr="00152869" w:rsidRDefault="00152869" w:rsidP="007A22E1">
      <w:pPr>
        <w:jc w:val="both"/>
      </w:pPr>
      <w:r w:rsidRPr="00152869">
        <w:t>P</w:t>
      </w:r>
      <w:r w:rsidR="007A22E1" w:rsidRPr="00152869">
        <w:t xml:space="preserve">otpore </w:t>
      </w:r>
      <w:r w:rsidRPr="00152869">
        <w:t xml:space="preserve">za javno radiotelevizijsko emitiranje i audiovizualnu industriju </w:t>
      </w:r>
      <w:r w:rsidR="007A21F3" w:rsidRPr="00152869">
        <w:t xml:space="preserve">dodijeljene </w:t>
      </w:r>
      <w:r w:rsidRPr="00152869">
        <w:t xml:space="preserve">u 2023. godini </w:t>
      </w:r>
      <w:r w:rsidR="007A22E1" w:rsidRPr="00152869">
        <w:t xml:space="preserve">u iznosu od </w:t>
      </w:r>
      <w:r w:rsidRPr="00152869">
        <w:t xml:space="preserve">153,9 </w:t>
      </w:r>
      <w:r w:rsidR="007A22E1" w:rsidRPr="00152869">
        <w:t xml:space="preserve">milijuna </w:t>
      </w:r>
      <w:r w:rsidRPr="00152869">
        <w:t xml:space="preserve">eura, </w:t>
      </w:r>
      <w:r w:rsidR="007A22E1" w:rsidRPr="00152869">
        <w:t xml:space="preserve">najvećim dijelom odnose se na RTV pristojbu u iznosu od </w:t>
      </w:r>
      <w:r w:rsidRPr="00152869">
        <w:t>152,2</w:t>
      </w:r>
      <w:r w:rsidR="007A22E1" w:rsidRPr="00152869">
        <w:t xml:space="preserve"> milijuna </w:t>
      </w:r>
      <w:r w:rsidRPr="00152869">
        <w:t>eura</w:t>
      </w:r>
      <w:r w:rsidR="007A22E1" w:rsidRPr="00152869">
        <w:t xml:space="preserve"> odnosno s udjelom od 98,</w:t>
      </w:r>
      <w:r w:rsidRPr="00152869">
        <w:t>9</w:t>
      </w:r>
      <w:r w:rsidR="007A22E1" w:rsidRPr="00152869">
        <w:t xml:space="preserve"> posto u </w:t>
      </w:r>
      <w:r w:rsidRPr="00152869">
        <w:t xml:space="preserve">navedenom </w:t>
      </w:r>
      <w:r w:rsidR="007A22E1" w:rsidRPr="00152869">
        <w:t xml:space="preserve">sektoru, dok je </w:t>
      </w:r>
      <w:r w:rsidRPr="00152869">
        <w:t>1,7</w:t>
      </w:r>
      <w:r w:rsidR="007A21F3" w:rsidRPr="00152869">
        <w:t xml:space="preserve"> milijuna </w:t>
      </w:r>
      <w:r w:rsidRPr="00152869">
        <w:t xml:space="preserve">eura </w:t>
      </w:r>
      <w:r w:rsidR="007A21F3" w:rsidRPr="00152869">
        <w:t>ili 1,</w:t>
      </w:r>
      <w:r w:rsidRPr="00152869">
        <w:t>1</w:t>
      </w:r>
      <w:r w:rsidR="007A21F3" w:rsidRPr="00152869">
        <w:t xml:space="preserve"> posto dodijeljeno putem subvencija.</w:t>
      </w:r>
    </w:p>
    <w:p w14:paraId="2C92140C" w14:textId="77777777" w:rsidR="00152869" w:rsidRPr="00845C1E" w:rsidRDefault="00152869" w:rsidP="007A22E1">
      <w:pPr>
        <w:jc w:val="both"/>
      </w:pPr>
    </w:p>
    <w:p w14:paraId="12BFB48E" w14:textId="79775F18" w:rsidR="00DE3F6A" w:rsidRPr="00845C1E" w:rsidRDefault="00152869" w:rsidP="00BE487D">
      <w:pPr>
        <w:jc w:val="both"/>
      </w:pPr>
      <w:r w:rsidRPr="00845C1E">
        <w:t xml:space="preserve">U 2023. godini davatelji potpora </w:t>
      </w:r>
      <w:r w:rsidR="00DE3F6A" w:rsidRPr="00845C1E">
        <w:t xml:space="preserve">za javno radiotelevizijsko emitiranje i audiovizualnu industriju su </w:t>
      </w:r>
      <w:r w:rsidR="001B4535" w:rsidRPr="00845C1E">
        <w:t>Ministarstvo kulture i medija</w:t>
      </w:r>
      <w:r w:rsidR="00DE3F6A" w:rsidRPr="00845C1E">
        <w:t xml:space="preserve"> u iznosu od </w:t>
      </w:r>
      <w:r w:rsidR="00845C1E" w:rsidRPr="00845C1E">
        <w:t>152,2 milijuna eura</w:t>
      </w:r>
      <w:r w:rsidR="00085515" w:rsidRPr="00845C1E">
        <w:t xml:space="preserve">, što se odnosi na iznos </w:t>
      </w:r>
      <w:r w:rsidR="007A4810" w:rsidRPr="00845C1E">
        <w:t>prikupljen</w:t>
      </w:r>
      <w:r w:rsidR="00085515" w:rsidRPr="00845C1E">
        <w:t>e</w:t>
      </w:r>
      <w:r w:rsidR="007A4810" w:rsidRPr="00845C1E">
        <w:t xml:space="preserve"> RTV pristojbe</w:t>
      </w:r>
      <w:r w:rsidR="00144B55" w:rsidRPr="00845C1E">
        <w:t xml:space="preserve"> </w:t>
      </w:r>
      <w:r w:rsidR="00085515" w:rsidRPr="00845C1E">
        <w:t xml:space="preserve">te </w:t>
      </w:r>
      <w:r w:rsidR="00DE3F6A" w:rsidRPr="00845C1E">
        <w:t xml:space="preserve">Agencija za elektroničke medije u iznosu od </w:t>
      </w:r>
      <w:r w:rsidR="00845C1E" w:rsidRPr="00845C1E">
        <w:t>1,7 milijuna eura</w:t>
      </w:r>
      <w:r w:rsidR="00DE3F6A" w:rsidRPr="00845C1E">
        <w:t>.</w:t>
      </w:r>
    </w:p>
    <w:p w14:paraId="5F7E6B6C" w14:textId="3CB2FBAD" w:rsidR="00C6503A" w:rsidRPr="00845C1E" w:rsidRDefault="00C6503A" w:rsidP="00845C1E"/>
    <w:p w14:paraId="0FEC0526" w14:textId="41FF3D06" w:rsidR="000C0AC9" w:rsidRPr="00845C1E" w:rsidRDefault="00B101F6" w:rsidP="000C0AC9">
      <w:pPr>
        <w:jc w:val="both"/>
        <w:rPr>
          <w:spacing w:val="-2"/>
        </w:rPr>
      </w:pPr>
      <w:r w:rsidRPr="00845C1E">
        <w:rPr>
          <w:spacing w:val="-2"/>
        </w:rPr>
        <w:t xml:space="preserve">Temeljem </w:t>
      </w:r>
      <w:r w:rsidRPr="00B75A66">
        <w:rPr>
          <w:spacing w:val="-2"/>
          <w:u w:val="single"/>
        </w:rPr>
        <w:t>Zakona o Hrvatskoj radioteleviziji</w:t>
      </w:r>
      <w:r w:rsidRPr="00845C1E">
        <w:rPr>
          <w:spacing w:val="-2"/>
        </w:rPr>
        <w:t xml:space="preserve"> </w:t>
      </w:r>
      <w:r w:rsidR="00845C1E" w:rsidRPr="00845C1E">
        <w:rPr>
          <w:spacing w:val="-2"/>
        </w:rPr>
        <w:t xml:space="preserve">dodijeljene su potpore za poticanje javnog radiotelevizijskog emitiranja koje su </w:t>
      </w:r>
      <w:r w:rsidRPr="00845C1E">
        <w:rPr>
          <w:spacing w:val="-2"/>
        </w:rPr>
        <w:t xml:space="preserve">prikupljene </w:t>
      </w:r>
      <w:r w:rsidR="00845C1E" w:rsidRPr="00845C1E">
        <w:rPr>
          <w:spacing w:val="-2"/>
        </w:rPr>
        <w:t xml:space="preserve">kao </w:t>
      </w:r>
      <w:r w:rsidRPr="00845C1E">
        <w:rPr>
          <w:spacing w:val="-2"/>
        </w:rPr>
        <w:t>radiotelevizijsk</w:t>
      </w:r>
      <w:r w:rsidR="00845C1E" w:rsidRPr="00845C1E">
        <w:rPr>
          <w:spacing w:val="-2"/>
        </w:rPr>
        <w:t>a pristojba</w:t>
      </w:r>
      <w:r w:rsidRPr="00845C1E">
        <w:rPr>
          <w:spacing w:val="-2"/>
        </w:rPr>
        <w:t xml:space="preserve"> u iznosu od </w:t>
      </w:r>
      <w:r w:rsidR="00845C1E" w:rsidRPr="00845C1E">
        <w:rPr>
          <w:spacing w:val="-2"/>
        </w:rPr>
        <w:t xml:space="preserve">152,2 milijuna eura za </w:t>
      </w:r>
      <w:r w:rsidRPr="00845C1E">
        <w:rPr>
          <w:spacing w:val="-2"/>
        </w:rPr>
        <w:t>radiotelevizijsko emitiranje</w:t>
      </w:r>
      <w:r w:rsidRPr="00845C1E">
        <w:rPr>
          <w:b/>
          <w:spacing w:val="-2"/>
        </w:rPr>
        <w:t xml:space="preserve"> </w:t>
      </w:r>
      <w:r w:rsidRPr="00845C1E">
        <w:rPr>
          <w:spacing w:val="-2"/>
        </w:rPr>
        <w:t>odnosno javne radiodifuzijske usluge za emitiranje javnog radio i televizijskog programa za obavljanje usluga od općeg gospodarskog interesa,</w:t>
      </w:r>
      <w:r w:rsidR="00845C1E" w:rsidRPr="00845C1E">
        <w:rPr>
          <w:spacing w:val="-2"/>
        </w:rPr>
        <w:t xml:space="preserve"> a navedeni Zakon je </w:t>
      </w:r>
      <w:r w:rsidR="000C0AC9" w:rsidRPr="00845C1E">
        <w:rPr>
          <w:spacing w:val="-2"/>
        </w:rPr>
        <w:t>Europska komisija odobrila pod brojem SA.39679</w:t>
      </w:r>
      <w:r w:rsidR="00845C1E" w:rsidRPr="00845C1E">
        <w:rPr>
          <w:spacing w:val="-2"/>
        </w:rPr>
        <w:t>. Visina mjesečne pristojbe iznosi 10,62 eura i ne može iznositi više od 1,5 posto prosječne neto mjesečne plaće zaposlenih u Republici Hrvatskoj sukladno zakonskom okviru, a navedena</w:t>
      </w:r>
      <w:r w:rsidRPr="00845C1E">
        <w:rPr>
          <w:spacing w:val="-2"/>
        </w:rPr>
        <w:t xml:space="preserve"> s</w:t>
      </w:r>
      <w:r w:rsidR="000C0AC9" w:rsidRPr="00845C1E">
        <w:rPr>
          <w:spacing w:val="-2"/>
        </w:rPr>
        <w:t xml:space="preserve">redstva </w:t>
      </w:r>
      <w:r w:rsidRPr="00845C1E">
        <w:rPr>
          <w:spacing w:val="-2"/>
        </w:rPr>
        <w:t xml:space="preserve">se </w:t>
      </w:r>
      <w:r w:rsidR="000C0AC9" w:rsidRPr="00845C1E">
        <w:rPr>
          <w:spacing w:val="-2"/>
        </w:rPr>
        <w:t>smatraju potporom jer je svim vlasnicima radijskih i televizijskih prijemnika u Republici Hrvatskoj zakonom propisana obveza plaćanja pristojbe za radiotelevizijsko emitiranje.</w:t>
      </w:r>
    </w:p>
    <w:p w14:paraId="6A0AF1B6" w14:textId="77777777" w:rsidR="00302FA8" w:rsidRPr="00845C1E" w:rsidRDefault="00302FA8" w:rsidP="00845C1E"/>
    <w:p w14:paraId="2849485F" w14:textId="39459ED8" w:rsidR="00085515" w:rsidRPr="008149B5" w:rsidRDefault="00DE3F6A" w:rsidP="00085515">
      <w:pPr>
        <w:jc w:val="both"/>
        <w:rPr>
          <w:highlight w:val="red"/>
        </w:rPr>
      </w:pPr>
      <w:r w:rsidRPr="00B75A66">
        <w:rPr>
          <w:u w:val="single"/>
        </w:rPr>
        <w:t>Agencija za elektroničke medije</w:t>
      </w:r>
      <w:r w:rsidRPr="006751B5">
        <w:t xml:space="preserve"> </w:t>
      </w:r>
      <w:r w:rsidR="00845C1E" w:rsidRPr="006751B5">
        <w:t xml:space="preserve">dodijelio je u 2023. godini potpore </w:t>
      </w:r>
      <w:r w:rsidRPr="006751B5">
        <w:t xml:space="preserve">audiovizualnoj industriji putem subvencija u iznosu od </w:t>
      </w:r>
      <w:r w:rsidR="00845C1E" w:rsidRPr="006751B5">
        <w:t>1,7</w:t>
      </w:r>
      <w:r w:rsidRPr="006751B5">
        <w:t xml:space="preserve"> milijuna </w:t>
      </w:r>
      <w:r w:rsidR="00845C1E" w:rsidRPr="006751B5">
        <w:t xml:space="preserve">eura </w:t>
      </w:r>
      <w:r w:rsidRPr="006751B5">
        <w:t>temeljem Programa dodjele sredstava Fonda za poticanje pluralizma i raznovrsnosti elektroničkih medija</w:t>
      </w:r>
      <w:r w:rsidR="006751B5" w:rsidRPr="006751B5">
        <w:t>, o kojem je</w:t>
      </w:r>
      <w:r w:rsidR="00085515" w:rsidRPr="006751B5">
        <w:t xml:space="preserve"> Europska komisija obaviještena pod brojem SA.42227 te </w:t>
      </w:r>
      <w:r w:rsidR="00085515" w:rsidRPr="006751B5">
        <w:rPr>
          <w:rFonts w:eastAsia="Times New Roman"/>
          <w:color w:val="000000"/>
          <w:lang w:eastAsia="hr-HR"/>
        </w:rPr>
        <w:t>njegove kasnije izmjene koje je Europska komisija odobrila pod brojem SA.58781.</w:t>
      </w:r>
    </w:p>
    <w:p w14:paraId="61D15C63" w14:textId="77777777" w:rsidR="00302FA8" w:rsidRPr="006751B5" w:rsidRDefault="00302FA8" w:rsidP="00BE487D">
      <w:pPr>
        <w:jc w:val="both"/>
      </w:pPr>
    </w:p>
    <w:p w14:paraId="70EC5D71" w14:textId="1281E8E1" w:rsidR="005F1DB3" w:rsidRDefault="005F1DB3" w:rsidP="005F1DB3">
      <w:pPr>
        <w:jc w:val="both"/>
      </w:pPr>
      <w:r w:rsidRPr="00B75A66">
        <w:rPr>
          <w:u w:val="single"/>
        </w:rPr>
        <w:t>Potpore male vrijednosti</w:t>
      </w:r>
      <w:r w:rsidRPr="006751B5">
        <w:t xml:space="preserve"> za javno radiotelevizijsko emitiranje i audiovizualnu industriju su u 2023. godini dodijeljene u iznosu od </w:t>
      </w:r>
      <w:r w:rsidR="006751B5" w:rsidRPr="006751B5">
        <w:t>6,2</w:t>
      </w:r>
      <w:r w:rsidRPr="006751B5">
        <w:t xml:space="preserve"> milijuna eura, te ukoliko se navedene potpore male vrijednosti pribroje dodijeljenim potporama za javno radiotelevizijsko emitiranje i audiovizualnu industriju u iznosu od </w:t>
      </w:r>
      <w:r w:rsidR="006751B5" w:rsidRPr="006751B5">
        <w:t>153,9</w:t>
      </w:r>
      <w:r w:rsidRPr="006751B5">
        <w:t xml:space="preserve"> milijuna eura, ukupan iznos svih dodijeljenih </w:t>
      </w:r>
      <w:r w:rsidRPr="006751B5">
        <w:lastRenderedPageBreak/>
        <w:t>potpora za javno radiotelevizijsko emitiranje i audiovizualnu industriju u 2023. godini iznosi 1</w:t>
      </w:r>
      <w:r w:rsidR="006751B5" w:rsidRPr="006751B5">
        <w:t>60,1</w:t>
      </w:r>
      <w:r w:rsidRPr="006751B5">
        <w:t xml:space="preserve"> milijun eura. </w:t>
      </w:r>
    </w:p>
    <w:p w14:paraId="53CB017F" w14:textId="77777777" w:rsidR="00BC66CE" w:rsidRPr="006751B5" w:rsidRDefault="00BC66CE" w:rsidP="00BE487D">
      <w:pPr>
        <w:jc w:val="both"/>
      </w:pPr>
    </w:p>
    <w:p w14:paraId="2E054CD7" w14:textId="38CCD6AE" w:rsidR="00BE0817" w:rsidRPr="006751B5" w:rsidRDefault="00A56245" w:rsidP="00BE487D">
      <w:pPr>
        <w:pStyle w:val="Heading3"/>
        <w:numPr>
          <w:ilvl w:val="2"/>
          <w:numId w:val="1"/>
        </w:numPr>
        <w:spacing w:before="0"/>
        <w:jc w:val="both"/>
        <w:rPr>
          <w:rFonts w:ascii="Times New Roman" w:hAnsi="Times New Roman" w:cs="Times New Roman"/>
          <w:b/>
          <w:i/>
          <w:color w:val="auto"/>
        </w:rPr>
      </w:pPr>
      <w:bookmarkStart w:id="30" w:name="_Toc184635860"/>
      <w:r w:rsidRPr="006751B5">
        <w:rPr>
          <w:rFonts w:ascii="Times New Roman" w:hAnsi="Times New Roman" w:cs="Times New Roman"/>
          <w:b/>
          <w:i/>
          <w:color w:val="auto"/>
        </w:rPr>
        <w:t xml:space="preserve">Potpore za razvoj širokopojasnih </w:t>
      </w:r>
      <w:r w:rsidR="00BE0817" w:rsidRPr="006751B5">
        <w:rPr>
          <w:rFonts w:ascii="Times New Roman" w:hAnsi="Times New Roman" w:cs="Times New Roman"/>
          <w:b/>
          <w:i/>
          <w:color w:val="auto"/>
        </w:rPr>
        <w:t>mrež</w:t>
      </w:r>
      <w:r w:rsidRPr="006751B5">
        <w:rPr>
          <w:rFonts w:ascii="Times New Roman" w:hAnsi="Times New Roman" w:cs="Times New Roman"/>
          <w:b/>
          <w:i/>
          <w:color w:val="auto"/>
        </w:rPr>
        <w:t>a</w:t>
      </w:r>
      <w:bookmarkEnd w:id="30"/>
    </w:p>
    <w:p w14:paraId="1C619692" w14:textId="77777777" w:rsidR="00BC66CE" w:rsidRPr="00231149" w:rsidRDefault="00BC66CE" w:rsidP="00BE487D">
      <w:pPr>
        <w:jc w:val="both"/>
      </w:pPr>
    </w:p>
    <w:p w14:paraId="66DA16EF" w14:textId="77777777" w:rsidR="00BC66CE" w:rsidRPr="00231149" w:rsidRDefault="00BC66CE" w:rsidP="00BE487D">
      <w:pPr>
        <w:jc w:val="both"/>
      </w:pPr>
    </w:p>
    <w:p w14:paraId="3FAD9CAF" w14:textId="7EA75479" w:rsidR="006751B5" w:rsidRDefault="00671B70" w:rsidP="006751B5">
      <w:pPr>
        <w:jc w:val="both"/>
      </w:pPr>
      <w:r w:rsidRPr="006751B5">
        <w:t>Potpore za razvoj širokopojasnih mreža</w:t>
      </w:r>
      <w:r w:rsidRPr="006751B5">
        <w:rPr>
          <w:rStyle w:val="FootnoteReference"/>
        </w:rPr>
        <w:footnoteReference w:id="34"/>
      </w:r>
      <w:r w:rsidRPr="006751B5">
        <w:t xml:space="preserve"> </w:t>
      </w:r>
      <w:r w:rsidR="006751B5" w:rsidRPr="006751B5">
        <w:t xml:space="preserve">su dodijeljene u 2023. godini u iznosu od 5,8 milijuna eura, </w:t>
      </w:r>
      <w:r w:rsidR="006751B5">
        <w:t>dok iste nisu dodjeljivane u 2022. i 2021. godini.</w:t>
      </w:r>
    </w:p>
    <w:p w14:paraId="47FEC836" w14:textId="77777777" w:rsidR="006751B5" w:rsidRDefault="006751B5" w:rsidP="00BE487D">
      <w:pPr>
        <w:autoSpaceDE w:val="0"/>
        <w:autoSpaceDN w:val="0"/>
        <w:adjustRightInd w:val="0"/>
        <w:jc w:val="both"/>
        <w:rPr>
          <w:highlight w:val="red"/>
        </w:rPr>
      </w:pPr>
    </w:p>
    <w:p w14:paraId="6C493424" w14:textId="4DEB0CD1" w:rsidR="00671B70" w:rsidRPr="00B75A66" w:rsidRDefault="002C2979" w:rsidP="00BE487D">
      <w:pPr>
        <w:autoSpaceDE w:val="0"/>
        <w:autoSpaceDN w:val="0"/>
        <w:adjustRightInd w:val="0"/>
        <w:contextualSpacing/>
        <w:jc w:val="both"/>
      </w:pPr>
      <w:r w:rsidRPr="00B75A66">
        <w:rPr>
          <w:bCs/>
          <w:lang w:eastAsia="hr-HR"/>
        </w:rPr>
        <w:t>Tablica 2</w:t>
      </w:r>
      <w:r w:rsidR="005C62D5" w:rsidRPr="00B75A66">
        <w:rPr>
          <w:bCs/>
          <w:lang w:eastAsia="hr-HR"/>
        </w:rPr>
        <w:t>6</w:t>
      </w:r>
      <w:r w:rsidR="00671B70" w:rsidRPr="00B75A66">
        <w:rPr>
          <w:bCs/>
          <w:lang w:eastAsia="hr-HR"/>
        </w:rPr>
        <w:t xml:space="preserve">. Potpore </w:t>
      </w:r>
      <w:r w:rsidR="00671B70" w:rsidRPr="00B75A66">
        <w:rPr>
          <w:bCs/>
        </w:rPr>
        <w:t>razvoju širokopojasnih mreža</w:t>
      </w:r>
      <w:r w:rsidR="00671B70" w:rsidRPr="00B75A66">
        <w:rPr>
          <w:bCs/>
          <w:lang w:eastAsia="hr-HR"/>
        </w:rPr>
        <w:t xml:space="preserve"> </w:t>
      </w:r>
      <w:r w:rsidR="006751B5" w:rsidRPr="00B75A66">
        <w:rPr>
          <w:bCs/>
          <w:lang w:eastAsia="hr-HR"/>
        </w:rPr>
        <w:t>u</w:t>
      </w:r>
      <w:r w:rsidR="00671B70" w:rsidRPr="00B75A66">
        <w:rPr>
          <w:bCs/>
          <w:lang w:eastAsia="hr-HR"/>
        </w:rPr>
        <w:t xml:space="preserve"> razdoblj</w:t>
      </w:r>
      <w:r w:rsidR="006751B5" w:rsidRPr="00B75A66">
        <w:rPr>
          <w:bCs/>
          <w:lang w:eastAsia="hr-HR"/>
        </w:rPr>
        <w:t>u</w:t>
      </w:r>
      <w:r w:rsidR="00671B70" w:rsidRPr="00B75A66">
        <w:rPr>
          <w:bCs/>
          <w:lang w:eastAsia="hr-HR"/>
        </w:rPr>
        <w:t xml:space="preserve"> </w:t>
      </w:r>
      <w:r w:rsidR="00671B70" w:rsidRPr="00B75A66">
        <w:t>od 20</w:t>
      </w:r>
      <w:r w:rsidR="00BE22C8" w:rsidRPr="00B75A66">
        <w:t>2</w:t>
      </w:r>
      <w:r w:rsidR="005C62D5" w:rsidRPr="00B75A66">
        <w:t>1</w:t>
      </w:r>
      <w:r w:rsidR="00671B70" w:rsidRPr="00B75A66">
        <w:t>. do 202</w:t>
      </w:r>
      <w:r w:rsidR="005C62D5" w:rsidRPr="00B75A66">
        <w:t>3</w:t>
      </w:r>
      <w:r w:rsidR="00671B70" w:rsidRPr="00B75A66">
        <w:t>. godine</w:t>
      </w:r>
    </w:p>
    <w:p w14:paraId="4F622B3C" w14:textId="77777777" w:rsidR="00671B70" w:rsidRPr="008149B5" w:rsidRDefault="00671B70" w:rsidP="00BE487D">
      <w:pPr>
        <w:autoSpaceDE w:val="0"/>
        <w:autoSpaceDN w:val="0"/>
        <w:adjustRightInd w:val="0"/>
        <w:contextualSpacing/>
        <w:jc w:val="both"/>
        <w:rPr>
          <w:bCs/>
          <w:sz w:val="20"/>
          <w:highlight w:val="red"/>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439"/>
        <w:gridCol w:w="1559"/>
        <w:gridCol w:w="1559"/>
      </w:tblGrid>
      <w:tr w:rsidR="0081459E" w:rsidRPr="00231149" w14:paraId="56AD0226" w14:textId="77777777" w:rsidTr="00E627B3">
        <w:trPr>
          <w:trHeight w:val="38"/>
        </w:trPr>
        <w:tc>
          <w:tcPr>
            <w:tcW w:w="3376" w:type="dxa"/>
            <w:vMerge w:val="restart"/>
            <w:shd w:val="clear" w:color="000000" w:fill="FFFF99"/>
            <w:noWrap/>
            <w:vAlign w:val="center"/>
            <w:hideMark/>
          </w:tcPr>
          <w:p w14:paraId="28F89278" w14:textId="22E469DF" w:rsidR="0081459E" w:rsidRPr="00231149" w:rsidRDefault="00231149" w:rsidP="00E627B3">
            <w:pPr>
              <w:rPr>
                <w:rFonts w:eastAsia="Times New Roman"/>
                <w:b/>
                <w:bCs/>
                <w:sz w:val="20"/>
                <w:szCs w:val="20"/>
              </w:rPr>
            </w:pPr>
            <w:r w:rsidRPr="00231149">
              <w:rPr>
                <w:rFonts w:eastAsia="Times New Roman"/>
                <w:b/>
                <w:bCs/>
                <w:sz w:val="20"/>
                <w:lang w:eastAsia="hr-HR"/>
              </w:rPr>
              <w:t>Razvoj širokopojasnih mreža</w:t>
            </w:r>
          </w:p>
        </w:tc>
        <w:tc>
          <w:tcPr>
            <w:tcW w:w="1439" w:type="dxa"/>
            <w:shd w:val="clear" w:color="000000" w:fill="FFFF99"/>
            <w:vAlign w:val="center"/>
          </w:tcPr>
          <w:p w14:paraId="6317D41E" w14:textId="77777777" w:rsidR="0081459E" w:rsidRPr="00231149" w:rsidRDefault="0081459E" w:rsidP="00E627B3">
            <w:pPr>
              <w:jc w:val="center"/>
              <w:rPr>
                <w:rFonts w:eastAsia="Times New Roman"/>
                <w:b/>
                <w:bCs/>
                <w:sz w:val="20"/>
                <w:szCs w:val="20"/>
              </w:rPr>
            </w:pPr>
            <w:r w:rsidRPr="00231149">
              <w:rPr>
                <w:b/>
                <w:sz w:val="20"/>
                <w:szCs w:val="20"/>
              </w:rPr>
              <w:t>2021.</w:t>
            </w:r>
          </w:p>
        </w:tc>
        <w:tc>
          <w:tcPr>
            <w:tcW w:w="1559" w:type="dxa"/>
            <w:shd w:val="clear" w:color="000000" w:fill="FFFF99"/>
            <w:vAlign w:val="center"/>
          </w:tcPr>
          <w:p w14:paraId="24316A87" w14:textId="77777777" w:rsidR="0081459E" w:rsidRPr="00231149" w:rsidRDefault="0081459E" w:rsidP="00E627B3">
            <w:pPr>
              <w:jc w:val="center"/>
              <w:rPr>
                <w:rFonts w:eastAsia="Times New Roman"/>
                <w:b/>
                <w:bCs/>
                <w:sz w:val="20"/>
                <w:szCs w:val="20"/>
              </w:rPr>
            </w:pPr>
            <w:r w:rsidRPr="00231149">
              <w:rPr>
                <w:b/>
                <w:sz w:val="20"/>
                <w:szCs w:val="20"/>
              </w:rPr>
              <w:t>2022.</w:t>
            </w:r>
          </w:p>
        </w:tc>
        <w:tc>
          <w:tcPr>
            <w:tcW w:w="1559" w:type="dxa"/>
            <w:shd w:val="clear" w:color="000000" w:fill="FFFF99"/>
            <w:vAlign w:val="center"/>
          </w:tcPr>
          <w:p w14:paraId="16D0788A" w14:textId="77777777" w:rsidR="0081459E" w:rsidRPr="00231149" w:rsidRDefault="0081459E" w:rsidP="00E627B3">
            <w:pPr>
              <w:jc w:val="center"/>
              <w:rPr>
                <w:rFonts w:eastAsia="Times New Roman"/>
                <w:b/>
                <w:bCs/>
                <w:sz w:val="20"/>
                <w:szCs w:val="20"/>
              </w:rPr>
            </w:pPr>
            <w:r w:rsidRPr="00231149">
              <w:rPr>
                <w:b/>
                <w:sz w:val="20"/>
                <w:szCs w:val="20"/>
              </w:rPr>
              <w:t>2023.</w:t>
            </w:r>
          </w:p>
        </w:tc>
      </w:tr>
      <w:tr w:rsidR="0081459E" w:rsidRPr="00231149" w14:paraId="24652581" w14:textId="77777777" w:rsidTr="00E627B3">
        <w:trPr>
          <w:trHeight w:val="212"/>
        </w:trPr>
        <w:tc>
          <w:tcPr>
            <w:tcW w:w="3376" w:type="dxa"/>
            <w:vMerge/>
            <w:vAlign w:val="center"/>
            <w:hideMark/>
          </w:tcPr>
          <w:p w14:paraId="4638589A" w14:textId="77777777" w:rsidR="0081459E" w:rsidRPr="00231149" w:rsidRDefault="0081459E" w:rsidP="00E627B3">
            <w:pPr>
              <w:rPr>
                <w:rFonts w:eastAsia="Times New Roman"/>
                <w:b/>
                <w:bCs/>
                <w:sz w:val="20"/>
                <w:szCs w:val="20"/>
              </w:rPr>
            </w:pPr>
          </w:p>
        </w:tc>
        <w:tc>
          <w:tcPr>
            <w:tcW w:w="1439" w:type="dxa"/>
            <w:shd w:val="clear" w:color="000000" w:fill="FFFF99"/>
            <w:vAlign w:val="center"/>
          </w:tcPr>
          <w:p w14:paraId="7AABDBE4" w14:textId="77777777" w:rsidR="0081459E" w:rsidRPr="00231149" w:rsidRDefault="0081459E" w:rsidP="00E627B3">
            <w:pPr>
              <w:rPr>
                <w:rFonts w:eastAsia="Times New Roman"/>
                <w:b/>
                <w:sz w:val="18"/>
                <w:szCs w:val="20"/>
              </w:rPr>
            </w:pPr>
            <w:r w:rsidRPr="00231149">
              <w:rPr>
                <w:b/>
                <w:sz w:val="20"/>
                <w:szCs w:val="20"/>
              </w:rPr>
              <w:t xml:space="preserve">u </w:t>
            </w:r>
            <w:proofErr w:type="spellStart"/>
            <w:r w:rsidRPr="00231149">
              <w:rPr>
                <w:b/>
                <w:sz w:val="20"/>
                <w:szCs w:val="20"/>
              </w:rPr>
              <w:t>mln</w:t>
            </w:r>
            <w:proofErr w:type="spellEnd"/>
            <w:r w:rsidRPr="00231149">
              <w:rPr>
                <w:b/>
                <w:sz w:val="20"/>
                <w:szCs w:val="20"/>
              </w:rPr>
              <w:t xml:space="preserve"> EUR</w:t>
            </w:r>
          </w:p>
        </w:tc>
        <w:tc>
          <w:tcPr>
            <w:tcW w:w="1559" w:type="dxa"/>
            <w:shd w:val="clear" w:color="000000" w:fill="FFFF99"/>
            <w:vAlign w:val="center"/>
          </w:tcPr>
          <w:p w14:paraId="2E1FB2C4" w14:textId="77777777" w:rsidR="0081459E" w:rsidRPr="00231149" w:rsidRDefault="0081459E" w:rsidP="00E627B3">
            <w:pPr>
              <w:jc w:val="center"/>
              <w:rPr>
                <w:rFonts w:eastAsia="Times New Roman"/>
                <w:b/>
                <w:sz w:val="18"/>
                <w:szCs w:val="20"/>
              </w:rPr>
            </w:pPr>
            <w:r w:rsidRPr="00231149">
              <w:rPr>
                <w:b/>
                <w:sz w:val="20"/>
                <w:szCs w:val="20"/>
              </w:rPr>
              <w:t xml:space="preserve">u </w:t>
            </w:r>
            <w:proofErr w:type="spellStart"/>
            <w:r w:rsidRPr="00231149">
              <w:rPr>
                <w:b/>
                <w:sz w:val="20"/>
                <w:szCs w:val="20"/>
              </w:rPr>
              <w:t>mln</w:t>
            </w:r>
            <w:proofErr w:type="spellEnd"/>
            <w:r w:rsidRPr="00231149">
              <w:rPr>
                <w:b/>
                <w:sz w:val="20"/>
                <w:szCs w:val="20"/>
              </w:rPr>
              <w:t xml:space="preserve"> EUR</w:t>
            </w:r>
          </w:p>
        </w:tc>
        <w:tc>
          <w:tcPr>
            <w:tcW w:w="1559" w:type="dxa"/>
            <w:shd w:val="clear" w:color="000000" w:fill="FFFF99"/>
            <w:vAlign w:val="center"/>
          </w:tcPr>
          <w:p w14:paraId="1119C347" w14:textId="77777777" w:rsidR="0081459E" w:rsidRPr="00231149" w:rsidRDefault="0081459E" w:rsidP="00E627B3">
            <w:pPr>
              <w:jc w:val="center"/>
              <w:rPr>
                <w:rFonts w:eastAsia="Times New Roman"/>
                <w:b/>
                <w:sz w:val="18"/>
                <w:szCs w:val="20"/>
              </w:rPr>
            </w:pPr>
            <w:r w:rsidRPr="00231149">
              <w:rPr>
                <w:b/>
                <w:sz w:val="20"/>
                <w:szCs w:val="20"/>
              </w:rPr>
              <w:t xml:space="preserve">u </w:t>
            </w:r>
            <w:proofErr w:type="spellStart"/>
            <w:r w:rsidRPr="00231149">
              <w:rPr>
                <w:b/>
                <w:sz w:val="20"/>
                <w:szCs w:val="20"/>
              </w:rPr>
              <w:t>mln</w:t>
            </w:r>
            <w:proofErr w:type="spellEnd"/>
            <w:r w:rsidRPr="00231149">
              <w:rPr>
                <w:b/>
                <w:sz w:val="20"/>
                <w:szCs w:val="20"/>
              </w:rPr>
              <w:t xml:space="preserve"> EUR</w:t>
            </w:r>
          </w:p>
        </w:tc>
      </w:tr>
      <w:tr w:rsidR="00231149" w:rsidRPr="00231149" w14:paraId="3E2BE2FB" w14:textId="77777777" w:rsidTr="00746187">
        <w:trPr>
          <w:trHeight w:val="40"/>
        </w:trPr>
        <w:tc>
          <w:tcPr>
            <w:tcW w:w="3376" w:type="dxa"/>
            <w:shd w:val="clear" w:color="auto" w:fill="auto"/>
            <w:noWrap/>
            <w:vAlign w:val="center"/>
            <w:hideMark/>
          </w:tcPr>
          <w:p w14:paraId="575C8DDE" w14:textId="77777777" w:rsidR="00231149" w:rsidRPr="00231149" w:rsidRDefault="00231149" w:rsidP="00231149">
            <w:pPr>
              <w:rPr>
                <w:rFonts w:eastAsia="Times New Roman"/>
                <w:b/>
                <w:bCs/>
                <w:sz w:val="20"/>
                <w:szCs w:val="20"/>
              </w:rPr>
            </w:pPr>
            <w:r w:rsidRPr="00231149">
              <w:rPr>
                <w:rFonts w:eastAsia="Times New Roman"/>
                <w:b/>
                <w:bCs/>
                <w:sz w:val="20"/>
                <w:szCs w:val="20"/>
              </w:rPr>
              <w:t>A1</w:t>
            </w:r>
            <w:r w:rsidRPr="00231149">
              <w:rPr>
                <w:rFonts w:eastAsia="Times New Roman"/>
                <w:sz w:val="20"/>
                <w:szCs w:val="20"/>
              </w:rPr>
              <w:t xml:space="preserve"> subvencije</w:t>
            </w:r>
          </w:p>
        </w:tc>
        <w:tc>
          <w:tcPr>
            <w:tcW w:w="1439" w:type="dxa"/>
            <w:vAlign w:val="center"/>
          </w:tcPr>
          <w:p w14:paraId="14BB6CD8" w14:textId="4D0F5B9A" w:rsidR="00231149" w:rsidRPr="00231149" w:rsidRDefault="00231149" w:rsidP="00231149">
            <w:pPr>
              <w:jc w:val="right"/>
              <w:rPr>
                <w:sz w:val="20"/>
                <w:szCs w:val="14"/>
              </w:rPr>
            </w:pPr>
            <w:r w:rsidRPr="00231149">
              <w:rPr>
                <w:sz w:val="20"/>
                <w:szCs w:val="14"/>
              </w:rPr>
              <w:t>-</w:t>
            </w:r>
          </w:p>
        </w:tc>
        <w:tc>
          <w:tcPr>
            <w:tcW w:w="1559" w:type="dxa"/>
          </w:tcPr>
          <w:p w14:paraId="754B6339" w14:textId="5ED3EB50" w:rsidR="00231149" w:rsidRPr="00231149" w:rsidRDefault="00231149" w:rsidP="00231149">
            <w:pPr>
              <w:jc w:val="right"/>
              <w:rPr>
                <w:sz w:val="20"/>
                <w:szCs w:val="14"/>
              </w:rPr>
            </w:pPr>
            <w:r w:rsidRPr="00231149">
              <w:rPr>
                <w:sz w:val="20"/>
                <w:szCs w:val="14"/>
              </w:rPr>
              <w:t>-</w:t>
            </w:r>
          </w:p>
        </w:tc>
        <w:tc>
          <w:tcPr>
            <w:tcW w:w="1559" w:type="dxa"/>
            <w:vAlign w:val="center"/>
          </w:tcPr>
          <w:p w14:paraId="682A69DB" w14:textId="0149A576" w:rsidR="00231149" w:rsidRPr="00231149" w:rsidRDefault="00231149" w:rsidP="00231149">
            <w:pPr>
              <w:jc w:val="right"/>
              <w:rPr>
                <w:sz w:val="20"/>
                <w:szCs w:val="14"/>
              </w:rPr>
            </w:pPr>
            <w:r w:rsidRPr="00231149">
              <w:rPr>
                <w:rFonts w:eastAsia="Times New Roman"/>
                <w:sz w:val="20"/>
                <w:szCs w:val="20"/>
                <w:lang w:eastAsia="hr-HR"/>
              </w:rPr>
              <w:t>5,8</w:t>
            </w:r>
          </w:p>
        </w:tc>
      </w:tr>
      <w:tr w:rsidR="00231149" w:rsidRPr="00231149" w14:paraId="13BAD033" w14:textId="77777777" w:rsidTr="00746187">
        <w:trPr>
          <w:trHeight w:val="40"/>
        </w:trPr>
        <w:tc>
          <w:tcPr>
            <w:tcW w:w="3376" w:type="dxa"/>
            <w:shd w:val="clear" w:color="000000" w:fill="FFFF99"/>
            <w:noWrap/>
            <w:vAlign w:val="center"/>
            <w:hideMark/>
          </w:tcPr>
          <w:p w14:paraId="20856884" w14:textId="77777777" w:rsidR="00231149" w:rsidRPr="00231149" w:rsidRDefault="00231149" w:rsidP="00231149">
            <w:pPr>
              <w:rPr>
                <w:rFonts w:eastAsia="Times New Roman"/>
                <w:b/>
                <w:bCs/>
                <w:sz w:val="20"/>
                <w:szCs w:val="20"/>
              </w:rPr>
            </w:pPr>
            <w:r w:rsidRPr="00231149">
              <w:rPr>
                <w:rFonts w:eastAsia="Times New Roman"/>
                <w:b/>
                <w:bCs/>
                <w:sz w:val="20"/>
                <w:szCs w:val="20"/>
              </w:rPr>
              <w:t>UKUPNO</w:t>
            </w:r>
          </w:p>
        </w:tc>
        <w:tc>
          <w:tcPr>
            <w:tcW w:w="1439" w:type="dxa"/>
            <w:shd w:val="clear" w:color="000000" w:fill="FFFF99"/>
          </w:tcPr>
          <w:p w14:paraId="390744B4" w14:textId="746FE568" w:rsidR="00231149" w:rsidRPr="00231149" w:rsidRDefault="00231149" w:rsidP="00231149">
            <w:pPr>
              <w:jc w:val="right"/>
              <w:rPr>
                <w:b/>
                <w:sz w:val="20"/>
                <w:szCs w:val="14"/>
              </w:rPr>
            </w:pPr>
            <w:r w:rsidRPr="00231149">
              <w:rPr>
                <w:sz w:val="20"/>
                <w:szCs w:val="14"/>
              </w:rPr>
              <w:t>-</w:t>
            </w:r>
          </w:p>
        </w:tc>
        <w:tc>
          <w:tcPr>
            <w:tcW w:w="1559" w:type="dxa"/>
            <w:shd w:val="clear" w:color="000000" w:fill="FFFF99"/>
          </w:tcPr>
          <w:p w14:paraId="66E3826F" w14:textId="02F73EE6" w:rsidR="00231149" w:rsidRPr="00231149" w:rsidRDefault="00231149" w:rsidP="00231149">
            <w:pPr>
              <w:jc w:val="right"/>
              <w:rPr>
                <w:b/>
                <w:sz w:val="20"/>
                <w:szCs w:val="14"/>
              </w:rPr>
            </w:pPr>
            <w:r w:rsidRPr="00231149">
              <w:rPr>
                <w:sz w:val="20"/>
                <w:szCs w:val="14"/>
              </w:rPr>
              <w:t>-</w:t>
            </w:r>
          </w:p>
        </w:tc>
        <w:tc>
          <w:tcPr>
            <w:tcW w:w="1559" w:type="dxa"/>
            <w:shd w:val="clear" w:color="000000" w:fill="FFFF99"/>
            <w:vAlign w:val="center"/>
          </w:tcPr>
          <w:p w14:paraId="410FBC62" w14:textId="015D3E84" w:rsidR="00231149" w:rsidRPr="00231149" w:rsidRDefault="00231149" w:rsidP="00231149">
            <w:pPr>
              <w:jc w:val="right"/>
              <w:rPr>
                <w:b/>
                <w:sz w:val="20"/>
                <w:szCs w:val="14"/>
              </w:rPr>
            </w:pPr>
            <w:r w:rsidRPr="00231149">
              <w:rPr>
                <w:rFonts w:eastAsia="Times New Roman"/>
                <w:b/>
                <w:bCs/>
                <w:sz w:val="20"/>
                <w:szCs w:val="20"/>
                <w:lang w:eastAsia="hr-HR"/>
              </w:rPr>
              <w:t>5,8</w:t>
            </w:r>
          </w:p>
        </w:tc>
      </w:tr>
      <w:tr w:rsidR="00231149" w:rsidRPr="00231149" w14:paraId="4FA37B51" w14:textId="77777777" w:rsidTr="00746187">
        <w:trPr>
          <w:trHeight w:val="40"/>
        </w:trPr>
        <w:tc>
          <w:tcPr>
            <w:tcW w:w="3376" w:type="dxa"/>
            <w:shd w:val="clear" w:color="auto" w:fill="auto"/>
            <w:vAlign w:val="center"/>
            <w:hideMark/>
          </w:tcPr>
          <w:p w14:paraId="00D1EAC8" w14:textId="77777777" w:rsidR="00231149" w:rsidRPr="00231149" w:rsidRDefault="00231149" w:rsidP="00231149">
            <w:pPr>
              <w:rPr>
                <w:rFonts w:eastAsia="Times New Roman"/>
                <w:sz w:val="20"/>
                <w:szCs w:val="20"/>
              </w:rPr>
            </w:pPr>
            <w:r w:rsidRPr="00231149">
              <w:rPr>
                <w:rFonts w:eastAsia="Times New Roman"/>
                <w:sz w:val="20"/>
              </w:rPr>
              <w:t>udio (%) u posebnim sektorima</w:t>
            </w:r>
          </w:p>
        </w:tc>
        <w:tc>
          <w:tcPr>
            <w:tcW w:w="1439" w:type="dxa"/>
          </w:tcPr>
          <w:p w14:paraId="10289B41" w14:textId="03C0B142" w:rsidR="00231149" w:rsidRPr="00231149" w:rsidRDefault="00231149" w:rsidP="00231149">
            <w:pPr>
              <w:jc w:val="center"/>
              <w:rPr>
                <w:sz w:val="20"/>
                <w:szCs w:val="14"/>
              </w:rPr>
            </w:pPr>
            <w:r w:rsidRPr="00231149">
              <w:rPr>
                <w:sz w:val="20"/>
                <w:szCs w:val="14"/>
              </w:rPr>
              <w:t>-</w:t>
            </w:r>
          </w:p>
        </w:tc>
        <w:tc>
          <w:tcPr>
            <w:tcW w:w="1559" w:type="dxa"/>
          </w:tcPr>
          <w:p w14:paraId="00D8C09E" w14:textId="6234A112" w:rsidR="00231149" w:rsidRPr="00231149" w:rsidRDefault="00231149" w:rsidP="00231149">
            <w:pPr>
              <w:jc w:val="center"/>
              <w:rPr>
                <w:sz w:val="20"/>
                <w:szCs w:val="14"/>
              </w:rPr>
            </w:pPr>
            <w:r w:rsidRPr="00231149">
              <w:rPr>
                <w:sz w:val="20"/>
                <w:szCs w:val="14"/>
              </w:rPr>
              <w:t>-</w:t>
            </w:r>
          </w:p>
        </w:tc>
        <w:tc>
          <w:tcPr>
            <w:tcW w:w="1559" w:type="dxa"/>
            <w:vAlign w:val="center"/>
          </w:tcPr>
          <w:p w14:paraId="16622EA0" w14:textId="39CF0FC6" w:rsidR="00231149" w:rsidRPr="00231149" w:rsidRDefault="00231149" w:rsidP="00231149">
            <w:pPr>
              <w:jc w:val="center"/>
              <w:rPr>
                <w:sz w:val="20"/>
                <w:szCs w:val="14"/>
              </w:rPr>
            </w:pPr>
            <w:r w:rsidRPr="00231149">
              <w:rPr>
                <w:rFonts w:eastAsia="Times New Roman"/>
                <w:sz w:val="20"/>
                <w:szCs w:val="20"/>
                <w:lang w:eastAsia="hr-HR"/>
              </w:rPr>
              <w:t>0,68</w:t>
            </w:r>
          </w:p>
        </w:tc>
      </w:tr>
      <w:tr w:rsidR="00231149" w:rsidRPr="00231149" w14:paraId="5D4F1D9A" w14:textId="77777777" w:rsidTr="00746187">
        <w:trPr>
          <w:trHeight w:val="90"/>
        </w:trPr>
        <w:tc>
          <w:tcPr>
            <w:tcW w:w="3376" w:type="dxa"/>
            <w:shd w:val="clear" w:color="auto" w:fill="auto"/>
            <w:vAlign w:val="center"/>
            <w:hideMark/>
          </w:tcPr>
          <w:p w14:paraId="4DBEAF30" w14:textId="77777777" w:rsidR="00231149" w:rsidRPr="00231149" w:rsidRDefault="00231149" w:rsidP="00231149">
            <w:pPr>
              <w:rPr>
                <w:rFonts w:eastAsia="Times New Roman"/>
                <w:sz w:val="20"/>
                <w:szCs w:val="20"/>
              </w:rPr>
            </w:pPr>
            <w:r w:rsidRPr="00231149">
              <w:rPr>
                <w:rFonts w:eastAsia="Times New Roman"/>
                <w:sz w:val="20"/>
                <w:szCs w:val="20"/>
              </w:rPr>
              <w:t>udio (%) u ukupnim potporama (bez poljoprivrede i ribarstva)</w:t>
            </w:r>
          </w:p>
        </w:tc>
        <w:tc>
          <w:tcPr>
            <w:tcW w:w="1439" w:type="dxa"/>
          </w:tcPr>
          <w:p w14:paraId="27539955" w14:textId="125CE8CD" w:rsidR="00231149" w:rsidRPr="00231149" w:rsidRDefault="00231149" w:rsidP="00231149">
            <w:pPr>
              <w:jc w:val="center"/>
              <w:rPr>
                <w:sz w:val="20"/>
                <w:szCs w:val="14"/>
              </w:rPr>
            </w:pPr>
            <w:r w:rsidRPr="00231149">
              <w:rPr>
                <w:sz w:val="20"/>
                <w:szCs w:val="14"/>
              </w:rPr>
              <w:t>-</w:t>
            </w:r>
          </w:p>
        </w:tc>
        <w:tc>
          <w:tcPr>
            <w:tcW w:w="1559" w:type="dxa"/>
          </w:tcPr>
          <w:p w14:paraId="4D2E2400" w14:textId="18140D21" w:rsidR="00231149" w:rsidRPr="00231149" w:rsidRDefault="00231149" w:rsidP="00231149">
            <w:pPr>
              <w:jc w:val="center"/>
              <w:rPr>
                <w:sz w:val="20"/>
                <w:szCs w:val="14"/>
              </w:rPr>
            </w:pPr>
            <w:r w:rsidRPr="00231149">
              <w:rPr>
                <w:sz w:val="20"/>
                <w:szCs w:val="14"/>
              </w:rPr>
              <w:t>-</w:t>
            </w:r>
          </w:p>
        </w:tc>
        <w:tc>
          <w:tcPr>
            <w:tcW w:w="1559" w:type="dxa"/>
            <w:vAlign w:val="center"/>
          </w:tcPr>
          <w:p w14:paraId="7E27F0D5" w14:textId="06EE3962" w:rsidR="00231149" w:rsidRPr="00231149" w:rsidRDefault="00231149" w:rsidP="00231149">
            <w:pPr>
              <w:jc w:val="center"/>
              <w:rPr>
                <w:sz w:val="20"/>
                <w:szCs w:val="14"/>
              </w:rPr>
            </w:pPr>
            <w:r w:rsidRPr="00231149">
              <w:rPr>
                <w:rFonts w:eastAsia="Times New Roman"/>
                <w:sz w:val="20"/>
                <w:szCs w:val="20"/>
                <w:lang w:eastAsia="hr-HR"/>
              </w:rPr>
              <w:t>0,29</w:t>
            </w:r>
          </w:p>
        </w:tc>
      </w:tr>
      <w:tr w:rsidR="00231149" w:rsidRPr="00231149" w14:paraId="1C2AA729" w14:textId="77777777" w:rsidTr="00746187">
        <w:trPr>
          <w:trHeight w:val="40"/>
        </w:trPr>
        <w:tc>
          <w:tcPr>
            <w:tcW w:w="3376" w:type="dxa"/>
            <w:shd w:val="clear" w:color="auto" w:fill="auto"/>
            <w:vAlign w:val="center"/>
            <w:hideMark/>
          </w:tcPr>
          <w:p w14:paraId="3F2F9176" w14:textId="77777777" w:rsidR="00231149" w:rsidRPr="00231149" w:rsidRDefault="00231149" w:rsidP="00231149">
            <w:pPr>
              <w:rPr>
                <w:rFonts w:eastAsia="Times New Roman"/>
                <w:sz w:val="20"/>
                <w:szCs w:val="20"/>
              </w:rPr>
            </w:pPr>
            <w:r w:rsidRPr="00231149">
              <w:rPr>
                <w:rFonts w:eastAsia="Times New Roman"/>
                <w:sz w:val="20"/>
                <w:szCs w:val="20"/>
              </w:rPr>
              <w:t>udio (%) u ukupnim potporama</w:t>
            </w:r>
          </w:p>
        </w:tc>
        <w:tc>
          <w:tcPr>
            <w:tcW w:w="1439" w:type="dxa"/>
          </w:tcPr>
          <w:p w14:paraId="1EEC20A7" w14:textId="115BC051" w:rsidR="00231149" w:rsidRPr="00231149" w:rsidRDefault="00231149" w:rsidP="00231149">
            <w:pPr>
              <w:jc w:val="center"/>
              <w:rPr>
                <w:sz w:val="20"/>
                <w:szCs w:val="14"/>
              </w:rPr>
            </w:pPr>
            <w:r w:rsidRPr="00231149">
              <w:rPr>
                <w:sz w:val="20"/>
                <w:szCs w:val="14"/>
              </w:rPr>
              <w:t>-</w:t>
            </w:r>
          </w:p>
        </w:tc>
        <w:tc>
          <w:tcPr>
            <w:tcW w:w="1559" w:type="dxa"/>
          </w:tcPr>
          <w:p w14:paraId="63AD76C4" w14:textId="54487072" w:rsidR="00231149" w:rsidRPr="00231149" w:rsidRDefault="00231149" w:rsidP="00231149">
            <w:pPr>
              <w:jc w:val="center"/>
              <w:rPr>
                <w:sz w:val="20"/>
                <w:szCs w:val="14"/>
              </w:rPr>
            </w:pPr>
            <w:r w:rsidRPr="00231149">
              <w:rPr>
                <w:sz w:val="20"/>
                <w:szCs w:val="14"/>
              </w:rPr>
              <w:t>-</w:t>
            </w:r>
          </w:p>
        </w:tc>
        <w:tc>
          <w:tcPr>
            <w:tcW w:w="1559" w:type="dxa"/>
            <w:vAlign w:val="center"/>
          </w:tcPr>
          <w:p w14:paraId="10B21DB7" w14:textId="2D4F00D6" w:rsidR="00231149" w:rsidRPr="00231149" w:rsidRDefault="00231149" w:rsidP="00231149">
            <w:pPr>
              <w:jc w:val="center"/>
              <w:rPr>
                <w:sz w:val="20"/>
                <w:szCs w:val="14"/>
              </w:rPr>
            </w:pPr>
            <w:r w:rsidRPr="00231149">
              <w:rPr>
                <w:rFonts w:eastAsia="Times New Roman"/>
                <w:sz w:val="20"/>
                <w:szCs w:val="20"/>
                <w:lang w:eastAsia="hr-HR"/>
              </w:rPr>
              <w:t>0,19</w:t>
            </w:r>
          </w:p>
        </w:tc>
      </w:tr>
      <w:tr w:rsidR="00231149" w:rsidRPr="00231149" w14:paraId="06DE0612" w14:textId="77777777" w:rsidTr="00746187">
        <w:trPr>
          <w:trHeight w:val="40"/>
        </w:trPr>
        <w:tc>
          <w:tcPr>
            <w:tcW w:w="3376" w:type="dxa"/>
            <w:shd w:val="clear" w:color="auto" w:fill="auto"/>
            <w:vAlign w:val="center"/>
            <w:hideMark/>
          </w:tcPr>
          <w:p w14:paraId="2B5B93C8" w14:textId="77777777" w:rsidR="00231149" w:rsidRPr="00231149" w:rsidRDefault="00231149" w:rsidP="00231149">
            <w:pPr>
              <w:rPr>
                <w:rFonts w:eastAsia="Times New Roman"/>
                <w:sz w:val="20"/>
                <w:szCs w:val="20"/>
              </w:rPr>
            </w:pPr>
            <w:r w:rsidRPr="00231149">
              <w:rPr>
                <w:rFonts w:eastAsia="Times New Roman"/>
                <w:sz w:val="20"/>
                <w:szCs w:val="20"/>
              </w:rPr>
              <w:t>udio (%) u BDP-u</w:t>
            </w:r>
          </w:p>
        </w:tc>
        <w:tc>
          <w:tcPr>
            <w:tcW w:w="1439" w:type="dxa"/>
          </w:tcPr>
          <w:p w14:paraId="734128DC" w14:textId="07ED8D9D" w:rsidR="00231149" w:rsidRPr="00231149" w:rsidRDefault="00231149" w:rsidP="00231149">
            <w:pPr>
              <w:jc w:val="center"/>
              <w:rPr>
                <w:sz w:val="20"/>
                <w:szCs w:val="14"/>
              </w:rPr>
            </w:pPr>
            <w:r w:rsidRPr="00231149">
              <w:rPr>
                <w:sz w:val="20"/>
                <w:szCs w:val="14"/>
              </w:rPr>
              <w:t>-</w:t>
            </w:r>
          </w:p>
        </w:tc>
        <w:tc>
          <w:tcPr>
            <w:tcW w:w="1559" w:type="dxa"/>
          </w:tcPr>
          <w:p w14:paraId="25C96B85" w14:textId="7A0EADDC" w:rsidR="00231149" w:rsidRPr="00231149" w:rsidRDefault="00231149" w:rsidP="00231149">
            <w:pPr>
              <w:jc w:val="center"/>
              <w:rPr>
                <w:sz w:val="20"/>
                <w:szCs w:val="14"/>
              </w:rPr>
            </w:pPr>
            <w:r w:rsidRPr="00231149">
              <w:rPr>
                <w:sz w:val="20"/>
                <w:szCs w:val="14"/>
              </w:rPr>
              <w:t>-</w:t>
            </w:r>
          </w:p>
        </w:tc>
        <w:tc>
          <w:tcPr>
            <w:tcW w:w="1559" w:type="dxa"/>
            <w:vAlign w:val="center"/>
          </w:tcPr>
          <w:p w14:paraId="3B2EA0DD" w14:textId="099FCD28" w:rsidR="00231149" w:rsidRPr="00231149" w:rsidRDefault="00231149" w:rsidP="00231149">
            <w:pPr>
              <w:jc w:val="center"/>
              <w:rPr>
                <w:sz w:val="20"/>
                <w:szCs w:val="14"/>
              </w:rPr>
            </w:pPr>
            <w:r w:rsidRPr="00231149">
              <w:rPr>
                <w:rFonts w:eastAsia="Times New Roman"/>
                <w:sz w:val="20"/>
                <w:szCs w:val="20"/>
                <w:lang w:eastAsia="hr-HR"/>
              </w:rPr>
              <w:t>0,01</w:t>
            </w:r>
          </w:p>
        </w:tc>
      </w:tr>
    </w:tbl>
    <w:p w14:paraId="35D4F2A8" w14:textId="77777777" w:rsidR="00231149" w:rsidRPr="00231149" w:rsidRDefault="00231149" w:rsidP="00231149">
      <w:pPr>
        <w:contextualSpacing/>
        <w:jc w:val="both"/>
        <w:rPr>
          <w:i/>
          <w:sz w:val="20"/>
        </w:rPr>
      </w:pPr>
      <w:r w:rsidRPr="00231149">
        <w:rPr>
          <w:i/>
          <w:sz w:val="20"/>
        </w:rPr>
        <w:t>Izvor: Ministarstvo financija i ostali davatelji potpora; podaci obrađeni u Ministarstvu financija</w:t>
      </w:r>
    </w:p>
    <w:p w14:paraId="2105733D" w14:textId="64A4C41F" w:rsidR="00CE5303" w:rsidRPr="006751B5" w:rsidRDefault="00CE5303" w:rsidP="00BE487D">
      <w:pPr>
        <w:autoSpaceDE w:val="0"/>
        <w:autoSpaceDN w:val="0"/>
        <w:adjustRightInd w:val="0"/>
        <w:contextualSpacing/>
        <w:jc w:val="both"/>
        <w:rPr>
          <w:bCs/>
          <w:lang w:eastAsia="hr-HR"/>
        </w:rPr>
      </w:pPr>
    </w:p>
    <w:p w14:paraId="7F07C371" w14:textId="3A80AD62" w:rsidR="006751B5" w:rsidRPr="00A368AA" w:rsidRDefault="006751B5" w:rsidP="006751B5">
      <w:pPr>
        <w:jc w:val="both"/>
      </w:pPr>
      <w:r w:rsidRPr="006751B5">
        <w:t>Udio potpora za razvoj širokopojasnih mreža u BDP-u u 2023. godini iznosio je 0,01 posto, udio u ukupno dodijeljenim potporama iznosio je 0,2 posto, udio u dodijeljenim potporama u sektoru industrije i usluga iznosio je 0,3 posto, dok je udio sektorskim potporama iznosio 0,7 posto.</w:t>
      </w:r>
      <w:r>
        <w:t xml:space="preserve"> </w:t>
      </w:r>
      <w:r w:rsidRPr="00A368AA">
        <w:t xml:space="preserve">Jedini instrument putem kojeg su dodjeljivane </w:t>
      </w:r>
      <w:r w:rsidR="004A64F4">
        <w:t xml:space="preserve">navedene </w:t>
      </w:r>
      <w:r w:rsidRPr="00A368AA">
        <w:t xml:space="preserve">potpore su </w:t>
      </w:r>
      <w:r w:rsidR="004A64F4">
        <w:t>subvencije</w:t>
      </w:r>
      <w:r w:rsidRPr="00A368AA">
        <w:t>.</w:t>
      </w:r>
    </w:p>
    <w:p w14:paraId="4E4AFD1C" w14:textId="77777777" w:rsidR="006751B5" w:rsidRPr="006751B5" w:rsidRDefault="006751B5" w:rsidP="006751B5">
      <w:pPr>
        <w:jc w:val="both"/>
        <w:rPr>
          <w:b/>
        </w:rPr>
      </w:pPr>
    </w:p>
    <w:p w14:paraId="7CF9866C" w14:textId="472C61BF" w:rsidR="004A64F4" w:rsidRPr="004A64F4" w:rsidRDefault="006751B5" w:rsidP="004A64F4">
      <w:pPr>
        <w:jc w:val="both"/>
      </w:pPr>
      <w:r w:rsidRPr="00B75A66">
        <w:rPr>
          <w:u w:val="single"/>
        </w:rPr>
        <w:t>Ministarstvo mora, prometa i infrastrukture</w:t>
      </w:r>
      <w:r w:rsidRPr="004A64F4">
        <w:t xml:space="preserve"> </w:t>
      </w:r>
      <w:r w:rsidR="004A64F4" w:rsidRPr="004A64F4">
        <w:t>je kao jedini davatelji potpora za razvoj širokopojasnih mreža u 2023. godini d</w:t>
      </w:r>
      <w:r w:rsidRPr="004A64F4">
        <w:t xml:space="preserve">odijelilo iznosu od </w:t>
      </w:r>
      <w:r w:rsidR="004A64F4" w:rsidRPr="004A64F4">
        <w:t>5,8</w:t>
      </w:r>
      <w:r w:rsidRPr="004A64F4">
        <w:t xml:space="preserve"> milijuna eura temeljem </w:t>
      </w:r>
      <w:r w:rsidR="004A64F4" w:rsidRPr="004A64F4">
        <w:t>Odluke o dodjeli pojedinačne jednokratne državne potpore poduzetniku Odašiljači i veze d</w:t>
      </w:r>
      <w:r w:rsidR="00D54074">
        <w:t>.</w:t>
      </w:r>
      <w:r w:rsidR="004A64F4" w:rsidRPr="004A64F4">
        <w:t>o.o. za provedbu projekta izgradnje pasivne elektroničke komunikacijske infrastrukture</w:t>
      </w:r>
      <w:r w:rsidRPr="004A64F4">
        <w:t xml:space="preserve">, </w:t>
      </w:r>
      <w:r w:rsidR="004A64F4" w:rsidRPr="004A64F4">
        <w:t>a o kojem je Europska komisija obaviještena pod brojem SA.109933.</w:t>
      </w:r>
    </w:p>
    <w:p w14:paraId="3BEDF130" w14:textId="77777777" w:rsidR="0030508F" w:rsidRPr="00231149" w:rsidRDefault="0030508F" w:rsidP="00BE487D">
      <w:pPr>
        <w:autoSpaceDE w:val="0"/>
        <w:autoSpaceDN w:val="0"/>
        <w:adjustRightInd w:val="0"/>
        <w:contextualSpacing/>
        <w:jc w:val="both"/>
        <w:rPr>
          <w:bCs/>
          <w:lang w:eastAsia="hr-HR"/>
        </w:rPr>
      </w:pPr>
    </w:p>
    <w:p w14:paraId="3388DC89" w14:textId="77777777" w:rsidR="00CE5303" w:rsidRPr="00231149" w:rsidRDefault="00CE5303" w:rsidP="00BE487D">
      <w:pPr>
        <w:autoSpaceDE w:val="0"/>
        <w:autoSpaceDN w:val="0"/>
        <w:adjustRightInd w:val="0"/>
        <w:contextualSpacing/>
        <w:jc w:val="both"/>
        <w:rPr>
          <w:bCs/>
          <w:lang w:eastAsia="hr-HR"/>
        </w:rPr>
      </w:pPr>
    </w:p>
    <w:p w14:paraId="5373791B" w14:textId="77777777" w:rsidR="004009E5" w:rsidRPr="00231149" w:rsidRDefault="004009E5" w:rsidP="00BE487D">
      <w:pPr>
        <w:jc w:val="both"/>
      </w:pPr>
    </w:p>
    <w:p w14:paraId="0FF9E7D7" w14:textId="77777777" w:rsidR="00A5297F" w:rsidRPr="00231149" w:rsidRDefault="00A5297F">
      <w:pPr>
        <w:rPr>
          <w:rFonts w:eastAsiaTheme="majorEastAsia"/>
          <w:b/>
          <w:sz w:val="28"/>
        </w:rPr>
      </w:pPr>
      <w:r w:rsidRPr="00231149">
        <w:rPr>
          <w:b/>
          <w:sz w:val="28"/>
        </w:rPr>
        <w:br w:type="page"/>
      </w:r>
    </w:p>
    <w:p w14:paraId="013FCD38" w14:textId="198E5425" w:rsidR="00140086" w:rsidRPr="00231149" w:rsidRDefault="00863EE5" w:rsidP="00507F70">
      <w:pPr>
        <w:pStyle w:val="Heading2"/>
        <w:ind w:left="754" w:hanging="397"/>
      </w:pPr>
      <w:bookmarkStart w:id="31" w:name="_Toc184635861"/>
      <w:r w:rsidRPr="00231149">
        <w:lastRenderedPageBreak/>
        <w:t>POTPORE U SVRHU PODRŠKE GOSPODARSTVU U AKTUALNOJ PANDEMIJI COVID</w:t>
      </w:r>
      <w:r w:rsidR="00312D49" w:rsidRPr="00231149">
        <w:t>–</w:t>
      </w:r>
      <w:r w:rsidRPr="00231149">
        <w:t>19</w:t>
      </w:r>
      <w:r w:rsidR="00336EEC" w:rsidRPr="00231149">
        <w:t xml:space="preserve"> I ZA SUZBIJANJE UČINAKA RUSKE AGRESIJE NA UKRAJINU</w:t>
      </w:r>
      <w:bookmarkEnd w:id="31"/>
    </w:p>
    <w:p w14:paraId="07B093F8" w14:textId="77777777" w:rsidR="00140086" w:rsidRPr="00231149" w:rsidRDefault="00140086" w:rsidP="00BE487D">
      <w:pPr>
        <w:jc w:val="both"/>
        <w:rPr>
          <w:b/>
        </w:rPr>
      </w:pPr>
    </w:p>
    <w:p w14:paraId="1C295488" w14:textId="77777777" w:rsidR="00995EF4" w:rsidRPr="00231149" w:rsidRDefault="00995EF4" w:rsidP="00BE487D">
      <w:pPr>
        <w:jc w:val="both"/>
        <w:rPr>
          <w:b/>
        </w:rPr>
      </w:pPr>
    </w:p>
    <w:p w14:paraId="789CB6AA" w14:textId="3459AE1A" w:rsidR="00552B4E" w:rsidRPr="00EE0D95" w:rsidRDefault="00EE0D95" w:rsidP="00552B4E">
      <w:pPr>
        <w:jc w:val="both"/>
        <w:rPr>
          <w:spacing w:val="-2"/>
        </w:rPr>
      </w:pPr>
      <w:r w:rsidRPr="00EE0D95">
        <w:rPr>
          <w:spacing w:val="-2"/>
        </w:rPr>
        <w:t xml:space="preserve">U državama članicama EU, pa tako i u </w:t>
      </w:r>
      <w:r w:rsidR="00ED678C" w:rsidRPr="00EE0D95">
        <w:rPr>
          <w:spacing w:val="-2"/>
        </w:rPr>
        <w:t xml:space="preserve">Republici Hrvatskoj, </w:t>
      </w:r>
      <w:r w:rsidRPr="00EE0D95">
        <w:rPr>
          <w:spacing w:val="-2"/>
        </w:rPr>
        <w:t xml:space="preserve">zbog </w:t>
      </w:r>
      <w:proofErr w:type="spellStart"/>
      <w:r w:rsidRPr="00EE0D95">
        <w:rPr>
          <w:spacing w:val="-2"/>
        </w:rPr>
        <w:t>pandemije</w:t>
      </w:r>
      <w:proofErr w:type="spellEnd"/>
      <w:r w:rsidRPr="00EE0D95">
        <w:rPr>
          <w:spacing w:val="-2"/>
        </w:rPr>
        <w:t xml:space="preserve"> uzrokovane </w:t>
      </w:r>
      <w:r w:rsidR="00417339" w:rsidRPr="00EE0D95">
        <w:rPr>
          <w:spacing w:val="-2"/>
        </w:rPr>
        <w:t>COVID–19</w:t>
      </w:r>
      <w:r w:rsidRPr="00EE0D95">
        <w:rPr>
          <w:spacing w:val="-2"/>
        </w:rPr>
        <w:t>, gospodarstvo je pretrpjelo teške</w:t>
      </w:r>
      <w:r w:rsidR="00ED678C" w:rsidRPr="00EE0D95">
        <w:rPr>
          <w:spacing w:val="-2"/>
        </w:rPr>
        <w:t xml:space="preserve"> posljedice, </w:t>
      </w:r>
      <w:r w:rsidRPr="00EE0D95">
        <w:rPr>
          <w:spacing w:val="-2"/>
        </w:rPr>
        <w:t xml:space="preserve">pa je Europska komisija usvojila Privremeni Okvir za mjere državnih potpora u svrhu podrške gospodarstvu u aktualnoj </w:t>
      </w:r>
      <w:proofErr w:type="spellStart"/>
      <w:r w:rsidRPr="00EE0D95">
        <w:rPr>
          <w:spacing w:val="-2"/>
        </w:rPr>
        <w:t>pandemiji</w:t>
      </w:r>
      <w:proofErr w:type="spellEnd"/>
      <w:r w:rsidRPr="00EE0D95">
        <w:rPr>
          <w:spacing w:val="-2"/>
        </w:rPr>
        <w:t xml:space="preserve"> </w:t>
      </w:r>
      <w:r w:rsidR="00DF44C6" w:rsidRPr="00EE0D95">
        <w:rPr>
          <w:spacing w:val="-2"/>
        </w:rPr>
        <w:t xml:space="preserve">COVID </w:t>
      </w:r>
      <w:r w:rsidRPr="00EE0D95">
        <w:rPr>
          <w:spacing w:val="-2"/>
        </w:rPr>
        <w:t>–19</w:t>
      </w:r>
      <w:r w:rsidR="00417339" w:rsidRPr="00EE0D95">
        <w:rPr>
          <w:spacing w:val="-2"/>
        </w:rPr>
        <w:t xml:space="preserve"> (</w:t>
      </w:r>
      <w:r w:rsidR="00EC56EF" w:rsidRPr="00EE0D95">
        <w:rPr>
          <w:spacing w:val="-2"/>
        </w:rPr>
        <w:t>u daljnjem tekstu</w:t>
      </w:r>
      <w:r w:rsidR="00417339" w:rsidRPr="00EE0D95">
        <w:rPr>
          <w:spacing w:val="-2"/>
        </w:rPr>
        <w:t>: Privremeni Okvir)</w:t>
      </w:r>
      <w:r w:rsidR="00552B4E" w:rsidRPr="00EE0D95">
        <w:rPr>
          <w:rStyle w:val="FootnoteReference"/>
          <w:spacing w:val="-2"/>
        </w:rPr>
        <w:footnoteReference w:id="35"/>
      </w:r>
      <w:r w:rsidR="00417339" w:rsidRPr="00EE0D95">
        <w:rPr>
          <w:spacing w:val="-2"/>
        </w:rPr>
        <w:t>.</w:t>
      </w:r>
      <w:r w:rsidR="00552B4E" w:rsidRPr="00EE0D95">
        <w:rPr>
          <w:spacing w:val="-2"/>
        </w:rPr>
        <w:t xml:space="preserve"> </w:t>
      </w:r>
      <w:r w:rsidR="00417339" w:rsidRPr="00EE0D95">
        <w:rPr>
          <w:spacing w:val="-2"/>
        </w:rPr>
        <w:t>Privremeni Okvir usvojen je 19. ožujka 2020., a kasnije su slijedile i njegove izmjene</w:t>
      </w:r>
      <w:r w:rsidR="00811099" w:rsidRPr="00EE0D95">
        <w:rPr>
          <w:spacing w:val="-2"/>
        </w:rPr>
        <w:t>,</w:t>
      </w:r>
      <w:r w:rsidR="00417339" w:rsidRPr="00EE0D95">
        <w:rPr>
          <w:spacing w:val="-2"/>
        </w:rPr>
        <w:t xml:space="preserve"> usvojene 3. travnja, 8. svibnja, 29. lipnja i 13. listopada 2020., </w:t>
      </w:r>
      <w:r w:rsidR="00460925" w:rsidRPr="00EE0D95">
        <w:rPr>
          <w:spacing w:val="-2"/>
        </w:rPr>
        <w:t xml:space="preserve">te </w:t>
      </w:r>
      <w:r w:rsidR="00417339" w:rsidRPr="00EE0D95">
        <w:rPr>
          <w:spacing w:val="-2"/>
        </w:rPr>
        <w:t xml:space="preserve">28. siječnja i 18. studenoga 2021. Sukladno zadnjoj, šestoj izmjeni Privremenog Okvira, </w:t>
      </w:r>
      <w:r w:rsidR="00552B4E" w:rsidRPr="00EE0D95">
        <w:rPr>
          <w:spacing w:val="-2"/>
        </w:rPr>
        <w:t xml:space="preserve">dodjela potpora produžena je do 30. lipnja 2022., osim određenih izuzetaka, ovisno o vrsti potpore, koji su navedeni na </w:t>
      </w:r>
      <w:r w:rsidR="0038758B">
        <w:rPr>
          <w:spacing w:val="-2"/>
        </w:rPr>
        <w:t>mrežnoj</w:t>
      </w:r>
      <w:r w:rsidR="00552B4E" w:rsidRPr="00EE0D95">
        <w:rPr>
          <w:spacing w:val="-2"/>
        </w:rPr>
        <w:t xml:space="preserve"> stranici Ministarstva financija</w:t>
      </w:r>
      <w:r w:rsidR="00552B4E" w:rsidRPr="00EE0D95">
        <w:rPr>
          <w:rStyle w:val="FootnoteReference"/>
          <w:spacing w:val="-2"/>
        </w:rPr>
        <w:footnoteReference w:id="36"/>
      </w:r>
      <w:r w:rsidR="00552B4E" w:rsidRPr="00EE0D95">
        <w:rPr>
          <w:spacing w:val="-2"/>
        </w:rPr>
        <w:t>.</w:t>
      </w:r>
    </w:p>
    <w:p w14:paraId="2F18845E" w14:textId="21CF2333" w:rsidR="00552B4E" w:rsidRDefault="00552B4E" w:rsidP="00552B4E"/>
    <w:p w14:paraId="5A9ADBE5" w14:textId="61422533" w:rsidR="00552B4E" w:rsidRPr="00DB31A6" w:rsidRDefault="00ED678C" w:rsidP="00BE487D">
      <w:pPr>
        <w:contextualSpacing/>
        <w:jc w:val="both"/>
      </w:pPr>
      <w:r w:rsidRPr="00EE0D95">
        <w:t>S</w:t>
      </w:r>
      <w:r w:rsidR="00460925" w:rsidRPr="00EE0D95">
        <w:t>ukladno</w:t>
      </w:r>
      <w:r w:rsidRPr="00EE0D95">
        <w:t xml:space="preserve"> navedenom </w:t>
      </w:r>
      <w:r w:rsidR="00460925" w:rsidRPr="00EE0D95">
        <w:t>Privremenom O</w:t>
      </w:r>
      <w:r w:rsidR="00552B4E" w:rsidRPr="00EE0D95">
        <w:t xml:space="preserve">kviru i uz obvezno poštivanje pravila o potporama, </w:t>
      </w:r>
      <w:r w:rsidRPr="00EE0D95">
        <w:t xml:space="preserve">poduzetnicima koji obavljaju gospodarsku djelatnost </w:t>
      </w:r>
      <w:r w:rsidR="00552B4E" w:rsidRPr="00EE0D95">
        <w:t xml:space="preserve">omogućena </w:t>
      </w:r>
      <w:r w:rsidRPr="00EE0D95">
        <w:t xml:space="preserve">je </w:t>
      </w:r>
      <w:r w:rsidR="00552B4E" w:rsidRPr="00EE0D95">
        <w:t xml:space="preserve">dodjela potpora za podršku </w:t>
      </w:r>
      <w:r w:rsidR="00552B4E" w:rsidRPr="00DB31A6">
        <w:t xml:space="preserve">gospodarstvu u aktualnoj </w:t>
      </w:r>
      <w:proofErr w:type="spellStart"/>
      <w:r w:rsidR="00552B4E" w:rsidRPr="00DB31A6">
        <w:t>pandemiji</w:t>
      </w:r>
      <w:proofErr w:type="spellEnd"/>
      <w:r w:rsidR="00552B4E" w:rsidRPr="00DB31A6">
        <w:t xml:space="preserve"> COVID–19.</w:t>
      </w:r>
    </w:p>
    <w:p w14:paraId="6AD72E15" w14:textId="24E570DA" w:rsidR="00E94CEF" w:rsidRPr="00DB31A6" w:rsidRDefault="00E94CEF" w:rsidP="00BE487D">
      <w:pPr>
        <w:contextualSpacing/>
        <w:jc w:val="both"/>
      </w:pPr>
    </w:p>
    <w:p w14:paraId="3F1DA382" w14:textId="1B7CAE16" w:rsidR="00EE0D95" w:rsidRPr="00755F7E" w:rsidRDefault="00DB31A6" w:rsidP="00DB31A6">
      <w:pPr>
        <w:contextualSpacing/>
        <w:jc w:val="both"/>
      </w:pPr>
      <w:r w:rsidRPr="00DB31A6">
        <w:t>Isto tako</w:t>
      </w:r>
      <w:r w:rsidR="00E94CEF" w:rsidRPr="00DB31A6">
        <w:t xml:space="preserve">, </w:t>
      </w:r>
      <w:r w:rsidRPr="00DB31A6">
        <w:t xml:space="preserve">Europska komisija je </w:t>
      </w:r>
      <w:r w:rsidR="00E94CEF" w:rsidRPr="00DB31A6">
        <w:t>zbog ruske agresije na Ukrajinu, izdala 23. ožujka 2022. Privremeni okvir za mjere državne potpore u kriznim situacijama za potporu gospodarstvu nakon ruske agresije na Ukrajinu, čije su prve izmjene usvojene 21. srpnja 2022.</w:t>
      </w:r>
      <w:r w:rsidR="00C26447" w:rsidRPr="00DB31A6">
        <w:rPr>
          <w:rStyle w:val="FootnoteReference"/>
        </w:rPr>
        <w:footnoteReference w:id="37"/>
      </w:r>
      <w:r w:rsidR="00E94CEF" w:rsidRPr="00DB31A6">
        <w:t xml:space="preserve"> </w:t>
      </w:r>
      <w:r w:rsidRPr="00DB31A6">
        <w:t xml:space="preserve">Potom je </w:t>
      </w:r>
      <w:r w:rsidRPr="00755F7E">
        <w:t>Europska komisija 9. ožujka 2023. usvojila novi Privremeni okvir za mjere državne potpore u kriznim situacijama i za tranziciju radi potpore gospodarstvu nakon ruske agresije na Ukrajinu (</w:t>
      </w:r>
      <w:r w:rsidR="00A943A1">
        <w:t xml:space="preserve">u </w:t>
      </w:r>
      <w:r w:rsidRPr="00755F7E">
        <w:t>dalje</w:t>
      </w:r>
      <w:r w:rsidR="00A943A1">
        <w:t>m tekstu</w:t>
      </w:r>
      <w:r w:rsidRPr="00755F7E">
        <w:t>: Privremeni krizni i tranzicijski okvir)</w:t>
      </w:r>
      <w:r w:rsidRPr="00755F7E">
        <w:rPr>
          <w:rStyle w:val="FootnoteReference"/>
        </w:rPr>
        <w:footnoteReference w:id="38"/>
      </w:r>
      <w:r w:rsidRPr="00755F7E">
        <w:t xml:space="preserve"> kako bi se potaknulo uvođenje mjera potpore u sektorima koji su ključni za tranziciju na gospodarstvo s nultom neto stopom emisija, u skladu s Industrijskim planom u okviru Zelenog plana.</w:t>
      </w:r>
      <w:r w:rsidRPr="00755F7E">
        <w:rPr>
          <w:rStyle w:val="FootnoteReference"/>
        </w:rPr>
        <w:footnoteReference w:id="39"/>
      </w:r>
      <w:r w:rsidRPr="00755F7E">
        <w:t xml:space="preserve"> </w:t>
      </w:r>
      <w:r w:rsidR="00755F7E" w:rsidRPr="00755F7E">
        <w:t xml:space="preserve">Pojedine mjere iz </w:t>
      </w:r>
      <w:r w:rsidRPr="00755F7E">
        <w:t>Privremenog kriznog i tranzicijskog okvira bit ć</w:t>
      </w:r>
      <w:r w:rsidR="00755F7E">
        <w:t xml:space="preserve">e na snazi do 31. prosinca 2025., a moguće privremene mjere dodjele navedenih potpora navedene su na </w:t>
      </w:r>
      <w:r w:rsidR="00A943A1">
        <w:t xml:space="preserve">mrežnim </w:t>
      </w:r>
      <w:r w:rsidR="00755F7E">
        <w:t>stranicama Ministarstva financija.</w:t>
      </w:r>
      <w:r w:rsidR="00755F7E">
        <w:rPr>
          <w:rStyle w:val="FootnoteReference"/>
        </w:rPr>
        <w:footnoteReference w:id="40"/>
      </w:r>
    </w:p>
    <w:p w14:paraId="5A472103" w14:textId="6107B770" w:rsidR="00EE0D95" w:rsidRPr="00DB31A6" w:rsidRDefault="00EE0D95" w:rsidP="00DB31A6"/>
    <w:p w14:paraId="51EE51C1" w14:textId="409583AA" w:rsidR="004B0B0B" w:rsidRPr="00AC7524" w:rsidRDefault="000D6853" w:rsidP="004B0B0B">
      <w:pPr>
        <w:jc w:val="both"/>
      </w:pPr>
      <w:r w:rsidRPr="00AC7524">
        <w:t>I u 2023. godini su u Republici Hrvatskoj dodijeljene p</w:t>
      </w:r>
      <w:r w:rsidR="004B0B0B" w:rsidRPr="00AC7524">
        <w:t xml:space="preserve">otpore za podršku gospodarstvu u aktualnoj </w:t>
      </w:r>
      <w:proofErr w:type="spellStart"/>
      <w:r w:rsidR="004B0B0B" w:rsidRPr="00AC7524">
        <w:t>pandemiji</w:t>
      </w:r>
      <w:proofErr w:type="spellEnd"/>
      <w:r w:rsidR="004B0B0B" w:rsidRPr="00AC7524">
        <w:t xml:space="preserve"> COVID–19 te za suzbijanje učinaka ruske agresije na Ukrajinu </w:t>
      </w:r>
      <w:r w:rsidRPr="00AC7524">
        <w:t xml:space="preserve">i to u </w:t>
      </w:r>
      <w:r w:rsidR="004B0B0B" w:rsidRPr="00AC7524">
        <w:t xml:space="preserve">iznosu od </w:t>
      </w:r>
      <w:r w:rsidR="00AC7524" w:rsidRPr="00AC7524">
        <w:t xml:space="preserve">556,6 </w:t>
      </w:r>
      <w:r w:rsidR="004B0B0B" w:rsidRPr="00AC7524">
        <w:t xml:space="preserve">milijuna </w:t>
      </w:r>
      <w:r w:rsidRPr="00AC7524">
        <w:t>eura</w:t>
      </w:r>
      <w:r w:rsidR="004B0B0B" w:rsidRPr="00AC7524">
        <w:t xml:space="preserve">, što je smanjenje za </w:t>
      </w:r>
      <w:r w:rsidR="00AC7524" w:rsidRPr="00AC7524">
        <w:t xml:space="preserve">553,6 </w:t>
      </w:r>
      <w:r w:rsidR="004B0B0B" w:rsidRPr="00AC7524">
        <w:t xml:space="preserve">milijuna </w:t>
      </w:r>
      <w:r w:rsidRPr="00AC7524">
        <w:t xml:space="preserve">eura </w:t>
      </w:r>
      <w:r w:rsidR="004B0B0B" w:rsidRPr="00AC7524">
        <w:t xml:space="preserve">odnosno za </w:t>
      </w:r>
      <w:r w:rsidR="00AC7524" w:rsidRPr="00AC7524">
        <w:t xml:space="preserve">49,9 </w:t>
      </w:r>
      <w:r w:rsidR="004B0B0B" w:rsidRPr="00AC7524">
        <w:t>posto u odnosu na 202</w:t>
      </w:r>
      <w:r w:rsidR="00AC7524" w:rsidRPr="00AC7524">
        <w:t>2</w:t>
      </w:r>
      <w:r w:rsidR="004B0B0B" w:rsidRPr="00AC7524">
        <w:t xml:space="preserve">. godinu, kada su </w:t>
      </w:r>
      <w:r w:rsidR="00AC7524" w:rsidRPr="00AC7524">
        <w:t xml:space="preserve">navedene </w:t>
      </w:r>
      <w:r w:rsidR="004B0B0B" w:rsidRPr="00AC7524">
        <w:t xml:space="preserve">potpore dodijeljene u iznosu od </w:t>
      </w:r>
      <w:r w:rsidR="00AC7524" w:rsidRPr="00AC7524">
        <w:t xml:space="preserve">1.110,2 </w:t>
      </w:r>
      <w:r w:rsidR="004B0B0B" w:rsidRPr="00AC7524">
        <w:t xml:space="preserve">milijuna </w:t>
      </w:r>
      <w:r w:rsidRPr="00AC7524">
        <w:t>eura</w:t>
      </w:r>
      <w:r w:rsidR="004B0B0B" w:rsidRPr="00AC7524">
        <w:t xml:space="preserve">, te je smanjenje za </w:t>
      </w:r>
      <w:r w:rsidR="00AC7524" w:rsidRPr="00AC7524">
        <w:t xml:space="preserve">297,9 </w:t>
      </w:r>
      <w:r w:rsidR="004B0B0B" w:rsidRPr="00AC7524">
        <w:t>milijun</w:t>
      </w:r>
      <w:r w:rsidR="00AC7524" w:rsidRPr="00AC7524">
        <w:t>a</w:t>
      </w:r>
      <w:r w:rsidR="004B0B0B" w:rsidRPr="00AC7524">
        <w:t xml:space="preserve"> </w:t>
      </w:r>
      <w:r w:rsidRPr="00AC7524">
        <w:t>eura</w:t>
      </w:r>
      <w:r w:rsidR="004B0B0B" w:rsidRPr="00AC7524">
        <w:t xml:space="preserve"> ili za </w:t>
      </w:r>
      <w:r w:rsidR="00AC7524" w:rsidRPr="00AC7524">
        <w:t xml:space="preserve">34,9 </w:t>
      </w:r>
      <w:r w:rsidR="004B0B0B" w:rsidRPr="00AC7524">
        <w:t>posto u odnosu na 202</w:t>
      </w:r>
      <w:r w:rsidR="00AC7524" w:rsidRPr="00AC7524">
        <w:t>1</w:t>
      </w:r>
      <w:r w:rsidR="004B0B0B" w:rsidRPr="00AC7524">
        <w:t xml:space="preserve">. godinu kada su potpore dodijeljene u iznosu od </w:t>
      </w:r>
      <w:r w:rsidR="00AC7524" w:rsidRPr="00AC7524">
        <w:t xml:space="preserve">854,5 </w:t>
      </w:r>
      <w:r w:rsidR="004B0B0B" w:rsidRPr="00AC7524">
        <w:t xml:space="preserve">milijuna </w:t>
      </w:r>
      <w:r w:rsidRPr="00AC7524">
        <w:t>eura</w:t>
      </w:r>
      <w:r w:rsidR="004B0B0B" w:rsidRPr="00AC7524">
        <w:t>.</w:t>
      </w:r>
    </w:p>
    <w:p w14:paraId="702EC541" w14:textId="77777777" w:rsidR="004B0B0B" w:rsidRPr="00AC7524" w:rsidRDefault="004B0B0B" w:rsidP="00BE487D">
      <w:pPr>
        <w:contextualSpacing/>
        <w:jc w:val="both"/>
      </w:pPr>
    </w:p>
    <w:p w14:paraId="7A7830F1" w14:textId="77777777" w:rsidR="00755F7E" w:rsidRDefault="00755F7E">
      <w:pPr>
        <w:rPr>
          <w:b/>
        </w:rPr>
      </w:pPr>
      <w:r>
        <w:rPr>
          <w:b/>
        </w:rPr>
        <w:br w:type="page"/>
      </w:r>
    </w:p>
    <w:p w14:paraId="08C56C80" w14:textId="7FA1BA62" w:rsidR="00746CB1" w:rsidRPr="005C62D5" w:rsidRDefault="00746CB1" w:rsidP="00746CB1">
      <w:pPr>
        <w:jc w:val="both"/>
      </w:pPr>
      <w:r w:rsidRPr="00B75A66">
        <w:lastRenderedPageBreak/>
        <w:t>Tablica 2</w:t>
      </w:r>
      <w:r w:rsidR="005C62D5" w:rsidRPr="00B75A66">
        <w:t>7</w:t>
      </w:r>
      <w:r w:rsidRPr="00B75A66">
        <w:t xml:space="preserve">. Potpore za podršku gospodarstvu u aktualnoj </w:t>
      </w:r>
      <w:proofErr w:type="spellStart"/>
      <w:r w:rsidRPr="00B75A66">
        <w:t>pandemiji</w:t>
      </w:r>
      <w:proofErr w:type="spellEnd"/>
      <w:r w:rsidRPr="00B75A66">
        <w:t xml:space="preserve"> COVID–19 te za</w:t>
      </w:r>
      <w:r w:rsidRPr="005C62D5">
        <w:t xml:space="preserve"> suzbijanje učinaka ruske agresije na Ukrajinu za razdoblje od 202</w:t>
      </w:r>
      <w:r w:rsidR="005C62D5" w:rsidRPr="005C62D5">
        <w:t>1</w:t>
      </w:r>
      <w:r w:rsidRPr="005C62D5">
        <w:t>. do 202</w:t>
      </w:r>
      <w:r w:rsidR="005C62D5" w:rsidRPr="005C62D5">
        <w:t>3</w:t>
      </w:r>
      <w:r w:rsidRPr="005C62D5">
        <w:t>. godine</w:t>
      </w:r>
    </w:p>
    <w:p w14:paraId="18E02F5D" w14:textId="1A611EF8" w:rsidR="00746CB1" w:rsidRDefault="00746CB1" w:rsidP="00746CB1">
      <w:pPr>
        <w:autoSpaceDE w:val="0"/>
        <w:autoSpaceDN w:val="0"/>
        <w:adjustRightInd w:val="0"/>
        <w:contextualSpacing/>
        <w:jc w:val="both"/>
        <w:rPr>
          <w:bCs/>
          <w:sz w:val="20"/>
          <w:highlight w:val="red"/>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276"/>
        <w:gridCol w:w="1275"/>
      </w:tblGrid>
      <w:tr w:rsidR="0081459E" w:rsidRPr="004B0B0B" w14:paraId="2E623EBE" w14:textId="77777777" w:rsidTr="00076E4A">
        <w:trPr>
          <w:trHeight w:val="38"/>
        </w:trPr>
        <w:tc>
          <w:tcPr>
            <w:tcW w:w="4106" w:type="dxa"/>
            <w:vMerge w:val="restart"/>
            <w:shd w:val="clear" w:color="000000" w:fill="FFFF99"/>
            <w:noWrap/>
            <w:vAlign w:val="center"/>
            <w:hideMark/>
          </w:tcPr>
          <w:p w14:paraId="1C7397F1" w14:textId="666E6E28" w:rsidR="0081459E" w:rsidRPr="004B0B0B" w:rsidRDefault="00231149" w:rsidP="00E627B3">
            <w:pPr>
              <w:rPr>
                <w:rFonts w:eastAsia="Times New Roman"/>
                <w:b/>
                <w:bCs/>
                <w:sz w:val="20"/>
                <w:szCs w:val="20"/>
              </w:rPr>
            </w:pPr>
            <w:r w:rsidRPr="004B0B0B">
              <w:rPr>
                <w:b/>
                <w:sz w:val="20"/>
              </w:rPr>
              <w:t>Potpore za suzbijanje učinaka COVID-a i ruske agresije na Ukrajinu*</w:t>
            </w:r>
          </w:p>
        </w:tc>
        <w:tc>
          <w:tcPr>
            <w:tcW w:w="1276" w:type="dxa"/>
            <w:shd w:val="clear" w:color="000000" w:fill="FFFF99"/>
            <w:vAlign w:val="center"/>
          </w:tcPr>
          <w:p w14:paraId="1998B193" w14:textId="77777777" w:rsidR="0081459E" w:rsidRPr="004B0B0B" w:rsidRDefault="0081459E" w:rsidP="00E627B3">
            <w:pPr>
              <w:jc w:val="center"/>
              <w:rPr>
                <w:rFonts w:eastAsia="Times New Roman"/>
                <w:b/>
                <w:bCs/>
                <w:sz w:val="20"/>
                <w:szCs w:val="20"/>
              </w:rPr>
            </w:pPr>
            <w:r w:rsidRPr="004B0B0B">
              <w:rPr>
                <w:b/>
                <w:sz w:val="20"/>
                <w:szCs w:val="20"/>
              </w:rPr>
              <w:t>2021.</w:t>
            </w:r>
          </w:p>
        </w:tc>
        <w:tc>
          <w:tcPr>
            <w:tcW w:w="1276" w:type="dxa"/>
            <w:shd w:val="clear" w:color="000000" w:fill="FFFF99"/>
            <w:vAlign w:val="center"/>
          </w:tcPr>
          <w:p w14:paraId="11E110A6" w14:textId="77777777" w:rsidR="0081459E" w:rsidRPr="004B0B0B" w:rsidRDefault="0081459E" w:rsidP="00E627B3">
            <w:pPr>
              <w:jc w:val="center"/>
              <w:rPr>
                <w:rFonts w:eastAsia="Times New Roman"/>
                <w:b/>
                <w:bCs/>
                <w:sz w:val="20"/>
                <w:szCs w:val="20"/>
              </w:rPr>
            </w:pPr>
            <w:r w:rsidRPr="004B0B0B">
              <w:rPr>
                <w:b/>
                <w:sz w:val="20"/>
                <w:szCs w:val="20"/>
              </w:rPr>
              <w:t>2022.</w:t>
            </w:r>
          </w:p>
        </w:tc>
        <w:tc>
          <w:tcPr>
            <w:tcW w:w="1275" w:type="dxa"/>
            <w:shd w:val="clear" w:color="000000" w:fill="FFFF99"/>
            <w:vAlign w:val="center"/>
          </w:tcPr>
          <w:p w14:paraId="02486548" w14:textId="77777777" w:rsidR="0081459E" w:rsidRPr="004B0B0B" w:rsidRDefault="0081459E" w:rsidP="00E627B3">
            <w:pPr>
              <w:jc w:val="center"/>
              <w:rPr>
                <w:rFonts w:eastAsia="Times New Roman"/>
                <w:b/>
                <w:bCs/>
                <w:sz w:val="20"/>
                <w:szCs w:val="20"/>
              </w:rPr>
            </w:pPr>
            <w:r w:rsidRPr="004B0B0B">
              <w:rPr>
                <w:b/>
                <w:sz w:val="20"/>
                <w:szCs w:val="20"/>
              </w:rPr>
              <w:t>2023.</w:t>
            </w:r>
          </w:p>
        </w:tc>
      </w:tr>
      <w:tr w:rsidR="0081459E" w:rsidRPr="004B0B0B" w14:paraId="7F02781D" w14:textId="77777777" w:rsidTr="00076E4A">
        <w:trPr>
          <w:trHeight w:val="212"/>
        </w:trPr>
        <w:tc>
          <w:tcPr>
            <w:tcW w:w="4106" w:type="dxa"/>
            <w:vMerge/>
            <w:vAlign w:val="center"/>
            <w:hideMark/>
          </w:tcPr>
          <w:p w14:paraId="0A0DD2B9" w14:textId="77777777" w:rsidR="0081459E" w:rsidRPr="004B0B0B" w:rsidRDefault="0081459E" w:rsidP="00E627B3">
            <w:pPr>
              <w:rPr>
                <w:rFonts w:eastAsia="Times New Roman"/>
                <w:b/>
                <w:bCs/>
                <w:sz w:val="20"/>
                <w:szCs w:val="20"/>
              </w:rPr>
            </w:pPr>
          </w:p>
        </w:tc>
        <w:tc>
          <w:tcPr>
            <w:tcW w:w="1276" w:type="dxa"/>
            <w:shd w:val="clear" w:color="000000" w:fill="FFFF99"/>
            <w:vAlign w:val="center"/>
          </w:tcPr>
          <w:p w14:paraId="4F59C990" w14:textId="77777777" w:rsidR="0081459E" w:rsidRPr="004B0B0B" w:rsidRDefault="0081459E" w:rsidP="00E627B3">
            <w:pPr>
              <w:rPr>
                <w:rFonts w:eastAsia="Times New Roman"/>
                <w:b/>
                <w:sz w:val="18"/>
                <w:szCs w:val="20"/>
              </w:rPr>
            </w:pPr>
            <w:r w:rsidRPr="004B0B0B">
              <w:rPr>
                <w:b/>
                <w:sz w:val="20"/>
                <w:szCs w:val="20"/>
              </w:rPr>
              <w:t xml:space="preserve">u </w:t>
            </w:r>
            <w:proofErr w:type="spellStart"/>
            <w:r w:rsidRPr="004B0B0B">
              <w:rPr>
                <w:b/>
                <w:sz w:val="20"/>
                <w:szCs w:val="20"/>
              </w:rPr>
              <w:t>mln</w:t>
            </w:r>
            <w:proofErr w:type="spellEnd"/>
            <w:r w:rsidRPr="004B0B0B">
              <w:rPr>
                <w:b/>
                <w:sz w:val="20"/>
                <w:szCs w:val="20"/>
              </w:rPr>
              <w:t xml:space="preserve"> EUR</w:t>
            </w:r>
          </w:p>
        </w:tc>
        <w:tc>
          <w:tcPr>
            <w:tcW w:w="1276" w:type="dxa"/>
            <w:shd w:val="clear" w:color="000000" w:fill="FFFF99"/>
            <w:vAlign w:val="center"/>
          </w:tcPr>
          <w:p w14:paraId="429688A8" w14:textId="77777777" w:rsidR="0081459E" w:rsidRPr="004B0B0B" w:rsidRDefault="0081459E" w:rsidP="00E627B3">
            <w:pPr>
              <w:jc w:val="center"/>
              <w:rPr>
                <w:rFonts w:eastAsia="Times New Roman"/>
                <w:b/>
                <w:sz w:val="18"/>
                <w:szCs w:val="20"/>
              </w:rPr>
            </w:pPr>
            <w:r w:rsidRPr="004B0B0B">
              <w:rPr>
                <w:b/>
                <w:sz w:val="20"/>
                <w:szCs w:val="20"/>
              </w:rPr>
              <w:t xml:space="preserve">u </w:t>
            </w:r>
            <w:proofErr w:type="spellStart"/>
            <w:r w:rsidRPr="004B0B0B">
              <w:rPr>
                <w:b/>
                <w:sz w:val="20"/>
                <w:szCs w:val="20"/>
              </w:rPr>
              <w:t>mln</w:t>
            </w:r>
            <w:proofErr w:type="spellEnd"/>
            <w:r w:rsidRPr="004B0B0B">
              <w:rPr>
                <w:b/>
                <w:sz w:val="20"/>
                <w:szCs w:val="20"/>
              </w:rPr>
              <w:t xml:space="preserve"> EUR</w:t>
            </w:r>
          </w:p>
        </w:tc>
        <w:tc>
          <w:tcPr>
            <w:tcW w:w="1275" w:type="dxa"/>
            <w:shd w:val="clear" w:color="000000" w:fill="FFFF99"/>
            <w:vAlign w:val="center"/>
          </w:tcPr>
          <w:p w14:paraId="24056BBA" w14:textId="77777777" w:rsidR="0081459E" w:rsidRPr="004B0B0B" w:rsidRDefault="0081459E" w:rsidP="00E627B3">
            <w:pPr>
              <w:jc w:val="center"/>
              <w:rPr>
                <w:rFonts w:eastAsia="Times New Roman"/>
                <w:b/>
                <w:sz w:val="18"/>
                <w:szCs w:val="20"/>
              </w:rPr>
            </w:pPr>
            <w:r w:rsidRPr="004B0B0B">
              <w:rPr>
                <w:b/>
                <w:sz w:val="20"/>
                <w:szCs w:val="20"/>
              </w:rPr>
              <w:t xml:space="preserve">u </w:t>
            </w:r>
            <w:proofErr w:type="spellStart"/>
            <w:r w:rsidRPr="004B0B0B">
              <w:rPr>
                <w:b/>
                <w:sz w:val="20"/>
                <w:szCs w:val="20"/>
              </w:rPr>
              <w:t>mln</w:t>
            </w:r>
            <w:proofErr w:type="spellEnd"/>
            <w:r w:rsidRPr="004B0B0B">
              <w:rPr>
                <w:b/>
                <w:sz w:val="20"/>
                <w:szCs w:val="20"/>
              </w:rPr>
              <w:t xml:space="preserve"> EUR</w:t>
            </w:r>
          </w:p>
        </w:tc>
      </w:tr>
      <w:tr w:rsidR="004B0B0B" w:rsidRPr="004B0B0B" w14:paraId="3A2FD5BD" w14:textId="77777777" w:rsidTr="00076E4A">
        <w:trPr>
          <w:trHeight w:val="118"/>
        </w:trPr>
        <w:tc>
          <w:tcPr>
            <w:tcW w:w="4106" w:type="dxa"/>
            <w:shd w:val="clear" w:color="auto" w:fill="auto"/>
            <w:noWrap/>
            <w:vAlign w:val="center"/>
            <w:hideMark/>
          </w:tcPr>
          <w:p w14:paraId="1CC6DD8F" w14:textId="426E55F1" w:rsidR="004B0B0B" w:rsidRPr="004B0B0B" w:rsidRDefault="004B0B0B" w:rsidP="004B0B0B">
            <w:pPr>
              <w:rPr>
                <w:rFonts w:eastAsia="Times New Roman"/>
                <w:bCs/>
                <w:sz w:val="20"/>
                <w:szCs w:val="20"/>
              </w:rPr>
            </w:pPr>
            <w:r w:rsidRPr="004B0B0B">
              <w:rPr>
                <w:bCs/>
                <w:sz w:val="20"/>
                <w:szCs w:val="20"/>
              </w:rPr>
              <w:t>A1</w:t>
            </w:r>
            <w:r w:rsidRPr="004B0B0B">
              <w:rPr>
                <w:sz w:val="20"/>
                <w:szCs w:val="20"/>
              </w:rPr>
              <w:t xml:space="preserve"> subvencije</w:t>
            </w:r>
          </w:p>
        </w:tc>
        <w:tc>
          <w:tcPr>
            <w:tcW w:w="1276" w:type="dxa"/>
            <w:vAlign w:val="center"/>
          </w:tcPr>
          <w:p w14:paraId="142E7584" w14:textId="6BCE00CB" w:rsidR="004B0B0B" w:rsidRPr="004B0B0B" w:rsidRDefault="004B0B0B" w:rsidP="004B0B0B">
            <w:pPr>
              <w:jc w:val="right"/>
              <w:rPr>
                <w:sz w:val="20"/>
                <w:szCs w:val="14"/>
              </w:rPr>
            </w:pPr>
            <w:r w:rsidRPr="004B0B0B">
              <w:rPr>
                <w:rFonts w:eastAsia="Times New Roman"/>
                <w:sz w:val="20"/>
                <w:szCs w:val="20"/>
                <w:lang w:eastAsia="hr-HR"/>
              </w:rPr>
              <w:t>431,4</w:t>
            </w:r>
          </w:p>
        </w:tc>
        <w:tc>
          <w:tcPr>
            <w:tcW w:w="1276" w:type="dxa"/>
            <w:vAlign w:val="center"/>
          </w:tcPr>
          <w:p w14:paraId="555F1621" w14:textId="0D459CF0" w:rsidR="004B0B0B" w:rsidRPr="004B0B0B" w:rsidRDefault="004B0B0B" w:rsidP="004B0B0B">
            <w:pPr>
              <w:jc w:val="right"/>
              <w:rPr>
                <w:sz w:val="20"/>
                <w:szCs w:val="14"/>
              </w:rPr>
            </w:pPr>
            <w:r w:rsidRPr="004B0B0B">
              <w:rPr>
                <w:rFonts w:eastAsia="Times New Roman"/>
                <w:sz w:val="20"/>
                <w:szCs w:val="20"/>
                <w:lang w:eastAsia="hr-HR"/>
              </w:rPr>
              <w:t>758,7</w:t>
            </w:r>
          </w:p>
        </w:tc>
        <w:tc>
          <w:tcPr>
            <w:tcW w:w="1275" w:type="dxa"/>
            <w:vAlign w:val="center"/>
          </w:tcPr>
          <w:p w14:paraId="3BE0CD46" w14:textId="7CA0A975" w:rsidR="004B0B0B" w:rsidRPr="004B0B0B" w:rsidRDefault="004B0B0B" w:rsidP="004B0B0B">
            <w:pPr>
              <w:jc w:val="right"/>
              <w:rPr>
                <w:sz w:val="20"/>
                <w:szCs w:val="14"/>
              </w:rPr>
            </w:pPr>
            <w:r w:rsidRPr="004B0B0B">
              <w:rPr>
                <w:rFonts w:eastAsia="Times New Roman"/>
                <w:sz w:val="20"/>
                <w:szCs w:val="20"/>
                <w:lang w:eastAsia="hr-HR"/>
              </w:rPr>
              <w:t>6,3</w:t>
            </w:r>
          </w:p>
        </w:tc>
      </w:tr>
      <w:tr w:rsidR="004B0B0B" w:rsidRPr="004B0B0B" w14:paraId="11A1908F" w14:textId="77777777" w:rsidTr="00076E4A">
        <w:trPr>
          <w:trHeight w:val="40"/>
        </w:trPr>
        <w:tc>
          <w:tcPr>
            <w:tcW w:w="4106" w:type="dxa"/>
            <w:shd w:val="clear" w:color="auto" w:fill="auto"/>
            <w:noWrap/>
            <w:vAlign w:val="center"/>
            <w:hideMark/>
          </w:tcPr>
          <w:p w14:paraId="58278F4C" w14:textId="4975800D" w:rsidR="004B0B0B" w:rsidRPr="004B0B0B" w:rsidRDefault="004B0B0B" w:rsidP="004B0B0B">
            <w:pPr>
              <w:rPr>
                <w:rFonts w:eastAsia="Times New Roman"/>
                <w:bCs/>
                <w:sz w:val="20"/>
                <w:szCs w:val="20"/>
              </w:rPr>
            </w:pPr>
            <w:r w:rsidRPr="004B0B0B">
              <w:rPr>
                <w:rFonts w:eastAsia="Times New Roman"/>
                <w:bCs/>
                <w:sz w:val="20"/>
                <w:szCs w:val="20"/>
                <w:lang w:eastAsia="hr-HR"/>
              </w:rPr>
              <w:t xml:space="preserve">A1 </w:t>
            </w:r>
            <w:r w:rsidRPr="004B0B0B">
              <w:rPr>
                <w:rFonts w:eastAsia="Times New Roman"/>
                <w:sz w:val="20"/>
                <w:szCs w:val="20"/>
                <w:lang w:eastAsia="hr-HR"/>
              </w:rPr>
              <w:t>neposredna subvencija kamata</w:t>
            </w:r>
          </w:p>
        </w:tc>
        <w:tc>
          <w:tcPr>
            <w:tcW w:w="1276" w:type="dxa"/>
            <w:vAlign w:val="center"/>
          </w:tcPr>
          <w:p w14:paraId="00B13612" w14:textId="590165CE" w:rsidR="004B0B0B" w:rsidRPr="004B0B0B" w:rsidRDefault="004B0B0B" w:rsidP="004B0B0B">
            <w:pPr>
              <w:jc w:val="right"/>
              <w:rPr>
                <w:sz w:val="20"/>
                <w:szCs w:val="14"/>
              </w:rPr>
            </w:pPr>
            <w:r w:rsidRPr="004B0B0B">
              <w:rPr>
                <w:rFonts w:eastAsia="Times New Roman"/>
                <w:sz w:val="20"/>
                <w:szCs w:val="20"/>
                <w:lang w:eastAsia="hr-HR"/>
              </w:rPr>
              <w:t>0,3</w:t>
            </w:r>
          </w:p>
        </w:tc>
        <w:tc>
          <w:tcPr>
            <w:tcW w:w="1276" w:type="dxa"/>
            <w:vAlign w:val="center"/>
          </w:tcPr>
          <w:p w14:paraId="297413C0" w14:textId="42A254CA" w:rsidR="004B0B0B" w:rsidRPr="004B0B0B" w:rsidRDefault="004B0B0B" w:rsidP="004B0B0B">
            <w:pPr>
              <w:jc w:val="right"/>
              <w:rPr>
                <w:sz w:val="20"/>
                <w:szCs w:val="14"/>
              </w:rPr>
            </w:pPr>
            <w:r w:rsidRPr="004B0B0B">
              <w:rPr>
                <w:rFonts w:eastAsia="Times New Roman"/>
                <w:sz w:val="20"/>
                <w:szCs w:val="20"/>
                <w:lang w:eastAsia="hr-HR"/>
              </w:rPr>
              <w:t>7,6</w:t>
            </w:r>
          </w:p>
        </w:tc>
        <w:tc>
          <w:tcPr>
            <w:tcW w:w="1275" w:type="dxa"/>
            <w:vAlign w:val="center"/>
          </w:tcPr>
          <w:p w14:paraId="652683F7" w14:textId="3A91D6EE" w:rsidR="004B0B0B" w:rsidRPr="004B0B0B" w:rsidRDefault="004B0B0B" w:rsidP="004B0B0B">
            <w:pPr>
              <w:jc w:val="right"/>
              <w:rPr>
                <w:sz w:val="20"/>
                <w:szCs w:val="14"/>
              </w:rPr>
            </w:pPr>
            <w:r w:rsidRPr="004B0B0B">
              <w:rPr>
                <w:rFonts w:eastAsia="Times New Roman"/>
                <w:sz w:val="20"/>
                <w:szCs w:val="20"/>
                <w:lang w:eastAsia="hr-HR"/>
              </w:rPr>
              <w:t>16,1</w:t>
            </w:r>
          </w:p>
        </w:tc>
      </w:tr>
      <w:tr w:rsidR="004B0B0B" w:rsidRPr="004B0B0B" w14:paraId="3C2532DF" w14:textId="77777777" w:rsidTr="00076E4A">
        <w:trPr>
          <w:trHeight w:val="40"/>
        </w:trPr>
        <w:tc>
          <w:tcPr>
            <w:tcW w:w="4106" w:type="dxa"/>
            <w:shd w:val="clear" w:color="auto" w:fill="auto"/>
            <w:noWrap/>
            <w:vAlign w:val="center"/>
          </w:tcPr>
          <w:p w14:paraId="2158BBC1" w14:textId="56EE20B6" w:rsidR="004B0B0B" w:rsidRPr="004B0B0B" w:rsidRDefault="004B0B0B" w:rsidP="004B0B0B">
            <w:pPr>
              <w:rPr>
                <w:rFonts w:eastAsia="Times New Roman"/>
                <w:bCs/>
                <w:sz w:val="20"/>
                <w:szCs w:val="20"/>
                <w:lang w:eastAsia="hr-HR"/>
              </w:rPr>
            </w:pPr>
            <w:r w:rsidRPr="004B0B0B">
              <w:rPr>
                <w:rFonts w:eastAsia="Times New Roman"/>
                <w:bCs/>
                <w:sz w:val="20"/>
                <w:szCs w:val="20"/>
                <w:lang w:eastAsia="hr-HR"/>
              </w:rPr>
              <w:t xml:space="preserve">A2 </w:t>
            </w:r>
            <w:r w:rsidRPr="004B0B0B">
              <w:rPr>
                <w:rFonts w:eastAsia="Times New Roman"/>
                <w:sz w:val="20"/>
                <w:szCs w:val="20"/>
                <w:lang w:eastAsia="hr-HR"/>
              </w:rPr>
              <w:t>otpis duga</w:t>
            </w:r>
          </w:p>
        </w:tc>
        <w:tc>
          <w:tcPr>
            <w:tcW w:w="1276" w:type="dxa"/>
            <w:vAlign w:val="center"/>
          </w:tcPr>
          <w:p w14:paraId="64279CC0" w14:textId="79EB37A9" w:rsidR="004B0B0B" w:rsidRPr="00755F7E" w:rsidRDefault="00755F7E" w:rsidP="004B0B0B">
            <w:pPr>
              <w:jc w:val="right"/>
              <w:rPr>
                <w:sz w:val="20"/>
                <w:szCs w:val="14"/>
              </w:rPr>
            </w:pPr>
            <w:r w:rsidRPr="00755F7E">
              <w:rPr>
                <w:sz w:val="20"/>
              </w:rPr>
              <w:t>–</w:t>
            </w:r>
          </w:p>
        </w:tc>
        <w:tc>
          <w:tcPr>
            <w:tcW w:w="1276" w:type="dxa"/>
            <w:vAlign w:val="center"/>
          </w:tcPr>
          <w:p w14:paraId="5EB55015" w14:textId="2362B000" w:rsidR="004B0B0B" w:rsidRPr="004B0B0B" w:rsidRDefault="00755F7E" w:rsidP="004B0B0B">
            <w:pPr>
              <w:jc w:val="right"/>
              <w:rPr>
                <w:sz w:val="20"/>
                <w:szCs w:val="14"/>
              </w:rPr>
            </w:pPr>
            <w:r w:rsidRPr="00755F7E">
              <w:rPr>
                <w:sz w:val="20"/>
              </w:rPr>
              <w:t>–</w:t>
            </w:r>
          </w:p>
        </w:tc>
        <w:tc>
          <w:tcPr>
            <w:tcW w:w="1275" w:type="dxa"/>
            <w:vAlign w:val="center"/>
          </w:tcPr>
          <w:p w14:paraId="6CCE29C4" w14:textId="07EF31D2" w:rsidR="004B0B0B" w:rsidRPr="004B0B0B" w:rsidRDefault="004B0B0B" w:rsidP="004B0B0B">
            <w:pPr>
              <w:jc w:val="right"/>
              <w:rPr>
                <w:sz w:val="20"/>
                <w:szCs w:val="14"/>
              </w:rPr>
            </w:pPr>
            <w:r w:rsidRPr="004B0B0B">
              <w:rPr>
                <w:rFonts w:eastAsia="Times New Roman"/>
                <w:i/>
                <w:iCs/>
                <w:sz w:val="20"/>
                <w:szCs w:val="20"/>
                <w:lang w:eastAsia="hr-HR"/>
              </w:rPr>
              <w:t>14,3</w:t>
            </w:r>
          </w:p>
        </w:tc>
      </w:tr>
      <w:tr w:rsidR="004B0B0B" w:rsidRPr="004B0B0B" w14:paraId="7371F2F7" w14:textId="77777777" w:rsidTr="00076E4A">
        <w:trPr>
          <w:trHeight w:val="40"/>
        </w:trPr>
        <w:tc>
          <w:tcPr>
            <w:tcW w:w="4106" w:type="dxa"/>
            <w:shd w:val="clear" w:color="auto" w:fill="auto"/>
            <w:noWrap/>
            <w:vAlign w:val="center"/>
          </w:tcPr>
          <w:p w14:paraId="75F25FBF" w14:textId="3BBE4E5C" w:rsidR="004B0B0B" w:rsidRPr="004B0B0B" w:rsidRDefault="004B0B0B" w:rsidP="004B0B0B">
            <w:pPr>
              <w:rPr>
                <w:rFonts w:eastAsia="Times New Roman"/>
                <w:bCs/>
                <w:sz w:val="20"/>
                <w:szCs w:val="20"/>
              </w:rPr>
            </w:pPr>
            <w:r w:rsidRPr="004B0B0B">
              <w:rPr>
                <w:sz w:val="20"/>
                <w:szCs w:val="20"/>
              </w:rPr>
              <w:t>B1 kapitalna ulaganja</w:t>
            </w:r>
          </w:p>
        </w:tc>
        <w:tc>
          <w:tcPr>
            <w:tcW w:w="1276" w:type="dxa"/>
            <w:vAlign w:val="center"/>
          </w:tcPr>
          <w:p w14:paraId="6E501C38" w14:textId="72BD2062" w:rsidR="004B0B0B" w:rsidRPr="00755F7E" w:rsidRDefault="00755F7E" w:rsidP="004B0B0B">
            <w:pPr>
              <w:jc w:val="right"/>
              <w:rPr>
                <w:sz w:val="20"/>
                <w:szCs w:val="14"/>
              </w:rPr>
            </w:pPr>
            <w:r w:rsidRPr="00755F7E">
              <w:rPr>
                <w:sz w:val="20"/>
              </w:rPr>
              <w:t>–</w:t>
            </w:r>
          </w:p>
        </w:tc>
        <w:tc>
          <w:tcPr>
            <w:tcW w:w="1276" w:type="dxa"/>
            <w:vAlign w:val="center"/>
          </w:tcPr>
          <w:p w14:paraId="125777AC" w14:textId="373BC316" w:rsidR="004B0B0B" w:rsidRPr="004B0B0B" w:rsidRDefault="004B0B0B" w:rsidP="004B0B0B">
            <w:pPr>
              <w:jc w:val="right"/>
              <w:rPr>
                <w:sz w:val="20"/>
                <w:szCs w:val="14"/>
              </w:rPr>
            </w:pPr>
            <w:r w:rsidRPr="004B0B0B">
              <w:rPr>
                <w:rFonts w:eastAsia="Times New Roman"/>
                <w:i/>
                <w:iCs/>
                <w:sz w:val="20"/>
                <w:szCs w:val="20"/>
                <w:lang w:eastAsia="hr-HR"/>
              </w:rPr>
              <w:t>51,8</w:t>
            </w:r>
          </w:p>
        </w:tc>
        <w:tc>
          <w:tcPr>
            <w:tcW w:w="1275" w:type="dxa"/>
            <w:vAlign w:val="center"/>
          </w:tcPr>
          <w:p w14:paraId="4096C78B" w14:textId="3E801FC6" w:rsidR="004B0B0B" w:rsidRPr="004B0B0B" w:rsidRDefault="00755F7E" w:rsidP="004B0B0B">
            <w:pPr>
              <w:jc w:val="right"/>
              <w:rPr>
                <w:sz w:val="20"/>
                <w:szCs w:val="14"/>
              </w:rPr>
            </w:pPr>
            <w:r w:rsidRPr="00755F7E">
              <w:rPr>
                <w:sz w:val="20"/>
              </w:rPr>
              <w:t>–</w:t>
            </w:r>
          </w:p>
        </w:tc>
      </w:tr>
      <w:tr w:rsidR="004B0B0B" w:rsidRPr="004B0B0B" w14:paraId="4CBC0579" w14:textId="77777777" w:rsidTr="00076E4A">
        <w:trPr>
          <w:trHeight w:val="40"/>
        </w:trPr>
        <w:tc>
          <w:tcPr>
            <w:tcW w:w="4106" w:type="dxa"/>
            <w:shd w:val="clear" w:color="auto" w:fill="auto"/>
            <w:noWrap/>
            <w:vAlign w:val="center"/>
          </w:tcPr>
          <w:p w14:paraId="766687FF" w14:textId="0ED0FEE2" w:rsidR="004B0B0B" w:rsidRPr="004B0B0B" w:rsidRDefault="004B0B0B" w:rsidP="004B0B0B">
            <w:pPr>
              <w:rPr>
                <w:rFonts w:eastAsia="Times New Roman"/>
                <w:bCs/>
                <w:sz w:val="20"/>
                <w:szCs w:val="20"/>
              </w:rPr>
            </w:pPr>
            <w:r w:rsidRPr="004B0B0B">
              <w:rPr>
                <w:rFonts w:eastAsia="Times New Roman"/>
                <w:bCs/>
                <w:sz w:val="20"/>
                <w:szCs w:val="20"/>
              </w:rPr>
              <w:t xml:space="preserve">C1 </w:t>
            </w:r>
            <w:r w:rsidRPr="004B0B0B">
              <w:rPr>
                <w:rFonts w:eastAsia="Times New Roman"/>
                <w:sz w:val="20"/>
                <w:szCs w:val="20"/>
              </w:rPr>
              <w:t>povoljni zajmovi</w:t>
            </w:r>
          </w:p>
        </w:tc>
        <w:tc>
          <w:tcPr>
            <w:tcW w:w="1276" w:type="dxa"/>
            <w:vAlign w:val="center"/>
          </w:tcPr>
          <w:p w14:paraId="567C4163" w14:textId="6CA7E89C" w:rsidR="004B0B0B" w:rsidRPr="004B0B0B" w:rsidRDefault="004B0B0B" w:rsidP="004B0B0B">
            <w:pPr>
              <w:jc w:val="right"/>
              <w:rPr>
                <w:sz w:val="20"/>
                <w:szCs w:val="14"/>
              </w:rPr>
            </w:pPr>
            <w:r w:rsidRPr="004B0B0B">
              <w:rPr>
                <w:rFonts w:eastAsia="Times New Roman"/>
                <w:sz w:val="20"/>
                <w:szCs w:val="20"/>
                <w:lang w:eastAsia="hr-HR"/>
              </w:rPr>
              <w:t>162,6</w:t>
            </w:r>
          </w:p>
        </w:tc>
        <w:tc>
          <w:tcPr>
            <w:tcW w:w="1276" w:type="dxa"/>
            <w:vAlign w:val="center"/>
          </w:tcPr>
          <w:p w14:paraId="77E567A0" w14:textId="0AB7E7DB" w:rsidR="004B0B0B" w:rsidRPr="004B0B0B" w:rsidRDefault="004B0B0B" w:rsidP="004B0B0B">
            <w:pPr>
              <w:jc w:val="right"/>
              <w:rPr>
                <w:sz w:val="20"/>
                <w:szCs w:val="14"/>
              </w:rPr>
            </w:pPr>
            <w:r w:rsidRPr="004B0B0B">
              <w:rPr>
                <w:rFonts w:eastAsia="Times New Roman"/>
                <w:sz w:val="20"/>
                <w:szCs w:val="20"/>
                <w:lang w:eastAsia="hr-HR"/>
              </w:rPr>
              <w:t>85,1</w:t>
            </w:r>
          </w:p>
        </w:tc>
        <w:tc>
          <w:tcPr>
            <w:tcW w:w="1275" w:type="dxa"/>
            <w:vAlign w:val="center"/>
          </w:tcPr>
          <w:p w14:paraId="36C55E36" w14:textId="68927462" w:rsidR="004B0B0B" w:rsidRPr="004B0B0B" w:rsidRDefault="004B0B0B" w:rsidP="004B0B0B">
            <w:pPr>
              <w:jc w:val="right"/>
              <w:rPr>
                <w:sz w:val="20"/>
                <w:szCs w:val="14"/>
              </w:rPr>
            </w:pPr>
            <w:r w:rsidRPr="004B0B0B">
              <w:rPr>
                <w:rFonts w:eastAsia="Times New Roman"/>
                <w:sz w:val="20"/>
                <w:szCs w:val="20"/>
                <w:lang w:eastAsia="hr-HR"/>
              </w:rPr>
              <w:t>127,4</w:t>
            </w:r>
          </w:p>
        </w:tc>
      </w:tr>
      <w:tr w:rsidR="004B0B0B" w:rsidRPr="004B0B0B" w14:paraId="36FDB7BD" w14:textId="77777777" w:rsidTr="00076E4A">
        <w:trPr>
          <w:trHeight w:val="40"/>
        </w:trPr>
        <w:tc>
          <w:tcPr>
            <w:tcW w:w="4106" w:type="dxa"/>
            <w:shd w:val="clear" w:color="auto" w:fill="auto"/>
            <w:noWrap/>
            <w:vAlign w:val="center"/>
          </w:tcPr>
          <w:p w14:paraId="502555CA" w14:textId="02CEE751" w:rsidR="004B0B0B" w:rsidRPr="004B0B0B" w:rsidRDefault="004B0B0B" w:rsidP="004B0B0B">
            <w:pPr>
              <w:rPr>
                <w:rFonts w:eastAsia="Times New Roman"/>
                <w:bCs/>
                <w:sz w:val="20"/>
                <w:szCs w:val="20"/>
              </w:rPr>
            </w:pPr>
            <w:r w:rsidRPr="004B0B0B">
              <w:rPr>
                <w:rFonts w:eastAsia="Times New Roman"/>
                <w:bCs/>
                <w:sz w:val="20"/>
                <w:szCs w:val="20"/>
              </w:rPr>
              <w:t>D</w:t>
            </w:r>
            <w:r w:rsidRPr="004B0B0B">
              <w:rPr>
                <w:rFonts w:eastAsia="Times New Roman"/>
                <w:sz w:val="20"/>
                <w:szCs w:val="20"/>
              </w:rPr>
              <w:t xml:space="preserve"> jamstva</w:t>
            </w:r>
          </w:p>
        </w:tc>
        <w:tc>
          <w:tcPr>
            <w:tcW w:w="1276" w:type="dxa"/>
            <w:vAlign w:val="center"/>
          </w:tcPr>
          <w:p w14:paraId="4358FB6D" w14:textId="00938909" w:rsidR="004B0B0B" w:rsidRPr="004B0B0B" w:rsidRDefault="004B0B0B" w:rsidP="004B0B0B">
            <w:pPr>
              <w:jc w:val="right"/>
              <w:rPr>
                <w:sz w:val="20"/>
                <w:szCs w:val="14"/>
              </w:rPr>
            </w:pPr>
            <w:r w:rsidRPr="004B0B0B">
              <w:rPr>
                <w:rFonts w:eastAsia="Times New Roman"/>
                <w:sz w:val="20"/>
                <w:szCs w:val="20"/>
                <w:lang w:eastAsia="hr-HR"/>
              </w:rPr>
              <w:t>260,2</w:t>
            </w:r>
          </w:p>
        </w:tc>
        <w:tc>
          <w:tcPr>
            <w:tcW w:w="1276" w:type="dxa"/>
            <w:vAlign w:val="center"/>
          </w:tcPr>
          <w:p w14:paraId="47B264A8" w14:textId="4C466D43" w:rsidR="004B0B0B" w:rsidRPr="004B0B0B" w:rsidRDefault="004B0B0B" w:rsidP="004B0B0B">
            <w:pPr>
              <w:jc w:val="right"/>
              <w:rPr>
                <w:sz w:val="20"/>
                <w:szCs w:val="14"/>
              </w:rPr>
            </w:pPr>
            <w:r w:rsidRPr="004B0B0B">
              <w:rPr>
                <w:rFonts w:eastAsia="Times New Roman"/>
                <w:sz w:val="20"/>
                <w:szCs w:val="20"/>
                <w:lang w:eastAsia="hr-HR"/>
              </w:rPr>
              <w:t>207,1</w:t>
            </w:r>
          </w:p>
        </w:tc>
        <w:tc>
          <w:tcPr>
            <w:tcW w:w="1275" w:type="dxa"/>
            <w:vAlign w:val="center"/>
          </w:tcPr>
          <w:p w14:paraId="21CC55A1" w14:textId="5587C292" w:rsidR="004B0B0B" w:rsidRPr="004B0B0B" w:rsidRDefault="004B0B0B" w:rsidP="004B0B0B">
            <w:pPr>
              <w:jc w:val="right"/>
              <w:rPr>
                <w:sz w:val="20"/>
                <w:szCs w:val="14"/>
              </w:rPr>
            </w:pPr>
            <w:r w:rsidRPr="004B0B0B">
              <w:rPr>
                <w:rFonts w:eastAsia="Times New Roman"/>
                <w:sz w:val="20"/>
                <w:szCs w:val="20"/>
                <w:lang w:eastAsia="hr-HR"/>
              </w:rPr>
              <w:t>392,5</w:t>
            </w:r>
          </w:p>
        </w:tc>
      </w:tr>
      <w:tr w:rsidR="004B0B0B" w:rsidRPr="004B0B0B" w14:paraId="21758B4D" w14:textId="77777777" w:rsidTr="00076E4A">
        <w:trPr>
          <w:trHeight w:val="40"/>
        </w:trPr>
        <w:tc>
          <w:tcPr>
            <w:tcW w:w="4106" w:type="dxa"/>
            <w:shd w:val="clear" w:color="000000" w:fill="FFFF99"/>
            <w:noWrap/>
            <w:vAlign w:val="center"/>
            <w:hideMark/>
          </w:tcPr>
          <w:p w14:paraId="7E337671" w14:textId="77777777" w:rsidR="004B0B0B" w:rsidRPr="004B0B0B" w:rsidRDefault="004B0B0B" w:rsidP="004B0B0B">
            <w:pPr>
              <w:rPr>
                <w:rFonts w:eastAsia="Times New Roman"/>
                <w:b/>
                <w:bCs/>
                <w:sz w:val="20"/>
                <w:szCs w:val="20"/>
              </w:rPr>
            </w:pPr>
            <w:r w:rsidRPr="004B0B0B">
              <w:rPr>
                <w:rFonts w:eastAsia="Times New Roman"/>
                <w:b/>
                <w:bCs/>
                <w:sz w:val="20"/>
                <w:szCs w:val="20"/>
              </w:rPr>
              <w:t>UKUPNO</w:t>
            </w:r>
          </w:p>
        </w:tc>
        <w:tc>
          <w:tcPr>
            <w:tcW w:w="1276" w:type="dxa"/>
            <w:shd w:val="clear" w:color="000000" w:fill="FFFF99"/>
            <w:vAlign w:val="center"/>
          </w:tcPr>
          <w:p w14:paraId="1753CB9C" w14:textId="36FCC229" w:rsidR="004B0B0B" w:rsidRPr="004B0B0B" w:rsidRDefault="004B0B0B" w:rsidP="004B0B0B">
            <w:pPr>
              <w:jc w:val="right"/>
              <w:rPr>
                <w:b/>
                <w:sz w:val="20"/>
                <w:szCs w:val="14"/>
              </w:rPr>
            </w:pPr>
            <w:r w:rsidRPr="004B0B0B">
              <w:rPr>
                <w:rFonts w:eastAsia="Times New Roman"/>
                <w:b/>
                <w:bCs/>
                <w:sz w:val="20"/>
                <w:szCs w:val="20"/>
                <w:lang w:eastAsia="hr-HR"/>
              </w:rPr>
              <w:t>854,5</w:t>
            </w:r>
          </w:p>
        </w:tc>
        <w:tc>
          <w:tcPr>
            <w:tcW w:w="1276" w:type="dxa"/>
            <w:shd w:val="clear" w:color="000000" w:fill="FFFF99"/>
            <w:vAlign w:val="center"/>
          </w:tcPr>
          <w:p w14:paraId="04B6CB36" w14:textId="44DA7FBA" w:rsidR="004B0B0B" w:rsidRPr="004B0B0B" w:rsidRDefault="004B0B0B" w:rsidP="004B0B0B">
            <w:pPr>
              <w:jc w:val="right"/>
              <w:rPr>
                <w:b/>
                <w:sz w:val="20"/>
                <w:szCs w:val="14"/>
              </w:rPr>
            </w:pPr>
            <w:r w:rsidRPr="004B0B0B">
              <w:rPr>
                <w:rFonts w:eastAsia="Times New Roman"/>
                <w:b/>
                <w:bCs/>
                <w:sz w:val="20"/>
                <w:szCs w:val="20"/>
                <w:lang w:eastAsia="hr-HR"/>
              </w:rPr>
              <w:t>1.110,2</w:t>
            </w:r>
          </w:p>
        </w:tc>
        <w:tc>
          <w:tcPr>
            <w:tcW w:w="1275" w:type="dxa"/>
            <w:shd w:val="clear" w:color="000000" w:fill="FFFF99"/>
            <w:vAlign w:val="center"/>
          </w:tcPr>
          <w:p w14:paraId="739E782F" w14:textId="54403540" w:rsidR="004B0B0B" w:rsidRPr="004B0B0B" w:rsidRDefault="004B0B0B" w:rsidP="004B0B0B">
            <w:pPr>
              <w:jc w:val="right"/>
              <w:rPr>
                <w:b/>
                <w:sz w:val="20"/>
                <w:szCs w:val="14"/>
              </w:rPr>
            </w:pPr>
            <w:r w:rsidRPr="004B0B0B">
              <w:rPr>
                <w:rFonts w:eastAsia="Times New Roman"/>
                <w:b/>
                <w:bCs/>
                <w:sz w:val="20"/>
                <w:szCs w:val="20"/>
                <w:lang w:eastAsia="hr-HR"/>
              </w:rPr>
              <w:t>556,6</w:t>
            </w:r>
          </w:p>
        </w:tc>
      </w:tr>
      <w:tr w:rsidR="004B0B0B" w:rsidRPr="004B0B0B" w14:paraId="433B770B" w14:textId="77777777" w:rsidTr="00076E4A">
        <w:trPr>
          <w:trHeight w:val="40"/>
        </w:trPr>
        <w:tc>
          <w:tcPr>
            <w:tcW w:w="4106" w:type="dxa"/>
            <w:shd w:val="clear" w:color="auto" w:fill="auto"/>
            <w:vAlign w:val="center"/>
            <w:hideMark/>
          </w:tcPr>
          <w:p w14:paraId="356DD5ED" w14:textId="37D0190F" w:rsidR="004B0B0B" w:rsidRPr="004B0B0B" w:rsidRDefault="004B0B0B" w:rsidP="004B0B0B">
            <w:pPr>
              <w:rPr>
                <w:rFonts w:eastAsia="Times New Roman"/>
                <w:sz w:val="20"/>
                <w:szCs w:val="20"/>
              </w:rPr>
            </w:pPr>
            <w:r w:rsidRPr="004B0B0B">
              <w:rPr>
                <w:sz w:val="20"/>
                <w:szCs w:val="20"/>
              </w:rPr>
              <w:t>udio (%) u ukupnim potporama (bez poljoprivrede i ribarstva)</w:t>
            </w:r>
          </w:p>
        </w:tc>
        <w:tc>
          <w:tcPr>
            <w:tcW w:w="1276" w:type="dxa"/>
            <w:vAlign w:val="center"/>
          </w:tcPr>
          <w:p w14:paraId="51B4AD7A" w14:textId="778CCC88" w:rsidR="004B0B0B" w:rsidRPr="004B0B0B" w:rsidRDefault="004B0B0B" w:rsidP="004B0B0B">
            <w:pPr>
              <w:jc w:val="center"/>
              <w:rPr>
                <w:sz w:val="20"/>
                <w:szCs w:val="14"/>
              </w:rPr>
            </w:pPr>
            <w:r w:rsidRPr="004B0B0B">
              <w:rPr>
                <w:rFonts w:eastAsia="Times New Roman"/>
                <w:sz w:val="20"/>
                <w:szCs w:val="20"/>
                <w:lang w:eastAsia="hr-HR"/>
              </w:rPr>
              <w:t>44,18</w:t>
            </w:r>
          </w:p>
        </w:tc>
        <w:tc>
          <w:tcPr>
            <w:tcW w:w="1276" w:type="dxa"/>
            <w:vAlign w:val="center"/>
          </w:tcPr>
          <w:p w14:paraId="1B700CFF" w14:textId="00EACE73" w:rsidR="004B0B0B" w:rsidRPr="004B0B0B" w:rsidRDefault="004B0B0B" w:rsidP="004B0B0B">
            <w:pPr>
              <w:jc w:val="center"/>
              <w:rPr>
                <w:sz w:val="20"/>
                <w:szCs w:val="14"/>
              </w:rPr>
            </w:pPr>
            <w:r w:rsidRPr="004B0B0B">
              <w:rPr>
                <w:rFonts w:eastAsia="Times New Roman"/>
                <w:sz w:val="20"/>
                <w:szCs w:val="20"/>
                <w:lang w:eastAsia="hr-HR"/>
              </w:rPr>
              <w:t>54,38</w:t>
            </w:r>
          </w:p>
        </w:tc>
        <w:tc>
          <w:tcPr>
            <w:tcW w:w="1275" w:type="dxa"/>
            <w:vAlign w:val="center"/>
          </w:tcPr>
          <w:p w14:paraId="34AF46CA" w14:textId="1DD6ED65" w:rsidR="004B0B0B" w:rsidRPr="004B0B0B" w:rsidRDefault="004B0B0B" w:rsidP="004B0B0B">
            <w:pPr>
              <w:jc w:val="center"/>
              <w:rPr>
                <w:sz w:val="20"/>
                <w:szCs w:val="14"/>
              </w:rPr>
            </w:pPr>
            <w:r w:rsidRPr="004B0B0B">
              <w:rPr>
                <w:rFonts w:eastAsia="Times New Roman"/>
                <w:sz w:val="20"/>
                <w:szCs w:val="20"/>
                <w:lang w:eastAsia="hr-HR"/>
              </w:rPr>
              <w:t>28,29</w:t>
            </w:r>
          </w:p>
        </w:tc>
      </w:tr>
      <w:tr w:rsidR="004B0B0B" w:rsidRPr="004B0B0B" w14:paraId="16B4328C" w14:textId="77777777" w:rsidTr="00076E4A">
        <w:trPr>
          <w:trHeight w:val="90"/>
        </w:trPr>
        <w:tc>
          <w:tcPr>
            <w:tcW w:w="4106" w:type="dxa"/>
            <w:shd w:val="clear" w:color="auto" w:fill="auto"/>
            <w:vAlign w:val="center"/>
            <w:hideMark/>
          </w:tcPr>
          <w:p w14:paraId="5B52BBA8" w14:textId="45CFC4D6" w:rsidR="004B0B0B" w:rsidRPr="004B0B0B" w:rsidRDefault="004B0B0B" w:rsidP="004B0B0B">
            <w:pPr>
              <w:rPr>
                <w:rFonts w:eastAsia="Times New Roman"/>
                <w:sz w:val="20"/>
                <w:szCs w:val="20"/>
              </w:rPr>
            </w:pPr>
            <w:r w:rsidRPr="004B0B0B">
              <w:rPr>
                <w:sz w:val="20"/>
                <w:szCs w:val="20"/>
              </w:rPr>
              <w:t>udio (%) u ukupnim potporama</w:t>
            </w:r>
          </w:p>
        </w:tc>
        <w:tc>
          <w:tcPr>
            <w:tcW w:w="1276" w:type="dxa"/>
            <w:vAlign w:val="center"/>
          </w:tcPr>
          <w:p w14:paraId="0FF613FF" w14:textId="48632894" w:rsidR="004B0B0B" w:rsidRPr="004B0B0B" w:rsidRDefault="004B0B0B" w:rsidP="004B0B0B">
            <w:pPr>
              <w:jc w:val="center"/>
              <w:rPr>
                <w:sz w:val="20"/>
                <w:szCs w:val="14"/>
              </w:rPr>
            </w:pPr>
            <w:r w:rsidRPr="004B0B0B">
              <w:rPr>
                <w:rFonts w:eastAsia="Times New Roman"/>
                <w:sz w:val="20"/>
                <w:szCs w:val="20"/>
                <w:lang w:eastAsia="hr-HR"/>
              </w:rPr>
              <w:t>29,07</w:t>
            </w:r>
          </w:p>
        </w:tc>
        <w:tc>
          <w:tcPr>
            <w:tcW w:w="1276" w:type="dxa"/>
            <w:vAlign w:val="center"/>
          </w:tcPr>
          <w:p w14:paraId="6E69C9B1" w14:textId="00829299" w:rsidR="004B0B0B" w:rsidRPr="004B0B0B" w:rsidRDefault="004B0B0B" w:rsidP="004B0B0B">
            <w:pPr>
              <w:jc w:val="center"/>
              <w:rPr>
                <w:sz w:val="20"/>
                <w:szCs w:val="14"/>
              </w:rPr>
            </w:pPr>
            <w:r w:rsidRPr="004B0B0B">
              <w:rPr>
                <w:rFonts w:eastAsia="Times New Roman"/>
                <w:sz w:val="20"/>
                <w:szCs w:val="20"/>
                <w:lang w:eastAsia="hr-HR"/>
              </w:rPr>
              <w:t>36,82</w:t>
            </w:r>
          </w:p>
        </w:tc>
        <w:tc>
          <w:tcPr>
            <w:tcW w:w="1275" w:type="dxa"/>
            <w:vAlign w:val="center"/>
          </w:tcPr>
          <w:p w14:paraId="6B6B8402" w14:textId="02B9C0F0" w:rsidR="004B0B0B" w:rsidRPr="004B0B0B" w:rsidRDefault="004B0B0B" w:rsidP="004B0B0B">
            <w:pPr>
              <w:jc w:val="center"/>
              <w:rPr>
                <w:sz w:val="20"/>
                <w:szCs w:val="14"/>
              </w:rPr>
            </w:pPr>
            <w:r w:rsidRPr="004B0B0B">
              <w:rPr>
                <w:rFonts w:eastAsia="Times New Roman"/>
                <w:sz w:val="20"/>
                <w:szCs w:val="20"/>
                <w:lang w:eastAsia="hr-HR"/>
              </w:rPr>
              <w:t>18,34</w:t>
            </w:r>
          </w:p>
        </w:tc>
      </w:tr>
      <w:tr w:rsidR="004B0B0B" w:rsidRPr="004B0B0B" w14:paraId="0B9D82AD" w14:textId="77777777" w:rsidTr="00076E4A">
        <w:trPr>
          <w:trHeight w:val="40"/>
        </w:trPr>
        <w:tc>
          <w:tcPr>
            <w:tcW w:w="4106" w:type="dxa"/>
            <w:shd w:val="clear" w:color="auto" w:fill="auto"/>
            <w:vAlign w:val="center"/>
            <w:hideMark/>
          </w:tcPr>
          <w:p w14:paraId="1A03D50A" w14:textId="13EF3708" w:rsidR="004B0B0B" w:rsidRPr="004B0B0B" w:rsidRDefault="004B0B0B" w:rsidP="004B0B0B">
            <w:pPr>
              <w:rPr>
                <w:rFonts w:eastAsia="Times New Roman"/>
                <w:sz w:val="20"/>
                <w:szCs w:val="20"/>
              </w:rPr>
            </w:pPr>
            <w:r w:rsidRPr="004B0B0B">
              <w:rPr>
                <w:sz w:val="20"/>
                <w:szCs w:val="20"/>
              </w:rPr>
              <w:t>udio (%) u BDP-u</w:t>
            </w:r>
          </w:p>
        </w:tc>
        <w:tc>
          <w:tcPr>
            <w:tcW w:w="1276" w:type="dxa"/>
            <w:vAlign w:val="center"/>
          </w:tcPr>
          <w:p w14:paraId="2010B29B" w14:textId="32BF4D32" w:rsidR="004B0B0B" w:rsidRPr="004B0B0B" w:rsidRDefault="004B0B0B" w:rsidP="004B0B0B">
            <w:pPr>
              <w:jc w:val="center"/>
              <w:rPr>
                <w:sz w:val="20"/>
                <w:szCs w:val="14"/>
              </w:rPr>
            </w:pPr>
            <w:r w:rsidRPr="004B0B0B">
              <w:rPr>
                <w:rFonts w:eastAsia="Times New Roman"/>
                <w:sz w:val="20"/>
                <w:szCs w:val="20"/>
                <w:lang w:eastAsia="hr-HR"/>
              </w:rPr>
              <w:t>1,45</w:t>
            </w:r>
          </w:p>
        </w:tc>
        <w:tc>
          <w:tcPr>
            <w:tcW w:w="1276" w:type="dxa"/>
            <w:vAlign w:val="center"/>
          </w:tcPr>
          <w:p w14:paraId="3BA0B335" w14:textId="3BFA4876" w:rsidR="004B0B0B" w:rsidRPr="004B0B0B" w:rsidRDefault="004B0B0B" w:rsidP="004B0B0B">
            <w:pPr>
              <w:jc w:val="center"/>
              <w:rPr>
                <w:sz w:val="20"/>
                <w:szCs w:val="14"/>
              </w:rPr>
            </w:pPr>
            <w:r w:rsidRPr="004B0B0B">
              <w:rPr>
                <w:rFonts w:eastAsia="Times New Roman"/>
                <w:sz w:val="20"/>
                <w:szCs w:val="20"/>
                <w:lang w:eastAsia="hr-HR"/>
              </w:rPr>
              <w:t>1,62</w:t>
            </w:r>
          </w:p>
        </w:tc>
        <w:tc>
          <w:tcPr>
            <w:tcW w:w="1275" w:type="dxa"/>
            <w:vAlign w:val="center"/>
          </w:tcPr>
          <w:p w14:paraId="1F07DC5C" w14:textId="6B272D2C" w:rsidR="004B0B0B" w:rsidRPr="004B0B0B" w:rsidRDefault="004B0B0B" w:rsidP="004B0B0B">
            <w:pPr>
              <w:jc w:val="center"/>
              <w:rPr>
                <w:sz w:val="20"/>
                <w:szCs w:val="14"/>
              </w:rPr>
            </w:pPr>
            <w:r w:rsidRPr="004B0B0B">
              <w:rPr>
                <w:rFonts w:eastAsia="Times New Roman"/>
                <w:sz w:val="20"/>
                <w:szCs w:val="20"/>
                <w:lang w:eastAsia="hr-HR"/>
              </w:rPr>
              <w:t>0,73</w:t>
            </w:r>
          </w:p>
        </w:tc>
      </w:tr>
    </w:tbl>
    <w:p w14:paraId="2ED92A76" w14:textId="77777777" w:rsidR="00231149" w:rsidRPr="00231149" w:rsidRDefault="00231149" w:rsidP="00231149">
      <w:pPr>
        <w:contextualSpacing/>
        <w:jc w:val="both"/>
        <w:rPr>
          <w:i/>
          <w:sz w:val="20"/>
        </w:rPr>
      </w:pPr>
      <w:r w:rsidRPr="00231149">
        <w:rPr>
          <w:i/>
          <w:sz w:val="20"/>
        </w:rPr>
        <w:t>Izvor: Ministarstvo financija i davatelji potpora; podaci obrađeni u Ministarstvu financija</w:t>
      </w:r>
    </w:p>
    <w:p w14:paraId="5C3EC276" w14:textId="77777777" w:rsidR="00231149" w:rsidRPr="00231149" w:rsidRDefault="00231149" w:rsidP="00231149">
      <w:pPr>
        <w:jc w:val="both"/>
        <w:rPr>
          <w:i/>
          <w:sz w:val="20"/>
        </w:rPr>
      </w:pPr>
      <w:r w:rsidRPr="00231149">
        <w:rPr>
          <w:i/>
          <w:sz w:val="20"/>
        </w:rPr>
        <w:t xml:space="preserve">*Potpore za suzbijanje učinaka COVID-a i ruske agresije na Ukrajinu su potpore dodijeljene prema Privremenim okvirima: Privremeni okvir za dodjelu potpora gospodarstvu za suzbijanje učinaka COVID-a 19 i Privremeni okvir za dodjelu potpora za suzbijanje učinaka ruske agresije na Ukrajinu </w:t>
      </w:r>
    </w:p>
    <w:p w14:paraId="7222B7DF" w14:textId="78F72AAC" w:rsidR="009F2F9D" w:rsidRDefault="009F2F9D" w:rsidP="00BE487D">
      <w:pPr>
        <w:contextualSpacing/>
        <w:jc w:val="both"/>
      </w:pPr>
    </w:p>
    <w:p w14:paraId="4BEA2EB0" w14:textId="14565E7B" w:rsidR="00985402" w:rsidRPr="0030056B" w:rsidRDefault="00985402" w:rsidP="00985402">
      <w:pPr>
        <w:jc w:val="both"/>
      </w:pPr>
      <w:r w:rsidRPr="00AC7524">
        <w:t xml:space="preserve">Udio </w:t>
      </w:r>
      <w:r w:rsidR="00ED678C" w:rsidRPr="00AC7524">
        <w:t xml:space="preserve">navedenih </w:t>
      </w:r>
      <w:r w:rsidRPr="00AC7524">
        <w:t xml:space="preserve">potpora u BDP-u </w:t>
      </w:r>
      <w:r w:rsidRPr="00F1588A">
        <w:t>u 202</w:t>
      </w:r>
      <w:r w:rsidR="00AC7524" w:rsidRPr="00F1588A">
        <w:t>3</w:t>
      </w:r>
      <w:r w:rsidRPr="00F1588A">
        <w:t xml:space="preserve">. godini iznosio je </w:t>
      </w:r>
      <w:r w:rsidR="00AC7524" w:rsidRPr="00F1588A">
        <w:rPr>
          <w:rFonts w:eastAsia="Times New Roman"/>
          <w:lang w:eastAsia="hr-HR"/>
        </w:rPr>
        <w:t xml:space="preserve">0,73 </w:t>
      </w:r>
      <w:r w:rsidRPr="00F1588A">
        <w:t>posto</w:t>
      </w:r>
      <w:r w:rsidR="007E0A2C" w:rsidRPr="00F1588A">
        <w:t>, u 202</w:t>
      </w:r>
      <w:r w:rsidR="00AC7524" w:rsidRPr="00F1588A">
        <w:t>2</w:t>
      </w:r>
      <w:r w:rsidR="007E0A2C" w:rsidRPr="00F1588A">
        <w:t xml:space="preserve">. godini iznosio je </w:t>
      </w:r>
      <w:r w:rsidR="00AC7524" w:rsidRPr="00F1588A">
        <w:t xml:space="preserve">1,62 </w:t>
      </w:r>
      <w:r w:rsidR="007E0A2C" w:rsidRPr="00F1588A">
        <w:t>posto dok j</w:t>
      </w:r>
      <w:r w:rsidRPr="00F1588A">
        <w:t>e u 202</w:t>
      </w:r>
      <w:r w:rsidR="00AC7524" w:rsidRPr="00F1588A">
        <w:t>1</w:t>
      </w:r>
      <w:r w:rsidRPr="00F1588A">
        <w:t xml:space="preserve">. godini iznosio </w:t>
      </w:r>
      <w:r w:rsidR="00AC7524" w:rsidRPr="00F1588A">
        <w:t xml:space="preserve">1,45 </w:t>
      </w:r>
      <w:r w:rsidRPr="00F1588A">
        <w:t xml:space="preserve">posto. </w:t>
      </w:r>
      <w:r w:rsidR="00AC7524" w:rsidRPr="00F1588A">
        <w:t>U 2023. godini je u</w:t>
      </w:r>
      <w:r w:rsidRPr="00F1588A">
        <w:t xml:space="preserve">dio navedenih potpora u ukupno dodijeljenim potporama iznosio </w:t>
      </w:r>
      <w:r w:rsidR="00AC7524" w:rsidRPr="00F1588A">
        <w:t>18,34</w:t>
      </w:r>
      <w:r w:rsidRPr="00F1588A">
        <w:t xml:space="preserve"> posto</w:t>
      </w:r>
      <w:r w:rsidR="00F1588A" w:rsidRPr="00F1588A">
        <w:t>, u 2022. godini 36,82 posto i u 2021. godini 29,07 posto. U</w:t>
      </w:r>
      <w:r w:rsidRPr="00F1588A">
        <w:t xml:space="preserve">dio </w:t>
      </w:r>
      <w:r w:rsidR="00F1588A" w:rsidRPr="00F1588A">
        <w:t xml:space="preserve">navedenih potpora u 2023. godini </w:t>
      </w:r>
      <w:r w:rsidRPr="00F1588A">
        <w:t xml:space="preserve">u dodijeljenim potporama u sektoru industrije i usluga iznosio </w:t>
      </w:r>
      <w:r w:rsidR="00F1588A" w:rsidRPr="00F1588A">
        <w:t xml:space="preserve">je </w:t>
      </w:r>
      <w:r w:rsidR="00AC7524" w:rsidRPr="00F1588A">
        <w:t xml:space="preserve">28,29 </w:t>
      </w:r>
      <w:r w:rsidRPr="00F1588A">
        <w:t>posto.</w:t>
      </w:r>
      <w:r w:rsidR="00F1588A" w:rsidRPr="00F1588A">
        <w:t xml:space="preserve"> u 2022. godini iznosio je </w:t>
      </w:r>
      <w:r w:rsidR="00F1588A" w:rsidRPr="00F1588A">
        <w:rPr>
          <w:rFonts w:eastAsia="Times New Roman"/>
          <w:lang w:eastAsia="hr-HR"/>
        </w:rPr>
        <w:t xml:space="preserve">54,38 </w:t>
      </w:r>
      <w:r w:rsidR="00F1588A" w:rsidRPr="00F1588A">
        <w:t xml:space="preserve">posto dok je u 2021. godini </w:t>
      </w:r>
      <w:r w:rsidR="00F1588A" w:rsidRPr="0030056B">
        <w:t xml:space="preserve">iznosio </w:t>
      </w:r>
      <w:r w:rsidR="00F1588A" w:rsidRPr="0030056B">
        <w:rPr>
          <w:rFonts w:eastAsia="Times New Roman"/>
          <w:lang w:eastAsia="hr-HR"/>
        </w:rPr>
        <w:t>44,18</w:t>
      </w:r>
      <w:r w:rsidR="006D4598">
        <w:rPr>
          <w:rFonts w:eastAsia="Times New Roman"/>
          <w:lang w:eastAsia="hr-HR"/>
        </w:rPr>
        <w:t xml:space="preserve"> </w:t>
      </w:r>
      <w:r w:rsidR="00F1588A" w:rsidRPr="0030056B">
        <w:t>posto.</w:t>
      </w:r>
    </w:p>
    <w:p w14:paraId="1D0E2176" w14:textId="77777777" w:rsidR="00AC7524" w:rsidRPr="0030056B" w:rsidRDefault="00AC7524" w:rsidP="00985402">
      <w:pPr>
        <w:jc w:val="both"/>
        <w:rPr>
          <w:rFonts w:eastAsia="Times New Roman"/>
        </w:rPr>
      </w:pPr>
    </w:p>
    <w:p w14:paraId="3BB8AFDC" w14:textId="507D8D5C" w:rsidR="00384B3C" w:rsidRPr="008149B5" w:rsidRDefault="0030056B" w:rsidP="00384B3C">
      <w:pPr>
        <w:jc w:val="both"/>
        <w:rPr>
          <w:highlight w:val="red"/>
        </w:rPr>
      </w:pPr>
      <w:r w:rsidRPr="0030056B">
        <w:t>U 2023. godini o</w:t>
      </w:r>
      <w:r w:rsidR="00B25832" w:rsidRPr="0030056B">
        <w:t xml:space="preserve">d ukupno dodijeljenih potpora </w:t>
      </w:r>
      <w:r w:rsidRPr="0030056B">
        <w:t xml:space="preserve">u iznosu od 556,6 milijuna eura </w:t>
      </w:r>
      <w:r w:rsidR="00B25832" w:rsidRPr="0030056B">
        <w:t xml:space="preserve">za podršku gospodarstvu u aktualnoj </w:t>
      </w:r>
      <w:proofErr w:type="spellStart"/>
      <w:r w:rsidR="00B25832" w:rsidRPr="0030056B">
        <w:t>pandemiji</w:t>
      </w:r>
      <w:proofErr w:type="spellEnd"/>
      <w:r w:rsidR="00B25832" w:rsidRPr="0030056B">
        <w:t xml:space="preserve"> COVID–</w:t>
      </w:r>
      <w:r w:rsidR="00B25832" w:rsidRPr="00F61427">
        <w:t xml:space="preserve">19 </w:t>
      </w:r>
      <w:r w:rsidRPr="00F61427">
        <w:t>i</w:t>
      </w:r>
      <w:r w:rsidR="00B25832" w:rsidRPr="00F61427">
        <w:t xml:space="preserve"> za suzbijanje učinaka ruske agresije na Ukrajinu</w:t>
      </w:r>
      <w:r w:rsidR="00F61427" w:rsidRPr="00F61427">
        <w:t>, za potpore za otklanjanje ozbiljnih poteškoća u gospodarstvu s ciljem suzbijanja učinaka ruske agresije na Ukrajinu, a temeljem Privremenog okvira za mjere državne potpore u kriznim situacijama za potporu gospodarstvu nakon ruske agresije na Ukrajinu dodijeljeno je 542,3 milijuna eura odnosno 97,4 posto navedenih potpora, dok je za otklanjanje i ublažavanje šteta prouzročenih prirodnim nepogodama ili izvanrednim okolnostima kao p</w:t>
      </w:r>
      <w:r w:rsidR="00B25832" w:rsidRPr="00F61427">
        <w:t>odršk</w:t>
      </w:r>
      <w:r w:rsidR="00F61427" w:rsidRPr="00F61427">
        <w:t>a</w:t>
      </w:r>
      <w:r w:rsidR="00B25832" w:rsidRPr="00F61427">
        <w:t xml:space="preserve"> gospodarstvu u aktualnoj </w:t>
      </w:r>
      <w:proofErr w:type="spellStart"/>
      <w:r w:rsidR="00B25832" w:rsidRPr="00F61427">
        <w:t>pandemiji</w:t>
      </w:r>
      <w:proofErr w:type="spellEnd"/>
      <w:r w:rsidR="00B25832" w:rsidRPr="00F61427">
        <w:t xml:space="preserve"> COVID–19 dodijeljeno je </w:t>
      </w:r>
      <w:r w:rsidR="00F61427" w:rsidRPr="00F61427">
        <w:t>14,3</w:t>
      </w:r>
      <w:r w:rsidR="00384B3C" w:rsidRPr="00F61427">
        <w:t xml:space="preserve"> milijuna </w:t>
      </w:r>
      <w:r w:rsidR="00F61427" w:rsidRPr="00F61427">
        <w:t>eura</w:t>
      </w:r>
      <w:r w:rsidR="00384B3C" w:rsidRPr="00F61427">
        <w:t xml:space="preserve"> ili </w:t>
      </w:r>
      <w:r w:rsidR="00F61427" w:rsidRPr="00F61427">
        <w:t>2,6</w:t>
      </w:r>
      <w:r w:rsidR="00384B3C" w:rsidRPr="00F61427">
        <w:t xml:space="preserve"> posto, temeljem Privremenog okvira za mjere državnih potpora u svrhu podrške gospodarstvu u</w:t>
      </w:r>
      <w:r w:rsidR="00F61427" w:rsidRPr="00F61427">
        <w:t xml:space="preserve"> aktualnoj </w:t>
      </w:r>
      <w:proofErr w:type="spellStart"/>
      <w:r w:rsidR="00F61427" w:rsidRPr="00F61427">
        <w:t>pandemiji</w:t>
      </w:r>
      <w:proofErr w:type="spellEnd"/>
      <w:r w:rsidR="00F61427" w:rsidRPr="00F61427">
        <w:t xml:space="preserve"> </w:t>
      </w:r>
      <w:proofErr w:type="spellStart"/>
      <w:r w:rsidR="00F61427" w:rsidRPr="00F61427">
        <w:t>COVIDa</w:t>
      </w:r>
      <w:proofErr w:type="spellEnd"/>
      <w:r w:rsidR="00F61427" w:rsidRPr="00F61427">
        <w:t>–19.</w:t>
      </w:r>
    </w:p>
    <w:p w14:paraId="538DBB4C" w14:textId="77777777" w:rsidR="00F61427" w:rsidRPr="00AC7524" w:rsidRDefault="00F61427" w:rsidP="00985402">
      <w:pPr>
        <w:jc w:val="both"/>
        <w:rPr>
          <w:rFonts w:eastAsia="Times New Roman"/>
        </w:rPr>
      </w:pPr>
    </w:p>
    <w:p w14:paraId="65720926" w14:textId="66E42CD2" w:rsidR="00985402" w:rsidRPr="00F1588A" w:rsidRDefault="00AC7524" w:rsidP="00985402">
      <w:pPr>
        <w:jc w:val="both"/>
      </w:pPr>
      <w:r w:rsidRPr="00AC7524">
        <w:t xml:space="preserve">U 2023. godini </w:t>
      </w:r>
      <w:r w:rsidRPr="00F1588A">
        <w:t>d</w:t>
      </w:r>
      <w:r w:rsidR="00ED678C" w:rsidRPr="00F1588A">
        <w:t>odijeljene p</w:t>
      </w:r>
      <w:r w:rsidR="00985402" w:rsidRPr="00F1588A">
        <w:t xml:space="preserve">otpore </w:t>
      </w:r>
      <w:r w:rsidR="00ED678C" w:rsidRPr="00F1588A">
        <w:t>podrške</w:t>
      </w:r>
      <w:r w:rsidR="00985402" w:rsidRPr="00F1588A">
        <w:t xml:space="preserve"> gospodarstvu </w:t>
      </w:r>
      <w:r w:rsidR="00D66C10" w:rsidRPr="00F1588A">
        <w:t xml:space="preserve">u aktualnoj </w:t>
      </w:r>
      <w:proofErr w:type="spellStart"/>
      <w:r w:rsidR="00D66C10" w:rsidRPr="00F1588A">
        <w:t>pandemiji</w:t>
      </w:r>
      <w:proofErr w:type="spellEnd"/>
      <w:r w:rsidR="00D66C10" w:rsidRPr="00F1588A">
        <w:t xml:space="preserve"> COVID–19 </w:t>
      </w:r>
      <w:r w:rsidRPr="00F1588A">
        <w:t>i</w:t>
      </w:r>
      <w:r w:rsidR="00D66C10" w:rsidRPr="00F1588A">
        <w:t xml:space="preserve"> za suzbijanje učinaka ruske agresije na Ukrajinu </w:t>
      </w:r>
      <w:r w:rsidR="00985402" w:rsidRPr="00F1588A">
        <w:t xml:space="preserve">u iznosu od </w:t>
      </w:r>
      <w:r w:rsidRPr="00F1588A">
        <w:t xml:space="preserve">556,6 </w:t>
      </w:r>
      <w:r w:rsidR="00985402" w:rsidRPr="00F1588A">
        <w:t xml:space="preserve">milijuna </w:t>
      </w:r>
      <w:r w:rsidRPr="00F1588A">
        <w:t>eura</w:t>
      </w:r>
      <w:r w:rsidR="00985402" w:rsidRPr="00F1588A">
        <w:t xml:space="preserve">, najvećim dijelom dodjeljivane su putem izdanih jamstava u iznosu od </w:t>
      </w:r>
      <w:r w:rsidRPr="00F1588A">
        <w:t xml:space="preserve">392,5 </w:t>
      </w:r>
      <w:r w:rsidR="00985402" w:rsidRPr="00F1588A">
        <w:t xml:space="preserve">milijuna </w:t>
      </w:r>
      <w:r w:rsidRPr="00F1588A">
        <w:t xml:space="preserve">eura </w:t>
      </w:r>
      <w:r w:rsidR="00985402" w:rsidRPr="00F1588A">
        <w:t xml:space="preserve">odnosno s udjelom od </w:t>
      </w:r>
      <w:r w:rsidRPr="00F1588A">
        <w:t xml:space="preserve">70,5 </w:t>
      </w:r>
      <w:r w:rsidR="00985402" w:rsidRPr="00F1588A">
        <w:t xml:space="preserve">posto u navedenom sektoru, slijede </w:t>
      </w:r>
      <w:r w:rsidR="00994032" w:rsidRPr="00F1588A">
        <w:t xml:space="preserve">povoljni zajmovi </w:t>
      </w:r>
      <w:r w:rsidR="00985402" w:rsidRPr="00F1588A">
        <w:t xml:space="preserve">u iznosu od </w:t>
      </w:r>
      <w:r w:rsidRPr="00F1588A">
        <w:t xml:space="preserve">127,4 </w:t>
      </w:r>
      <w:r w:rsidR="00985402" w:rsidRPr="00F1588A">
        <w:t>milijun</w:t>
      </w:r>
      <w:r w:rsidRPr="00F1588A">
        <w:t>a</w:t>
      </w:r>
      <w:r w:rsidR="00985402" w:rsidRPr="00F1588A">
        <w:t xml:space="preserve"> </w:t>
      </w:r>
      <w:r w:rsidRPr="00F1588A">
        <w:t xml:space="preserve">eura </w:t>
      </w:r>
      <w:r w:rsidR="00985402" w:rsidRPr="00F1588A">
        <w:t xml:space="preserve">ili </w:t>
      </w:r>
      <w:r w:rsidR="00ED678C" w:rsidRPr="00F1588A">
        <w:t>22,</w:t>
      </w:r>
      <w:r w:rsidRPr="00F1588A">
        <w:t>9</w:t>
      </w:r>
      <w:r w:rsidR="00994032" w:rsidRPr="00F1588A">
        <w:t xml:space="preserve"> </w:t>
      </w:r>
      <w:r w:rsidR="00985402" w:rsidRPr="00F1588A">
        <w:t xml:space="preserve">posto, </w:t>
      </w:r>
      <w:r w:rsidRPr="00F1588A">
        <w:t>neposredne subvencije kamata u iznosu od 16,1 milijun eura ili 2,9</w:t>
      </w:r>
      <w:r w:rsidR="00F1588A" w:rsidRPr="00F1588A">
        <w:t xml:space="preserve"> posto, otpis duga </w:t>
      </w:r>
      <w:r w:rsidR="00ED678C" w:rsidRPr="00F1588A">
        <w:t xml:space="preserve">u iznosu od </w:t>
      </w:r>
      <w:r w:rsidR="00F1588A" w:rsidRPr="00F1588A">
        <w:t>14,3</w:t>
      </w:r>
      <w:r w:rsidR="00ED05FB" w:rsidRPr="00F1588A">
        <w:t xml:space="preserve"> milijuna </w:t>
      </w:r>
      <w:r w:rsidRPr="00F1588A">
        <w:t xml:space="preserve">eura </w:t>
      </w:r>
      <w:r w:rsidR="00ED05FB" w:rsidRPr="00F1588A">
        <w:t xml:space="preserve">ili </w:t>
      </w:r>
      <w:r w:rsidR="00F1588A" w:rsidRPr="00F1588A">
        <w:t>2,6</w:t>
      </w:r>
      <w:r w:rsidR="006D4598">
        <w:t xml:space="preserve"> </w:t>
      </w:r>
      <w:r w:rsidR="00ED05FB" w:rsidRPr="00F1588A">
        <w:t>posto</w:t>
      </w:r>
      <w:r w:rsidR="00F1588A" w:rsidRPr="00F1588A">
        <w:t xml:space="preserve"> te</w:t>
      </w:r>
      <w:r w:rsidR="00ED05FB" w:rsidRPr="00F1588A">
        <w:t xml:space="preserve"> </w:t>
      </w:r>
      <w:r w:rsidR="00994032" w:rsidRPr="00F1588A">
        <w:t xml:space="preserve">subvencije </w:t>
      </w:r>
      <w:r w:rsidR="00985402" w:rsidRPr="00F1588A">
        <w:t xml:space="preserve">u iznosu od </w:t>
      </w:r>
      <w:r w:rsidR="00F1588A" w:rsidRPr="00F1588A">
        <w:t xml:space="preserve">6,3 </w:t>
      </w:r>
      <w:r w:rsidR="00985402" w:rsidRPr="00F1588A">
        <w:t xml:space="preserve">milijuna </w:t>
      </w:r>
      <w:r w:rsidRPr="00F1588A">
        <w:t xml:space="preserve">eura </w:t>
      </w:r>
      <w:r w:rsidR="00985402" w:rsidRPr="00F1588A">
        <w:t xml:space="preserve">ili </w:t>
      </w:r>
      <w:r w:rsidR="00F1588A" w:rsidRPr="00F1588A">
        <w:t>1,1</w:t>
      </w:r>
      <w:r w:rsidR="00994032" w:rsidRPr="00F1588A">
        <w:t xml:space="preserve"> </w:t>
      </w:r>
      <w:r w:rsidR="00985402" w:rsidRPr="00F1588A">
        <w:t>posto</w:t>
      </w:r>
      <w:r w:rsidR="00F1588A" w:rsidRPr="00F1588A">
        <w:t>.</w:t>
      </w:r>
      <w:r w:rsidR="00985402" w:rsidRPr="00F1588A">
        <w:t xml:space="preserve"> </w:t>
      </w:r>
    </w:p>
    <w:p w14:paraId="12BFE674" w14:textId="77777777" w:rsidR="00F1588A" w:rsidRPr="00F1588A" w:rsidRDefault="00F1588A" w:rsidP="003E16E6">
      <w:pPr>
        <w:jc w:val="both"/>
      </w:pPr>
    </w:p>
    <w:p w14:paraId="56F417A1" w14:textId="06955732" w:rsidR="00F1588A" w:rsidRPr="00F1588A" w:rsidRDefault="00985402" w:rsidP="00985402">
      <w:pPr>
        <w:contextualSpacing/>
        <w:jc w:val="both"/>
      </w:pPr>
      <w:r w:rsidRPr="00F1588A">
        <w:t xml:space="preserve">Davatelji </w:t>
      </w:r>
      <w:r w:rsidR="00ED05FB" w:rsidRPr="00F1588A">
        <w:t xml:space="preserve">navedenih </w:t>
      </w:r>
      <w:r w:rsidRPr="00F1588A">
        <w:t>potpora</w:t>
      </w:r>
      <w:r w:rsidR="00ED05FB" w:rsidRPr="00F1588A">
        <w:t xml:space="preserve"> u 202</w:t>
      </w:r>
      <w:r w:rsidR="00F1588A" w:rsidRPr="00F1588A">
        <w:t>3</w:t>
      </w:r>
      <w:r w:rsidR="00ED05FB" w:rsidRPr="00F1588A">
        <w:t xml:space="preserve">. godini </w:t>
      </w:r>
      <w:r w:rsidR="00994032" w:rsidRPr="00F1588A">
        <w:t xml:space="preserve">u iznosu od </w:t>
      </w:r>
      <w:r w:rsidR="00F1588A" w:rsidRPr="00F1588A">
        <w:t xml:space="preserve">556,6 </w:t>
      </w:r>
      <w:r w:rsidR="00994032" w:rsidRPr="00F1588A">
        <w:t xml:space="preserve">milijuna </w:t>
      </w:r>
      <w:r w:rsidR="00F1588A" w:rsidRPr="00F1588A">
        <w:t>eura</w:t>
      </w:r>
      <w:r w:rsidR="00994032" w:rsidRPr="00F1588A">
        <w:t xml:space="preserve"> su</w:t>
      </w:r>
      <w:r w:rsidRPr="00F1588A">
        <w:t>: HBOR</w:t>
      </w:r>
      <w:r w:rsidR="000F126D" w:rsidRPr="00F1588A">
        <w:t xml:space="preserve"> </w:t>
      </w:r>
      <w:r w:rsidR="00ED05FB" w:rsidRPr="00F1588A">
        <w:t xml:space="preserve">koji je </w:t>
      </w:r>
      <w:r w:rsidR="000F126D" w:rsidRPr="00F1588A">
        <w:t>dodijel</w:t>
      </w:r>
      <w:r w:rsidR="00ED05FB" w:rsidRPr="00F1588A">
        <w:t>io</w:t>
      </w:r>
      <w:r w:rsidR="000F126D" w:rsidRPr="00F1588A">
        <w:t xml:space="preserve"> </w:t>
      </w:r>
      <w:r w:rsidR="00F1588A" w:rsidRPr="00F1588A">
        <w:t xml:space="preserve">542,3 </w:t>
      </w:r>
      <w:r w:rsidR="000F126D" w:rsidRPr="00F1588A">
        <w:t>milijun</w:t>
      </w:r>
      <w:r w:rsidR="00ED05FB" w:rsidRPr="00F1588A">
        <w:t>a</w:t>
      </w:r>
      <w:r w:rsidR="000F126D" w:rsidRPr="00F1588A">
        <w:t xml:space="preserve"> </w:t>
      </w:r>
      <w:r w:rsidR="00F1588A" w:rsidRPr="00F1588A">
        <w:t xml:space="preserve">eura za otklanjanje ozbiljnih poteškoća u gospodarstvu ili s udjelom u ukupnim potporama navedene kategorije od 97,4 posto i </w:t>
      </w:r>
      <w:r w:rsidR="00ED05FB" w:rsidRPr="00F1588A">
        <w:t xml:space="preserve">Ministarstvo mora, prometa i infrastrukture s iznosom od </w:t>
      </w:r>
      <w:r w:rsidR="00F1588A" w:rsidRPr="00F1588A">
        <w:t xml:space="preserve">14,3 </w:t>
      </w:r>
      <w:r w:rsidR="00ED05FB" w:rsidRPr="00F1588A">
        <w:t xml:space="preserve">milijuna </w:t>
      </w:r>
      <w:r w:rsidR="00F1588A" w:rsidRPr="00F1588A">
        <w:t xml:space="preserve">eura za otklanjanje i ublažavanje šteta prouzročenih </w:t>
      </w:r>
      <w:r w:rsidR="00F1588A" w:rsidRPr="00F1588A">
        <w:lastRenderedPageBreak/>
        <w:t xml:space="preserve">prirodnim nepogodama ili izvanrednim okolnostima </w:t>
      </w:r>
      <w:r w:rsidR="00F1588A">
        <w:t xml:space="preserve">odnosno </w:t>
      </w:r>
      <w:r w:rsidR="00F1588A" w:rsidRPr="00F1588A">
        <w:t>s udjelom od 2,6 posto u navedenoj kategoriji potpore</w:t>
      </w:r>
      <w:r w:rsidR="00F1588A">
        <w:t>.</w:t>
      </w:r>
    </w:p>
    <w:p w14:paraId="2AAF0FFA" w14:textId="77777777" w:rsidR="00ED05FB" w:rsidRPr="00F1588A" w:rsidRDefault="00ED05FB" w:rsidP="00985402">
      <w:pPr>
        <w:contextualSpacing/>
        <w:jc w:val="both"/>
      </w:pPr>
    </w:p>
    <w:p w14:paraId="0BE1B817" w14:textId="6E5CF93C" w:rsidR="009F32AF" w:rsidRPr="00F46FA6" w:rsidRDefault="00AF5287" w:rsidP="009F32AF">
      <w:pPr>
        <w:jc w:val="both"/>
        <w:rPr>
          <w:spacing w:val="-2"/>
        </w:rPr>
      </w:pPr>
      <w:r w:rsidRPr="00B75A66">
        <w:rPr>
          <w:spacing w:val="-2"/>
          <w:u w:val="single"/>
        </w:rPr>
        <w:t>HBOR</w:t>
      </w:r>
      <w:r w:rsidRPr="00F46FA6">
        <w:rPr>
          <w:b/>
          <w:spacing w:val="-2"/>
        </w:rPr>
        <w:t xml:space="preserve"> </w:t>
      </w:r>
      <w:r w:rsidRPr="00F46FA6">
        <w:rPr>
          <w:spacing w:val="-2"/>
        </w:rPr>
        <w:t>je</w:t>
      </w:r>
      <w:r w:rsidRPr="00F46FA6">
        <w:rPr>
          <w:b/>
          <w:spacing w:val="-2"/>
        </w:rPr>
        <w:t xml:space="preserve"> </w:t>
      </w:r>
      <w:r w:rsidR="00451B90" w:rsidRPr="00F46FA6">
        <w:rPr>
          <w:spacing w:val="-2"/>
        </w:rPr>
        <w:t>s ciljem</w:t>
      </w:r>
      <w:r w:rsidR="00451B90" w:rsidRPr="00F46FA6">
        <w:rPr>
          <w:b/>
          <w:spacing w:val="-2"/>
        </w:rPr>
        <w:t xml:space="preserve"> </w:t>
      </w:r>
      <w:r w:rsidR="00451B90" w:rsidRPr="00F46FA6">
        <w:rPr>
          <w:spacing w:val="-2"/>
        </w:rPr>
        <w:t xml:space="preserve">otklanjanja ozbiljnih poteškoća u gospodarstvu </w:t>
      </w:r>
      <w:r w:rsidR="001F4D8C" w:rsidRPr="00F46FA6">
        <w:rPr>
          <w:spacing w:val="-2"/>
        </w:rPr>
        <w:t xml:space="preserve">dodijelio </w:t>
      </w:r>
      <w:r w:rsidR="00451B90" w:rsidRPr="00F46FA6">
        <w:rPr>
          <w:spacing w:val="-2"/>
        </w:rPr>
        <w:t>u 2023. godini</w:t>
      </w:r>
      <w:r w:rsidR="00451B90" w:rsidRPr="00F46FA6">
        <w:rPr>
          <w:b/>
          <w:spacing w:val="-2"/>
        </w:rPr>
        <w:t xml:space="preserve"> </w:t>
      </w:r>
      <w:r w:rsidR="001F4D8C" w:rsidRPr="00F46FA6">
        <w:rPr>
          <w:spacing w:val="-2"/>
        </w:rPr>
        <w:t xml:space="preserve">potpore </w:t>
      </w:r>
      <w:r w:rsidRPr="00F46FA6">
        <w:rPr>
          <w:spacing w:val="-2"/>
        </w:rPr>
        <w:t xml:space="preserve">u iznosu od </w:t>
      </w:r>
      <w:r w:rsidR="00451B90" w:rsidRPr="00F46FA6">
        <w:rPr>
          <w:spacing w:val="-2"/>
        </w:rPr>
        <w:t xml:space="preserve">542,3 </w:t>
      </w:r>
      <w:r w:rsidR="002E4F84" w:rsidRPr="00F46FA6">
        <w:rPr>
          <w:spacing w:val="-2"/>
        </w:rPr>
        <w:t>milijun</w:t>
      </w:r>
      <w:r w:rsidR="001F4D8C" w:rsidRPr="00F46FA6">
        <w:rPr>
          <w:spacing w:val="-2"/>
        </w:rPr>
        <w:t>a</w:t>
      </w:r>
      <w:r w:rsidR="002E4F84" w:rsidRPr="00F46FA6">
        <w:rPr>
          <w:spacing w:val="-2"/>
        </w:rPr>
        <w:t xml:space="preserve"> </w:t>
      </w:r>
      <w:r w:rsidR="00451B90" w:rsidRPr="00F46FA6">
        <w:rPr>
          <w:spacing w:val="-2"/>
        </w:rPr>
        <w:t>eura</w:t>
      </w:r>
      <w:r w:rsidRPr="00F46FA6">
        <w:rPr>
          <w:spacing w:val="-2"/>
        </w:rPr>
        <w:t xml:space="preserve">. </w:t>
      </w:r>
      <w:r w:rsidR="00D66C10" w:rsidRPr="00F46FA6">
        <w:rPr>
          <w:spacing w:val="-2"/>
        </w:rPr>
        <w:t xml:space="preserve">Temeljem </w:t>
      </w:r>
      <w:r w:rsidR="00451B90" w:rsidRPr="00F46FA6">
        <w:rPr>
          <w:spacing w:val="-2"/>
        </w:rPr>
        <w:t xml:space="preserve">Izmjene Programa pojedinačnog i </w:t>
      </w:r>
      <w:proofErr w:type="spellStart"/>
      <w:r w:rsidR="00451B90" w:rsidRPr="00F46FA6">
        <w:rPr>
          <w:spacing w:val="-2"/>
        </w:rPr>
        <w:t>portfeljnog</w:t>
      </w:r>
      <w:proofErr w:type="spellEnd"/>
      <w:r w:rsidR="00451B90" w:rsidRPr="00F46FA6">
        <w:rPr>
          <w:spacing w:val="-2"/>
        </w:rPr>
        <w:t xml:space="preserve"> osiguranja kredita za likvidnost i ulaganja izvoznika usklađenog s drugim izmjenama Privremenog kriznog okvira za Ukrajinu – produljenje do kraja 2023. godine, HBOR je </w:t>
      </w:r>
      <w:r w:rsidR="00D66C10" w:rsidRPr="00F46FA6">
        <w:rPr>
          <w:spacing w:val="-2"/>
        </w:rPr>
        <w:t xml:space="preserve">dodijelio </w:t>
      </w:r>
      <w:r w:rsidR="00451B90" w:rsidRPr="00F46FA6">
        <w:rPr>
          <w:spacing w:val="-2"/>
        </w:rPr>
        <w:t xml:space="preserve">398,7 </w:t>
      </w:r>
      <w:r w:rsidR="00D66C10" w:rsidRPr="00F46FA6">
        <w:rPr>
          <w:spacing w:val="-2"/>
        </w:rPr>
        <w:t xml:space="preserve">milijuna </w:t>
      </w:r>
      <w:r w:rsidR="00451B90" w:rsidRPr="00F46FA6">
        <w:rPr>
          <w:spacing w:val="-2"/>
        </w:rPr>
        <w:t>eura, i to putem izdanih jamstava iznos od 392,5 milijuna eura i putem subvencija iznos od 6,3 milijuna eura</w:t>
      </w:r>
      <w:r w:rsidR="00D66C10" w:rsidRPr="00F46FA6">
        <w:rPr>
          <w:spacing w:val="-2"/>
        </w:rPr>
        <w:t xml:space="preserve">. </w:t>
      </w:r>
      <w:r w:rsidR="009F32AF" w:rsidRPr="00F46FA6">
        <w:rPr>
          <w:spacing w:val="-2"/>
        </w:rPr>
        <w:t>Europska komisija je navedenu izmjenu Programa odobrila pod brojem SA.105227. Isto tako, temeljem Izmjene Programa dodjele potpora HBOR-a usklađenog s drugim izmjenama Privremenog kriznog okvira za Ukrajinu – produljenje do kraja 2023. godine, HBOR je dodijelio 143,6 milijuna eura, i to kroz povoljne zajmove iznos od 127,4 milijuna eura i kroz neposredne subvencije kamata iznos od 16,1 milijun eura. Europska komisija je navedenu izmjenu Programa odobrila pod brojem SA.105228.</w:t>
      </w:r>
    </w:p>
    <w:p w14:paraId="38FBAD7A" w14:textId="77777777" w:rsidR="00CF288B" w:rsidRPr="00184A8C" w:rsidRDefault="00CF288B" w:rsidP="00CC5E5C">
      <w:pPr>
        <w:jc w:val="both"/>
        <w:rPr>
          <w:b/>
        </w:rPr>
      </w:pPr>
    </w:p>
    <w:p w14:paraId="61A39ABA" w14:textId="7A14245D" w:rsidR="00A93199" w:rsidRPr="00F46FA6" w:rsidRDefault="00CC5E5C" w:rsidP="00CC5E5C">
      <w:pPr>
        <w:jc w:val="both"/>
      </w:pPr>
      <w:r w:rsidRPr="00B75A66">
        <w:rPr>
          <w:u w:val="single"/>
        </w:rPr>
        <w:t>Ministarstvo mora, prometa i infrastrukture</w:t>
      </w:r>
      <w:r w:rsidRPr="00F46FA6">
        <w:t xml:space="preserve"> </w:t>
      </w:r>
      <w:r w:rsidR="00CF288B" w:rsidRPr="00F46FA6">
        <w:t xml:space="preserve">dodijelilo </w:t>
      </w:r>
      <w:r w:rsidRPr="00F46FA6">
        <w:t xml:space="preserve">je </w:t>
      </w:r>
      <w:r w:rsidR="00CF288B" w:rsidRPr="00F46FA6">
        <w:t>navedene potpore u</w:t>
      </w:r>
      <w:r w:rsidRPr="00F46FA6">
        <w:t xml:space="preserve"> 202</w:t>
      </w:r>
      <w:r w:rsidR="00076E4A" w:rsidRPr="00F46FA6">
        <w:t>3</w:t>
      </w:r>
      <w:r w:rsidRPr="00F46FA6">
        <w:t>. godini</w:t>
      </w:r>
      <w:r w:rsidRPr="00F46FA6">
        <w:rPr>
          <w:b/>
        </w:rPr>
        <w:t xml:space="preserve"> </w:t>
      </w:r>
      <w:r w:rsidR="00A93199" w:rsidRPr="00F46FA6">
        <w:t>za otklanjanje i ublažavanje šteta prouzročenih prirodnim nepogodama ili izvanrednim okolnostima</w:t>
      </w:r>
      <w:r w:rsidR="00A93199" w:rsidRPr="00F46FA6">
        <w:rPr>
          <w:b/>
        </w:rPr>
        <w:t xml:space="preserve"> </w:t>
      </w:r>
      <w:r w:rsidRPr="00F46FA6">
        <w:t xml:space="preserve">u iznosu od </w:t>
      </w:r>
      <w:r w:rsidR="00A93199" w:rsidRPr="00F46FA6">
        <w:t>14,3</w:t>
      </w:r>
      <w:r w:rsidRPr="00F46FA6">
        <w:t xml:space="preserve"> milijuna </w:t>
      </w:r>
      <w:r w:rsidR="00A93199" w:rsidRPr="00F46FA6">
        <w:t>eura</w:t>
      </w:r>
      <w:r w:rsidRPr="00F46FA6">
        <w:t xml:space="preserve">, </w:t>
      </w:r>
      <w:r w:rsidR="00A93199" w:rsidRPr="00F46FA6">
        <w:t xml:space="preserve">temeljem mjere potpore </w:t>
      </w:r>
      <w:r w:rsidR="00184A8C" w:rsidRPr="00F46FA6">
        <w:t xml:space="preserve">radi nadoknade izravne štete nastale zbog </w:t>
      </w:r>
      <w:proofErr w:type="spellStart"/>
      <w:r w:rsidR="00184A8C" w:rsidRPr="00F46FA6">
        <w:t>pandemije</w:t>
      </w:r>
      <w:proofErr w:type="spellEnd"/>
      <w:r w:rsidR="00184A8C" w:rsidRPr="00F46FA6">
        <w:t xml:space="preserve"> bolesti COVID-a 19 u korist poduzetnika Međunarodna zračna luka Zagreb d.d. </w:t>
      </w:r>
      <w:r w:rsidR="00A93199" w:rsidRPr="00F46FA6">
        <w:t xml:space="preserve">u obliku otpisa </w:t>
      </w:r>
      <w:r w:rsidR="00184A8C" w:rsidRPr="00F46FA6">
        <w:t xml:space="preserve">duga </w:t>
      </w:r>
      <w:r w:rsidR="00A93199" w:rsidRPr="00F46FA6">
        <w:t>dospjele odgođene koncesijske nakna</w:t>
      </w:r>
      <w:r w:rsidR="00184A8C" w:rsidRPr="00F46FA6">
        <w:t>de, a Europska komisija je navedenu mjeru odobrila pod brojem SA.102197.</w:t>
      </w:r>
    </w:p>
    <w:p w14:paraId="5B6B5625" w14:textId="77777777" w:rsidR="0030508F" w:rsidRPr="00184A8C" w:rsidRDefault="0030508F" w:rsidP="00CC5E5C">
      <w:pPr>
        <w:jc w:val="both"/>
      </w:pPr>
    </w:p>
    <w:p w14:paraId="50351209" w14:textId="77777777" w:rsidR="00140086" w:rsidRPr="008149B5" w:rsidRDefault="00140086" w:rsidP="00BE487D">
      <w:pPr>
        <w:jc w:val="both"/>
        <w:rPr>
          <w:b/>
          <w:highlight w:val="red"/>
        </w:rPr>
      </w:pPr>
    </w:p>
    <w:p w14:paraId="1F01D337" w14:textId="77777777" w:rsidR="00A5297F" w:rsidRPr="008149B5" w:rsidRDefault="00A5297F">
      <w:pPr>
        <w:rPr>
          <w:rFonts w:eastAsiaTheme="majorEastAsia"/>
          <w:b/>
          <w:sz w:val="32"/>
          <w:highlight w:val="red"/>
        </w:rPr>
      </w:pPr>
      <w:r w:rsidRPr="008149B5">
        <w:rPr>
          <w:b/>
          <w:highlight w:val="red"/>
        </w:rPr>
        <w:br w:type="page"/>
      </w:r>
    </w:p>
    <w:p w14:paraId="2410A6B2" w14:textId="3CC86DC8" w:rsidR="00BE0817" w:rsidRPr="008149B5" w:rsidRDefault="00995EF4" w:rsidP="00BE487D">
      <w:pPr>
        <w:pStyle w:val="Heading1"/>
        <w:numPr>
          <w:ilvl w:val="0"/>
          <w:numId w:val="1"/>
        </w:numPr>
        <w:spacing w:before="0"/>
        <w:jc w:val="both"/>
        <w:rPr>
          <w:rFonts w:ascii="Times New Roman" w:hAnsi="Times New Roman" w:cs="Times New Roman"/>
          <w:b/>
          <w:color w:val="auto"/>
          <w:sz w:val="24"/>
          <w:szCs w:val="24"/>
        </w:rPr>
      </w:pPr>
      <w:bookmarkStart w:id="32" w:name="_Toc184635862"/>
      <w:r w:rsidRPr="008149B5">
        <w:rPr>
          <w:rFonts w:ascii="Times New Roman" w:hAnsi="Times New Roman" w:cs="Times New Roman"/>
          <w:b/>
          <w:color w:val="auto"/>
          <w:sz w:val="24"/>
          <w:szCs w:val="24"/>
        </w:rPr>
        <w:lastRenderedPageBreak/>
        <w:t>POTPORE MALE VRIJEDNOSTI</w:t>
      </w:r>
      <w:bookmarkEnd w:id="32"/>
    </w:p>
    <w:p w14:paraId="2DD7B99B" w14:textId="77777777" w:rsidR="00BE0817" w:rsidRPr="008149B5" w:rsidRDefault="00BE0817" w:rsidP="00BE487D">
      <w:pPr>
        <w:jc w:val="both"/>
        <w:rPr>
          <w:b/>
        </w:rPr>
      </w:pPr>
    </w:p>
    <w:p w14:paraId="47F838F7" w14:textId="77777777" w:rsidR="00995EF4" w:rsidRPr="008149B5" w:rsidRDefault="00995EF4" w:rsidP="00BE487D">
      <w:pPr>
        <w:jc w:val="both"/>
        <w:rPr>
          <w:b/>
        </w:rPr>
      </w:pPr>
    </w:p>
    <w:p w14:paraId="046BFD89" w14:textId="6A979DD2" w:rsidR="0016103B" w:rsidRPr="003D1DBF" w:rsidRDefault="0008191A" w:rsidP="0016103B">
      <w:pPr>
        <w:jc w:val="both"/>
      </w:pPr>
      <w:r w:rsidRPr="003D1DBF">
        <w:rPr>
          <w:bCs/>
        </w:rPr>
        <w:t>Potpore male vrijednosti</w:t>
      </w:r>
      <w:r w:rsidRPr="003D1DBF">
        <w:rPr>
          <w:rStyle w:val="FootnoteReference"/>
          <w:bCs/>
        </w:rPr>
        <w:footnoteReference w:id="41"/>
      </w:r>
      <w:r w:rsidRPr="003D1DBF">
        <w:rPr>
          <w:bCs/>
        </w:rPr>
        <w:t xml:space="preserve"> ili de minimis potpore </w:t>
      </w:r>
      <w:r w:rsidRPr="003D1DBF">
        <w:t xml:space="preserve">se u smislu članka 107. stavka 1. UFEU-a i </w:t>
      </w:r>
      <w:r w:rsidR="006E21B9" w:rsidRPr="003D1DBF">
        <w:t>ne smatraju</w:t>
      </w:r>
      <w:r w:rsidRPr="003D1DBF">
        <w:t xml:space="preserve"> državnim potporama, </w:t>
      </w:r>
      <w:r w:rsidR="0016103B" w:rsidRPr="003D1DBF">
        <w:t>jer</w:t>
      </w:r>
      <w:r w:rsidR="00C62E75" w:rsidRPr="003D1DBF">
        <w:t xml:space="preserve"> </w:t>
      </w:r>
      <w:r w:rsidRPr="003D1DBF">
        <w:t xml:space="preserve">iznos od </w:t>
      </w:r>
      <w:r w:rsidR="0016103B" w:rsidRPr="003D1DBF">
        <w:t>3</w:t>
      </w:r>
      <w:r w:rsidRPr="003D1DBF">
        <w:t xml:space="preserve">00.000,00 eura, </w:t>
      </w:r>
      <w:r w:rsidR="003D1DBF" w:rsidRPr="003D1DBF">
        <w:t xml:space="preserve">sukladno novoj Uredbi 2023/2831, </w:t>
      </w:r>
      <w:r w:rsidRPr="003D1DBF">
        <w:t>kojeg</w:t>
      </w:r>
      <w:r w:rsidR="0016103B" w:rsidRPr="003D1DBF">
        <w:t xml:space="preserve"> može primiti jedan poduzetnik po državi članici tijekom bilo kojeg trogodišnjeg razdoblja</w:t>
      </w:r>
      <w:r w:rsidRPr="003D1DBF">
        <w:t xml:space="preserve">, bez obzira na razinu davatelja, namjenu i instrument dodjele potpore male vrijednosti, </w:t>
      </w:r>
      <w:r w:rsidR="0016103B" w:rsidRPr="003D1DBF">
        <w:t>ne utječe na trgovinu među državama članicama i da ne narušava odnosno ne prijeti da će narušiti tržišno natjecanje.</w:t>
      </w:r>
      <w:r w:rsidR="003D1DBF" w:rsidRPr="003D1DBF">
        <w:t xml:space="preserve"> Iznos kojeg je mogao primiti </w:t>
      </w:r>
      <w:r w:rsidR="003D1DBF">
        <w:t xml:space="preserve">jedan </w:t>
      </w:r>
      <w:r w:rsidR="003D1DBF" w:rsidRPr="003D1DBF">
        <w:t>poduzetnik sukladno Uredbi 1407/2013 koja je važila do 31. prosinaca 2023. je iznosio 200.000,00 eura, odnosno 100.000,00 eura za obavljanje cestovnog prijevoza tereta za najamninu ili naknadu, ali kojeg je mogao primiti u razdoblju od 3 fiskalne godine.</w:t>
      </w:r>
    </w:p>
    <w:p w14:paraId="325A1964" w14:textId="77777777" w:rsidR="0016103B" w:rsidRPr="003D1DBF" w:rsidRDefault="0016103B" w:rsidP="0016103B">
      <w:pPr>
        <w:jc w:val="both"/>
      </w:pPr>
    </w:p>
    <w:p w14:paraId="2CAF66FB" w14:textId="6B970417" w:rsidR="0016103B" w:rsidRPr="00A84FE8" w:rsidRDefault="0016103B" w:rsidP="0016103B">
      <w:pPr>
        <w:contextualSpacing/>
        <w:jc w:val="both"/>
      </w:pPr>
      <w:r w:rsidRPr="00A84FE8">
        <w:t>U 2023. godini dodijeljene su p</w:t>
      </w:r>
      <w:r w:rsidRPr="00A84FE8">
        <w:rPr>
          <w:bCs/>
        </w:rPr>
        <w:t xml:space="preserve">otpore male vrijednosti </w:t>
      </w:r>
      <w:r w:rsidRPr="00A84FE8">
        <w:t xml:space="preserve">u iznosu od 252,9 </w:t>
      </w:r>
      <w:r w:rsidRPr="00A84FE8">
        <w:rPr>
          <w:bCs/>
        </w:rPr>
        <w:t xml:space="preserve">milijuna eura, što je povećanje za </w:t>
      </w:r>
      <w:r w:rsidRPr="00A84FE8">
        <w:t xml:space="preserve">19,8 </w:t>
      </w:r>
      <w:r w:rsidRPr="00A84FE8">
        <w:rPr>
          <w:bCs/>
        </w:rPr>
        <w:t xml:space="preserve">milijuna eura odnosno za </w:t>
      </w:r>
      <w:r w:rsidRPr="00A84FE8">
        <w:t xml:space="preserve">8,5 </w:t>
      </w:r>
      <w:r w:rsidRPr="00A84FE8">
        <w:rPr>
          <w:bCs/>
        </w:rPr>
        <w:t xml:space="preserve">posto </w:t>
      </w:r>
      <w:r w:rsidRPr="00A84FE8">
        <w:t xml:space="preserve">u odnosu na 2022. godinu, kada su navedene potpore iznosile 233,2 milijuna </w:t>
      </w:r>
      <w:r w:rsidRPr="00A84FE8">
        <w:rPr>
          <w:bCs/>
        </w:rPr>
        <w:t>eura</w:t>
      </w:r>
      <w:r w:rsidRPr="00A84FE8">
        <w:t xml:space="preserve">, te je </w:t>
      </w:r>
      <w:r w:rsidRPr="00A84FE8">
        <w:rPr>
          <w:bCs/>
        </w:rPr>
        <w:t xml:space="preserve">povećanje </w:t>
      </w:r>
      <w:r w:rsidRPr="00A84FE8">
        <w:t xml:space="preserve">za 61,1 milijun </w:t>
      </w:r>
      <w:r w:rsidRPr="00A84FE8">
        <w:rPr>
          <w:bCs/>
        </w:rPr>
        <w:t>eura</w:t>
      </w:r>
      <w:r w:rsidRPr="00A84FE8">
        <w:t xml:space="preserve"> odnosno za 31,8 posto u odnosu na 2021. godinu kada su potpore </w:t>
      </w:r>
      <w:r w:rsidRPr="00A84FE8">
        <w:rPr>
          <w:bCs/>
        </w:rPr>
        <w:t xml:space="preserve">male vrijednosti </w:t>
      </w:r>
      <w:r w:rsidRPr="00A84FE8">
        <w:t xml:space="preserve">dodijeljene u iznosu od 191,8 milijuna </w:t>
      </w:r>
      <w:r w:rsidRPr="00A84FE8">
        <w:rPr>
          <w:bCs/>
        </w:rPr>
        <w:t>eura</w:t>
      </w:r>
      <w:r w:rsidRPr="00A84FE8">
        <w:t>.</w:t>
      </w:r>
    </w:p>
    <w:p w14:paraId="631DE5C0" w14:textId="77777777" w:rsidR="00321D42" w:rsidRPr="00A84FE8" w:rsidRDefault="00321D42" w:rsidP="00AF5287">
      <w:pPr>
        <w:contextualSpacing/>
        <w:jc w:val="both"/>
      </w:pPr>
    </w:p>
    <w:p w14:paraId="3561AC38" w14:textId="7CA6DD46" w:rsidR="00F70D95" w:rsidRPr="00B75A66" w:rsidRDefault="00F70D95" w:rsidP="00BE487D">
      <w:pPr>
        <w:contextualSpacing/>
        <w:jc w:val="both"/>
      </w:pPr>
      <w:r w:rsidRPr="00B75A66">
        <w:t xml:space="preserve">Tablica </w:t>
      </w:r>
      <w:r w:rsidR="005C62D5" w:rsidRPr="00B75A66">
        <w:t>28</w:t>
      </w:r>
      <w:r w:rsidRPr="00B75A66">
        <w:t>. Potpore male vrijednosti dodijeljene u razdoblju od 20</w:t>
      </w:r>
      <w:r w:rsidR="00A457CD" w:rsidRPr="00B75A66">
        <w:t>2</w:t>
      </w:r>
      <w:r w:rsidR="005C62D5" w:rsidRPr="00B75A66">
        <w:t>1</w:t>
      </w:r>
      <w:r w:rsidRPr="00B75A66">
        <w:t>. do 202</w:t>
      </w:r>
      <w:r w:rsidR="005C62D5" w:rsidRPr="00B75A66">
        <w:t>3</w:t>
      </w:r>
      <w:r w:rsidRPr="00B75A66">
        <w:t>. godine</w:t>
      </w:r>
    </w:p>
    <w:p w14:paraId="671474EB" w14:textId="77777777" w:rsidR="00F70D95" w:rsidRPr="00746187" w:rsidRDefault="00F70D95" w:rsidP="00BE487D">
      <w:pPr>
        <w:contextualSpacing/>
        <w:jc w:val="both"/>
        <w:rPr>
          <w:b/>
          <w:sz w:val="20"/>
        </w:rPr>
      </w:pPr>
    </w:p>
    <w:tbl>
      <w:tblPr>
        <w:tblW w:w="0" w:type="auto"/>
        <w:tblLook w:val="04A0" w:firstRow="1" w:lastRow="0" w:firstColumn="1" w:lastColumn="0" w:noHBand="0" w:noVBand="1"/>
      </w:tblPr>
      <w:tblGrid>
        <w:gridCol w:w="4957"/>
        <w:gridCol w:w="1417"/>
        <w:gridCol w:w="1418"/>
        <w:gridCol w:w="1268"/>
      </w:tblGrid>
      <w:tr w:rsidR="00746187" w:rsidRPr="00746187" w14:paraId="3130BAA2" w14:textId="77777777" w:rsidTr="00746187">
        <w:trPr>
          <w:trHeight w:val="214"/>
        </w:trPr>
        <w:tc>
          <w:tcPr>
            <w:tcW w:w="49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F5E54C4" w14:textId="77777777" w:rsidR="00746187" w:rsidRPr="00746187" w:rsidRDefault="00746187" w:rsidP="00746187">
            <w:pPr>
              <w:rPr>
                <w:b/>
                <w:sz w:val="20"/>
                <w:szCs w:val="20"/>
              </w:rPr>
            </w:pPr>
            <w:r w:rsidRPr="00746187">
              <w:rPr>
                <w:b/>
                <w:sz w:val="20"/>
                <w:szCs w:val="20"/>
              </w:rPr>
              <w:t>Potpore male vrijednosti</w:t>
            </w:r>
          </w:p>
        </w:tc>
        <w:tc>
          <w:tcPr>
            <w:tcW w:w="1417" w:type="dxa"/>
            <w:tcBorders>
              <w:top w:val="single" w:sz="4" w:space="0" w:color="auto"/>
              <w:left w:val="nil"/>
              <w:bottom w:val="single" w:sz="4" w:space="0" w:color="auto"/>
              <w:right w:val="single" w:sz="4" w:space="0" w:color="auto"/>
            </w:tcBorders>
            <w:shd w:val="clear" w:color="000000" w:fill="FFFF99"/>
            <w:vAlign w:val="center"/>
            <w:hideMark/>
          </w:tcPr>
          <w:p w14:paraId="68069ED9" w14:textId="77777777" w:rsidR="00746187" w:rsidRPr="00746187" w:rsidRDefault="00746187" w:rsidP="00746187">
            <w:pPr>
              <w:jc w:val="center"/>
              <w:rPr>
                <w:b/>
                <w:sz w:val="20"/>
                <w:szCs w:val="20"/>
              </w:rPr>
            </w:pPr>
            <w:r w:rsidRPr="00746187">
              <w:rPr>
                <w:b/>
                <w:sz w:val="20"/>
                <w:szCs w:val="20"/>
              </w:rPr>
              <w:t>2021.</w:t>
            </w:r>
          </w:p>
          <w:p w14:paraId="02367AFC" w14:textId="6108E317" w:rsidR="00746187" w:rsidRPr="00746187" w:rsidRDefault="00746187" w:rsidP="00746187">
            <w:pPr>
              <w:jc w:val="center"/>
              <w:rPr>
                <w:sz w:val="20"/>
                <w:szCs w:val="20"/>
              </w:rPr>
            </w:pPr>
            <w:proofErr w:type="spellStart"/>
            <w:r w:rsidRPr="00746187">
              <w:rPr>
                <w:sz w:val="20"/>
                <w:szCs w:val="20"/>
              </w:rPr>
              <w:t>mln</w:t>
            </w:r>
            <w:proofErr w:type="spellEnd"/>
            <w:r w:rsidRPr="00746187">
              <w:rPr>
                <w:sz w:val="20"/>
                <w:szCs w:val="20"/>
              </w:rPr>
              <w:t xml:space="preserve"> EUR</w:t>
            </w:r>
          </w:p>
        </w:tc>
        <w:tc>
          <w:tcPr>
            <w:tcW w:w="1418" w:type="dxa"/>
            <w:tcBorders>
              <w:top w:val="single" w:sz="4" w:space="0" w:color="auto"/>
              <w:left w:val="nil"/>
              <w:bottom w:val="single" w:sz="4" w:space="0" w:color="auto"/>
              <w:right w:val="single" w:sz="4" w:space="0" w:color="auto"/>
            </w:tcBorders>
            <w:shd w:val="clear" w:color="000000" w:fill="FFFF99"/>
            <w:vAlign w:val="center"/>
            <w:hideMark/>
          </w:tcPr>
          <w:p w14:paraId="7F18C174" w14:textId="482974FA" w:rsidR="00746187" w:rsidRPr="00746187" w:rsidRDefault="00746187" w:rsidP="00746187">
            <w:pPr>
              <w:jc w:val="center"/>
              <w:rPr>
                <w:b/>
                <w:sz w:val="20"/>
                <w:szCs w:val="20"/>
              </w:rPr>
            </w:pPr>
            <w:r w:rsidRPr="00746187">
              <w:rPr>
                <w:b/>
                <w:sz w:val="20"/>
                <w:szCs w:val="20"/>
              </w:rPr>
              <w:t>2022.</w:t>
            </w:r>
          </w:p>
          <w:p w14:paraId="73C269EA" w14:textId="57B328D0" w:rsidR="00746187" w:rsidRPr="00746187" w:rsidRDefault="00746187" w:rsidP="00746187">
            <w:pPr>
              <w:jc w:val="center"/>
              <w:rPr>
                <w:sz w:val="20"/>
                <w:szCs w:val="20"/>
              </w:rPr>
            </w:pPr>
            <w:proofErr w:type="spellStart"/>
            <w:r w:rsidRPr="00746187">
              <w:rPr>
                <w:sz w:val="20"/>
                <w:szCs w:val="20"/>
              </w:rPr>
              <w:t>mln</w:t>
            </w:r>
            <w:proofErr w:type="spellEnd"/>
            <w:r w:rsidRPr="00746187">
              <w:rPr>
                <w:sz w:val="20"/>
                <w:szCs w:val="20"/>
              </w:rPr>
              <w:t xml:space="preserve"> EUR</w:t>
            </w:r>
          </w:p>
        </w:tc>
        <w:tc>
          <w:tcPr>
            <w:tcW w:w="1268" w:type="dxa"/>
            <w:tcBorders>
              <w:top w:val="single" w:sz="4" w:space="0" w:color="auto"/>
              <w:left w:val="nil"/>
              <w:bottom w:val="single" w:sz="4" w:space="0" w:color="auto"/>
              <w:right w:val="single" w:sz="4" w:space="0" w:color="auto"/>
            </w:tcBorders>
            <w:shd w:val="clear" w:color="000000" w:fill="FFFF99"/>
            <w:vAlign w:val="center"/>
            <w:hideMark/>
          </w:tcPr>
          <w:p w14:paraId="2EA52861" w14:textId="6D031085" w:rsidR="00746187" w:rsidRPr="00746187" w:rsidRDefault="00746187" w:rsidP="00746187">
            <w:pPr>
              <w:jc w:val="center"/>
              <w:rPr>
                <w:b/>
                <w:sz w:val="20"/>
                <w:szCs w:val="20"/>
              </w:rPr>
            </w:pPr>
            <w:r w:rsidRPr="00746187">
              <w:rPr>
                <w:b/>
                <w:sz w:val="20"/>
                <w:szCs w:val="20"/>
              </w:rPr>
              <w:t>2023.</w:t>
            </w:r>
          </w:p>
          <w:p w14:paraId="5CFEAC9C" w14:textId="110ADD98" w:rsidR="00746187" w:rsidRPr="00746187" w:rsidRDefault="00746187" w:rsidP="00746187">
            <w:pPr>
              <w:jc w:val="center"/>
              <w:rPr>
                <w:sz w:val="20"/>
                <w:szCs w:val="20"/>
              </w:rPr>
            </w:pPr>
            <w:proofErr w:type="spellStart"/>
            <w:r w:rsidRPr="00746187">
              <w:rPr>
                <w:sz w:val="20"/>
                <w:szCs w:val="20"/>
              </w:rPr>
              <w:t>mln</w:t>
            </w:r>
            <w:proofErr w:type="spellEnd"/>
            <w:r w:rsidRPr="00746187">
              <w:rPr>
                <w:sz w:val="20"/>
                <w:szCs w:val="20"/>
              </w:rPr>
              <w:t xml:space="preserve"> EUR</w:t>
            </w:r>
          </w:p>
        </w:tc>
      </w:tr>
      <w:tr w:rsidR="00746187" w:rsidRPr="00746187" w14:paraId="0B7F8024" w14:textId="77777777" w:rsidTr="00746187">
        <w:trPr>
          <w:trHeight w:val="38"/>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574AA26" w14:textId="77777777" w:rsidR="00746187" w:rsidRPr="00746187" w:rsidRDefault="00746187" w:rsidP="00746187">
            <w:pPr>
              <w:rPr>
                <w:sz w:val="20"/>
                <w:szCs w:val="20"/>
              </w:rPr>
            </w:pPr>
            <w:r w:rsidRPr="00746187">
              <w:rPr>
                <w:sz w:val="20"/>
                <w:szCs w:val="20"/>
              </w:rPr>
              <w:t>A‎1 Neposredne subvencije kamata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B050B7" w14:textId="5191E497" w:rsidR="00746187" w:rsidRPr="00746187" w:rsidRDefault="00746187" w:rsidP="00746187">
            <w:pPr>
              <w:jc w:val="right"/>
              <w:rPr>
                <w:sz w:val="20"/>
                <w:szCs w:val="20"/>
              </w:rPr>
            </w:pPr>
            <w:r w:rsidRPr="00746187">
              <w:rPr>
                <w:rFonts w:eastAsia="Times New Roman"/>
                <w:sz w:val="20"/>
                <w:szCs w:val="20"/>
                <w:lang w:eastAsia="hr-HR"/>
              </w:rPr>
              <w:t>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155F50" w14:textId="1940263E" w:rsidR="00746187" w:rsidRPr="00746187" w:rsidRDefault="00746187" w:rsidP="00746187">
            <w:pPr>
              <w:jc w:val="right"/>
              <w:rPr>
                <w:sz w:val="20"/>
                <w:szCs w:val="20"/>
              </w:rPr>
            </w:pPr>
            <w:r w:rsidRPr="00746187">
              <w:rPr>
                <w:rFonts w:eastAsia="Times New Roman"/>
                <w:sz w:val="20"/>
                <w:szCs w:val="20"/>
                <w:lang w:eastAsia="hr-HR"/>
              </w:rPr>
              <w:t>1,0</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28F649F2" w14:textId="40C4FB2E" w:rsidR="00746187" w:rsidRPr="00746187" w:rsidRDefault="00746187" w:rsidP="00746187">
            <w:pPr>
              <w:jc w:val="right"/>
              <w:rPr>
                <w:sz w:val="20"/>
                <w:szCs w:val="20"/>
              </w:rPr>
            </w:pPr>
            <w:r w:rsidRPr="00746187">
              <w:rPr>
                <w:rFonts w:eastAsia="Times New Roman"/>
                <w:sz w:val="20"/>
                <w:szCs w:val="20"/>
                <w:lang w:eastAsia="hr-HR"/>
              </w:rPr>
              <w:t>0,7</w:t>
            </w:r>
          </w:p>
        </w:tc>
      </w:tr>
      <w:tr w:rsidR="00746187" w:rsidRPr="00746187" w14:paraId="35AC9EE8" w14:textId="77777777" w:rsidTr="00746187">
        <w:trPr>
          <w:trHeight w:val="68"/>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5639389" w14:textId="77777777" w:rsidR="00746187" w:rsidRPr="00746187" w:rsidRDefault="00746187" w:rsidP="00746187">
            <w:pPr>
              <w:rPr>
                <w:sz w:val="20"/>
                <w:szCs w:val="20"/>
              </w:rPr>
            </w:pPr>
            <w:r w:rsidRPr="00746187">
              <w:rPr>
                <w:sz w:val="20"/>
                <w:szCs w:val="20"/>
              </w:rPr>
              <w:t>A1 Subvencije</w:t>
            </w:r>
          </w:p>
        </w:tc>
        <w:tc>
          <w:tcPr>
            <w:tcW w:w="1417" w:type="dxa"/>
            <w:tcBorders>
              <w:top w:val="nil"/>
              <w:left w:val="nil"/>
              <w:bottom w:val="single" w:sz="4" w:space="0" w:color="auto"/>
              <w:right w:val="single" w:sz="4" w:space="0" w:color="auto"/>
            </w:tcBorders>
            <w:shd w:val="clear" w:color="auto" w:fill="auto"/>
            <w:vAlign w:val="center"/>
          </w:tcPr>
          <w:p w14:paraId="481FB9EC" w14:textId="6A550498" w:rsidR="00746187" w:rsidRPr="00746187" w:rsidRDefault="00746187" w:rsidP="00746187">
            <w:pPr>
              <w:jc w:val="right"/>
              <w:rPr>
                <w:sz w:val="20"/>
                <w:szCs w:val="20"/>
              </w:rPr>
            </w:pPr>
            <w:r w:rsidRPr="00746187">
              <w:rPr>
                <w:rFonts w:eastAsia="Times New Roman"/>
                <w:sz w:val="20"/>
                <w:szCs w:val="20"/>
                <w:lang w:eastAsia="hr-HR"/>
              </w:rPr>
              <w:t>174,9</w:t>
            </w:r>
          </w:p>
        </w:tc>
        <w:tc>
          <w:tcPr>
            <w:tcW w:w="1418" w:type="dxa"/>
            <w:tcBorders>
              <w:top w:val="nil"/>
              <w:left w:val="nil"/>
              <w:bottom w:val="single" w:sz="4" w:space="0" w:color="auto"/>
              <w:right w:val="single" w:sz="4" w:space="0" w:color="auto"/>
            </w:tcBorders>
            <w:shd w:val="clear" w:color="auto" w:fill="auto"/>
            <w:vAlign w:val="center"/>
          </w:tcPr>
          <w:p w14:paraId="042C73B2" w14:textId="008330A1" w:rsidR="00746187" w:rsidRPr="00746187" w:rsidRDefault="00746187" w:rsidP="00746187">
            <w:pPr>
              <w:jc w:val="right"/>
              <w:rPr>
                <w:sz w:val="20"/>
                <w:szCs w:val="20"/>
              </w:rPr>
            </w:pPr>
            <w:r w:rsidRPr="00746187">
              <w:rPr>
                <w:rFonts w:eastAsia="Times New Roman"/>
                <w:sz w:val="20"/>
                <w:szCs w:val="20"/>
                <w:lang w:eastAsia="hr-HR"/>
              </w:rPr>
              <w:t>214,2</w:t>
            </w:r>
          </w:p>
        </w:tc>
        <w:tc>
          <w:tcPr>
            <w:tcW w:w="1268" w:type="dxa"/>
            <w:tcBorders>
              <w:top w:val="nil"/>
              <w:left w:val="nil"/>
              <w:bottom w:val="single" w:sz="4" w:space="0" w:color="auto"/>
              <w:right w:val="single" w:sz="4" w:space="0" w:color="auto"/>
            </w:tcBorders>
            <w:shd w:val="clear" w:color="auto" w:fill="auto"/>
            <w:vAlign w:val="center"/>
          </w:tcPr>
          <w:p w14:paraId="385F28CA" w14:textId="0149816A" w:rsidR="00746187" w:rsidRPr="00746187" w:rsidRDefault="00746187" w:rsidP="00746187">
            <w:pPr>
              <w:jc w:val="right"/>
              <w:rPr>
                <w:sz w:val="20"/>
                <w:szCs w:val="20"/>
              </w:rPr>
            </w:pPr>
            <w:r w:rsidRPr="00746187">
              <w:rPr>
                <w:rFonts w:eastAsia="Times New Roman"/>
                <w:sz w:val="20"/>
                <w:szCs w:val="20"/>
                <w:lang w:eastAsia="hr-HR"/>
              </w:rPr>
              <w:t>224,4</w:t>
            </w:r>
          </w:p>
        </w:tc>
      </w:tr>
      <w:tr w:rsidR="00746187" w:rsidRPr="00746187" w14:paraId="1667B52A" w14:textId="77777777" w:rsidTr="00746187">
        <w:trPr>
          <w:trHeight w:val="68"/>
        </w:trPr>
        <w:tc>
          <w:tcPr>
            <w:tcW w:w="4957" w:type="dxa"/>
            <w:tcBorders>
              <w:top w:val="nil"/>
              <w:left w:val="single" w:sz="4" w:space="0" w:color="auto"/>
              <w:bottom w:val="single" w:sz="4" w:space="0" w:color="auto"/>
              <w:right w:val="single" w:sz="4" w:space="0" w:color="auto"/>
            </w:tcBorders>
            <w:shd w:val="clear" w:color="auto" w:fill="auto"/>
            <w:vAlign w:val="center"/>
          </w:tcPr>
          <w:p w14:paraId="3A58F5BC" w14:textId="77777777" w:rsidR="00746187" w:rsidRPr="00746187" w:rsidRDefault="00746187" w:rsidP="00746187">
            <w:pPr>
              <w:rPr>
                <w:sz w:val="20"/>
                <w:szCs w:val="20"/>
              </w:rPr>
            </w:pPr>
            <w:r w:rsidRPr="00746187">
              <w:rPr>
                <w:sz w:val="20"/>
                <w:szCs w:val="20"/>
              </w:rPr>
              <w:t>A1 Prisilna nagodba i stečaj poduzetnika</w:t>
            </w:r>
          </w:p>
        </w:tc>
        <w:tc>
          <w:tcPr>
            <w:tcW w:w="1417" w:type="dxa"/>
            <w:tcBorders>
              <w:top w:val="nil"/>
              <w:left w:val="nil"/>
              <w:bottom w:val="single" w:sz="4" w:space="0" w:color="auto"/>
              <w:right w:val="single" w:sz="4" w:space="0" w:color="auto"/>
            </w:tcBorders>
            <w:shd w:val="clear" w:color="auto" w:fill="auto"/>
            <w:vAlign w:val="center"/>
          </w:tcPr>
          <w:p w14:paraId="01D803C5" w14:textId="16D3E174" w:rsidR="00746187" w:rsidRPr="00746187" w:rsidRDefault="0016103B" w:rsidP="00746187">
            <w:pPr>
              <w:jc w:val="right"/>
              <w:rPr>
                <w:sz w:val="20"/>
                <w:szCs w:val="20"/>
              </w:rPr>
            </w:pPr>
            <w:r w:rsidRPr="0016103B">
              <w:rPr>
                <w:b/>
                <w:sz w:val="20"/>
              </w:rPr>
              <w:t>–</w:t>
            </w:r>
          </w:p>
        </w:tc>
        <w:tc>
          <w:tcPr>
            <w:tcW w:w="1418" w:type="dxa"/>
            <w:tcBorders>
              <w:top w:val="nil"/>
              <w:left w:val="nil"/>
              <w:bottom w:val="single" w:sz="4" w:space="0" w:color="auto"/>
              <w:right w:val="single" w:sz="4" w:space="0" w:color="auto"/>
            </w:tcBorders>
            <w:shd w:val="clear" w:color="auto" w:fill="auto"/>
            <w:vAlign w:val="center"/>
          </w:tcPr>
          <w:p w14:paraId="57154135" w14:textId="6B1A16D3" w:rsidR="00746187" w:rsidRPr="00746187" w:rsidRDefault="00746187" w:rsidP="00746187">
            <w:pPr>
              <w:jc w:val="right"/>
              <w:rPr>
                <w:sz w:val="20"/>
                <w:szCs w:val="20"/>
              </w:rPr>
            </w:pPr>
            <w:r w:rsidRPr="00746187">
              <w:rPr>
                <w:rFonts w:eastAsia="Times New Roman"/>
                <w:sz w:val="20"/>
                <w:szCs w:val="20"/>
                <w:lang w:eastAsia="hr-HR"/>
              </w:rPr>
              <w:t>1,4</w:t>
            </w:r>
          </w:p>
        </w:tc>
        <w:tc>
          <w:tcPr>
            <w:tcW w:w="1268" w:type="dxa"/>
            <w:tcBorders>
              <w:top w:val="nil"/>
              <w:left w:val="nil"/>
              <w:bottom w:val="single" w:sz="4" w:space="0" w:color="auto"/>
              <w:right w:val="single" w:sz="4" w:space="0" w:color="auto"/>
            </w:tcBorders>
            <w:shd w:val="clear" w:color="auto" w:fill="auto"/>
            <w:vAlign w:val="center"/>
          </w:tcPr>
          <w:p w14:paraId="65736146" w14:textId="6EC6742A" w:rsidR="00746187" w:rsidRPr="00746187" w:rsidRDefault="0016103B" w:rsidP="00746187">
            <w:pPr>
              <w:jc w:val="right"/>
              <w:rPr>
                <w:sz w:val="20"/>
                <w:szCs w:val="20"/>
              </w:rPr>
            </w:pPr>
            <w:r w:rsidRPr="0016103B">
              <w:rPr>
                <w:b/>
                <w:sz w:val="20"/>
              </w:rPr>
              <w:t>–</w:t>
            </w:r>
          </w:p>
        </w:tc>
      </w:tr>
      <w:tr w:rsidR="00746187" w:rsidRPr="00746187" w14:paraId="1F6880AF"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39DD3F7" w14:textId="6AE0A8B2" w:rsidR="00746187" w:rsidRPr="00746187" w:rsidRDefault="00746187" w:rsidP="00746187">
            <w:pPr>
              <w:rPr>
                <w:sz w:val="20"/>
                <w:szCs w:val="20"/>
              </w:rPr>
            </w:pPr>
            <w:r w:rsidRPr="00746187">
              <w:rPr>
                <w:rFonts w:eastAsia="Times New Roman"/>
                <w:sz w:val="20"/>
                <w:szCs w:val="20"/>
                <w:lang w:eastAsia="hr-HR"/>
              </w:rPr>
              <w:t>A2 Oprost poreza, porezna oslobođenja, izuzeća i olakšice</w:t>
            </w:r>
          </w:p>
        </w:tc>
        <w:tc>
          <w:tcPr>
            <w:tcW w:w="1417" w:type="dxa"/>
            <w:tcBorders>
              <w:top w:val="nil"/>
              <w:left w:val="nil"/>
              <w:bottom w:val="single" w:sz="4" w:space="0" w:color="auto"/>
              <w:right w:val="single" w:sz="4" w:space="0" w:color="auto"/>
            </w:tcBorders>
            <w:shd w:val="clear" w:color="auto" w:fill="auto"/>
            <w:vAlign w:val="center"/>
          </w:tcPr>
          <w:p w14:paraId="78D97E0C" w14:textId="7AF015F1" w:rsidR="00746187" w:rsidRPr="00746187" w:rsidRDefault="00746187" w:rsidP="00746187">
            <w:pPr>
              <w:jc w:val="right"/>
              <w:rPr>
                <w:sz w:val="20"/>
                <w:szCs w:val="20"/>
              </w:rPr>
            </w:pPr>
            <w:r w:rsidRPr="00746187">
              <w:rPr>
                <w:rFonts w:eastAsia="Times New Roman"/>
                <w:sz w:val="20"/>
                <w:szCs w:val="20"/>
                <w:lang w:eastAsia="hr-HR"/>
              </w:rPr>
              <w:t>1,0</w:t>
            </w:r>
          </w:p>
        </w:tc>
        <w:tc>
          <w:tcPr>
            <w:tcW w:w="1418" w:type="dxa"/>
            <w:tcBorders>
              <w:top w:val="nil"/>
              <w:left w:val="nil"/>
              <w:bottom w:val="single" w:sz="4" w:space="0" w:color="auto"/>
              <w:right w:val="single" w:sz="4" w:space="0" w:color="auto"/>
            </w:tcBorders>
            <w:shd w:val="clear" w:color="auto" w:fill="auto"/>
            <w:vAlign w:val="center"/>
          </w:tcPr>
          <w:p w14:paraId="4AC591F6" w14:textId="34F7FEF7" w:rsidR="00746187" w:rsidRPr="00746187" w:rsidRDefault="00746187" w:rsidP="00746187">
            <w:pPr>
              <w:jc w:val="right"/>
              <w:rPr>
                <w:sz w:val="20"/>
                <w:szCs w:val="20"/>
              </w:rPr>
            </w:pPr>
            <w:r w:rsidRPr="00746187">
              <w:rPr>
                <w:rFonts w:eastAsia="Times New Roman"/>
                <w:sz w:val="20"/>
                <w:szCs w:val="20"/>
                <w:lang w:eastAsia="hr-HR"/>
              </w:rPr>
              <w:t>2,8</w:t>
            </w:r>
          </w:p>
        </w:tc>
        <w:tc>
          <w:tcPr>
            <w:tcW w:w="1268" w:type="dxa"/>
            <w:tcBorders>
              <w:top w:val="nil"/>
              <w:left w:val="nil"/>
              <w:bottom w:val="single" w:sz="4" w:space="0" w:color="auto"/>
              <w:right w:val="single" w:sz="4" w:space="0" w:color="auto"/>
            </w:tcBorders>
            <w:shd w:val="clear" w:color="auto" w:fill="auto"/>
            <w:vAlign w:val="center"/>
          </w:tcPr>
          <w:p w14:paraId="187D7119" w14:textId="112816C7" w:rsidR="00746187" w:rsidRPr="00746187" w:rsidRDefault="00746187" w:rsidP="00746187">
            <w:pPr>
              <w:jc w:val="right"/>
              <w:rPr>
                <w:sz w:val="20"/>
                <w:szCs w:val="20"/>
              </w:rPr>
            </w:pPr>
            <w:r w:rsidRPr="00746187">
              <w:rPr>
                <w:rFonts w:eastAsia="Times New Roman"/>
                <w:sz w:val="20"/>
                <w:szCs w:val="20"/>
                <w:lang w:eastAsia="hr-HR"/>
              </w:rPr>
              <w:t>0,1</w:t>
            </w:r>
          </w:p>
        </w:tc>
      </w:tr>
      <w:tr w:rsidR="00746187" w:rsidRPr="00746187" w14:paraId="6EF6FBFC"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71D80AF" w14:textId="432358F9" w:rsidR="00746187" w:rsidRPr="00746187" w:rsidRDefault="00746187" w:rsidP="00746187">
            <w:pPr>
              <w:rPr>
                <w:sz w:val="20"/>
                <w:szCs w:val="20"/>
              </w:rPr>
            </w:pPr>
            <w:r w:rsidRPr="00746187">
              <w:rPr>
                <w:rFonts w:eastAsia="Times New Roman"/>
                <w:sz w:val="20"/>
                <w:szCs w:val="20"/>
                <w:lang w:eastAsia="hr-HR"/>
              </w:rPr>
              <w:t>A2 Otpis duga</w:t>
            </w:r>
          </w:p>
        </w:tc>
        <w:tc>
          <w:tcPr>
            <w:tcW w:w="1417" w:type="dxa"/>
            <w:tcBorders>
              <w:top w:val="nil"/>
              <w:left w:val="nil"/>
              <w:bottom w:val="single" w:sz="4" w:space="0" w:color="auto"/>
              <w:right w:val="single" w:sz="4" w:space="0" w:color="auto"/>
            </w:tcBorders>
            <w:shd w:val="clear" w:color="auto" w:fill="auto"/>
            <w:vAlign w:val="center"/>
          </w:tcPr>
          <w:p w14:paraId="11DE7B84" w14:textId="64B8B59E" w:rsidR="00746187" w:rsidRPr="00746187" w:rsidRDefault="00746187" w:rsidP="00746187">
            <w:pPr>
              <w:jc w:val="right"/>
              <w:rPr>
                <w:sz w:val="20"/>
                <w:szCs w:val="20"/>
              </w:rPr>
            </w:pPr>
            <w:r w:rsidRPr="00746187">
              <w:rPr>
                <w:rFonts w:eastAsia="Times New Roman"/>
                <w:sz w:val="20"/>
                <w:szCs w:val="20"/>
                <w:lang w:eastAsia="hr-HR"/>
              </w:rPr>
              <w:t>0,7</w:t>
            </w:r>
          </w:p>
        </w:tc>
        <w:tc>
          <w:tcPr>
            <w:tcW w:w="1418" w:type="dxa"/>
            <w:tcBorders>
              <w:top w:val="nil"/>
              <w:left w:val="nil"/>
              <w:bottom w:val="single" w:sz="4" w:space="0" w:color="auto"/>
              <w:right w:val="single" w:sz="4" w:space="0" w:color="auto"/>
            </w:tcBorders>
            <w:shd w:val="clear" w:color="auto" w:fill="auto"/>
            <w:vAlign w:val="center"/>
          </w:tcPr>
          <w:p w14:paraId="1F352470" w14:textId="6227ADCC" w:rsidR="00746187" w:rsidRPr="00746187" w:rsidRDefault="00746187" w:rsidP="00746187">
            <w:pPr>
              <w:jc w:val="right"/>
              <w:rPr>
                <w:sz w:val="20"/>
                <w:szCs w:val="20"/>
              </w:rPr>
            </w:pPr>
            <w:r w:rsidRPr="00746187">
              <w:rPr>
                <w:rFonts w:eastAsia="Times New Roman"/>
                <w:sz w:val="20"/>
                <w:szCs w:val="20"/>
                <w:lang w:eastAsia="hr-HR"/>
              </w:rPr>
              <w:t>0,0</w:t>
            </w:r>
            <w:r w:rsidR="0015309E">
              <w:rPr>
                <w:rFonts w:eastAsia="Times New Roman"/>
                <w:sz w:val="20"/>
                <w:szCs w:val="20"/>
                <w:lang w:eastAsia="hr-HR"/>
              </w:rPr>
              <w:t>2</w:t>
            </w:r>
          </w:p>
        </w:tc>
        <w:tc>
          <w:tcPr>
            <w:tcW w:w="1268" w:type="dxa"/>
            <w:tcBorders>
              <w:top w:val="nil"/>
              <w:left w:val="nil"/>
              <w:bottom w:val="single" w:sz="4" w:space="0" w:color="auto"/>
              <w:right w:val="single" w:sz="4" w:space="0" w:color="auto"/>
            </w:tcBorders>
            <w:shd w:val="clear" w:color="auto" w:fill="auto"/>
            <w:vAlign w:val="center"/>
          </w:tcPr>
          <w:p w14:paraId="54C399FA" w14:textId="0FE5B6F4" w:rsidR="00746187" w:rsidRPr="00746187" w:rsidRDefault="00746187" w:rsidP="00746187">
            <w:pPr>
              <w:jc w:val="right"/>
              <w:rPr>
                <w:sz w:val="20"/>
                <w:szCs w:val="20"/>
              </w:rPr>
            </w:pPr>
            <w:r w:rsidRPr="00746187">
              <w:rPr>
                <w:rFonts w:eastAsia="Times New Roman"/>
                <w:sz w:val="20"/>
                <w:szCs w:val="20"/>
                <w:lang w:eastAsia="hr-HR"/>
              </w:rPr>
              <w:t>0,1</w:t>
            </w:r>
          </w:p>
        </w:tc>
      </w:tr>
      <w:tr w:rsidR="00746187" w:rsidRPr="00746187" w14:paraId="317E90A8"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2DEF88" w14:textId="27955869" w:rsidR="00746187" w:rsidRPr="00746187" w:rsidRDefault="00746187" w:rsidP="00746187">
            <w:pPr>
              <w:rPr>
                <w:sz w:val="20"/>
                <w:szCs w:val="20"/>
              </w:rPr>
            </w:pPr>
            <w:r w:rsidRPr="00746187">
              <w:rPr>
                <w:rFonts w:eastAsia="Times New Roman"/>
                <w:sz w:val="20"/>
                <w:szCs w:val="20"/>
                <w:lang w:eastAsia="hr-HR"/>
              </w:rPr>
              <w:t>A‎2 Snižavanje, oslobođenje, olakšice, izuzeće i oprost plaćanja doprinosa</w:t>
            </w:r>
          </w:p>
        </w:tc>
        <w:tc>
          <w:tcPr>
            <w:tcW w:w="1417" w:type="dxa"/>
            <w:tcBorders>
              <w:top w:val="nil"/>
              <w:left w:val="nil"/>
              <w:bottom w:val="single" w:sz="4" w:space="0" w:color="auto"/>
              <w:right w:val="single" w:sz="4" w:space="0" w:color="auto"/>
            </w:tcBorders>
            <w:shd w:val="clear" w:color="auto" w:fill="auto"/>
            <w:vAlign w:val="center"/>
          </w:tcPr>
          <w:p w14:paraId="414AE6FC" w14:textId="2DF5F05D" w:rsidR="00746187" w:rsidRPr="00746187" w:rsidRDefault="00746187" w:rsidP="00746187">
            <w:pPr>
              <w:jc w:val="right"/>
              <w:rPr>
                <w:sz w:val="20"/>
                <w:szCs w:val="20"/>
              </w:rPr>
            </w:pPr>
            <w:r w:rsidRPr="00746187">
              <w:rPr>
                <w:rFonts w:eastAsia="Times New Roman"/>
                <w:sz w:val="20"/>
                <w:szCs w:val="20"/>
                <w:lang w:eastAsia="hr-HR"/>
              </w:rPr>
              <w:t>5,9</w:t>
            </w:r>
          </w:p>
        </w:tc>
        <w:tc>
          <w:tcPr>
            <w:tcW w:w="1418" w:type="dxa"/>
            <w:tcBorders>
              <w:top w:val="nil"/>
              <w:left w:val="nil"/>
              <w:bottom w:val="single" w:sz="4" w:space="0" w:color="auto"/>
              <w:right w:val="single" w:sz="4" w:space="0" w:color="auto"/>
            </w:tcBorders>
            <w:shd w:val="clear" w:color="auto" w:fill="auto"/>
            <w:vAlign w:val="center"/>
          </w:tcPr>
          <w:p w14:paraId="718C1C53" w14:textId="223F2BFE" w:rsidR="00746187" w:rsidRPr="00746187" w:rsidRDefault="00746187" w:rsidP="00746187">
            <w:pPr>
              <w:jc w:val="right"/>
              <w:rPr>
                <w:sz w:val="20"/>
                <w:szCs w:val="20"/>
              </w:rPr>
            </w:pPr>
            <w:r w:rsidRPr="00746187">
              <w:rPr>
                <w:rFonts w:eastAsia="Times New Roman"/>
                <w:sz w:val="20"/>
                <w:szCs w:val="20"/>
                <w:lang w:eastAsia="hr-HR"/>
              </w:rPr>
              <w:t>6,0</w:t>
            </w:r>
          </w:p>
        </w:tc>
        <w:tc>
          <w:tcPr>
            <w:tcW w:w="1268" w:type="dxa"/>
            <w:tcBorders>
              <w:top w:val="nil"/>
              <w:left w:val="nil"/>
              <w:bottom w:val="single" w:sz="4" w:space="0" w:color="auto"/>
              <w:right w:val="single" w:sz="4" w:space="0" w:color="auto"/>
            </w:tcBorders>
            <w:shd w:val="clear" w:color="auto" w:fill="auto"/>
            <w:vAlign w:val="center"/>
          </w:tcPr>
          <w:p w14:paraId="272780A2" w14:textId="25E07801" w:rsidR="00746187" w:rsidRPr="00746187" w:rsidRDefault="00746187" w:rsidP="00746187">
            <w:pPr>
              <w:jc w:val="right"/>
              <w:rPr>
                <w:sz w:val="20"/>
                <w:szCs w:val="20"/>
              </w:rPr>
            </w:pPr>
            <w:r w:rsidRPr="00746187">
              <w:rPr>
                <w:rFonts w:eastAsia="Times New Roman"/>
                <w:sz w:val="20"/>
                <w:szCs w:val="20"/>
                <w:lang w:eastAsia="hr-HR"/>
              </w:rPr>
              <w:t>7,3</w:t>
            </w:r>
          </w:p>
        </w:tc>
      </w:tr>
      <w:tr w:rsidR="0015309E" w:rsidRPr="00746187" w14:paraId="39562E09"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tcPr>
          <w:p w14:paraId="55899E0E" w14:textId="55E75E53" w:rsidR="0015309E" w:rsidRPr="00746187" w:rsidRDefault="0015309E" w:rsidP="00746187">
            <w:pPr>
              <w:rPr>
                <w:rFonts w:eastAsia="Times New Roman"/>
                <w:sz w:val="20"/>
                <w:szCs w:val="20"/>
                <w:lang w:eastAsia="hr-HR"/>
              </w:rPr>
            </w:pPr>
            <w:r w:rsidRPr="00746187">
              <w:rPr>
                <w:rFonts w:eastAsia="Times New Roman"/>
                <w:sz w:val="20"/>
                <w:szCs w:val="20"/>
                <w:lang w:eastAsia="hr-HR"/>
              </w:rPr>
              <w:t>A2 Odgode pri plaćanju poreza</w:t>
            </w:r>
          </w:p>
        </w:tc>
        <w:tc>
          <w:tcPr>
            <w:tcW w:w="1417" w:type="dxa"/>
            <w:tcBorders>
              <w:top w:val="nil"/>
              <w:left w:val="nil"/>
              <w:bottom w:val="single" w:sz="4" w:space="0" w:color="auto"/>
              <w:right w:val="single" w:sz="4" w:space="0" w:color="auto"/>
            </w:tcBorders>
            <w:shd w:val="clear" w:color="auto" w:fill="auto"/>
            <w:vAlign w:val="center"/>
          </w:tcPr>
          <w:p w14:paraId="1B8163F1" w14:textId="1CC42D34" w:rsidR="0015309E" w:rsidRPr="00746187" w:rsidRDefault="0015309E" w:rsidP="00746187">
            <w:pPr>
              <w:jc w:val="right"/>
              <w:rPr>
                <w:rFonts w:eastAsia="Times New Roman"/>
                <w:sz w:val="20"/>
                <w:szCs w:val="20"/>
                <w:lang w:eastAsia="hr-HR"/>
              </w:rPr>
            </w:pPr>
            <w:r>
              <w:rPr>
                <w:rFonts w:eastAsia="Times New Roman"/>
                <w:sz w:val="20"/>
                <w:szCs w:val="20"/>
                <w:lang w:eastAsia="hr-HR"/>
              </w:rPr>
              <w:t>0,04</w:t>
            </w:r>
          </w:p>
        </w:tc>
        <w:tc>
          <w:tcPr>
            <w:tcW w:w="1418" w:type="dxa"/>
            <w:tcBorders>
              <w:top w:val="nil"/>
              <w:left w:val="nil"/>
              <w:bottom w:val="single" w:sz="4" w:space="0" w:color="auto"/>
              <w:right w:val="single" w:sz="4" w:space="0" w:color="auto"/>
            </w:tcBorders>
            <w:shd w:val="clear" w:color="auto" w:fill="auto"/>
            <w:vAlign w:val="center"/>
          </w:tcPr>
          <w:p w14:paraId="4DE3DAC2" w14:textId="2F88F16D" w:rsidR="0015309E" w:rsidRPr="00746187" w:rsidRDefault="0016103B" w:rsidP="00746187">
            <w:pPr>
              <w:jc w:val="right"/>
              <w:rPr>
                <w:rFonts w:eastAsia="Times New Roman"/>
                <w:sz w:val="20"/>
                <w:szCs w:val="20"/>
                <w:lang w:eastAsia="hr-HR"/>
              </w:rPr>
            </w:pPr>
            <w:r w:rsidRPr="0016103B">
              <w:rPr>
                <w:b/>
                <w:sz w:val="20"/>
              </w:rPr>
              <w:t>–</w:t>
            </w:r>
          </w:p>
        </w:tc>
        <w:tc>
          <w:tcPr>
            <w:tcW w:w="1268" w:type="dxa"/>
            <w:tcBorders>
              <w:top w:val="nil"/>
              <w:left w:val="nil"/>
              <w:bottom w:val="single" w:sz="4" w:space="0" w:color="auto"/>
              <w:right w:val="single" w:sz="4" w:space="0" w:color="auto"/>
            </w:tcBorders>
            <w:shd w:val="clear" w:color="auto" w:fill="auto"/>
            <w:vAlign w:val="center"/>
          </w:tcPr>
          <w:p w14:paraId="394C25E2" w14:textId="027C8AE2" w:rsidR="0015309E" w:rsidRPr="00746187" w:rsidRDefault="0015309E" w:rsidP="00746187">
            <w:pPr>
              <w:jc w:val="right"/>
              <w:rPr>
                <w:rFonts w:eastAsia="Times New Roman"/>
                <w:sz w:val="20"/>
                <w:szCs w:val="20"/>
                <w:lang w:eastAsia="hr-HR"/>
              </w:rPr>
            </w:pPr>
            <w:r>
              <w:rPr>
                <w:rFonts w:eastAsia="Times New Roman"/>
                <w:sz w:val="20"/>
                <w:szCs w:val="20"/>
                <w:lang w:eastAsia="hr-HR"/>
              </w:rPr>
              <w:t>0,003</w:t>
            </w:r>
          </w:p>
        </w:tc>
      </w:tr>
      <w:tr w:rsidR="00746187" w:rsidRPr="00746187" w14:paraId="516AC6E4"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noWrap/>
            <w:hideMark/>
          </w:tcPr>
          <w:p w14:paraId="5F8053A6" w14:textId="5699031E" w:rsidR="00746187" w:rsidRPr="00746187" w:rsidRDefault="00746187" w:rsidP="00746187">
            <w:pPr>
              <w:rPr>
                <w:sz w:val="20"/>
                <w:szCs w:val="20"/>
              </w:rPr>
            </w:pPr>
            <w:r w:rsidRPr="00746187">
              <w:rPr>
                <w:rFonts w:eastAsia="Times New Roman"/>
                <w:sz w:val="20"/>
                <w:szCs w:val="20"/>
                <w:lang w:eastAsia="hr-HR"/>
              </w:rPr>
              <w:t>A2 - Odgode pri podmirenju duga</w:t>
            </w:r>
          </w:p>
        </w:tc>
        <w:tc>
          <w:tcPr>
            <w:tcW w:w="1417" w:type="dxa"/>
            <w:tcBorders>
              <w:top w:val="nil"/>
              <w:left w:val="nil"/>
              <w:bottom w:val="single" w:sz="4" w:space="0" w:color="auto"/>
              <w:right w:val="single" w:sz="4" w:space="0" w:color="auto"/>
            </w:tcBorders>
            <w:shd w:val="clear" w:color="auto" w:fill="auto"/>
            <w:vAlign w:val="center"/>
          </w:tcPr>
          <w:p w14:paraId="5915E03E" w14:textId="463DF1D8" w:rsidR="00746187" w:rsidRPr="00746187" w:rsidRDefault="00746187" w:rsidP="00746187">
            <w:pPr>
              <w:jc w:val="right"/>
              <w:rPr>
                <w:sz w:val="20"/>
                <w:szCs w:val="20"/>
              </w:rPr>
            </w:pPr>
            <w:r w:rsidRPr="00746187">
              <w:rPr>
                <w:rFonts w:eastAsia="Times New Roman"/>
                <w:sz w:val="20"/>
                <w:szCs w:val="20"/>
                <w:lang w:eastAsia="hr-HR"/>
              </w:rPr>
              <w:t>0,0</w:t>
            </w:r>
            <w:r w:rsidR="0015309E">
              <w:rPr>
                <w:rFonts w:eastAsia="Times New Roman"/>
                <w:sz w:val="20"/>
                <w:szCs w:val="20"/>
                <w:lang w:eastAsia="hr-HR"/>
              </w:rPr>
              <w:t>1</w:t>
            </w:r>
          </w:p>
        </w:tc>
        <w:tc>
          <w:tcPr>
            <w:tcW w:w="1418" w:type="dxa"/>
            <w:tcBorders>
              <w:top w:val="nil"/>
              <w:left w:val="nil"/>
              <w:bottom w:val="single" w:sz="4" w:space="0" w:color="auto"/>
              <w:right w:val="single" w:sz="4" w:space="0" w:color="auto"/>
            </w:tcBorders>
            <w:shd w:val="clear" w:color="auto" w:fill="auto"/>
            <w:vAlign w:val="center"/>
          </w:tcPr>
          <w:p w14:paraId="37489BAA" w14:textId="27114DEA" w:rsidR="00746187" w:rsidRPr="00746187" w:rsidRDefault="0016103B" w:rsidP="00746187">
            <w:pPr>
              <w:jc w:val="right"/>
              <w:rPr>
                <w:sz w:val="20"/>
                <w:szCs w:val="20"/>
              </w:rPr>
            </w:pPr>
            <w:r w:rsidRPr="0016103B">
              <w:rPr>
                <w:b/>
                <w:sz w:val="20"/>
              </w:rPr>
              <w:t>–</w:t>
            </w:r>
          </w:p>
        </w:tc>
        <w:tc>
          <w:tcPr>
            <w:tcW w:w="1268" w:type="dxa"/>
            <w:tcBorders>
              <w:top w:val="nil"/>
              <w:left w:val="nil"/>
              <w:bottom w:val="single" w:sz="4" w:space="0" w:color="auto"/>
              <w:right w:val="single" w:sz="4" w:space="0" w:color="auto"/>
            </w:tcBorders>
            <w:shd w:val="clear" w:color="auto" w:fill="auto"/>
            <w:vAlign w:val="center"/>
          </w:tcPr>
          <w:p w14:paraId="7788AD3C" w14:textId="6471895A" w:rsidR="00746187" w:rsidRPr="00746187" w:rsidRDefault="00746187" w:rsidP="00746187">
            <w:pPr>
              <w:jc w:val="right"/>
              <w:rPr>
                <w:sz w:val="20"/>
                <w:szCs w:val="20"/>
              </w:rPr>
            </w:pPr>
            <w:r w:rsidRPr="00746187">
              <w:rPr>
                <w:rFonts w:eastAsia="Times New Roman"/>
                <w:sz w:val="20"/>
                <w:szCs w:val="20"/>
                <w:lang w:eastAsia="hr-HR"/>
              </w:rPr>
              <w:t>0,1</w:t>
            </w:r>
          </w:p>
        </w:tc>
      </w:tr>
      <w:tr w:rsidR="00746187" w:rsidRPr="00746187" w14:paraId="0749AEFF"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85CE87B" w14:textId="2223623D" w:rsidR="00746187" w:rsidRPr="00746187" w:rsidRDefault="00746187" w:rsidP="00746187">
            <w:pPr>
              <w:rPr>
                <w:sz w:val="20"/>
                <w:szCs w:val="20"/>
              </w:rPr>
            </w:pPr>
            <w:r w:rsidRPr="00746187">
              <w:rPr>
                <w:rFonts w:eastAsia="Times New Roman"/>
                <w:sz w:val="20"/>
                <w:szCs w:val="20"/>
                <w:lang w:eastAsia="hr-HR"/>
              </w:rPr>
              <w:t>B1 Kapitalna ulaganja</w:t>
            </w:r>
          </w:p>
        </w:tc>
        <w:tc>
          <w:tcPr>
            <w:tcW w:w="1417" w:type="dxa"/>
            <w:tcBorders>
              <w:top w:val="nil"/>
              <w:left w:val="nil"/>
              <w:bottom w:val="single" w:sz="4" w:space="0" w:color="auto"/>
              <w:right w:val="single" w:sz="4" w:space="0" w:color="auto"/>
            </w:tcBorders>
            <w:shd w:val="clear" w:color="auto" w:fill="auto"/>
            <w:vAlign w:val="center"/>
          </w:tcPr>
          <w:p w14:paraId="6F4F6D61" w14:textId="3F5EDB00" w:rsidR="00746187" w:rsidRPr="00746187" w:rsidRDefault="00746187" w:rsidP="00746187">
            <w:pPr>
              <w:jc w:val="right"/>
              <w:rPr>
                <w:sz w:val="20"/>
                <w:szCs w:val="20"/>
              </w:rPr>
            </w:pPr>
            <w:r w:rsidRPr="00746187">
              <w:rPr>
                <w:rFonts w:eastAsia="Times New Roman"/>
                <w:sz w:val="20"/>
                <w:szCs w:val="20"/>
                <w:lang w:eastAsia="hr-HR"/>
              </w:rPr>
              <w:t>3,0</w:t>
            </w:r>
          </w:p>
        </w:tc>
        <w:tc>
          <w:tcPr>
            <w:tcW w:w="1418" w:type="dxa"/>
            <w:tcBorders>
              <w:top w:val="nil"/>
              <w:left w:val="nil"/>
              <w:bottom w:val="single" w:sz="4" w:space="0" w:color="auto"/>
              <w:right w:val="single" w:sz="4" w:space="0" w:color="auto"/>
            </w:tcBorders>
            <w:shd w:val="clear" w:color="auto" w:fill="auto"/>
            <w:vAlign w:val="center"/>
          </w:tcPr>
          <w:p w14:paraId="55241301" w14:textId="076A386F" w:rsidR="00746187" w:rsidRPr="00746187" w:rsidRDefault="00746187" w:rsidP="00746187">
            <w:pPr>
              <w:jc w:val="right"/>
              <w:rPr>
                <w:sz w:val="20"/>
                <w:szCs w:val="20"/>
              </w:rPr>
            </w:pPr>
            <w:r w:rsidRPr="00746187">
              <w:rPr>
                <w:rFonts w:eastAsia="Times New Roman"/>
                <w:sz w:val="20"/>
                <w:szCs w:val="20"/>
                <w:lang w:eastAsia="hr-HR"/>
              </w:rPr>
              <w:t>2,8</w:t>
            </w:r>
          </w:p>
        </w:tc>
        <w:tc>
          <w:tcPr>
            <w:tcW w:w="1268" w:type="dxa"/>
            <w:tcBorders>
              <w:top w:val="nil"/>
              <w:left w:val="nil"/>
              <w:bottom w:val="single" w:sz="4" w:space="0" w:color="auto"/>
              <w:right w:val="single" w:sz="4" w:space="0" w:color="auto"/>
            </w:tcBorders>
            <w:shd w:val="clear" w:color="auto" w:fill="auto"/>
            <w:vAlign w:val="center"/>
          </w:tcPr>
          <w:p w14:paraId="63F9F570" w14:textId="54CDA78A" w:rsidR="00746187" w:rsidRPr="00746187" w:rsidRDefault="00746187" w:rsidP="00746187">
            <w:pPr>
              <w:jc w:val="right"/>
              <w:rPr>
                <w:sz w:val="20"/>
                <w:szCs w:val="20"/>
              </w:rPr>
            </w:pPr>
            <w:r w:rsidRPr="00746187">
              <w:rPr>
                <w:rFonts w:eastAsia="Times New Roman"/>
                <w:sz w:val="20"/>
                <w:szCs w:val="20"/>
                <w:lang w:eastAsia="hr-HR"/>
              </w:rPr>
              <w:t>2,6</w:t>
            </w:r>
          </w:p>
        </w:tc>
      </w:tr>
      <w:tr w:rsidR="00746187" w:rsidRPr="00746187" w14:paraId="6282598A"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noWrap/>
            <w:hideMark/>
          </w:tcPr>
          <w:p w14:paraId="30CB0FEE" w14:textId="76DC21B5" w:rsidR="00746187" w:rsidRPr="00746187" w:rsidRDefault="00746187" w:rsidP="00746187">
            <w:pPr>
              <w:rPr>
                <w:sz w:val="20"/>
                <w:szCs w:val="20"/>
              </w:rPr>
            </w:pPr>
            <w:r w:rsidRPr="00746187">
              <w:rPr>
                <w:rFonts w:eastAsia="Times New Roman"/>
                <w:sz w:val="20"/>
                <w:szCs w:val="20"/>
                <w:lang w:eastAsia="hr-HR"/>
              </w:rPr>
              <w:t>B1 Prodaja državne imovine pod povoljnim uvjetima</w:t>
            </w:r>
          </w:p>
        </w:tc>
        <w:tc>
          <w:tcPr>
            <w:tcW w:w="1417" w:type="dxa"/>
            <w:tcBorders>
              <w:top w:val="nil"/>
              <w:left w:val="nil"/>
              <w:bottom w:val="single" w:sz="4" w:space="0" w:color="auto"/>
              <w:right w:val="single" w:sz="4" w:space="0" w:color="auto"/>
            </w:tcBorders>
            <w:shd w:val="clear" w:color="auto" w:fill="auto"/>
            <w:vAlign w:val="center"/>
          </w:tcPr>
          <w:p w14:paraId="792EE623" w14:textId="622D44C9" w:rsidR="00746187" w:rsidRPr="00746187" w:rsidRDefault="00746187" w:rsidP="00746187">
            <w:pPr>
              <w:jc w:val="right"/>
              <w:rPr>
                <w:sz w:val="20"/>
                <w:szCs w:val="20"/>
              </w:rPr>
            </w:pPr>
            <w:r w:rsidRPr="00746187">
              <w:rPr>
                <w:rFonts w:eastAsia="Times New Roman"/>
                <w:sz w:val="20"/>
                <w:szCs w:val="20"/>
                <w:lang w:eastAsia="hr-HR"/>
              </w:rPr>
              <w:t>0,1</w:t>
            </w:r>
          </w:p>
        </w:tc>
        <w:tc>
          <w:tcPr>
            <w:tcW w:w="1418" w:type="dxa"/>
            <w:tcBorders>
              <w:top w:val="nil"/>
              <w:left w:val="nil"/>
              <w:bottom w:val="single" w:sz="4" w:space="0" w:color="auto"/>
              <w:right w:val="single" w:sz="4" w:space="0" w:color="auto"/>
            </w:tcBorders>
            <w:shd w:val="clear" w:color="auto" w:fill="auto"/>
            <w:vAlign w:val="center"/>
          </w:tcPr>
          <w:p w14:paraId="173FD443" w14:textId="76A4FCCF" w:rsidR="00746187" w:rsidRPr="00746187" w:rsidRDefault="0016103B" w:rsidP="00746187">
            <w:pPr>
              <w:jc w:val="right"/>
              <w:rPr>
                <w:sz w:val="20"/>
                <w:szCs w:val="20"/>
              </w:rPr>
            </w:pPr>
            <w:r w:rsidRPr="0016103B">
              <w:rPr>
                <w:b/>
                <w:sz w:val="20"/>
              </w:rPr>
              <w:t>–</w:t>
            </w:r>
          </w:p>
        </w:tc>
        <w:tc>
          <w:tcPr>
            <w:tcW w:w="1268" w:type="dxa"/>
            <w:tcBorders>
              <w:top w:val="nil"/>
              <w:left w:val="nil"/>
              <w:bottom w:val="single" w:sz="4" w:space="0" w:color="auto"/>
              <w:right w:val="single" w:sz="4" w:space="0" w:color="auto"/>
            </w:tcBorders>
            <w:shd w:val="clear" w:color="auto" w:fill="auto"/>
            <w:vAlign w:val="center"/>
          </w:tcPr>
          <w:p w14:paraId="06BED873" w14:textId="47735510" w:rsidR="00746187" w:rsidRPr="00746187" w:rsidRDefault="0016103B" w:rsidP="00746187">
            <w:pPr>
              <w:jc w:val="right"/>
              <w:rPr>
                <w:sz w:val="20"/>
                <w:szCs w:val="20"/>
              </w:rPr>
            </w:pPr>
            <w:r w:rsidRPr="0016103B">
              <w:rPr>
                <w:b/>
                <w:sz w:val="20"/>
              </w:rPr>
              <w:t>–</w:t>
            </w:r>
          </w:p>
        </w:tc>
      </w:tr>
      <w:tr w:rsidR="00746187" w:rsidRPr="00746187" w14:paraId="4200543F"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B1F1F4" w14:textId="443A094F" w:rsidR="00746187" w:rsidRPr="00746187" w:rsidRDefault="00746187" w:rsidP="00746187">
            <w:pPr>
              <w:rPr>
                <w:sz w:val="20"/>
                <w:szCs w:val="20"/>
              </w:rPr>
            </w:pPr>
            <w:r w:rsidRPr="00746187">
              <w:rPr>
                <w:rFonts w:eastAsia="Times New Roman"/>
                <w:sz w:val="20"/>
                <w:szCs w:val="20"/>
                <w:lang w:eastAsia="hr-HR"/>
              </w:rPr>
              <w:t>C1 Povoljni zajmovi</w:t>
            </w:r>
          </w:p>
        </w:tc>
        <w:tc>
          <w:tcPr>
            <w:tcW w:w="1417" w:type="dxa"/>
            <w:tcBorders>
              <w:top w:val="nil"/>
              <w:left w:val="nil"/>
              <w:bottom w:val="single" w:sz="4" w:space="0" w:color="auto"/>
              <w:right w:val="single" w:sz="4" w:space="0" w:color="auto"/>
            </w:tcBorders>
            <w:shd w:val="clear" w:color="auto" w:fill="auto"/>
            <w:vAlign w:val="center"/>
          </w:tcPr>
          <w:p w14:paraId="6E9BE9EA" w14:textId="3F301824" w:rsidR="00746187" w:rsidRPr="00746187" w:rsidRDefault="00746187" w:rsidP="00746187">
            <w:pPr>
              <w:jc w:val="right"/>
              <w:rPr>
                <w:sz w:val="20"/>
                <w:szCs w:val="20"/>
              </w:rPr>
            </w:pPr>
            <w:r w:rsidRPr="00746187">
              <w:rPr>
                <w:rFonts w:eastAsia="Times New Roman"/>
                <w:sz w:val="20"/>
                <w:szCs w:val="20"/>
                <w:lang w:eastAsia="hr-HR"/>
              </w:rPr>
              <w:t>2,3</w:t>
            </w:r>
          </w:p>
        </w:tc>
        <w:tc>
          <w:tcPr>
            <w:tcW w:w="1418" w:type="dxa"/>
            <w:tcBorders>
              <w:top w:val="nil"/>
              <w:left w:val="nil"/>
              <w:bottom w:val="single" w:sz="4" w:space="0" w:color="auto"/>
              <w:right w:val="single" w:sz="4" w:space="0" w:color="auto"/>
            </w:tcBorders>
            <w:shd w:val="clear" w:color="auto" w:fill="auto"/>
            <w:vAlign w:val="center"/>
          </w:tcPr>
          <w:p w14:paraId="6E69B2C3" w14:textId="2B4BE059" w:rsidR="00746187" w:rsidRPr="00746187" w:rsidRDefault="00746187" w:rsidP="00746187">
            <w:pPr>
              <w:jc w:val="right"/>
              <w:rPr>
                <w:sz w:val="20"/>
                <w:szCs w:val="20"/>
              </w:rPr>
            </w:pPr>
            <w:r w:rsidRPr="00746187">
              <w:rPr>
                <w:rFonts w:eastAsia="Times New Roman"/>
                <w:sz w:val="20"/>
                <w:szCs w:val="20"/>
                <w:lang w:eastAsia="hr-HR"/>
              </w:rPr>
              <w:t>2,6</w:t>
            </w:r>
          </w:p>
        </w:tc>
        <w:tc>
          <w:tcPr>
            <w:tcW w:w="1268" w:type="dxa"/>
            <w:tcBorders>
              <w:top w:val="nil"/>
              <w:left w:val="nil"/>
              <w:bottom w:val="single" w:sz="4" w:space="0" w:color="auto"/>
              <w:right w:val="single" w:sz="4" w:space="0" w:color="auto"/>
            </w:tcBorders>
            <w:shd w:val="clear" w:color="auto" w:fill="auto"/>
            <w:vAlign w:val="center"/>
          </w:tcPr>
          <w:p w14:paraId="67FBCD50" w14:textId="757C69C3" w:rsidR="00746187" w:rsidRPr="00746187" w:rsidRDefault="00746187" w:rsidP="00746187">
            <w:pPr>
              <w:jc w:val="right"/>
              <w:rPr>
                <w:sz w:val="20"/>
                <w:szCs w:val="20"/>
              </w:rPr>
            </w:pPr>
            <w:r w:rsidRPr="00746187">
              <w:rPr>
                <w:rFonts w:eastAsia="Times New Roman"/>
                <w:sz w:val="20"/>
                <w:szCs w:val="20"/>
                <w:lang w:eastAsia="hr-HR"/>
              </w:rPr>
              <w:t>13,3</w:t>
            </w:r>
          </w:p>
        </w:tc>
      </w:tr>
      <w:tr w:rsidR="00746187" w:rsidRPr="00746187" w14:paraId="24900040"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509E28C" w14:textId="418D03B9" w:rsidR="00746187" w:rsidRPr="00746187" w:rsidRDefault="00746187" w:rsidP="00746187">
            <w:pPr>
              <w:rPr>
                <w:sz w:val="20"/>
                <w:szCs w:val="20"/>
              </w:rPr>
            </w:pPr>
            <w:r w:rsidRPr="00746187">
              <w:rPr>
                <w:rFonts w:eastAsia="Times New Roman"/>
                <w:sz w:val="20"/>
                <w:szCs w:val="20"/>
                <w:lang w:eastAsia="hr-HR"/>
              </w:rPr>
              <w:t>D Jamstva</w:t>
            </w:r>
          </w:p>
        </w:tc>
        <w:tc>
          <w:tcPr>
            <w:tcW w:w="1417" w:type="dxa"/>
            <w:tcBorders>
              <w:top w:val="nil"/>
              <w:left w:val="nil"/>
              <w:bottom w:val="single" w:sz="4" w:space="0" w:color="auto"/>
              <w:right w:val="single" w:sz="4" w:space="0" w:color="auto"/>
            </w:tcBorders>
            <w:shd w:val="clear" w:color="auto" w:fill="auto"/>
            <w:vAlign w:val="center"/>
          </w:tcPr>
          <w:p w14:paraId="5744D24D" w14:textId="4F1939B2" w:rsidR="00746187" w:rsidRPr="00746187" w:rsidRDefault="00746187" w:rsidP="00746187">
            <w:pPr>
              <w:jc w:val="right"/>
              <w:rPr>
                <w:sz w:val="20"/>
                <w:szCs w:val="20"/>
              </w:rPr>
            </w:pPr>
            <w:r w:rsidRPr="00746187">
              <w:rPr>
                <w:rFonts w:eastAsia="Times New Roman"/>
                <w:sz w:val="20"/>
                <w:szCs w:val="20"/>
                <w:lang w:eastAsia="hr-HR"/>
              </w:rPr>
              <w:t>3,1</w:t>
            </w:r>
          </w:p>
        </w:tc>
        <w:tc>
          <w:tcPr>
            <w:tcW w:w="1418" w:type="dxa"/>
            <w:tcBorders>
              <w:top w:val="nil"/>
              <w:left w:val="nil"/>
              <w:bottom w:val="single" w:sz="4" w:space="0" w:color="auto"/>
              <w:right w:val="single" w:sz="4" w:space="0" w:color="auto"/>
            </w:tcBorders>
            <w:shd w:val="clear" w:color="auto" w:fill="auto"/>
            <w:vAlign w:val="center"/>
          </w:tcPr>
          <w:p w14:paraId="0644ABB8" w14:textId="15AD47C6" w:rsidR="00746187" w:rsidRPr="00746187" w:rsidRDefault="00746187" w:rsidP="00746187">
            <w:pPr>
              <w:jc w:val="right"/>
              <w:rPr>
                <w:sz w:val="20"/>
                <w:szCs w:val="20"/>
              </w:rPr>
            </w:pPr>
            <w:r w:rsidRPr="00746187">
              <w:rPr>
                <w:rFonts w:eastAsia="Times New Roman"/>
                <w:sz w:val="20"/>
                <w:szCs w:val="20"/>
                <w:lang w:eastAsia="hr-HR"/>
              </w:rPr>
              <w:t>2,4</w:t>
            </w:r>
          </w:p>
        </w:tc>
        <w:tc>
          <w:tcPr>
            <w:tcW w:w="1268" w:type="dxa"/>
            <w:tcBorders>
              <w:top w:val="nil"/>
              <w:left w:val="nil"/>
              <w:bottom w:val="single" w:sz="4" w:space="0" w:color="auto"/>
              <w:right w:val="single" w:sz="4" w:space="0" w:color="auto"/>
            </w:tcBorders>
            <w:shd w:val="clear" w:color="auto" w:fill="auto"/>
            <w:vAlign w:val="center"/>
          </w:tcPr>
          <w:p w14:paraId="137C59DC" w14:textId="2FD90088" w:rsidR="00746187" w:rsidRPr="00746187" w:rsidRDefault="00746187" w:rsidP="00746187">
            <w:pPr>
              <w:jc w:val="right"/>
              <w:rPr>
                <w:sz w:val="20"/>
                <w:szCs w:val="20"/>
              </w:rPr>
            </w:pPr>
            <w:r w:rsidRPr="00746187">
              <w:rPr>
                <w:rFonts w:eastAsia="Times New Roman"/>
                <w:sz w:val="20"/>
                <w:szCs w:val="20"/>
                <w:lang w:eastAsia="hr-HR"/>
              </w:rPr>
              <w:t>4,2</w:t>
            </w:r>
          </w:p>
        </w:tc>
      </w:tr>
      <w:tr w:rsidR="0015309E" w:rsidRPr="00746187" w14:paraId="5895FC00" w14:textId="77777777" w:rsidTr="00746187">
        <w:trPr>
          <w:trHeight w:val="56"/>
        </w:trPr>
        <w:tc>
          <w:tcPr>
            <w:tcW w:w="4957" w:type="dxa"/>
            <w:tcBorders>
              <w:top w:val="nil"/>
              <w:left w:val="single" w:sz="4" w:space="0" w:color="auto"/>
              <w:bottom w:val="single" w:sz="4" w:space="0" w:color="auto"/>
              <w:right w:val="single" w:sz="4" w:space="0" w:color="auto"/>
            </w:tcBorders>
            <w:shd w:val="clear" w:color="auto" w:fill="auto"/>
            <w:vAlign w:val="center"/>
          </w:tcPr>
          <w:p w14:paraId="6B3410CD" w14:textId="48C3397F" w:rsidR="0015309E" w:rsidRPr="00746187" w:rsidRDefault="0015309E" w:rsidP="0015309E">
            <w:pPr>
              <w:rPr>
                <w:rFonts w:eastAsia="Times New Roman"/>
                <w:sz w:val="20"/>
                <w:szCs w:val="20"/>
                <w:lang w:eastAsia="hr-HR"/>
              </w:rPr>
            </w:pPr>
            <w:r w:rsidRPr="00746187">
              <w:rPr>
                <w:rFonts w:eastAsia="Times New Roman"/>
                <w:sz w:val="20"/>
                <w:szCs w:val="20"/>
                <w:lang w:eastAsia="hr-HR"/>
              </w:rPr>
              <w:t>D Plaćanja za opozvana jamstva</w:t>
            </w:r>
          </w:p>
        </w:tc>
        <w:tc>
          <w:tcPr>
            <w:tcW w:w="1417" w:type="dxa"/>
            <w:tcBorders>
              <w:top w:val="nil"/>
              <w:left w:val="nil"/>
              <w:bottom w:val="single" w:sz="4" w:space="0" w:color="auto"/>
              <w:right w:val="single" w:sz="4" w:space="0" w:color="auto"/>
            </w:tcBorders>
            <w:shd w:val="clear" w:color="auto" w:fill="auto"/>
            <w:vAlign w:val="center"/>
          </w:tcPr>
          <w:p w14:paraId="4775665C" w14:textId="5A65DDA8" w:rsidR="0015309E" w:rsidRPr="00746187" w:rsidRDefault="0015309E" w:rsidP="0015309E">
            <w:pPr>
              <w:jc w:val="right"/>
              <w:rPr>
                <w:rFonts w:eastAsia="Times New Roman"/>
                <w:sz w:val="20"/>
                <w:szCs w:val="20"/>
                <w:lang w:eastAsia="hr-HR"/>
              </w:rPr>
            </w:pPr>
            <w:r w:rsidRPr="00746187">
              <w:rPr>
                <w:rFonts w:eastAsia="Times New Roman"/>
                <w:sz w:val="20"/>
                <w:szCs w:val="20"/>
                <w:lang w:eastAsia="hr-HR"/>
              </w:rPr>
              <w:t>0,01</w:t>
            </w:r>
          </w:p>
        </w:tc>
        <w:tc>
          <w:tcPr>
            <w:tcW w:w="1418" w:type="dxa"/>
            <w:tcBorders>
              <w:top w:val="nil"/>
              <w:left w:val="nil"/>
              <w:bottom w:val="single" w:sz="4" w:space="0" w:color="auto"/>
              <w:right w:val="single" w:sz="4" w:space="0" w:color="auto"/>
            </w:tcBorders>
            <w:shd w:val="clear" w:color="auto" w:fill="auto"/>
            <w:vAlign w:val="center"/>
          </w:tcPr>
          <w:p w14:paraId="7DE4A1D2" w14:textId="10F56381" w:rsidR="0015309E" w:rsidRPr="00746187" w:rsidRDefault="0015309E" w:rsidP="0015309E">
            <w:pPr>
              <w:jc w:val="right"/>
              <w:rPr>
                <w:rFonts w:eastAsia="Times New Roman"/>
                <w:sz w:val="20"/>
                <w:szCs w:val="20"/>
                <w:lang w:eastAsia="hr-HR"/>
              </w:rPr>
            </w:pPr>
            <w:r w:rsidRPr="00746187">
              <w:rPr>
                <w:rFonts w:eastAsia="Times New Roman"/>
                <w:sz w:val="20"/>
                <w:szCs w:val="20"/>
                <w:lang w:eastAsia="hr-HR"/>
              </w:rPr>
              <w:t>0,01</w:t>
            </w:r>
          </w:p>
        </w:tc>
        <w:tc>
          <w:tcPr>
            <w:tcW w:w="1268" w:type="dxa"/>
            <w:tcBorders>
              <w:top w:val="nil"/>
              <w:left w:val="nil"/>
              <w:bottom w:val="single" w:sz="4" w:space="0" w:color="auto"/>
              <w:right w:val="single" w:sz="4" w:space="0" w:color="auto"/>
            </w:tcBorders>
            <w:shd w:val="clear" w:color="auto" w:fill="auto"/>
            <w:vAlign w:val="center"/>
          </w:tcPr>
          <w:p w14:paraId="472103A7" w14:textId="30F70DCD" w:rsidR="0015309E" w:rsidRPr="00746187" w:rsidRDefault="0015309E" w:rsidP="0015309E">
            <w:pPr>
              <w:jc w:val="right"/>
              <w:rPr>
                <w:rFonts w:eastAsia="Times New Roman"/>
                <w:sz w:val="20"/>
                <w:szCs w:val="20"/>
                <w:lang w:eastAsia="hr-HR"/>
              </w:rPr>
            </w:pPr>
            <w:r w:rsidRPr="00746187">
              <w:rPr>
                <w:rFonts w:eastAsia="Times New Roman"/>
                <w:sz w:val="20"/>
                <w:szCs w:val="20"/>
                <w:lang w:eastAsia="hr-HR"/>
              </w:rPr>
              <w:t>0,002</w:t>
            </w:r>
          </w:p>
        </w:tc>
      </w:tr>
      <w:tr w:rsidR="00746187" w:rsidRPr="00746187" w14:paraId="643D94A9" w14:textId="77777777" w:rsidTr="00746187">
        <w:trPr>
          <w:trHeight w:val="255"/>
        </w:trPr>
        <w:tc>
          <w:tcPr>
            <w:tcW w:w="4957" w:type="dxa"/>
            <w:tcBorders>
              <w:top w:val="nil"/>
              <w:left w:val="single" w:sz="4" w:space="0" w:color="auto"/>
              <w:bottom w:val="single" w:sz="4" w:space="0" w:color="auto"/>
              <w:right w:val="single" w:sz="4" w:space="0" w:color="auto"/>
            </w:tcBorders>
            <w:shd w:val="clear" w:color="000000" w:fill="FFFF99"/>
            <w:noWrap/>
            <w:vAlign w:val="center"/>
            <w:hideMark/>
          </w:tcPr>
          <w:p w14:paraId="450A71E6" w14:textId="77777777" w:rsidR="00746187" w:rsidRPr="00746187" w:rsidRDefault="00746187" w:rsidP="00746187">
            <w:pPr>
              <w:rPr>
                <w:sz w:val="20"/>
                <w:szCs w:val="20"/>
              </w:rPr>
            </w:pPr>
            <w:r w:rsidRPr="00746187">
              <w:rPr>
                <w:b/>
                <w:sz w:val="20"/>
                <w:szCs w:val="20"/>
              </w:rPr>
              <w:t>UKUPNO</w:t>
            </w:r>
          </w:p>
        </w:tc>
        <w:tc>
          <w:tcPr>
            <w:tcW w:w="1417" w:type="dxa"/>
            <w:tcBorders>
              <w:top w:val="nil"/>
              <w:left w:val="nil"/>
              <w:bottom w:val="single" w:sz="4" w:space="0" w:color="auto"/>
              <w:right w:val="single" w:sz="4" w:space="0" w:color="auto"/>
            </w:tcBorders>
            <w:shd w:val="clear" w:color="000000" w:fill="FFFF99"/>
            <w:noWrap/>
            <w:vAlign w:val="center"/>
          </w:tcPr>
          <w:p w14:paraId="3CC055ED" w14:textId="6E38CC1E" w:rsidR="00746187" w:rsidRPr="00746187" w:rsidRDefault="00746187" w:rsidP="00746187">
            <w:pPr>
              <w:jc w:val="right"/>
              <w:rPr>
                <w:b/>
                <w:sz w:val="20"/>
                <w:szCs w:val="20"/>
              </w:rPr>
            </w:pPr>
            <w:r w:rsidRPr="00746187">
              <w:rPr>
                <w:rFonts w:eastAsia="Times New Roman"/>
                <w:b/>
                <w:bCs/>
                <w:sz w:val="20"/>
                <w:szCs w:val="20"/>
                <w:lang w:eastAsia="hr-HR"/>
              </w:rPr>
              <w:t>191,8</w:t>
            </w:r>
          </w:p>
        </w:tc>
        <w:tc>
          <w:tcPr>
            <w:tcW w:w="1418" w:type="dxa"/>
            <w:tcBorders>
              <w:top w:val="nil"/>
              <w:left w:val="nil"/>
              <w:bottom w:val="single" w:sz="4" w:space="0" w:color="auto"/>
              <w:right w:val="single" w:sz="4" w:space="0" w:color="auto"/>
            </w:tcBorders>
            <w:shd w:val="clear" w:color="000000" w:fill="FFFF99"/>
            <w:noWrap/>
            <w:vAlign w:val="center"/>
          </w:tcPr>
          <w:p w14:paraId="39AD48FA" w14:textId="34663E31" w:rsidR="00746187" w:rsidRPr="00746187" w:rsidRDefault="00746187" w:rsidP="00746187">
            <w:pPr>
              <w:jc w:val="right"/>
              <w:rPr>
                <w:b/>
                <w:sz w:val="20"/>
                <w:szCs w:val="20"/>
              </w:rPr>
            </w:pPr>
            <w:r w:rsidRPr="00746187">
              <w:rPr>
                <w:rFonts w:eastAsia="Times New Roman"/>
                <w:b/>
                <w:bCs/>
                <w:sz w:val="20"/>
                <w:szCs w:val="20"/>
                <w:lang w:eastAsia="hr-HR"/>
              </w:rPr>
              <w:t>233,2</w:t>
            </w:r>
          </w:p>
        </w:tc>
        <w:tc>
          <w:tcPr>
            <w:tcW w:w="1268" w:type="dxa"/>
            <w:tcBorders>
              <w:top w:val="nil"/>
              <w:left w:val="nil"/>
              <w:bottom w:val="single" w:sz="4" w:space="0" w:color="auto"/>
              <w:right w:val="single" w:sz="4" w:space="0" w:color="auto"/>
            </w:tcBorders>
            <w:shd w:val="clear" w:color="000000" w:fill="FFFF99"/>
            <w:noWrap/>
            <w:vAlign w:val="center"/>
          </w:tcPr>
          <w:p w14:paraId="47D57D88" w14:textId="54187160" w:rsidR="00746187" w:rsidRPr="00746187" w:rsidRDefault="00746187" w:rsidP="00746187">
            <w:pPr>
              <w:jc w:val="right"/>
              <w:rPr>
                <w:b/>
                <w:sz w:val="20"/>
                <w:szCs w:val="20"/>
              </w:rPr>
            </w:pPr>
            <w:r w:rsidRPr="00746187">
              <w:rPr>
                <w:rFonts w:eastAsia="Times New Roman"/>
                <w:b/>
                <w:bCs/>
                <w:sz w:val="20"/>
                <w:szCs w:val="20"/>
                <w:lang w:eastAsia="hr-HR"/>
              </w:rPr>
              <w:t>252,9</w:t>
            </w:r>
          </w:p>
        </w:tc>
      </w:tr>
      <w:tr w:rsidR="00AC79B4" w:rsidRPr="00746187" w14:paraId="34178D44" w14:textId="77777777" w:rsidTr="00746187">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FF3E" w14:textId="0F38C1B3" w:rsidR="00AC79B4" w:rsidRPr="00746187" w:rsidRDefault="00746187" w:rsidP="00715BA2">
            <w:pPr>
              <w:rPr>
                <w:b/>
                <w:sz w:val="20"/>
                <w:szCs w:val="20"/>
              </w:rPr>
            </w:pPr>
            <w:r w:rsidRPr="00746187">
              <w:rPr>
                <w:sz w:val="20"/>
                <w:szCs w:val="20"/>
              </w:rPr>
              <w:t>udio (%) u BDP-u</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94C33E" w14:textId="3B875C45" w:rsidR="00AC79B4" w:rsidRPr="00746187" w:rsidRDefault="00746187" w:rsidP="00746187">
            <w:pPr>
              <w:jc w:val="center"/>
              <w:rPr>
                <w:b/>
                <w:sz w:val="20"/>
                <w:szCs w:val="20"/>
              </w:rPr>
            </w:pPr>
            <w:r w:rsidRPr="00AC79B4">
              <w:rPr>
                <w:rFonts w:eastAsia="Times New Roman"/>
                <w:sz w:val="20"/>
                <w:szCs w:val="20"/>
                <w:lang w:eastAsia="hr-HR"/>
              </w:rPr>
              <w:t>0,33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12F392" w14:textId="5E56C632" w:rsidR="00AC79B4" w:rsidRPr="00746187" w:rsidRDefault="00746187" w:rsidP="00746187">
            <w:pPr>
              <w:jc w:val="center"/>
              <w:rPr>
                <w:b/>
                <w:sz w:val="20"/>
                <w:szCs w:val="20"/>
              </w:rPr>
            </w:pPr>
            <w:r w:rsidRPr="00AC79B4">
              <w:rPr>
                <w:rFonts w:eastAsia="Times New Roman"/>
                <w:sz w:val="20"/>
                <w:szCs w:val="20"/>
                <w:lang w:eastAsia="hr-HR"/>
              </w:rPr>
              <w:t>0,34</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5316FDE8" w14:textId="6FF1D964" w:rsidR="00AC79B4" w:rsidRPr="00746187" w:rsidRDefault="00746187" w:rsidP="00746187">
            <w:pPr>
              <w:jc w:val="center"/>
              <w:rPr>
                <w:b/>
                <w:sz w:val="20"/>
                <w:szCs w:val="20"/>
              </w:rPr>
            </w:pPr>
            <w:r w:rsidRPr="00AC79B4">
              <w:rPr>
                <w:rFonts w:eastAsia="Times New Roman"/>
                <w:sz w:val="20"/>
                <w:szCs w:val="20"/>
                <w:lang w:eastAsia="hr-HR"/>
              </w:rPr>
              <w:t>0,33</w:t>
            </w:r>
          </w:p>
        </w:tc>
      </w:tr>
    </w:tbl>
    <w:p w14:paraId="297CF176" w14:textId="77777777" w:rsidR="00F70D95" w:rsidRPr="00746187" w:rsidRDefault="00F70D95" w:rsidP="00BE487D">
      <w:pPr>
        <w:contextualSpacing/>
        <w:jc w:val="both"/>
        <w:rPr>
          <w:i/>
          <w:sz w:val="20"/>
        </w:rPr>
      </w:pPr>
      <w:r w:rsidRPr="00746187">
        <w:rPr>
          <w:i/>
          <w:sz w:val="20"/>
        </w:rPr>
        <w:t>Izvor: Ministarstvo financija i davatelji potpora; podaci obrađeni u Ministarstvu financija</w:t>
      </w:r>
    </w:p>
    <w:p w14:paraId="49578A20" w14:textId="484BABB9" w:rsidR="00321D42" w:rsidRDefault="00321D42" w:rsidP="00BE487D">
      <w:pPr>
        <w:jc w:val="both"/>
      </w:pPr>
    </w:p>
    <w:p w14:paraId="3BAB38F3" w14:textId="410E855D" w:rsidR="00E21F0C" w:rsidRPr="00E21F0C" w:rsidRDefault="00E21F0C" w:rsidP="00E21F0C">
      <w:pPr>
        <w:jc w:val="both"/>
      </w:pPr>
      <w:r w:rsidRPr="00E21F0C">
        <w:t xml:space="preserve">Udio potpora </w:t>
      </w:r>
      <w:r w:rsidRPr="00E21F0C">
        <w:rPr>
          <w:bCs/>
        </w:rPr>
        <w:t>male vrijednosti</w:t>
      </w:r>
      <w:r w:rsidRPr="00E21F0C">
        <w:t xml:space="preserve"> u BDP-u u 2023. godini iznosio je 0,33 posto, u 2022. godini iznosio je 0,34 posto dok je u 2021. godini iznosio 0,33 posto. </w:t>
      </w:r>
    </w:p>
    <w:p w14:paraId="4183ED17" w14:textId="77777777" w:rsidR="00746187" w:rsidRPr="00E21F0C" w:rsidRDefault="00746187" w:rsidP="00BE487D">
      <w:pPr>
        <w:jc w:val="both"/>
      </w:pPr>
    </w:p>
    <w:p w14:paraId="3D240605" w14:textId="35051338" w:rsidR="0016103B" w:rsidRPr="008E3256" w:rsidRDefault="0016103B" w:rsidP="0016103B">
      <w:pPr>
        <w:jc w:val="both"/>
      </w:pPr>
      <w:r w:rsidRPr="008E3256">
        <w:t xml:space="preserve">Potpore male vrijednosti u 2023. godini su dodijeljene u iznosu od 252,9 milijuna eura, i to najvećim dijelom putem subvencija u iznosu od </w:t>
      </w:r>
      <w:r w:rsidR="00C75F53" w:rsidRPr="008E3256">
        <w:t xml:space="preserve">224,4 </w:t>
      </w:r>
      <w:r w:rsidRPr="008E3256">
        <w:t xml:space="preserve">milijuna eura ili s udjelom od </w:t>
      </w:r>
      <w:r w:rsidR="00C75F53" w:rsidRPr="008E3256">
        <w:t>88,7</w:t>
      </w:r>
      <w:r w:rsidRPr="008E3256">
        <w:t xml:space="preserve"> posto u dodijeljenim potporama male vrijednosti, slijede </w:t>
      </w:r>
      <w:r w:rsidR="00C75F53" w:rsidRPr="008E3256">
        <w:t xml:space="preserve">povoljni zajmovi u iznosu od 13,3 milijuna eura ili 5,3 posto, potom sniženje, oslobođenje, olakšice, izuzeće i oprost plaćanja doprinosa u iznosu od 7,3 milijuna eura ili 2,9 posto, izdana jamstva u iznosu od 4,2 milijuna eura ili 1,7 </w:t>
      </w:r>
      <w:r w:rsidR="00C75F53" w:rsidRPr="008E3256">
        <w:lastRenderedPageBreak/>
        <w:t xml:space="preserve">posto, kapitalna ulaganja u iznosu od 2,6 milijuna eura ili 1 posto, neposredne subvencije kamata u iznosu od 717.515,68 eura ili 0,3 posto, odgode pri podmirenju duga u iznosu od 140.205,34 eura ili 0,1 posto, otpis duga u iznosu od 130.424,52 eura ili </w:t>
      </w:r>
      <w:r w:rsidR="008E3256" w:rsidRPr="008E3256">
        <w:t xml:space="preserve">0,1 </w:t>
      </w:r>
      <w:r w:rsidR="00C75F53" w:rsidRPr="008E3256">
        <w:t>posto,</w:t>
      </w:r>
      <w:r w:rsidR="008E3256" w:rsidRPr="008E3256">
        <w:t xml:space="preserve"> oprost poreza, porezna oslobođenja, izuzeća i olakšice </w:t>
      </w:r>
      <w:r w:rsidR="00C75F53" w:rsidRPr="008E3256">
        <w:t xml:space="preserve">u iznosu od </w:t>
      </w:r>
      <w:r w:rsidR="008E3256" w:rsidRPr="008E3256">
        <w:t xml:space="preserve">119.883,67 </w:t>
      </w:r>
      <w:r w:rsidR="00C75F53" w:rsidRPr="008E3256">
        <w:t xml:space="preserve">eura ili </w:t>
      </w:r>
      <w:r w:rsidR="008E3256" w:rsidRPr="008E3256">
        <w:t xml:space="preserve">0,1 posto, odgode pri plaćanju poreza u iznosu od 2.519,67 eura ili 0,001 posto te plaćanja za opozvana jamstva </w:t>
      </w:r>
      <w:r w:rsidRPr="008E3256">
        <w:t xml:space="preserve">u iznosu od </w:t>
      </w:r>
      <w:r w:rsidR="008E3256" w:rsidRPr="008E3256">
        <w:t xml:space="preserve">1.884,00 </w:t>
      </w:r>
      <w:r w:rsidRPr="008E3256">
        <w:t xml:space="preserve">eura ili </w:t>
      </w:r>
      <w:r w:rsidR="008E3256" w:rsidRPr="008E3256">
        <w:t xml:space="preserve">0,001 </w:t>
      </w:r>
      <w:r w:rsidRPr="008E3256">
        <w:t>posto.</w:t>
      </w:r>
    </w:p>
    <w:p w14:paraId="630DD42C" w14:textId="61832E51" w:rsidR="008E3256" w:rsidRPr="008E3256" w:rsidRDefault="008E3256" w:rsidP="00B51824">
      <w:pPr>
        <w:jc w:val="both"/>
      </w:pPr>
    </w:p>
    <w:p w14:paraId="3DC6EACA" w14:textId="58982969" w:rsidR="00F70D95" w:rsidRPr="00124E49" w:rsidRDefault="008E3256" w:rsidP="00BE487D">
      <w:pPr>
        <w:jc w:val="both"/>
      </w:pPr>
      <w:r w:rsidRPr="00124E49">
        <w:t>U 2023. godini od ukupno dodijeljenih potpora male vrijednosti</w:t>
      </w:r>
      <w:r w:rsidR="00124E49" w:rsidRPr="00124E49">
        <w:t xml:space="preserve"> u iznosu od 252,9 milijuna eura, </w:t>
      </w:r>
      <w:r w:rsidR="00F70D95" w:rsidRPr="00124E49">
        <w:t xml:space="preserve">davatelji potpora na razini središnje države dodijelili su </w:t>
      </w:r>
      <w:r w:rsidR="002F1754" w:rsidRPr="00124E49">
        <w:t xml:space="preserve">iznos od </w:t>
      </w:r>
      <w:r w:rsidR="00124E49" w:rsidRPr="00124E49">
        <w:t xml:space="preserve">228,2 </w:t>
      </w:r>
      <w:r w:rsidR="00F70D95" w:rsidRPr="00124E49">
        <w:t xml:space="preserve">milijuna </w:t>
      </w:r>
      <w:r w:rsidR="00124E49" w:rsidRPr="00124E49">
        <w:t>eura</w:t>
      </w:r>
      <w:r w:rsidR="00F70D95" w:rsidRPr="00124E49">
        <w:t xml:space="preserve"> ili </w:t>
      </w:r>
      <w:r w:rsidR="00124E49" w:rsidRPr="00124E49">
        <w:t>90,2</w:t>
      </w:r>
      <w:r w:rsidR="00F70D95" w:rsidRPr="00124E49">
        <w:t xml:space="preserve"> posto</w:t>
      </w:r>
      <w:r w:rsidR="002F1754" w:rsidRPr="00124E49">
        <w:t xml:space="preserve"> udjela u </w:t>
      </w:r>
      <w:r w:rsidR="00124E49" w:rsidRPr="00124E49">
        <w:t xml:space="preserve">navedenim </w:t>
      </w:r>
      <w:r w:rsidR="002F1754" w:rsidRPr="00124E49">
        <w:t>potporama</w:t>
      </w:r>
      <w:r w:rsidR="00F70D95" w:rsidRPr="00124E49">
        <w:t xml:space="preserve">, dok su davatelji na lokalnoj razini dodijelili </w:t>
      </w:r>
      <w:r w:rsidR="002F1754" w:rsidRPr="00124E49">
        <w:t xml:space="preserve">iznos od </w:t>
      </w:r>
      <w:r w:rsidR="00124E49" w:rsidRPr="00124E49">
        <w:t xml:space="preserve">24,7 </w:t>
      </w:r>
      <w:r w:rsidR="00F70D95" w:rsidRPr="00124E49">
        <w:t xml:space="preserve">milijuna </w:t>
      </w:r>
      <w:r w:rsidR="00FA2983">
        <w:t>eura</w:t>
      </w:r>
      <w:r w:rsidR="00F70D95" w:rsidRPr="00124E49">
        <w:t xml:space="preserve"> ili </w:t>
      </w:r>
      <w:r w:rsidR="00124E49" w:rsidRPr="00124E49">
        <w:t>9,8</w:t>
      </w:r>
      <w:r w:rsidR="00F70D95" w:rsidRPr="00124E49">
        <w:t xml:space="preserve"> posto. </w:t>
      </w:r>
    </w:p>
    <w:p w14:paraId="7D8D561C" w14:textId="77777777" w:rsidR="00321D42" w:rsidRPr="006C2323" w:rsidRDefault="00321D42" w:rsidP="00BE487D">
      <w:pPr>
        <w:rPr>
          <w:b/>
        </w:rPr>
      </w:pPr>
    </w:p>
    <w:p w14:paraId="5277574F" w14:textId="140D4E53" w:rsidR="00F70D95" w:rsidRPr="006C2323" w:rsidRDefault="00E21F0C" w:rsidP="0030218B">
      <w:pPr>
        <w:jc w:val="both"/>
      </w:pPr>
      <w:r w:rsidRPr="006C2323">
        <w:t>D</w:t>
      </w:r>
      <w:r w:rsidR="00E32E0E" w:rsidRPr="006C2323">
        <w:t>a</w:t>
      </w:r>
      <w:r w:rsidR="00F70D95" w:rsidRPr="006C2323">
        <w:t>vatelji potpora malih vrijednosti</w:t>
      </w:r>
      <w:r w:rsidR="00383AC1" w:rsidRPr="006C2323">
        <w:t xml:space="preserve"> na razini središnje države</w:t>
      </w:r>
      <w:r w:rsidR="006C2323" w:rsidRPr="006C2323">
        <w:t>,</w:t>
      </w:r>
      <w:r w:rsidR="00F70D95" w:rsidRPr="006C2323">
        <w:t xml:space="preserve"> </w:t>
      </w:r>
      <w:r w:rsidRPr="006C2323">
        <w:t xml:space="preserve">koji su u 2023. godini </w:t>
      </w:r>
      <w:r w:rsidR="0041435D" w:rsidRPr="006C2323">
        <w:t>dodjeljivali</w:t>
      </w:r>
      <w:r w:rsidRPr="006C2323">
        <w:t xml:space="preserve"> navedene potpore, </w:t>
      </w:r>
      <w:r w:rsidR="00896E7E" w:rsidRPr="006C2323">
        <w:t xml:space="preserve">prikazani </w:t>
      </w:r>
      <w:r w:rsidR="006C2323" w:rsidRPr="006C2323">
        <w:t xml:space="preserve">su </w:t>
      </w:r>
      <w:r w:rsidR="00896E7E" w:rsidRPr="006C2323">
        <w:t xml:space="preserve">po visini dodijeljenih potpora </w:t>
      </w:r>
      <w:r w:rsidR="00F70D95" w:rsidRPr="006C2323">
        <w:t xml:space="preserve">temeljem podataka </w:t>
      </w:r>
      <w:r w:rsidR="006C2323" w:rsidRPr="006C2323">
        <w:t xml:space="preserve">preuzetih </w:t>
      </w:r>
      <w:r w:rsidR="00F70D95" w:rsidRPr="006C2323">
        <w:t>iz Registra su sljedeći:</w:t>
      </w:r>
    </w:p>
    <w:p w14:paraId="475D55E1" w14:textId="3D0FFAA6" w:rsidR="00E32E0E" w:rsidRPr="006C2323" w:rsidRDefault="006C2323" w:rsidP="0030218B">
      <w:pPr>
        <w:pStyle w:val="ListParagraph"/>
        <w:numPr>
          <w:ilvl w:val="0"/>
          <w:numId w:val="25"/>
        </w:numPr>
        <w:ind w:left="714" w:hanging="357"/>
        <w:jc w:val="both"/>
      </w:pPr>
      <w:r w:rsidRPr="006C2323">
        <w:t xml:space="preserve">96,4 </w:t>
      </w:r>
      <w:r w:rsidR="00E32E0E" w:rsidRPr="006C2323">
        <w:t xml:space="preserve">milijuna </w:t>
      </w:r>
      <w:r w:rsidRPr="006C2323">
        <w:t>eura</w:t>
      </w:r>
      <w:r w:rsidR="00E32E0E" w:rsidRPr="006C2323">
        <w:t xml:space="preserve"> – Hrvatski zavod za zapošljavanje</w:t>
      </w:r>
    </w:p>
    <w:p w14:paraId="62B46CF5" w14:textId="294B0724" w:rsidR="00E32E0E" w:rsidRPr="006C2323" w:rsidRDefault="006C2323" w:rsidP="0030218B">
      <w:pPr>
        <w:pStyle w:val="ListParagraph"/>
        <w:numPr>
          <w:ilvl w:val="0"/>
          <w:numId w:val="25"/>
        </w:numPr>
        <w:ind w:left="714" w:hanging="357"/>
        <w:jc w:val="both"/>
      </w:pPr>
      <w:r w:rsidRPr="006C2323">
        <w:t xml:space="preserve">50,7 </w:t>
      </w:r>
      <w:r w:rsidR="00E32E0E" w:rsidRPr="006C2323">
        <w:t xml:space="preserve">milijuna </w:t>
      </w:r>
      <w:r w:rsidRPr="006C2323">
        <w:t xml:space="preserve">eura </w:t>
      </w:r>
      <w:r w:rsidR="00E32E0E" w:rsidRPr="006C2323">
        <w:t>– Ministarstvo gospodarstva i održivog razvoja</w:t>
      </w:r>
    </w:p>
    <w:p w14:paraId="311AA36B" w14:textId="68539F94" w:rsidR="006C2323" w:rsidRPr="006C2323" w:rsidRDefault="006C2323" w:rsidP="006C2323">
      <w:pPr>
        <w:pStyle w:val="ListParagraph"/>
        <w:numPr>
          <w:ilvl w:val="0"/>
          <w:numId w:val="25"/>
        </w:numPr>
        <w:ind w:left="714" w:hanging="357"/>
        <w:jc w:val="both"/>
      </w:pPr>
      <w:r w:rsidRPr="006C2323">
        <w:t>16,7 milijuna eura – Ministarstvo poljoprivrede</w:t>
      </w:r>
    </w:p>
    <w:p w14:paraId="2215DC8B" w14:textId="3A137561" w:rsidR="006C2323" w:rsidRPr="006C2323" w:rsidRDefault="006C2323" w:rsidP="006C2323">
      <w:pPr>
        <w:pStyle w:val="ListParagraph"/>
        <w:numPr>
          <w:ilvl w:val="0"/>
          <w:numId w:val="25"/>
        </w:numPr>
        <w:ind w:left="714" w:hanging="357"/>
        <w:jc w:val="both"/>
      </w:pPr>
      <w:r w:rsidRPr="006C2323">
        <w:t>16,3 milijuna eura – Ministarstvo regionalnoga razvoja i fondova Europske unije</w:t>
      </w:r>
    </w:p>
    <w:p w14:paraId="578F8728" w14:textId="3B4164A9" w:rsidR="006C2323" w:rsidRPr="006C2323" w:rsidRDefault="006C2323" w:rsidP="006C2323">
      <w:pPr>
        <w:pStyle w:val="ListParagraph"/>
        <w:numPr>
          <w:ilvl w:val="0"/>
          <w:numId w:val="25"/>
        </w:numPr>
        <w:ind w:left="714" w:hanging="357"/>
        <w:jc w:val="both"/>
      </w:pPr>
      <w:r w:rsidRPr="006C2323">
        <w:t>14,6 milijuna eura – HAMAG – BICRO</w:t>
      </w:r>
    </w:p>
    <w:p w14:paraId="3AB52A5C" w14:textId="5AC9CDD4" w:rsidR="006C2323" w:rsidRPr="006C2323" w:rsidRDefault="006C2323" w:rsidP="006C2323">
      <w:pPr>
        <w:pStyle w:val="ListParagraph"/>
        <w:numPr>
          <w:ilvl w:val="0"/>
          <w:numId w:val="25"/>
        </w:numPr>
        <w:ind w:left="714" w:hanging="357"/>
        <w:jc w:val="both"/>
      </w:pPr>
      <w:r w:rsidRPr="006C2323">
        <w:t>6,7 milijuna eura – Ministarstvo turizma i sporta</w:t>
      </w:r>
    </w:p>
    <w:p w14:paraId="58DE36FE" w14:textId="4935419F" w:rsidR="006C2323" w:rsidRPr="006C2323" w:rsidRDefault="006C2323" w:rsidP="006C2323">
      <w:pPr>
        <w:pStyle w:val="ListParagraph"/>
        <w:numPr>
          <w:ilvl w:val="0"/>
          <w:numId w:val="25"/>
        </w:numPr>
        <w:ind w:left="714" w:hanging="357"/>
        <w:jc w:val="both"/>
      </w:pPr>
      <w:r w:rsidRPr="006C2323">
        <w:t>6,4 milijuna eura – HBOR</w:t>
      </w:r>
    </w:p>
    <w:p w14:paraId="47E90B61" w14:textId="40BF204D" w:rsidR="006C2323" w:rsidRPr="006C2323" w:rsidRDefault="006C2323" w:rsidP="006C2323">
      <w:pPr>
        <w:pStyle w:val="ListParagraph"/>
        <w:numPr>
          <w:ilvl w:val="0"/>
          <w:numId w:val="25"/>
        </w:numPr>
        <w:ind w:left="714" w:hanging="357"/>
        <w:jc w:val="both"/>
      </w:pPr>
      <w:r w:rsidRPr="006C2323">
        <w:t>6,2 milijuna eura – Agencija za elektroničke medije</w:t>
      </w:r>
    </w:p>
    <w:p w14:paraId="33DC2A2A" w14:textId="2BF77B23" w:rsidR="006C2323" w:rsidRPr="006C2323" w:rsidRDefault="006C2323" w:rsidP="006C2323">
      <w:pPr>
        <w:pStyle w:val="ListParagraph"/>
        <w:numPr>
          <w:ilvl w:val="0"/>
          <w:numId w:val="25"/>
        </w:numPr>
        <w:ind w:left="714" w:hanging="357"/>
        <w:jc w:val="both"/>
      </w:pPr>
      <w:r w:rsidRPr="006C2323">
        <w:t>6,1 milijun eura – Fond za obnovu i razvoj grada Vukovara</w:t>
      </w:r>
    </w:p>
    <w:p w14:paraId="28D2E9E8" w14:textId="4D34CDF2" w:rsidR="006C2323" w:rsidRPr="006C2323" w:rsidRDefault="006C2323" w:rsidP="006C2323">
      <w:pPr>
        <w:pStyle w:val="ListParagraph"/>
        <w:numPr>
          <w:ilvl w:val="0"/>
          <w:numId w:val="25"/>
        </w:numPr>
        <w:ind w:left="714" w:hanging="357"/>
        <w:jc w:val="both"/>
      </w:pPr>
      <w:r w:rsidRPr="006C2323">
        <w:t>3,4 milijuna eura – Fond za zaštitu okoliša i energetsku učinkovitost</w:t>
      </w:r>
    </w:p>
    <w:p w14:paraId="1B86DA9B" w14:textId="721ED67A" w:rsidR="006C2323" w:rsidRPr="006C2323" w:rsidRDefault="006C2323" w:rsidP="006C2323">
      <w:pPr>
        <w:pStyle w:val="ListParagraph"/>
        <w:numPr>
          <w:ilvl w:val="0"/>
          <w:numId w:val="25"/>
        </w:numPr>
        <w:ind w:left="714" w:hanging="357"/>
        <w:jc w:val="both"/>
      </w:pPr>
      <w:r w:rsidRPr="006C2323">
        <w:t>2,7 milijuna eura – Zavod za vještačenje, profesionalnu rehabilitaciju i zapošljavanje osoba s invaliditetom</w:t>
      </w:r>
    </w:p>
    <w:p w14:paraId="3CE84D29" w14:textId="6E9B19EF" w:rsidR="006C2323" w:rsidRPr="006C2323" w:rsidRDefault="006C2323" w:rsidP="006C2323">
      <w:pPr>
        <w:pStyle w:val="ListParagraph"/>
        <w:numPr>
          <w:ilvl w:val="0"/>
          <w:numId w:val="25"/>
        </w:numPr>
        <w:ind w:left="714" w:hanging="357"/>
        <w:jc w:val="both"/>
      </w:pPr>
      <w:r w:rsidRPr="006C2323">
        <w:t>1,2 milijuna eura – Ministarstvo hrvatskih branitelja</w:t>
      </w:r>
    </w:p>
    <w:p w14:paraId="3AB1D31E" w14:textId="47A9838E" w:rsidR="006C2323" w:rsidRPr="006C2323" w:rsidRDefault="006C2323" w:rsidP="006C2323">
      <w:pPr>
        <w:pStyle w:val="ListParagraph"/>
        <w:numPr>
          <w:ilvl w:val="0"/>
          <w:numId w:val="25"/>
        </w:numPr>
        <w:ind w:left="714" w:hanging="357"/>
        <w:jc w:val="both"/>
      </w:pPr>
      <w:r w:rsidRPr="006C2323">
        <w:t>537.124,20 eura – Ministarstvo mora, prometa i infrastrukture</w:t>
      </w:r>
    </w:p>
    <w:p w14:paraId="22819651" w14:textId="3264214D" w:rsidR="0030218B" w:rsidRPr="006C2323" w:rsidRDefault="006C2323" w:rsidP="0030218B">
      <w:pPr>
        <w:pStyle w:val="ListParagraph"/>
        <w:numPr>
          <w:ilvl w:val="0"/>
          <w:numId w:val="25"/>
        </w:numPr>
        <w:ind w:left="714" w:hanging="357"/>
        <w:jc w:val="both"/>
      </w:pPr>
      <w:r w:rsidRPr="006C2323">
        <w:t xml:space="preserve">264.892,68 eura </w:t>
      </w:r>
      <w:r w:rsidR="0030218B" w:rsidRPr="006C2323">
        <w:t>– Ministarstvo prostornoga uređenja, graditeljstva i državne imovine</w:t>
      </w:r>
    </w:p>
    <w:p w14:paraId="5A205707" w14:textId="018BB338" w:rsidR="0030218B" w:rsidRPr="00E74DCC" w:rsidRDefault="006C2323" w:rsidP="0030218B">
      <w:pPr>
        <w:pStyle w:val="ListParagraph"/>
        <w:numPr>
          <w:ilvl w:val="0"/>
          <w:numId w:val="25"/>
        </w:numPr>
        <w:ind w:left="714" w:hanging="357"/>
        <w:jc w:val="both"/>
      </w:pPr>
      <w:r w:rsidRPr="00E74DCC">
        <w:t xml:space="preserve">35.247,53 eura </w:t>
      </w:r>
      <w:r w:rsidR="0030218B" w:rsidRPr="00E74DCC">
        <w:t>– Ministarstvo financija – Carinska uprava</w:t>
      </w:r>
      <w:r w:rsidR="00A943A1">
        <w:t>.</w:t>
      </w:r>
    </w:p>
    <w:p w14:paraId="1C4186A3" w14:textId="77777777" w:rsidR="00116360" w:rsidRPr="00E74DCC" w:rsidRDefault="00116360" w:rsidP="00BE487D">
      <w:pPr>
        <w:jc w:val="both"/>
      </w:pPr>
    </w:p>
    <w:p w14:paraId="47A1C617" w14:textId="048E53E0" w:rsidR="00756DEC" w:rsidRPr="00CC4B31" w:rsidRDefault="00756DEC" w:rsidP="00A61D1D">
      <w:pPr>
        <w:pStyle w:val="ListParagraph"/>
        <w:numPr>
          <w:ilvl w:val="0"/>
          <w:numId w:val="27"/>
        </w:numPr>
        <w:jc w:val="both"/>
      </w:pPr>
      <w:r w:rsidRPr="00B75A66">
        <w:rPr>
          <w:bCs/>
          <w:u w:val="single"/>
        </w:rPr>
        <w:t xml:space="preserve">Hrvatski zavod za </w:t>
      </w:r>
      <w:r w:rsidRPr="00B75A66">
        <w:rPr>
          <w:u w:val="single"/>
          <w:lang w:eastAsia="hr-HR"/>
        </w:rPr>
        <w:t>zapošljavanje</w:t>
      </w:r>
      <w:r w:rsidRPr="00E74DCC">
        <w:rPr>
          <w:bCs/>
        </w:rPr>
        <w:t xml:space="preserve"> dodijelio </w:t>
      </w:r>
      <w:r w:rsidR="000B32D7" w:rsidRPr="00E74DCC">
        <w:rPr>
          <w:bCs/>
        </w:rPr>
        <w:t xml:space="preserve">je </w:t>
      </w:r>
      <w:r w:rsidR="0041435D" w:rsidRPr="00E74DCC">
        <w:t xml:space="preserve">96,4 </w:t>
      </w:r>
      <w:r w:rsidRPr="00E74DCC">
        <w:rPr>
          <w:bCs/>
        </w:rPr>
        <w:t xml:space="preserve">milijuna </w:t>
      </w:r>
      <w:r w:rsidR="0041435D" w:rsidRPr="00E74DCC">
        <w:t xml:space="preserve">eura </w:t>
      </w:r>
      <w:r w:rsidRPr="00E74DCC">
        <w:rPr>
          <w:bCs/>
        </w:rPr>
        <w:t xml:space="preserve">potpora </w:t>
      </w:r>
      <w:r w:rsidR="0041435D" w:rsidRPr="00E74DCC">
        <w:t xml:space="preserve">male vrijednosti </w:t>
      </w:r>
      <w:r w:rsidRPr="00E74DCC">
        <w:rPr>
          <w:bCs/>
        </w:rPr>
        <w:t xml:space="preserve">za </w:t>
      </w:r>
      <w:r w:rsidRPr="00E74DCC">
        <w:rPr>
          <w:bCs/>
          <w:lang w:eastAsia="hr-HR"/>
        </w:rPr>
        <w:t>zapošljavanje</w:t>
      </w:r>
      <w:r w:rsidR="0041435D" w:rsidRPr="00E74DCC">
        <w:rPr>
          <w:bCs/>
          <w:lang w:eastAsia="hr-HR"/>
        </w:rPr>
        <w:t xml:space="preserve"> putem subvencija</w:t>
      </w:r>
      <w:r w:rsidR="0030218B" w:rsidRPr="00E74DCC">
        <w:rPr>
          <w:bCs/>
          <w:lang w:eastAsia="hr-HR"/>
        </w:rPr>
        <w:t xml:space="preserve">, i to </w:t>
      </w:r>
      <w:r w:rsidRPr="00E74DCC">
        <w:rPr>
          <w:bCs/>
        </w:rPr>
        <w:t xml:space="preserve">temeljem </w:t>
      </w:r>
      <w:r w:rsidRPr="00E74DCC">
        <w:rPr>
          <w:color w:val="000000"/>
          <w:lang w:eastAsia="hr-HR"/>
        </w:rPr>
        <w:t xml:space="preserve">Programa </w:t>
      </w:r>
      <w:r w:rsidRPr="00E74DCC">
        <w:t xml:space="preserve">potpora male vrijednosti u </w:t>
      </w:r>
      <w:r w:rsidRPr="00CC4B31">
        <w:t>nadležnosti Hrvatskog zavoda za zapošljavanje u 202</w:t>
      </w:r>
      <w:r w:rsidR="00E74DCC" w:rsidRPr="00CC4B31">
        <w:t>3</w:t>
      </w:r>
      <w:r w:rsidRPr="00CC4B31">
        <w:t>. godini</w:t>
      </w:r>
      <w:r w:rsidR="0030218B" w:rsidRPr="00CC4B31">
        <w:t xml:space="preserve"> iznos od </w:t>
      </w:r>
      <w:r w:rsidR="00E74DCC" w:rsidRPr="00CC4B31">
        <w:t xml:space="preserve">93,9 </w:t>
      </w:r>
      <w:r w:rsidR="0030218B" w:rsidRPr="00CC4B31">
        <w:t xml:space="preserve">milijuna </w:t>
      </w:r>
      <w:r w:rsidR="00E74DCC" w:rsidRPr="00CC4B31">
        <w:t>eura</w:t>
      </w:r>
      <w:r w:rsidRPr="00CC4B31">
        <w:t xml:space="preserve">, </w:t>
      </w:r>
      <w:r w:rsidR="00E74DCC" w:rsidRPr="00CC4B31">
        <w:t>t</w:t>
      </w:r>
      <w:r w:rsidR="0030218B" w:rsidRPr="00CC4B31">
        <w:t xml:space="preserve">emeljem Programa potpora male vrijednosti u nadležnosti Hrvatskog zavoda za zapošljavanje u 2021. godini iznos od </w:t>
      </w:r>
      <w:r w:rsidR="00E74DCC" w:rsidRPr="00CC4B31">
        <w:t>2,4</w:t>
      </w:r>
      <w:r w:rsidR="0030218B" w:rsidRPr="00CC4B31">
        <w:t xml:space="preserve"> milijuna </w:t>
      </w:r>
      <w:r w:rsidR="00E74DCC" w:rsidRPr="00CC4B31">
        <w:t>eura</w:t>
      </w:r>
      <w:r w:rsidR="0030218B" w:rsidRPr="00CC4B31">
        <w:t>, te temeljem Programa potpora male vrijednosti u nadležnosti Hrvatskog zavoda za zapošljavanje u 20</w:t>
      </w:r>
      <w:r w:rsidR="00E74DCC" w:rsidRPr="00CC4B31">
        <w:t>22</w:t>
      </w:r>
      <w:r w:rsidR="0030218B" w:rsidRPr="00CC4B31">
        <w:t>. godini</w:t>
      </w:r>
      <w:r w:rsidR="00A806C6" w:rsidRPr="00CC4B31">
        <w:t xml:space="preserve"> </w:t>
      </w:r>
      <w:r w:rsidR="00E74DCC" w:rsidRPr="00CC4B31">
        <w:t>40.132,02</w:t>
      </w:r>
      <w:r w:rsidR="00A806C6" w:rsidRPr="00CC4B31">
        <w:t xml:space="preserve"> </w:t>
      </w:r>
      <w:r w:rsidR="00E74DCC" w:rsidRPr="00CC4B31">
        <w:t>eura</w:t>
      </w:r>
      <w:r w:rsidR="00A806C6" w:rsidRPr="00CC4B31">
        <w:t>.</w:t>
      </w:r>
    </w:p>
    <w:p w14:paraId="49E615A7" w14:textId="77777777" w:rsidR="00E74DCC" w:rsidRPr="00CC4B31" w:rsidRDefault="00E74DCC" w:rsidP="00116360">
      <w:pPr>
        <w:jc w:val="both"/>
      </w:pPr>
    </w:p>
    <w:p w14:paraId="2250FA36" w14:textId="54CB098E" w:rsidR="004022F0" w:rsidRPr="00A943A1" w:rsidRDefault="00116360" w:rsidP="00F6654C">
      <w:pPr>
        <w:pStyle w:val="ListParagraph"/>
        <w:numPr>
          <w:ilvl w:val="1"/>
          <w:numId w:val="28"/>
        </w:numPr>
        <w:jc w:val="both"/>
        <w:rPr>
          <w:b/>
          <w:spacing w:val="-2"/>
        </w:rPr>
      </w:pPr>
      <w:r w:rsidRPr="00A943A1">
        <w:rPr>
          <w:bCs/>
          <w:spacing w:val="-2"/>
          <w:u w:val="single"/>
        </w:rPr>
        <w:t>Ministarstvo gospodarstva i održivog razvoja</w:t>
      </w:r>
      <w:r w:rsidRPr="00A943A1">
        <w:rPr>
          <w:b/>
          <w:bCs/>
          <w:spacing w:val="-2"/>
        </w:rPr>
        <w:t xml:space="preserve"> </w:t>
      </w:r>
      <w:r w:rsidRPr="00A943A1">
        <w:rPr>
          <w:bCs/>
          <w:spacing w:val="-2"/>
        </w:rPr>
        <w:t xml:space="preserve">dodijelilo je </w:t>
      </w:r>
      <w:r w:rsidR="00124E49" w:rsidRPr="00A943A1">
        <w:rPr>
          <w:spacing w:val="-2"/>
        </w:rPr>
        <w:t xml:space="preserve">50,7 milijuna eura </w:t>
      </w:r>
      <w:r w:rsidRPr="00A943A1">
        <w:rPr>
          <w:bCs/>
          <w:spacing w:val="-2"/>
        </w:rPr>
        <w:t xml:space="preserve">potpora </w:t>
      </w:r>
      <w:r w:rsidR="00124E49" w:rsidRPr="00A943A1">
        <w:rPr>
          <w:spacing w:val="-2"/>
        </w:rPr>
        <w:t xml:space="preserve">male vrijednosti </w:t>
      </w:r>
      <w:r w:rsidRPr="00A943A1">
        <w:rPr>
          <w:bCs/>
          <w:spacing w:val="-2"/>
        </w:rPr>
        <w:t xml:space="preserve">isključivo u obliku subvencija, a od navedenog iznosa malim i srednjim poduzetnicima je dodijeljeno </w:t>
      </w:r>
      <w:r w:rsidR="004022F0" w:rsidRPr="00A943A1">
        <w:rPr>
          <w:spacing w:val="-2"/>
        </w:rPr>
        <w:t xml:space="preserve">47,4 </w:t>
      </w:r>
      <w:r w:rsidRPr="00A943A1">
        <w:rPr>
          <w:bCs/>
          <w:spacing w:val="-2"/>
        </w:rPr>
        <w:t xml:space="preserve">milijuna </w:t>
      </w:r>
      <w:r w:rsidR="004022F0" w:rsidRPr="00A943A1">
        <w:rPr>
          <w:bCs/>
          <w:spacing w:val="-2"/>
        </w:rPr>
        <w:t>eura</w:t>
      </w:r>
      <w:r w:rsidRPr="00A943A1">
        <w:rPr>
          <w:bCs/>
          <w:spacing w:val="-2"/>
        </w:rPr>
        <w:t xml:space="preserve"> dok je za zaštitu okoliša i energetsku učinkovitost dodijeljeno </w:t>
      </w:r>
      <w:r w:rsidR="004022F0" w:rsidRPr="00A943A1">
        <w:rPr>
          <w:spacing w:val="-2"/>
        </w:rPr>
        <w:t xml:space="preserve">3,3 </w:t>
      </w:r>
      <w:r w:rsidR="004022F0" w:rsidRPr="00A943A1">
        <w:rPr>
          <w:bCs/>
          <w:spacing w:val="-2"/>
        </w:rPr>
        <w:t>milijuna eura</w:t>
      </w:r>
      <w:r w:rsidRPr="00A943A1">
        <w:rPr>
          <w:bCs/>
          <w:spacing w:val="-2"/>
        </w:rPr>
        <w:t xml:space="preserve">. </w:t>
      </w:r>
      <w:r w:rsidRPr="00A943A1">
        <w:rPr>
          <w:spacing w:val="-2"/>
        </w:rPr>
        <w:t xml:space="preserve">Malim i srednjim </w:t>
      </w:r>
      <w:r w:rsidRPr="00A943A1">
        <w:rPr>
          <w:bCs/>
          <w:spacing w:val="-2"/>
        </w:rPr>
        <w:t xml:space="preserve">poduzetnicima dodijeljeno je </w:t>
      </w:r>
      <w:r w:rsidR="004022F0" w:rsidRPr="00A943A1">
        <w:rPr>
          <w:spacing w:val="-2"/>
        </w:rPr>
        <w:t xml:space="preserve">47,4 </w:t>
      </w:r>
      <w:r w:rsidR="004022F0" w:rsidRPr="00A943A1">
        <w:rPr>
          <w:bCs/>
          <w:spacing w:val="-2"/>
        </w:rPr>
        <w:t xml:space="preserve">milijuna eura </w:t>
      </w:r>
      <w:r w:rsidRPr="00A943A1">
        <w:rPr>
          <w:bCs/>
          <w:spacing w:val="-2"/>
        </w:rPr>
        <w:t xml:space="preserve">temeljem sljedećih programa: </w:t>
      </w:r>
      <w:r w:rsidR="004022F0" w:rsidRPr="00A943A1">
        <w:rPr>
          <w:spacing w:val="-2"/>
        </w:rPr>
        <w:t xml:space="preserve">Programa dodjele potpora male vrijednosti za mjeru C1.1.2. R2-I3 – Bespovratne potpore za novoosnovana poduzeća iznos od 17 </w:t>
      </w:r>
      <w:r w:rsidR="004022F0" w:rsidRPr="00A943A1">
        <w:rPr>
          <w:bCs/>
          <w:spacing w:val="-2"/>
        </w:rPr>
        <w:t xml:space="preserve">milijuna eura, </w:t>
      </w:r>
      <w:r w:rsidR="004022F0" w:rsidRPr="00A943A1">
        <w:rPr>
          <w:spacing w:val="-2"/>
        </w:rPr>
        <w:t xml:space="preserve">Programa dodjele potpora male vrijednosti mikro, malim i srednjim poduzetnicima za subvencioniranje krajnje cijene plina u svrhu ublažavanja rizika od energetskog siromaštva </w:t>
      </w:r>
      <w:r w:rsidR="004022F0" w:rsidRPr="00A943A1">
        <w:rPr>
          <w:bCs/>
          <w:spacing w:val="-2"/>
        </w:rPr>
        <w:t>16,4 milijuna eura,</w:t>
      </w:r>
      <w:r w:rsidR="004022F0" w:rsidRPr="00A943A1">
        <w:rPr>
          <w:spacing w:val="-2"/>
        </w:rPr>
        <w:t xml:space="preserve"> Programa dodjele potpora male vrijednosti za mjeru NPOO C.1.1.2. R3-I3 – Bespovratne potpore za digitalizaciju </w:t>
      </w:r>
      <w:r w:rsidR="004022F0" w:rsidRPr="00A943A1">
        <w:rPr>
          <w:bCs/>
          <w:spacing w:val="-2"/>
        </w:rPr>
        <w:t xml:space="preserve">7,7 milijuna eura, </w:t>
      </w:r>
      <w:r w:rsidR="004022F0" w:rsidRPr="00A943A1">
        <w:rPr>
          <w:spacing w:val="-2"/>
        </w:rPr>
        <w:lastRenderedPageBreak/>
        <w:t xml:space="preserve">Programa dodjele potpora male vrijednosti za mjeru NPOO.C1.1.2. R3-I2 </w:t>
      </w:r>
      <w:r w:rsidR="00EC6C3E" w:rsidRPr="00A943A1">
        <w:rPr>
          <w:spacing w:val="-2"/>
        </w:rPr>
        <w:t>–</w:t>
      </w:r>
      <w:r w:rsidR="004022F0" w:rsidRPr="00A943A1">
        <w:rPr>
          <w:spacing w:val="-2"/>
        </w:rPr>
        <w:t xml:space="preserve"> Vaučeri za digitalizaciju </w:t>
      </w:r>
      <w:r w:rsidR="004022F0" w:rsidRPr="00A943A1">
        <w:rPr>
          <w:bCs/>
          <w:spacing w:val="-2"/>
        </w:rPr>
        <w:t xml:space="preserve">3 milijuna eura, programa </w:t>
      </w:r>
      <w:r w:rsidR="004022F0" w:rsidRPr="00A943A1">
        <w:rPr>
          <w:spacing w:val="-2"/>
        </w:rPr>
        <w:t xml:space="preserve">Razvoj malog i srednjeg poduzetništva i obrta na područjima naseljenim pripadnicima nacionalnih manjina </w:t>
      </w:r>
      <w:r w:rsidR="00EC6C3E" w:rsidRPr="00A943A1">
        <w:rPr>
          <w:spacing w:val="-2"/>
        </w:rPr>
        <w:t xml:space="preserve">u </w:t>
      </w:r>
      <w:r w:rsidR="004022F0" w:rsidRPr="00A943A1">
        <w:rPr>
          <w:spacing w:val="-2"/>
        </w:rPr>
        <w:t>2022.</w:t>
      </w:r>
      <w:r w:rsidR="00EC6C3E" w:rsidRPr="00A943A1">
        <w:rPr>
          <w:spacing w:val="-2"/>
        </w:rPr>
        <w:t xml:space="preserve"> godini</w:t>
      </w:r>
      <w:r w:rsidR="004022F0" w:rsidRPr="00A943A1">
        <w:rPr>
          <w:spacing w:val="-2"/>
        </w:rPr>
        <w:t xml:space="preserve"> </w:t>
      </w:r>
      <w:r w:rsidR="004022F0" w:rsidRPr="00A943A1">
        <w:rPr>
          <w:bCs/>
          <w:spacing w:val="-2"/>
        </w:rPr>
        <w:t xml:space="preserve">1,1 milijun eura, </w:t>
      </w:r>
      <w:r w:rsidR="004022F0" w:rsidRPr="00A943A1">
        <w:rPr>
          <w:spacing w:val="-2"/>
        </w:rPr>
        <w:t>Program</w:t>
      </w:r>
      <w:r w:rsidR="00EC6C3E" w:rsidRPr="00A943A1">
        <w:rPr>
          <w:spacing w:val="-2"/>
        </w:rPr>
        <w:t>a</w:t>
      </w:r>
      <w:r w:rsidR="004022F0" w:rsidRPr="00A943A1">
        <w:rPr>
          <w:spacing w:val="-2"/>
        </w:rPr>
        <w:t xml:space="preserve"> dodjele potpora male vrijednosti za mjeru C1.1.2. R2-I5 </w:t>
      </w:r>
      <w:r w:rsidR="00EC6C3E" w:rsidRPr="00A943A1">
        <w:rPr>
          <w:spacing w:val="-2"/>
        </w:rPr>
        <w:t xml:space="preserve">– </w:t>
      </w:r>
      <w:r w:rsidR="004022F0" w:rsidRPr="00A943A1">
        <w:rPr>
          <w:spacing w:val="-2"/>
        </w:rPr>
        <w:t>Komercijalizacija inovacija</w:t>
      </w:r>
      <w:r w:rsidR="00342A35" w:rsidRPr="00A943A1">
        <w:rPr>
          <w:spacing w:val="-2"/>
        </w:rPr>
        <w:t xml:space="preserve"> 850.490,46 </w:t>
      </w:r>
      <w:r w:rsidR="004022F0" w:rsidRPr="00A943A1">
        <w:rPr>
          <w:bCs/>
          <w:spacing w:val="-2"/>
        </w:rPr>
        <w:t>eura</w:t>
      </w:r>
      <w:r w:rsidR="00342A35" w:rsidRPr="00A943A1">
        <w:rPr>
          <w:bCs/>
          <w:spacing w:val="-2"/>
        </w:rPr>
        <w:t xml:space="preserve">, </w:t>
      </w:r>
      <w:r w:rsidR="00EC6C3E" w:rsidRPr="00A943A1">
        <w:rPr>
          <w:bCs/>
          <w:spacing w:val="-2"/>
        </w:rPr>
        <w:t xml:space="preserve">programa </w:t>
      </w:r>
      <w:r w:rsidR="00342A35" w:rsidRPr="00A943A1">
        <w:rPr>
          <w:spacing w:val="-2"/>
        </w:rPr>
        <w:t xml:space="preserve">Naukovanje za obrtnička zanimanja za 2023. godinu 529.036,61 </w:t>
      </w:r>
      <w:r w:rsidR="00342A35" w:rsidRPr="00A943A1">
        <w:rPr>
          <w:bCs/>
          <w:spacing w:val="-2"/>
        </w:rPr>
        <w:t xml:space="preserve">euro, </w:t>
      </w:r>
      <w:r w:rsidR="00342A35" w:rsidRPr="00A943A1">
        <w:rPr>
          <w:spacing w:val="-2"/>
        </w:rPr>
        <w:t>Program</w:t>
      </w:r>
      <w:r w:rsidR="00EC6C3E" w:rsidRPr="00A943A1">
        <w:rPr>
          <w:spacing w:val="-2"/>
        </w:rPr>
        <w:t>a</w:t>
      </w:r>
      <w:r w:rsidR="00342A35" w:rsidRPr="00A943A1">
        <w:rPr>
          <w:spacing w:val="-2"/>
        </w:rPr>
        <w:t xml:space="preserve"> </w:t>
      </w:r>
      <w:r w:rsidR="00EC6C3E" w:rsidRPr="00A943A1">
        <w:rPr>
          <w:spacing w:val="-2"/>
        </w:rPr>
        <w:t>„</w:t>
      </w:r>
      <w:r w:rsidR="00342A35" w:rsidRPr="00A943A1">
        <w:rPr>
          <w:spacing w:val="-2"/>
        </w:rPr>
        <w:t>Očuvanje i razvoj tradicijskih i umjetničkih obrta</w:t>
      </w:r>
      <w:r w:rsidR="00EC6C3E" w:rsidRPr="00A943A1">
        <w:rPr>
          <w:spacing w:val="-2"/>
        </w:rPr>
        <w:t>“</w:t>
      </w:r>
      <w:r w:rsidR="00342A35" w:rsidRPr="00A943A1">
        <w:rPr>
          <w:spacing w:val="-2"/>
        </w:rPr>
        <w:t xml:space="preserve"> za 2022. godinu 468.877,75 </w:t>
      </w:r>
      <w:r w:rsidR="004022F0" w:rsidRPr="00A943A1">
        <w:rPr>
          <w:bCs/>
          <w:spacing w:val="-2"/>
        </w:rPr>
        <w:t>eura</w:t>
      </w:r>
      <w:r w:rsidR="00342A35" w:rsidRPr="00A943A1">
        <w:rPr>
          <w:bCs/>
          <w:spacing w:val="-2"/>
        </w:rPr>
        <w:t xml:space="preserve">, </w:t>
      </w:r>
      <w:r w:rsidR="00342A35" w:rsidRPr="00A943A1">
        <w:rPr>
          <w:spacing w:val="-2"/>
        </w:rPr>
        <w:t>Program</w:t>
      </w:r>
      <w:r w:rsidR="00EC6C3E" w:rsidRPr="00A943A1">
        <w:rPr>
          <w:spacing w:val="-2"/>
        </w:rPr>
        <w:t>a</w:t>
      </w:r>
      <w:r w:rsidR="00342A35" w:rsidRPr="00A943A1">
        <w:rPr>
          <w:spacing w:val="-2"/>
        </w:rPr>
        <w:t xml:space="preserve"> „Razvoj zadružnog poduzetništva“ za 2023. godinu 258.647,34 </w:t>
      </w:r>
      <w:r w:rsidR="004022F0" w:rsidRPr="00A943A1">
        <w:rPr>
          <w:bCs/>
          <w:spacing w:val="-2"/>
        </w:rPr>
        <w:t>eura</w:t>
      </w:r>
      <w:r w:rsidR="00342A35" w:rsidRPr="00A943A1">
        <w:rPr>
          <w:bCs/>
          <w:spacing w:val="-2"/>
        </w:rPr>
        <w:t xml:space="preserve">, </w:t>
      </w:r>
      <w:r w:rsidR="00EC6C3E" w:rsidRPr="00A943A1">
        <w:rPr>
          <w:bCs/>
          <w:spacing w:val="-2"/>
        </w:rPr>
        <w:t xml:space="preserve">programa </w:t>
      </w:r>
      <w:r w:rsidR="00342A35" w:rsidRPr="00A943A1">
        <w:rPr>
          <w:spacing w:val="-2"/>
        </w:rPr>
        <w:t xml:space="preserve">Cjeloživotno obrazovanje za obrtništvo za 2023. godinu 60.177,09 </w:t>
      </w:r>
      <w:r w:rsidR="004022F0" w:rsidRPr="00A943A1">
        <w:rPr>
          <w:bCs/>
          <w:spacing w:val="-2"/>
        </w:rPr>
        <w:t>eura</w:t>
      </w:r>
      <w:r w:rsidR="00342A35" w:rsidRPr="00A943A1">
        <w:rPr>
          <w:bCs/>
          <w:spacing w:val="-2"/>
        </w:rPr>
        <w:t xml:space="preserve"> te </w:t>
      </w:r>
      <w:r w:rsidR="00EC6C3E" w:rsidRPr="00A943A1">
        <w:rPr>
          <w:bCs/>
          <w:spacing w:val="-2"/>
        </w:rPr>
        <w:t xml:space="preserve">programa </w:t>
      </w:r>
      <w:r w:rsidR="00342A35" w:rsidRPr="00A943A1">
        <w:rPr>
          <w:spacing w:val="-2"/>
        </w:rPr>
        <w:t xml:space="preserve">Cjeloživotno obrazovanje za obrtništvo za 2022. godinu </w:t>
      </w:r>
      <w:r w:rsidR="00EC6C3E" w:rsidRPr="00A943A1">
        <w:rPr>
          <w:spacing w:val="-2"/>
        </w:rPr>
        <w:t xml:space="preserve">iznos od </w:t>
      </w:r>
      <w:r w:rsidR="00342A35" w:rsidRPr="00A943A1">
        <w:rPr>
          <w:spacing w:val="-2"/>
        </w:rPr>
        <w:t xml:space="preserve">403,47 </w:t>
      </w:r>
      <w:r w:rsidR="004022F0" w:rsidRPr="00A943A1">
        <w:rPr>
          <w:bCs/>
          <w:spacing w:val="-2"/>
        </w:rPr>
        <w:t>eura</w:t>
      </w:r>
      <w:r w:rsidR="00342A35" w:rsidRPr="00A943A1">
        <w:rPr>
          <w:bCs/>
          <w:spacing w:val="-2"/>
        </w:rPr>
        <w:t>.</w:t>
      </w:r>
      <w:r w:rsidR="00EC6C3E" w:rsidRPr="00A943A1">
        <w:rPr>
          <w:bCs/>
          <w:spacing w:val="-2"/>
        </w:rPr>
        <w:t xml:space="preserve"> </w:t>
      </w:r>
      <w:r w:rsidR="004022F0" w:rsidRPr="00A943A1">
        <w:rPr>
          <w:bCs/>
          <w:spacing w:val="-2"/>
        </w:rPr>
        <w:t xml:space="preserve">Za zaštitu okoliša i energetsku učinkovitost dodijeljeno je </w:t>
      </w:r>
      <w:r w:rsidR="004022F0" w:rsidRPr="00A943A1">
        <w:rPr>
          <w:spacing w:val="-2"/>
        </w:rPr>
        <w:t xml:space="preserve">3,3 </w:t>
      </w:r>
      <w:r w:rsidR="004022F0" w:rsidRPr="00A943A1">
        <w:rPr>
          <w:bCs/>
          <w:spacing w:val="-2"/>
        </w:rPr>
        <w:t>milijuna eura, i to temeljem</w:t>
      </w:r>
      <w:r w:rsidR="004022F0" w:rsidRPr="00A943A1">
        <w:rPr>
          <w:spacing w:val="-2"/>
        </w:rPr>
        <w:t xml:space="preserve"> Programa dodjele potpora male vrijednosti za mjeru NPOO C1.1.1. R4-I1 – Potpora poduzećima za tranziciju na energetski i resursno učinkovito gospodarstvo u iznosu od 3,2</w:t>
      </w:r>
      <w:r w:rsidR="004022F0" w:rsidRPr="00A943A1">
        <w:rPr>
          <w:bCs/>
          <w:spacing w:val="-2"/>
        </w:rPr>
        <w:t xml:space="preserve"> milijuna eura te temeljem P</w:t>
      </w:r>
      <w:r w:rsidR="004022F0" w:rsidRPr="00A943A1">
        <w:rPr>
          <w:spacing w:val="-2"/>
        </w:rPr>
        <w:t>rograma dodjele de minimis potpora (potpora male vrijednosti) za uspostavu postrojenja za oporabu (obradu/recikliranje) odvojeno sakupljenog otpada i postrojenja za proizvodnju energije iz obnovljivih izvora energije iznos od 36.159,41 eur</w:t>
      </w:r>
      <w:r w:rsidR="00EC6C3E" w:rsidRPr="00A943A1">
        <w:rPr>
          <w:spacing w:val="-2"/>
        </w:rPr>
        <w:t>o</w:t>
      </w:r>
      <w:r w:rsidR="004022F0" w:rsidRPr="00A943A1">
        <w:rPr>
          <w:spacing w:val="-2"/>
        </w:rPr>
        <w:t>.</w:t>
      </w:r>
    </w:p>
    <w:p w14:paraId="424F71EF" w14:textId="77777777" w:rsidR="004022F0" w:rsidRPr="00CC4B31" w:rsidRDefault="004022F0" w:rsidP="00116360">
      <w:pPr>
        <w:jc w:val="both"/>
        <w:rPr>
          <w:b/>
        </w:rPr>
      </w:pPr>
    </w:p>
    <w:p w14:paraId="1AF2D9C3" w14:textId="71523703" w:rsidR="00116360" w:rsidRPr="00A943A1" w:rsidRDefault="00116360" w:rsidP="00F6654C">
      <w:pPr>
        <w:pStyle w:val="ListParagraph"/>
        <w:numPr>
          <w:ilvl w:val="0"/>
          <w:numId w:val="29"/>
        </w:numPr>
        <w:jc w:val="both"/>
        <w:rPr>
          <w:spacing w:val="-2"/>
        </w:rPr>
      </w:pPr>
      <w:r w:rsidRPr="00A943A1">
        <w:rPr>
          <w:bCs/>
          <w:spacing w:val="-2"/>
          <w:u w:val="single"/>
        </w:rPr>
        <w:t xml:space="preserve">Ministarstvo </w:t>
      </w:r>
      <w:r w:rsidRPr="00A943A1">
        <w:rPr>
          <w:spacing w:val="-2"/>
          <w:u w:val="single"/>
          <w:lang w:eastAsia="hr-HR"/>
        </w:rPr>
        <w:t>poljoprivrede</w:t>
      </w:r>
      <w:r w:rsidR="00F64327" w:rsidRPr="00F64327">
        <w:rPr>
          <w:spacing w:val="-2"/>
          <w:lang w:eastAsia="hr-HR"/>
        </w:rPr>
        <w:t xml:space="preserve"> </w:t>
      </w:r>
      <w:r w:rsidRPr="00A943A1">
        <w:rPr>
          <w:bCs/>
          <w:spacing w:val="-2"/>
        </w:rPr>
        <w:t xml:space="preserve">dodijelilo je </w:t>
      </w:r>
      <w:r w:rsidR="00CC4B31" w:rsidRPr="00A943A1">
        <w:rPr>
          <w:bCs/>
          <w:spacing w:val="-2"/>
        </w:rPr>
        <w:t xml:space="preserve">u 2023. godini </w:t>
      </w:r>
      <w:r w:rsidR="00CC4B31" w:rsidRPr="00A943A1">
        <w:rPr>
          <w:spacing w:val="-2"/>
        </w:rPr>
        <w:t>16,7</w:t>
      </w:r>
      <w:r w:rsidRPr="00A943A1">
        <w:rPr>
          <w:spacing w:val="-2"/>
        </w:rPr>
        <w:t xml:space="preserve"> </w:t>
      </w:r>
      <w:r w:rsidRPr="00A943A1">
        <w:rPr>
          <w:bCs/>
          <w:spacing w:val="-2"/>
        </w:rPr>
        <w:t xml:space="preserve">milijuna </w:t>
      </w:r>
      <w:r w:rsidR="00CC4B31" w:rsidRPr="00A943A1">
        <w:rPr>
          <w:bCs/>
          <w:spacing w:val="-2"/>
        </w:rPr>
        <w:t>eura</w:t>
      </w:r>
      <w:r w:rsidRPr="00A943A1">
        <w:rPr>
          <w:bCs/>
          <w:spacing w:val="-2"/>
        </w:rPr>
        <w:t xml:space="preserve"> potpora male vrijednosti isključivo putem subvencija. Od navedenog iznosa, za poljoprivredu je dodijeljeno </w:t>
      </w:r>
      <w:r w:rsidR="00CC4B31" w:rsidRPr="00A943A1">
        <w:rPr>
          <w:spacing w:val="-2"/>
        </w:rPr>
        <w:t>14,3</w:t>
      </w:r>
      <w:r w:rsidRPr="00A943A1">
        <w:rPr>
          <w:spacing w:val="-2"/>
        </w:rPr>
        <w:t xml:space="preserve"> milijun</w:t>
      </w:r>
      <w:r w:rsidR="00CC4B31" w:rsidRPr="00A943A1">
        <w:rPr>
          <w:spacing w:val="-2"/>
        </w:rPr>
        <w:t>a</w:t>
      </w:r>
      <w:r w:rsidRPr="00A943A1">
        <w:rPr>
          <w:spacing w:val="-2"/>
        </w:rPr>
        <w:t xml:space="preserve"> </w:t>
      </w:r>
      <w:r w:rsidR="00CC4B31" w:rsidRPr="00A943A1">
        <w:rPr>
          <w:spacing w:val="-2"/>
        </w:rPr>
        <w:t>eura</w:t>
      </w:r>
      <w:r w:rsidRPr="00A943A1">
        <w:rPr>
          <w:spacing w:val="-2"/>
        </w:rPr>
        <w:t xml:space="preserve"> dok je za ribarstvo i akvakulturu dodijeljeno </w:t>
      </w:r>
      <w:r w:rsidR="00CC4B31" w:rsidRPr="00A943A1">
        <w:rPr>
          <w:spacing w:val="-2"/>
        </w:rPr>
        <w:t>2,4</w:t>
      </w:r>
      <w:r w:rsidRPr="00A943A1">
        <w:rPr>
          <w:spacing w:val="-2"/>
        </w:rPr>
        <w:t xml:space="preserve"> milijuna </w:t>
      </w:r>
      <w:r w:rsidR="00CC4B31" w:rsidRPr="00A943A1">
        <w:rPr>
          <w:spacing w:val="-2"/>
        </w:rPr>
        <w:t>eura</w:t>
      </w:r>
      <w:r w:rsidRPr="00A943A1">
        <w:rPr>
          <w:spacing w:val="-2"/>
        </w:rPr>
        <w:t xml:space="preserve">. </w:t>
      </w:r>
      <w:r w:rsidR="00CC4B31" w:rsidRPr="00A943A1">
        <w:rPr>
          <w:spacing w:val="-2"/>
        </w:rPr>
        <w:t>U</w:t>
      </w:r>
      <w:r w:rsidRPr="00A943A1">
        <w:rPr>
          <w:spacing w:val="-2"/>
        </w:rPr>
        <w:t xml:space="preserve">nutar dodijeljenih potpora malih vrijednosti </w:t>
      </w:r>
      <w:r w:rsidRPr="00A943A1">
        <w:rPr>
          <w:bCs/>
          <w:spacing w:val="-2"/>
        </w:rPr>
        <w:t xml:space="preserve">za poljoprivredu </w:t>
      </w:r>
      <w:r w:rsidRPr="00A943A1">
        <w:rPr>
          <w:spacing w:val="-2"/>
        </w:rPr>
        <w:t xml:space="preserve">u iznosu od </w:t>
      </w:r>
      <w:r w:rsidR="0000032D" w:rsidRPr="00A943A1">
        <w:rPr>
          <w:spacing w:val="-2"/>
        </w:rPr>
        <w:t>14,3 milijuna eura</w:t>
      </w:r>
      <w:r w:rsidRPr="00A943A1">
        <w:rPr>
          <w:spacing w:val="-2"/>
        </w:rPr>
        <w:t xml:space="preserve">, za poljoprivredu, lov i šumarstvo dodijeljeno je </w:t>
      </w:r>
      <w:r w:rsidR="0000032D" w:rsidRPr="00A943A1">
        <w:rPr>
          <w:spacing w:val="-2"/>
        </w:rPr>
        <w:t xml:space="preserve">8,6 </w:t>
      </w:r>
      <w:r w:rsidRPr="00A943A1">
        <w:rPr>
          <w:spacing w:val="-2"/>
        </w:rPr>
        <w:t xml:space="preserve">milijuna </w:t>
      </w:r>
      <w:r w:rsidR="0000032D" w:rsidRPr="00A943A1">
        <w:rPr>
          <w:spacing w:val="-2"/>
        </w:rPr>
        <w:t>eura</w:t>
      </w:r>
      <w:r w:rsidRPr="00A943A1">
        <w:rPr>
          <w:spacing w:val="-2"/>
        </w:rPr>
        <w:t xml:space="preserve">, </w:t>
      </w:r>
      <w:r w:rsidR="0000032D" w:rsidRPr="00A943A1">
        <w:rPr>
          <w:spacing w:val="-2"/>
        </w:rPr>
        <w:t xml:space="preserve">za </w:t>
      </w:r>
      <w:r w:rsidRPr="00A943A1">
        <w:rPr>
          <w:spacing w:val="-2"/>
        </w:rPr>
        <w:t>sektorsk</w:t>
      </w:r>
      <w:r w:rsidR="0000032D" w:rsidRPr="00A943A1">
        <w:rPr>
          <w:spacing w:val="-2"/>
        </w:rPr>
        <w:t>i</w:t>
      </w:r>
      <w:r w:rsidRPr="00A943A1">
        <w:rPr>
          <w:spacing w:val="-2"/>
        </w:rPr>
        <w:t xml:space="preserve"> razvoj </w:t>
      </w:r>
      <w:r w:rsidR="0000032D" w:rsidRPr="00A943A1">
        <w:rPr>
          <w:spacing w:val="-2"/>
        </w:rPr>
        <w:t>5,3</w:t>
      </w:r>
      <w:r w:rsidRPr="00A943A1">
        <w:rPr>
          <w:spacing w:val="-2"/>
        </w:rPr>
        <w:t xml:space="preserve"> </w:t>
      </w:r>
      <w:r w:rsidR="0000032D" w:rsidRPr="00A943A1">
        <w:rPr>
          <w:spacing w:val="-2"/>
        </w:rPr>
        <w:t>milijuna eura</w:t>
      </w:r>
      <w:r w:rsidRPr="00A943A1">
        <w:rPr>
          <w:spacing w:val="-2"/>
        </w:rPr>
        <w:t xml:space="preserve">, </w:t>
      </w:r>
      <w:r w:rsidR="0000032D" w:rsidRPr="00A943A1">
        <w:rPr>
          <w:spacing w:val="-2"/>
        </w:rPr>
        <w:t xml:space="preserve">te za </w:t>
      </w:r>
      <w:r w:rsidRPr="00A943A1">
        <w:rPr>
          <w:spacing w:val="-2"/>
        </w:rPr>
        <w:t xml:space="preserve">regionalni odnosno ruralni razvoj </w:t>
      </w:r>
      <w:r w:rsidR="0000032D" w:rsidRPr="00A943A1">
        <w:rPr>
          <w:spacing w:val="-2"/>
        </w:rPr>
        <w:t>504.292,60 eura.</w:t>
      </w:r>
      <w:r w:rsidR="000A6542" w:rsidRPr="00A943A1">
        <w:rPr>
          <w:spacing w:val="-2"/>
        </w:rPr>
        <w:t xml:space="preserve"> </w:t>
      </w:r>
      <w:r w:rsidRPr="00A943A1">
        <w:rPr>
          <w:spacing w:val="-2"/>
        </w:rPr>
        <w:t xml:space="preserve">Potpore male vrijednosti za poljoprivredu, lov i šumarstvo u iznosu od </w:t>
      </w:r>
      <w:r w:rsidR="0000032D" w:rsidRPr="00A943A1">
        <w:rPr>
          <w:spacing w:val="-2"/>
        </w:rPr>
        <w:t>8,6 milijuna eura</w:t>
      </w:r>
      <w:r w:rsidRPr="00A943A1">
        <w:rPr>
          <w:spacing w:val="-2"/>
        </w:rPr>
        <w:t xml:space="preserve">, dodijeljene su temeljem Uredbe komisije (EU) br. 1408/2013 </w:t>
      </w:r>
      <w:proofErr w:type="spellStart"/>
      <w:r w:rsidRPr="00A943A1">
        <w:rPr>
          <w:spacing w:val="-2"/>
        </w:rPr>
        <w:t>оd</w:t>
      </w:r>
      <w:proofErr w:type="spellEnd"/>
      <w:r w:rsidRPr="00A943A1">
        <w:rPr>
          <w:spacing w:val="-2"/>
        </w:rPr>
        <w:t xml:space="preserve"> 18. prosinca 2013. o primjeni članaka 107. i 108. Ugovora o funkcioniranju Europske unije na potpore de minimis u poljoprivrednom sektoru. Potpore male vrijednosti za sektorski razvoj u iznosu od </w:t>
      </w:r>
      <w:r w:rsidR="000A6542" w:rsidRPr="00A943A1">
        <w:rPr>
          <w:spacing w:val="-2"/>
        </w:rPr>
        <w:t xml:space="preserve">5,3 milijuna eura </w:t>
      </w:r>
      <w:r w:rsidRPr="00A943A1">
        <w:rPr>
          <w:spacing w:val="-2"/>
        </w:rPr>
        <w:t xml:space="preserve">dodijeljene su temeljem sljedećih programa: </w:t>
      </w:r>
      <w:r w:rsidR="00903279" w:rsidRPr="00A943A1">
        <w:rPr>
          <w:spacing w:val="-2"/>
        </w:rPr>
        <w:t xml:space="preserve">Programa dodjele potpora male vrijednosti za poticanje razvoja poduzetnicima koji obavljaju djelatnosti prerade drva i proizvodnje namještaja na području Republike Hrvatske za 2023. godinu iznos od 3,9 milijuna eura, Programa potpore za zbrinjavanje nusproizvoda životinjskog podrijetla od 2021. do 2023. godine u iznosu od 663.613,69 eura, Programa potpore za sufinanciranje rada uzgojnih udruženja u području stočarstva za razdoblje 2021. - 2023. godine </w:t>
      </w:r>
      <w:r w:rsidR="00A943A1" w:rsidRPr="00A943A1">
        <w:rPr>
          <w:spacing w:val="-2"/>
        </w:rPr>
        <w:t xml:space="preserve">u iznosu od </w:t>
      </w:r>
      <w:r w:rsidR="00903279" w:rsidRPr="00A943A1">
        <w:rPr>
          <w:spacing w:val="-2"/>
        </w:rPr>
        <w:t xml:space="preserve">400.169,00 eura, Programa sufinanciranja rada regionalnih organizacija vinara i vinogradara za razdoblje od 2021. do 2023. godine iznos od 191.143,16 eura te Programa potpora za organizaciju skupova u poljoprivredi, ribarstvu, šumarstvu, veterinarstvu, zaštiti bilja za 2022. godinu iznos od 137.015,23 eura. </w:t>
      </w:r>
      <w:r w:rsidRPr="00A943A1">
        <w:rPr>
          <w:spacing w:val="-2"/>
        </w:rPr>
        <w:t xml:space="preserve">Potpore male vrijednosti za regionalni odnosno ruralni razvoj u iznosu od </w:t>
      </w:r>
      <w:r w:rsidR="00903279" w:rsidRPr="00A943A1">
        <w:rPr>
          <w:spacing w:val="-2"/>
        </w:rPr>
        <w:t xml:space="preserve">504.292,60 eura </w:t>
      </w:r>
      <w:r w:rsidRPr="00A943A1">
        <w:rPr>
          <w:spacing w:val="-2"/>
        </w:rPr>
        <w:t xml:space="preserve">dodijeljene su temeljem provedbe tipa operacije 6.4.1. „Razvoj nepoljoprivrednih djelatnosti u ruralnim područjima“ koja se provodi putem lokalnih razvojnih strategija (LRS) odabranih LAG-ova unutar </w:t>
      </w:r>
      <w:proofErr w:type="spellStart"/>
      <w:r w:rsidRPr="00A943A1">
        <w:rPr>
          <w:spacing w:val="-2"/>
        </w:rPr>
        <w:t>podmjere</w:t>
      </w:r>
      <w:proofErr w:type="spellEnd"/>
      <w:r w:rsidRPr="00A943A1">
        <w:rPr>
          <w:spacing w:val="-2"/>
        </w:rPr>
        <w:t xml:space="preserve"> 19.2. „Provedba ope</w:t>
      </w:r>
      <w:r w:rsidR="00903279" w:rsidRPr="00A943A1">
        <w:rPr>
          <w:spacing w:val="-2"/>
        </w:rPr>
        <w:t xml:space="preserve">racija unutar CLLD strategije“ u iznosu od 438.345,98 eura te Nacionalnog programa poticanja provedbe uzgojnih programa za toplokrvne pasmine konja u Republici Hrvatskoj za razdoblje od 2021. do 2025. godine u iznosu od 65.946,62 eura. </w:t>
      </w:r>
      <w:r w:rsidRPr="00A943A1">
        <w:rPr>
          <w:spacing w:val="-2"/>
        </w:rPr>
        <w:t xml:space="preserve">Potpore male vrijednosti u ribarstvu i akvakulturi u iznosu od </w:t>
      </w:r>
      <w:r w:rsidR="0000032D" w:rsidRPr="00A943A1">
        <w:rPr>
          <w:spacing w:val="-2"/>
        </w:rPr>
        <w:t>2,4</w:t>
      </w:r>
      <w:r w:rsidRPr="00A943A1">
        <w:rPr>
          <w:spacing w:val="-2"/>
        </w:rPr>
        <w:t xml:space="preserve"> milijuna </w:t>
      </w:r>
      <w:r w:rsidR="0000032D" w:rsidRPr="00A943A1">
        <w:rPr>
          <w:spacing w:val="-2"/>
        </w:rPr>
        <w:t>eura</w:t>
      </w:r>
      <w:r w:rsidRPr="00A943A1">
        <w:rPr>
          <w:spacing w:val="-2"/>
        </w:rPr>
        <w:t xml:space="preserve"> dodijeljene su temeljem Uredbe komisije (EU) br. 717/2014 </w:t>
      </w:r>
      <w:proofErr w:type="spellStart"/>
      <w:r w:rsidRPr="00A943A1">
        <w:rPr>
          <w:spacing w:val="-2"/>
        </w:rPr>
        <w:t>оd</w:t>
      </w:r>
      <w:proofErr w:type="spellEnd"/>
      <w:r w:rsidRPr="00A943A1">
        <w:rPr>
          <w:spacing w:val="-2"/>
        </w:rPr>
        <w:t xml:space="preserve"> 27. lipnja 2014. o primjeni članaka 107. i 108. Ugovora o funkcioniranju Europske unije na de minimis potpore u sektoru ribarstva i akvakulture.</w:t>
      </w:r>
    </w:p>
    <w:p w14:paraId="00FAE7FC" w14:textId="675BC35D" w:rsidR="00116360" w:rsidRPr="00F6654C" w:rsidRDefault="00116360" w:rsidP="00116360">
      <w:pPr>
        <w:pStyle w:val="ListParagraph"/>
        <w:ind w:left="357"/>
        <w:jc w:val="both"/>
      </w:pPr>
    </w:p>
    <w:p w14:paraId="073339FC" w14:textId="5BFBE9D3" w:rsidR="00F6654C" w:rsidRPr="00D76CF2" w:rsidRDefault="00116360" w:rsidP="009666C0">
      <w:pPr>
        <w:pStyle w:val="ListParagraph"/>
        <w:numPr>
          <w:ilvl w:val="0"/>
          <w:numId w:val="29"/>
        </w:numPr>
        <w:jc w:val="both"/>
      </w:pPr>
      <w:r w:rsidRPr="00B75A66">
        <w:rPr>
          <w:bCs/>
          <w:u w:val="single"/>
        </w:rPr>
        <w:t>Ministarstvo regionalnoga razvoja i fondova Europske unije</w:t>
      </w:r>
      <w:r w:rsidRPr="00253715">
        <w:rPr>
          <w:bCs/>
        </w:rPr>
        <w:t xml:space="preserve"> dodijelilo je </w:t>
      </w:r>
      <w:r w:rsidR="00903279" w:rsidRPr="00253715">
        <w:rPr>
          <w:bCs/>
        </w:rPr>
        <w:t xml:space="preserve">u 2023. godini </w:t>
      </w:r>
      <w:r w:rsidR="00903279" w:rsidRPr="00253715">
        <w:t xml:space="preserve">16,3 milijuna eura </w:t>
      </w:r>
      <w:r w:rsidRPr="00253715">
        <w:rPr>
          <w:bCs/>
        </w:rPr>
        <w:t xml:space="preserve">potpora male vrijednosti, od čega je malim i srednjim poduzetnicima dodijeljeno </w:t>
      </w:r>
      <w:r w:rsidR="00F6654C" w:rsidRPr="00253715">
        <w:t>14,7</w:t>
      </w:r>
      <w:r w:rsidRPr="00253715">
        <w:t xml:space="preserve"> milijuna </w:t>
      </w:r>
      <w:r w:rsidR="00F6654C" w:rsidRPr="00253715">
        <w:t>eura</w:t>
      </w:r>
      <w:r w:rsidRPr="00253715">
        <w:t xml:space="preserve">, </w:t>
      </w:r>
      <w:r w:rsidR="00F6654C" w:rsidRPr="00253715">
        <w:t xml:space="preserve">za zapošljavanje 1,4 milijuna eura </w:t>
      </w:r>
      <w:r w:rsidRPr="00253715">
        <w:t xml:space="preserve">te </w:t>
      </w:r>
      <w:r w:rsidR="00F6654C" w:rsidRPr="00253715">
        <w:t>energetskom sektoru</w:t>
      </w:r>
      <w:r w:rsidRPr="00253715">
        <w:t xml:space="preserve"> </w:t>
      </w:r>
      <w:r w:rsidR="00F6654C" w:rsidRPr="00253715">
        <w:t>200.000,00 eura</w:t>
      </w:r>
      <w:r w:rsidRPr="00253715">
        <w:t xml:space="preserve">. </w:t>
      </w:r>
      <w:r w:rsidR="00F6654C" w:rsidRPr="00253715">
        <w:t>M</w:t>
      </w:r>
      <w:r w:rsidRPr="00253715">
        <w:t>al</w:t>
      </w:r>
      <w:r w:rsidR="00F6654C" w:rsidRPr="00253715">
        <w:t>im</w:t>
      </w:r>
      <w:r w:rsidRPr="00253715">
        <w:t xml:space="preserve"> i srednj</w:t>
      </w:r>
      <w:r w:rsidR="00F6654C" w:rsidRPr="00253715">
        <w:t>im poduzetnicima</w:t>
      </w:r>
      <w:r w:rsidRPr="00253715">
        <w:t xml:space="preserve"> dodijeljeno je </w:t>
      </w:r>
      <w:r w:rsidR="00F6654C" w:rsidRPr="00253715">
        <w:t xml:space="preserve">14,7 milijuna eura putem </w:t>
      </w:r>
      <w:r w:rsidR="00F6654C" w:rsidRPr="00253715">
        <w:lastRenderedPageBreak/>
        <w:t>subvencija te kroz kapitalna ulaganja, i to t</w:t>
      </w:r>
      <w:r w:rsidRPr="00253715">
        <w:t xml:space="preserve">emeljem </w:t>
      </w:r>
      <w:r w:rsidR="00F6654C" w:rsidRPr="00253715">
        <w:t>Programa dodjele potpora male vrijednosti (de minimis potpora) namijenjenih mikro, malim i srednjim poduzetnicima s područja grada Petrinje i izmjena Programa dodjele potpora male vrijednosti (de minimis potpora) namijenjenih mikro i malim i srednjim poduzetnicima u iznosu od 11,1 milijuna eura, temeljem programa Porezne olakšice za obavljanje djelatnosti na području Grada Vukovara i na potpomognutim područjima iznos od 2,6 milijuna eura te temeljem Programa dodjele potpora male vrijednosti za Akcelerator komponentu financijskog instrumenta “ESIF Fond rizičnog kapitala”</w:t>
      </w:r>
      <w:r w:rsidR="00253715" w:rsidRPr="00253715">
        <w:t xml:space="preserve"> iznos od 968.920,00 eura. </w:t>
      </w:r>
      <w:r w:rsidR="00253715" w:rsidRPr="00253715">
        <w:rPr>
          <w:bCs/>
        </w:rPr>
        <w:t xml:space="preserve">Potpore male vrijednosti </w:t>
      </w:r>
      <w:r w:rsidR="00F6654C" w:rsidRPr="00253715">
        <w:t xml:space="preserve">za zapošljavanje </w:t>
      </w:r>
      <w:r w:rsidR="00253715" w:rsidRPr="00253715">
        <w:rPr>
          <w:bCs/>
        </w:rPr>
        <w:t xml:space="preserve">dodijeljene su u iznosu od </w:t>
      </w:r>
      <w:r w:rsidR="00F6654C" w:rsidRPr="00253715">
        <w:t>1,4 milijuna eura</w:t>
      </w:r>
      <w:r w:rsidR="00253715" w:rsidRPr="00253715">
        <w:t xml:space="preserve"> temeljem programa Potpore male vrijednosti otočnim poslodavcima za pokretanje gospodarskih aktivnosti i očuvanje radnih mjesta u 2023. godini. </w:t>
      </w:r>
      <w:r w:rsidR="00253715" w:rsidRPr="00253715">
        <w:rPr>
          <w:bCs/>
        </w:rPr>
        <w:t xml:space="preserve">Potpore male vrijednosti </w:t>
      </w:r>
      <w:r w:rsidR="00253715" w:rsidRPr="00253715">
        <w:t xml:space="preserve">energetskom sektoru </w:t>
      </w:r>
      <w:r w:rsidR="00253715" w:rsidRPr="00253715">
        <w:rPr>
          <w:bCs/>
        </w:rPr>
        <w:t xml:space="preserve">za </w:t>
      </w:r>
      <w:r w:rsidR="00253715" w:rsidRPr="00253715">
        <w:t>zaštitu okoliša</w:t>
      </w:r>
      <w:r w:rsidR="00253715" w:rsidRPr="00253715">
        <w:rPr>
          <w:bCs/>
        </w:rPr>
        <w:t xml:space="preserve"> dodijeljene su u iznosu od </w:t>
      </w:r>
      <w:r w:rsidR="00253715" w:rsidRPr="00253715">
        <w:t>200.000,00 eura t</w:t>
      </w:r>
      <w:r w:rsidRPr="00253715">
        <w:rPr>
          <w:lang w:eastAsia="hr-HR"/>
        </w:rPr>
        <w:t xml:space="preserve">emeljem </w:t>
      </w:r>
      <w:r w:rsidRPr="00253715">
        <w:t>Program</w:t>
      </w:r>
      <w:r w:rsidR="00253715" w:rsidRPr="00253715">
        <w:t>a</w:t>
      </w:r>
      <w:r w:rsidRPr="00253715">
        <w:t xml:space="preserve"> dodjele de minimis potpora </w:t>
      </w:r>
      <w:r w:rsidRPr="00D76CF2">
        <w:t>(potpora male vrijednosti) za provedbu Programa „Energija i klimatske promjene“</w:t>
      </w:r>
      <w:r w:rsidRPr="00D76CF2">
        <w:rPr>
          <w:color w:val="000000"/>
          <w:lang w:eastAsia="hr-HR"/>
        </w:rPr>
        <w:t xml:space="preserve">. </w:t>
      </w:r>
    </w:p>
    <w:p w14:paraId="246CB40D" w14:textId="77777777" w:rsidR="00253715" w:rsidRPr="00D76CF2" w:rsidRDefault="00253715" w:rsidP="00253715">
      <w:pPr>
        <w:jc w:val="both"/>
      </w:pPr>
    </w:p>
    <w:p w14:paraId="0BF0A4E1" w14:textId="27940A34" w:rsidR="00D76CF2" w:rsidRPr="00EB644C" w:rsidRDefault="00116360" w:rsidP="009666C0">
      <w:pPr>
        <w:pStyle w:val="ListParagraph"/>
        <w:numPr>
          <w:ilvl w:val="0"/>
          <w:numId w:val="29"/>
        </w:numPr>
        <w:jc w:val="both"/>
      </w:pPr>
      <w:r w:rsidRPr="00B75A66">
        <w:rPr>
          <w:rStyle w:val="Strong"/>
          <w:b w:val="0"/>
          <w:u w:val="single"/>
        </w:rPr>
        <w:t>HAMAG – BICRO</w:t>
      </w:r>
      <w:r w:rsidRPr="00EB644C">
        <w:rPr>
          <w:bCs/>
        </w:rPr>
        <w:t xml:space="preserve"> </w:t>
      </w:r>
      <w:r w:rsidR="00253715" w:rsidRPr="00EB644C">
        <w:rPr>
          <w:bCs/>
        </w:rPr>
        <w:t xml:space="preserve">je u 2023. godini </w:t>
      </w:r>
      <w:r w:rsidRPr="00EB644C">
        <w:rPr>
          <w:bCs/>
        </w:rPr>
        <w:t xml:space="preserve">dodijelio </w:t>
      </w:r>
      <w:r w:rsidR="00253715" w:rsidRPr="00EB644C">
        <w:t xml:space="preserve">14,6 milijuna eura </w:t>
      </w:r>
      <w:r w:rsidRPr="00EB644C">
        <w:rPr>
          <w:bCs/>
          <w:color w:val="000000"/>
          <w:lang w:eastAsia="hr-HR"/>
        </w:rPr>
        <w:t>potpora male vrijednosti malim i srednjim poduzetnicima</w:t>
      </w:r>
      <w:r w:rsidR="00253715" w:rsidRPr="00EB644C">
        <w:rPr>
          <w:bCs/>
          <w:color w:val="000000"/>
          <w:lang w:eastAsia="hr-HR"/>
        </w:rPr>
        <w:t xml:space="preserve"> putem subvencija, povoljnih zajmova i izdanih jamstava. Navedene potpore su dodijeljene temeljem </w:t>
      </w:r>
      <w:r w:rsidRPr="00EB644C">
        <w:rPr>
          <w:bCs/>
          <w:color w:val="000000"/>
          <w:lang w:eastAsia="hr-HR"/>
        </w:rPr>
        <w:t>sljedećih programa:</w:t>
      </w:r>
      <w:r w:rsidRPr="00EB644C">
        <w:rPr>
          <w:lang w:eastAsia="hr-HR"/>
        </w:rPr>
        <w:t xml:space="preserve"> </w:t>
      </w:r>
      <w:r w:rsidR="00D76CF2" w:rsidRPr="00EB644C">
        <w:rPr>
          <w:lang w:eastAsia="hr-HR"/>
        </w:rPr>
        <w:t xml:space="preserve">programa </w:t>
      </w:r>
      <w:r w:rsidR="00D76CF2" w:rsidRPr="00EB644C">
        <w:t xml:space="preserve">NPOO Investicijski zajam iznos od 5,9 milijuna eura, </w:t>
      </w:r>
      <w:r w:rsidR="00D76CF2" w:rsidRPr="00EB644C">
        <w:rPr>
          <w:lang w:eastAsia="hr-HR"/>
        </w:rPr>
        <w:t xml:space="preserve">programa </w:t>
      </w:r>
      <w:r w:rsidR="00D76CF2" w:rsidRPr="00EB644C">
        <w:t xml:space="preserve">ESIF Pojedinačna jamstva iznos od 4,3 milijuna eura, programa ESIF Mikro zajmovi 2,8 milijuna eura, programa Mali zajam za ruralni razvoj 629.565,14 eura, programa „Jamstva“ 363.659,84 eura, programa ESIF Ograničeno </w:t>
      </w:r>
      <w:proofErr w:type="spellStart"/>
      <w:r w:rsidR="00D76CF2" w:rsidRPr="00EB644C">
        <w:t>portfeljno</w:t>
      </w:r>
      <w:proofErr w:type="spellEnd"/>
      <w:r w:rsidR="00D76CF2" w:rsidRPr="00EB644C">
        <w:t xml:space="preserve"> jamstvo 276.246,40 eura, Pojedinačna jamstva za ruralni razvoj 174.677,28 eura, programa Mikro zajam za ruralni razvoj 61.826,33 eura, programa EUROSTARS 8.371,45 eura te programa EUREKA 3.261,04 eura.</w:t>
      </w:r>
    </w:p>
    <w:p w14:paraId="12D87D68" w14:textId="77777777" w:rsidR="004E7F84" w:rsidRPr="00EB644C" w:rsidRDefault="004E7F84" w:rsidP="004E7F84">
      <w:pPr>
        <w:pStyle w:val="ListParagraph"/>
        <w:rPr>
          <w:b/>
          <w:bCs/>
        </w:rPr>
      </w:pPr>
    </w:p>
    <w:p w14:paraId="5E77E6E9" w14:textId="564A147F" w:rsidR="00F167CF" w:rsidRPr="00A943A1" w:rsidRDefault="004E7F84" w:rsidP="009666C0">
      <w:pPr>
        <w:pStyle w:val="ListParagraph"/>
        <w:numPr>
          <w:ilvl w:val="0"/>
          <w:numId w:val="29"/>
        </w:numPr>
        <w:jc w:val="both"/>
        <w:rPr>
          <w:spacing w:val="-4"/>
        </w:rPr>
      </w:pPr>
      <w:r w:rsidRPr="00A943A1">
        <w:rPr>
          <w:bCs/>
          <w:spacing w:val="-4"/>
          <w:u w:val="single"/>
        </w:rPr>
        <w:t>Ministarstvo turizma i sporta</w:t>
      </w:r>
      <w:r w:rsidRPr="00A943A1">
        <w:rPr>
          <w:bCs/>
          <w:spacing w:val="-4"/>
        </w:rPr>
        <w:t xml:space="preserve"> dodijelilo je </w:t>
      </w:r>
      <w:r w:rsidR="00D76CF2" w:rsidRPr="00A943A1">
        <w:rPr>
          <w:spacing w:val="-4"/>
        </w:rPr>
        <w:t>6,7</w:t>
      </w:r>
      <w:r w:rsidRPr="00A943A1">
        <w:rPr>
          <w:spacing w:val="-4"/>
        </w:rPr>
        <w:t xml:space="preserve"> </w:t>
      </w:r>
      <w:r w:rsidR="00D76CF2" w:rsidRPr="00A943A1">
        <w:rPr>
          <w:spacing w:val="-4"/>
        </w:rPr>
        <w:t>milijuna eura</w:t>
      </w:r>
      <w:r w:rsidR="00D76CF2" w:rsidRPr="00A943A1">
        <w:rPr>
          <w:bCs/>
          <w:spacing w:val="-4"/>
        </w:rPr>
        <w:t xml:space="preserve"> </w:t>
      </w:r>
      <w:r w:rsidRPr="00A943A1">
        <w:rPr>
          <w:bCs/>
          <w:spacing w:val="-4"/>
        </w:rPr>
        <w:t>potpora male vrijednosti</w:t>
      </w:r>
      <w:r w:rsidR="00F167CF" w:rsidRPr="00A943A1">
        <w:rPr>
          <w:bCs/>
          <w:spacing w:val="-4"/>
        </w:rPr>
        <w:t xml:space="preserve"> </w:t>
      </w:r>
      <w:r w:rsidR="00D76CF2" w:rsidRPr="00A943A1">
        <w:rPr>
          <w:bCs/>
          <w:color w:val="000000"/>
          <w:spacing w:val="-4"/>
          <w:lang w:eastAsia="hr-HR"/>
        </w:rPr>
        <w:t>putem subvencija i n</w:t>
      </w:r>
      <w:r w:rsidR="00D76CF2" w:rsidRPr="00A943A1">
        <w:rPr>
          <w:spacing w:val="-4"/>
        </w:rPr>
        <w:t>eposrednih subvencija kamata</w:t>
      </w:r>
      <w:r w:rsidR="00F167CF" w:rsidRPr="00A943A1">
        <w:rPr>
          <w:spacing w:val="-4"/>
        </w:rPr>
        <w:t xml:space="preserve"> temeljem nekoliko programa. Temeljem Programa dodjele de minimis potpora (potpora male vrijednosti) za ulaganja u sektoru turizma dodijeljeno je 4,1 milijun eura, temeljem programa Konkurentnost turističkog gospodarstva u 2023. godini iznos od 2,6 milijuna eura, temeljem programa Razvoj turizma na selu 33.757,48 eura te temeljem Programa financiranja privatnih iznajmljivača iznos od 4.105,99 eura.</w:t>
      </w:r>
    </w:p>
    <w:p w14:paraId="3F17D1D0" w14:textId="77777777" w:rsidR="00F167CF" w:rsidRPr="00EB644C" w:rsidRDefault="00F167CF" w:rsidP="004E7F84">
      <w:pPr>
        <w:pStyle w:val="ListParagraph"/>
        <w:rPr>
          <w:b/>
          <w:bCs/>
        </w:rPr>
      </w:pPr>
    </w:p>
    <w:p w14:paraId="7A15376C" w14:textId="480A4FD4" w:rsidR="004E7F84" w:rsidRPr="00E74DCC" w:rsidRDefault="004E7F84" w:rsidP="000D6853">
      <w:pPr>
        <w:pStyle w:val="ListParagraph"/>
        <w:numPr>
          <w:ilvl w:val="0"/>
          <w:numId w:val="29"/>
        </w:numPr>
        <w:jc w:val="both"/>
      </w:pPr>
      <w:r w:rsidRPr="00B75A66">
        <w:rPr>
          <w:bCs/>
          <w:u w:val="single"/>
        </w:rPr>
        <w:t>HBOR</w:t>
      </w:r>
      <w:r w:rsidRPr="00E74DCC">
        <w:rPr>
          <w:bCs/>
        </w:rPr>
        <w:t xml:space="preserve"> je dodijelio </w:t>
      </w:r>
      <w:r w:rsidR="00E74DCC" w:rsidRPr="00E74DCC">
        <w:rPr>
          <w:bCs/>
        </w:rPr>
        <w:t>potpore male vrijednosti u iznosu od 6,4</w:t>
      </w:r>
      <w:r w:rsidRPr="00E74DCC">
        <w:rPr>
          <w:bCs/>
        </w:rPr>
        <w:t xml:space="preserve"> milijuna </w:t>
      </w:r>
      <w:r w:rsidR="00E74DCC" w:rsidRPr="00E74DCC">
        <w:rPr>
          <w:bCs/>
        </w:rPr>
        <w:t>eura</w:t>
      </w:r>
      <w:r w:rsidRPr="00E74DCC">
        <w:rPr>
          <w:bCs/>
        </w:rPr>
        <w:t xml:space="preserve"> temeljem Pravilnika o </w:t>
      </w:r>
      <w:r w:rsidRPr="00E74DCC">
        <w:rPr>
          <w:lang w:eastAsia="hr-HR"/>
        </w:rPr>
        <w:t>dodjeli potpora male vrijednosti HBOR-a</w:t>
      </w:r>
      <w:r w:rsidRPr="00E74DCC">
        <w:rPr>
          <w:bCs/>
        </w:rPr>
        <w:t xml:space="preserve">, i to </w:t>
      </w:r>
      <w:r w:rsidR="00E74DCC" w:rsidRPr="00E74DCC">
        <w:rPr>
          <w:bCs/>
        </w:rPr>
        <w:t xml:space="preserve">kroz </w:t>
      </w:r>
      <w:r w:rsidR="00E74DCC" w:rsidRPr="00E74DCC">
        <w:t xml:space="preserve">povoljne zajmove 3,9 milijuna </w:t>
      </w:r>
      <w:r w:rsidR="00E74DCC" w:rsidRPr="00E74DCC">
        <w:rPr>
          <w:bCs/>
        </w:rPr>
        <w:t xml:space="preserve">eura, </w:t>
      </w:r>
      <w:r w:rsidRPr="00E74DCC">
        <w:rPr>
          <w:bCs/>
        </w:rPr>
        <w:t xml:space="preserve">putem subvencija </w:t>
      </w:r>
      <w:r w:rsidR="00E74DCC" w:rsidRPr="00E74DCC">
        <w:rPr>
          <w:bCs/>
        </w:rPr>
        <w:t>2,</w:t>
      </w:r>
      <w:r w:rsidRPr="00E74DCC">
        <w:t xml:space="preserve">3 milijuna </w:t>
      </w:r>
      <w:r w:rsidR="00E74DCC" w:rsidRPr="00E74DCC">
        <w:rPr>
          <w:bCs/>
        </w:rPr>
        <w:t>eura</w:t>
      </w:r>
      <w:r w:rsidRPr="00E74DCC">
        <w:rPr>
          <w:bCs/>
        </w:rPr>
        <w:t xml:space="preserve">, </w:t>
      </w:r>
      <w:r w:rsidR="00E74DCC" w:rsidRPr="00E74DCC">
        <w:rPr>
          <w:bCs/>
        </w:rPr>
        <w:t xml:space="preserve">kroz </w:t>
      </w:r>
      <w:r w:rsidR="00E74DCC" w:rsidRPr="00E74DCC">
        <w:t xml:space="preserve">otpis duga 130.424,52 eura </w:t>
      </w:r>
      <w:r w:rsidRPr="00E74DCC">
        <w:t xml:space="preserve">te putem poreznih olakšica </w:t>
      </w:r>
      <w:r w:rsidR="00E74DCC" w:rsidRPr="00E74DCC">
        <w:t>34.773,37</w:t>
      </w:r>
      <w:r w:rsidRPr="00E74DCC">
        <w:t xml:space="preserve"> </w:t>
      </w:r>
      <w:r w:rsidR="00E74DCC" w:rsidRPr="00E74DCC">
        <w:rPr>
          <w:bCs/>
        </w:rPr>
        <w:t>eura</w:t>
      </w:r>
      <w:r w:rsidRPr="00E74DCC">
        <w:t>.</w:t>
      </w:r>
    </w:p>
    <w:p w14:paraId="4FAAFA5A" w14:textId="77777777" w:rsidR="004E7F84" w:rsidRPr="00E74DCC" w:rsidRDefault="004E7F84" w:rsidP="004E7F84">
      <w:pPr>
        <w:pStyle w:val="ListParagraph"/>
        <w:rPr>
          <w:b/>
          <w:lang w:eastAsia="hr-HR"/>
        </w:rPr>
      </w:pPr>
    </w:p>
    <w:p w14:paraId="6D5339EA" w14:textId="7C2DBD55" w:rsidR="004E7F84" w:rsidRPr="00F167CF" w:rsidRDefault="004E7F84" w:rsidP="009666C0">
      <w:pPr>
        <w:pStyle w:val="ListParagraph"/>
        <w:numPr>
          <w:ilvl w:val="0"/>
          <w:numId w:val="29"/>
        </w:numPr>
        <w:jc w:val="both"/>
      </w:pPr>
      <w:r w:rsidRPr="00B75A66">
        <w:rPr>
          <w:u w:val="single"/>
          <w:lang w:eastAsia="hr-HR"/>
        </w:rPr>
        <w:t>Agencija za elektroničke medije</w:t>
      </w:r>
      <w:r w:rsidRPr="00F167CF">
        <w:rPr>
          <w:lang w:eastAsia="hr-HR"/>
        </w:rPr>
        <w:t xml:space="preserve"> </w:t>
      </w:r>
      <w:r w:rsidRPr="00F167CF">
        <w:rPr>
          <w:bCs/>
        </w:rPr>
        <w:t>dodijelila je</w:t>
      </w:r>
      <w:r w:rsidR="00F167CF" w:rsidRPr="00F167CF">
        <w:rPr>
          <w:bCs/>
        </w:rPr>
        <w:t xml:space="preserve"> u 2023. godini</w:t>
      </w:r>
      <w:r w:rsidRPr="00F167CF">
        <w:rPr>
          <w:bCs/>
        </w:rPr>
        <w:t xml:space="preserve"> </w:t>
      </w:r>
      <w:r w:rsidRPr="00F167CF">
        <w:rPr>
          <w:bCs/>
          <w:color w:val="000000"/>
          <w:lang w:eastAsia="hr-HR"/>
        </w:rPr>
        <w:t>za audiovizualnu industriju</w:t>
      </w:r>
      <w:r w:rsidRPr="00F167CF">
        <w:rPr>
          <w:bCs/>
        </w:rPr>
        <w:t xml:space="preserve"> </w:t>
      </w:r>
      <w:r w:rsidR="00F167CF" w:rsidRPr="00F167CF">
        <w:rPr>
          <w:bCs/>
        </w:rPr>
        <w:t>6,2</w:t>
      </w:r>
      <w:r w:rsidRPr="00F167CF">
        <w:rPr>
          <w:bCs/>
        </w:rPr>
        <w:t xml:space="preserve"> milijuna </w:t>
      </w:r>
      <w:r w:rsidR="00F167CF" w:rsidRPr="00F167CF">
        <w:rPr>
          <w:bCs/>
        </w:rPr>
        <w:t>eura putem</w:t>
      </w:r>
      <w:r w:rsidRPr="00F167CF">
        <w:rPr>
          <w:bCs/>
        </w:rPr>
        <w:t xml:space="preserve"> subvencij</w:t>
      </w:r>
      <w:r w:rsidR="00F167CF" w:rsidRPr="00F167CF">
        <w:rPr>
          <w:bCs/>
        </w:rPr>
        <w:t>a, i to t</w:t>
      </w:r>
      <w:r w:rsidRPr="00F167CF">
        <w:rPr>
          <w:bCs/>
        </w:rPr>
        <w:t xml:space="preserve">emeljem </w:t>
      </w:r>
      <w:r w:rsidR="00F167CF" w:rsidRPr="00F167CF">
        <w:t xml:space="preserve">Programa dodjele potpore male vrijednosti (de </w:t>
      </w:r>
      <w:proofErr w:type="spellStart"/>
      <w:r w:rsidR="00F167CF" w:rsidRPr="00F167CF">
        <w:t>minimis</w:t>
      </w:r>
      <w:proofErr w:type="spellEnd"/>
      <w:r w:rsidR="00F167CF" w:rsidRPr="00F167CF">
        <w:t xml:space="preserve">) za mjeru NPOO C1.1.1. R6-I2 – Uspostava provjere medijskih činjenica iznos od 3,6 milijuna eura te temeljem </w:t>
      </w:r>
      <w:r w:rsidRPr="00F167CF">
        <w:rPr>
          <w:bCs/>
        </w:rPr>
        <w:t>p</w:t>
      </w:r>
      <w:r w:rsidRPr="00F167CF">
        <w:rPr>
          <w:lang w:eastAsia="hr-HR"/>
        </w:rPr>
        <w:t xml:space="preserve">rograma </w:t>
      </w:r>
      <w:r w:rsidRPr="00F167CF">
        <w:t xml:space="preserve">dodjele sredstava </w:t>
      </w:r>
      <w:r w:rsidRPr="00F167CF">
        <w:rPr>
          <w:iCs/>
          <w:color w:val="000000"/>
          <w:lang w:eastAsia="hr-HR"/>
        </w:rPr>
        <w:t>Fonda za poticanje pluralizma i raznovrsnosti elektroničkih medija</w:t>
      </w:r>
      <w:r w:rsidR="00F167CF" w:rsidRPr="00F167CF">
        <w:rPr>
          <w:iCs/>
          <w:color w:val="000000"/>
          <w:lang w:eastAsia="hr-HR"/>
        </w:rPr>
        <w:t xml:space="preserve"> iznos od 2,6 milijuna eura</w:t>
      </w:r>
      <w:r w:rsidRPr="00F167CF">
        <w:rPr>
          <w:iCs/>
          <w:color w:val="000000"/>
          <w:lang w:eastAsia="hr-HR"/>
        </w:rPr>
        <w:t>.</w:t>
      </w:r>
    </w:p>
    <w:p w14:paraId="6C7B9111" w14:textId="77777777" w:rsidR="00F167CF" w:rsidRPr="00F167CF" w:rsidRDefault="00F167CF" w:rsidP="00F167CF">
      <w:pPr>
        <w:pStyle w:val="ListParagraph"/>
      </w:pPr>
    </w:p>
    <w:p w14:paraId="432F8056" w14:textId="69552FDA" w:rsidR="004E7F84" w:rsidRPr="00EB644C" w:rsidRDefault="004E7F84" w:rsidP="009666C0">
      <w:pPr>
        <w:pStyle w:val="ListParagraph"/>
        <w:numPr>
          <w:ilvl w:val="0"/>
          <w:numId w:val="29"/>
        </w:numPr>
        <w:jc w:val="both"/>
      </w:pPr>
      <w:r w:rsidRPr="00B75A66">
        <w:rPr>
          <w:bCs/>
          <w:u w:val="single"/>
        </w:rPr>
        <w:t xml:space="preserve">Fond za </w:t>
      </w:r>
      <w:r w:rsidRPr="00B75A66">
        <w:rPr>
          <w:u w:val="single"/>
          <w:lang w:eastAsia="hr-HR"/>
        </w:rPr>
        <w:t>obnovu i razvoj grada Vukovara</w:t>
      </w:r>
      <w:r w:rsidRPr="00EB644C">
        <w:rPr>
          <w:lang w:eastAsia="hr-HR"/>
        </w:rPr>
        <w:t xml:space="preserve"> </w:t>
      </w:r>
      <w:r w:rsidRPr="00EB644C">
        <w:rPr>
          <w:bCs/>
        </w:rPr>
        <w:t xml:space="preserve">dodijelio je </w:t>
      </w:r>
      <w:r w:rsidR="00F167CF" w:rsidRPr="00EB644C">
        <w:rPr>
          <w:bCs/>
        </w:rPr>
        <w:t>potpore male vrijednosti u 2023. godini u ukupnom iznosu od 6,1</w:t>
      </w:r>
      <w:r w:rsidRPr="00EB644C">
        <w:rPr>
          <w:bCs/>
        </w:rPr>
        <w:t xml:space="preserve"> milijun</w:t>
      </w:r>
      <w:r w:rsidR="00F167CF" w:rsidRPr="00EB644C">
        <w:rPr>
          <w:bCs/>
        </w:rPr>
        <w:t xml:space="preserve"> eura</w:t>
      </w:r>
      <w:r w:rsidRPr="00EB644C">
        <w:rPr>
          <w:bCs/>
        </w:rPr>
        <w:t xml:space="preserve">, i to </w:t>
      </w:r>
      <w:r w:rsidRPr="00EB644C">
        <w:t xml:space="preserve">za regionalni razvoj </w:t>
      </w:r>
      <w:r w:rsidR="00F167CF" w:rsidRPr="00EB644C">
        <w:t>iznos od 5,5</w:t>
      </w:r>
      <w:r w:rsidRPr="00EB644C">
        <w:t xml:space="preserve"> milijuna </w:t>
      </w:r>
      <w:r w:rsidR="00F167CF" w:rsidRPr="00EB644C">
        <w:t xml:space="preserve">eura putem </w:t>
      </w:r>
      <w:r w:rsidRPr="00EB644C">
        <w:t xml:space="preserve">poreznih olakšica dodijeljenih temeljem </w:t>
      </w:r>
      <w:r w:rsidR="00F167CF" w:rsidRPr="00EB644C">
        <w:t>p</w:t>
      </w:r>
      <w:r w:rsidRPr="00EB644C">
        <w:t>rograma Povrat 50 posto doprinosa za mirovinsko i zdravstveno osiguranje</w:t>
      </w:r>
      <w:r w:rsidR="00F167CF" w:rsidRPr="00EB644C">
        <w:t xml:space="preserve"> te </w:t>
      </w:r>
      <w:r w:rsidRPr="00EB644C">
        <w:rPr>
          <w:bCs/>
          <w:color w:val="000000"/>
          <w:lang w:eastAsia="hr-HR"/>
        </w:rPr>
        <w:t>malim i srednjim poduzetnicima</w:t>
      </w:r>
      <w:r w:rsidRPr="00EB644C">
        <w:rPr>
          <w:bCs/>
        </w:rPr>
        <w:t xml:space="preserve"> </w:t>
      </w:r>
      <w:r w:rsidR="00F167CF" w:rsidRPr="00EB644C">
        <w:rPr>
          <w:bCs/>
        </w:rPr>
        <w:t>i</w:t>
      </w:r>
      <w:r w:rsidRPr="00EB644C">
        <w:t xml:space="preserve">znos od </w:t>
      </w:r>
      <w:r w:rsidR="00F167CF" w:rsidRPr="00EB644C">
        <w:t>549.183,83 eura kroz subvencije</w:t>
      </w:r>
      <w:r w:rsidRPr="00EB644C">
        <w:t xml:space="preserve"> temeljem Programa sufinanciranja gospodarskih projekata u Gradu Vukovaru u 202</w:t>
      </w:r>
      <w:r w:rsidR="00F167CF" w:rsidRPr="00EB644C">
        <w:t>3</w:t>
      </w:r>
      <w:r w:rsidRPr="00EB644C">
        <w:t>. godini.</w:t>
      </w:r>
    </w:p>
    <w:p w14:paraId="602CFB44" w14:textId="77777777" w:rsidR="004E7F84" w:rsidRPr="00EB644C" w:rsidRDefault="004E7F84" w:rsidP="004E7F84">
      <w:pPr>
        <w:jc w:val="both"/>
        <w:rPr>
          <w:bCs/>
        </w:rPr>
      </w:pPr>
    </w:p>
    <w:p w14:paraId="5E14EA04" w14:textId="56C161D9" w:rsidR="0021108A" w:rsidRPr="00EB644C" w:rsidRDefault="004E7F84" w:rsidP="009666C0">
      <w:pPr>
        <w:pStyle w:val="ListParagraph"/>
        <w:numPr>
          <w:ilvl w:val="0"/>
          <w:numId w:val="29"/>
        </w:numPr>
        <w:jc w:val="both"/>
        <w:rPr>
          <w:bCs/>
        </w:rPr>
      </w:pPr>
      <w:r w:rsidRPr="00B75A66">
        <w:rPr>
          <w:bCs/>
          <w:u w:val="single"/>
        </w:rPr>
        <w:lastRenderedPageBreak/>
        <w:t xml:space="preserve">Fond za </w:t>
      </w:r>
      <w:r w:rsidRPr="00B75A66">
        <w:rPr>
          <w:u w:val="single"/>
        </w:rPr>
        <w:t>zaštitu okoliša i energetsku učinkovitost</w:t>
      </w:r>
      <w:r w:rsidRPr="00EB644C">
        <w:rPr>
          <w:bCs/>
        </w:rPr>
        <w:t xml:space="preserve"> dodijelio je </w:t>
      </w:r>
      <w:r w:rsidR="00F167CF" w:rsidRPr="00EB644C">
        <w:rPr>
          <w:bCs/>
        </w:rPr>
        <w:t xml:space="preserve">u 2023. godini potpore male </w:t>
      </w:r>
      <w:r w:rsidR="0021108A" w:rsidRPr="00EB644C">
        <w:rPr>
          <w:bCs/>
        </w:rPr>
        <w:t>vrijednosti</w:t>
      </w:r>
      <w:r w:rsidR="00F167CF" w:rsidRPr="00EB644C">
        <w:rPr>
          <w:bCs/>
        </w:rPr>
        <w:t xml:space="preserve"> </w:t>
      </w:r>
      <w:r w:rsidRPr="00EB644C">
        <w:rPr>
          <w:bCs/>
        </w:rPr>
        <w:t xml:space="preserve">za </w:t>
      </w:r>
      <w:r w:rsidRPr="00EB644C">
        <w:t>zaštitu okoliša</w:t>
      </w:r>
      <w:r w:rsidRPr="00EB644C">
        <w:rPr>
          <w:bCs/>
        </w:rPr>
        <w:t xml:space="preserve"> </w:t>
      </w:r>
      <w:r w:rsidR="0021108A" w:rsidRPr="00EB644C">
        <w:rPr>
          <w:bCs/>
        </w:rPr>
        <w:t>u iznosu od 3,4</w:t>
      </w:r>
      <w:r w:rsidRPr="00EB644C">
        <w:t xml:space="preserve"> </w:t>
      </w:r>
      <w:r w:rsidRPr="00EB644C">
        <w:rPr>
          <w:bCs/>
        </w:rPr>
        <w:t xml:space="preserve">milijuna </w:t>
      </w:r>
      <w:r w:rsidR="0021108A" w:rsidRPr="00EB644C">
        <w:rPr>
          <w:bCs/>
        </w:rPr>
        <w:t xml:space="preserve">eura putem subvencije temeljem </w:t>
      </w:r>
      <w:r w:rsidRPr="00EB644C">
        <w:t>Programa dodjele de minimis potpora (potpora male vrijednosti) u području zaštite okoliša, energetske učinkovitosti i obnovljivih izvora energije</w:t>
      </w:r>
      <w:r w:rsidR="0021108A" w:rsidRPr="00EB644C">
        <w:t xml:space="preserve"> u 2023. godini. </w:t>
      </w:r>
    </w:p>
    <w:p w14:paraId="56B57806" w14:textId="77777777" w:rsidR="0021108A" w:rsidRPr="00EB644C" w:rsidRDefault="0021108A" w:rsidP="0021108A">
      <w:pPr>
        <w:pStyle w:val="ListParagraph"/>
      </w:pPr>
    </w:p>
    <w:p w14:paraId="65DA6DB4" w14:textId="10715FAD" w:rsidR="004E7F84" w:rsidRPr="00EB644C" w:rsidRDefault="004E7F84" w:rsidP="004E7F84">
      <w:pPr>
        <w:pStyle w:val="ListParagraph"/>
        <w:numPr>
          <w:ilvl w:val="0"/>
          <w:numId w:val="29"/>
        </w:numPr>
        <w:jc w:val="both"/>
      </w:pPr>
      <w:r w:rsidRPr="00B75A66">
        <w:rPr>
          <w:u w:val="single"/>
          <w:lang w:eastAsia="hr-HR"/>
        </w:rPr>
        <w:t>Zavod za vještačenje, profesionalnu rehabilitaciju i zapošljavanje osoba s invaliditetom</w:t>
      </w:r>
      <w:r w:rsidRPr="00EB644C">
        <w:rPr>
          <w:bCs/>
        </w:rPr>
        <w:t xml:space="preserve"> dodijelio je za zapošljavanje </w:t>
      </w:r>
      <w:r w:rsidR="00E74DCC" w:rsidRPr="00EB644C">
        <w:rPr>
          <w:bCs/>
        </w:rPr>
        <w:t>2,7</w:t>
      </w:r>
      <w:r w:rsidRPr="00EB644C">
        <w:t xml:space="preserve"> </w:t>
      </w:r>
      <w:r w:rsidRPr="00EB644C">
        <w:rPr>
          <w:bCs/>
        </w:rPr>
        <w:t xml:space="preserve">milijuna </w:t>
      </w:r>
      <w:r w:rsidR="00E74DCC" w:rsidRPr="00EB644C">
        <w:rPr>
          <w:bCs/>
        </w:rPr>
        <w:t>eura</w:t>
      </w:r>
      <w:r w:rsidRPr="00EB644C">
        <w:rPr>
          <w:bCs/>
        </w:rPr>
        <w:t xml:space="preserve"> subvencija temeljem </w:t>
      </w:r>
      <w:r w:rsidRPr="00EB644C">
        <w:rPr>
          <w:color w:val="000000"/>
          <w:lang w:eastAsia="hr-HR"/>
        </w:rPr>
        <w:t xml:space="preserve">Programa </w:t>
      </w:r>
      <w:r w:rsidRPr="00EB644C">
        <w:t>potpora male vrijednosti za poticanje zapošljavanja osoba s invaliditetom i za dodjelu posebnih sredstava za razvoj novih tehnologija i poslovnih procesa u cilju zapošljavanja i održavanja zaposlenosti osoba s invaliditetom za razdoblje od 2021. do 2023. godine</w:t>
      </w:r>
      <w:r w:rsidRPr="00EB644C">
        <w:rPr>
          <w:bCs/>
        </w:rPr>
        <w:t>.</w:t>
      </w:r>
    </w:p>
    <w:p w14:paraId="7B4DD525" w14:textId="77777777" w:rsidR="004E7F84" w:rsidRPr="0021108A" w:rsidRDefault="004E7F84" w:rsidP="004E7F84">
      <w:pPr>
        <w:pStyle w:val="ListParagraph"/>
        <w:rPr>
          <w:b/>
          <w:bCs/>
        </w:rPr>
      </w:pPr>
    </w:p>
    <w:p w14:paraId="73F6DB7B" w14:textId="7F0397C6" w:rsidR="004E7F84" w:rsidRPr="00EB644C" w:rsidRDefault="004E7F84" w:rsidP="004E7F84">
      <w:pPr>
        <w:pStyle w:val="ListParagraph"/>
        <w:numPr>
          <w:ilvl w:val="0"/>
          <w:numId w:val="29"/>
        </w:numPr>
        <w:jc w:val="both"/>
      </w:pPr>
      <w:r w:rsidRPr="00B75A66">
        <w:rPr>
          <w:bCs/>
          <w:u w:val="single"/>
        </w:rPr>
        <w:t>Ministarstvo hrvatskih branitelja</w:t>
      </w:r>
      <w:r w:rsidRPr="00EB644C">
        <w:rPr>
          <w:bCs/>
        </w:rPr>
        <w:t xml:space="preserve"> dodijelilo </w:t>
      </w:r>
      <w:r w:rsidR="0021108A" w:rsidRPr="00EB644C">
        <w:rPr>
          <w:bCs/>
        </w:rPr>
        <w:t xml:space="preserve">u 2023. godini putem </w:t>
      </w:r>
      <w:r w:rsidR="00962D55" w:rsidRPr="00EB644C">
        <w:rPr>
          <w:bCs/>
        </w:rPr>
        <w:t>subvencija</w:t>
      </w:r>
      <w:r w:rsidR="0021108A" w:rsidRPr="00EB644C">
        <w:rPr>
          <w:bCs/>
        </w:rPr>
        <w:t xml:space="preserve"> iznos od 1,2 m</w:t>
      </w:r>
      <w:r w:rsidRPr="00EB644C">
        <w:rPr>
          <w:lang w:eastAsia="hr-HR"/>
        </w:rPr>
        <w:t>ilijuna</w:t>
      </w:r>
      <w:r w:rsidR="0021108A" w:rsidRPr="00EB644C">
        <w:rPr>
          <w:lang w:eastAsia="hr-HR"/>
        </w:rPr>
        <w:t xml:space="preserve"> eura</w:t>
      </w:r>
      <w:r w:rsidRPr="00EB644C">
        <w:rPr>
          <w:lang w:eastAsia="hr-HR"/>
        </w:rPr>
        <w:t xml:space="preserve">, i to za zapošljavanje </w:t>
      </w:r>
      <w:r w:rsidRPr="00EB644C">
        <w:rPr>
          <w:bCs/>
        </w:rPr>
        <w:t xml:space="preserve">temeljem </w:t>
      </w:r>
      <w:r w:rsidRPr="00EB644C">
        <w:t xml:space="preserve">Programa stručnog osposobljavanja i zapošljavanja hrvatskih branitelja i članova njihovih obitelji za razdoblje od 2021. do 2023. godine iznos od </w:t>
      </w:r>
      <w:r w:rsidR="0021108A" w:rsidRPr="00EB644C">
        <w:t>960.491,25 eura</w:t>
      </w:r>
      <w:r w:rsidRPr="00EB644C">
        <w:rPr>
          <w:lang w:eastAsia="hr-HR"/>
        </w:rPr>
        <w:t xml:space="preserve"> te za potporu </w:t>
      </w:r>
      <w:r w:rsidRPr="00EB644C">
        <w:t xml:space="preserve">kulturi </w:t>
      </w:r>
      <w:r w:rsidRPr="00EB644C">
        <w:rPr>
          <w:lang w:eastAsia="hr-HR"/>
        </w:rPr>
        <w:t>temeljem</w:t>
      </w:r>
      <w:r w:rsidRPr="00EB644C">
        <w:t xml:space="preserve"> Programa sufinanciranja audiovizualnih djela o Domovinskom ratu </w:t>
      </w:r>
      <w:r w:rsidR="0021108A" w:rsidRPr="00EB644C">
        <w:t>193.325,00 eura</w:t>
      </w:r>
      <w:r w:rsidRPr="00EB644C">
        <w:t>.</w:t>
      </w:r>
    </w:p>
    <w:p w14:paraId="4DBD99EB" w14:textId="77777777" w:rsidR="0021108A" w:rsidRPr="00EB644C" w:rsidRDefault="0021108A" w:rsidP="0021108A">
      <w:pPr>
        <w:pStyle w:val="ListParagraph"/>
      </w:pPr>
    </w:p>
    <w:p w14:paraId="3F75B816" w14:textId="72D74AE0" w:rsidR="004E7F84" w:rsidRPr="00EB644C" w:rsidRDefault="004E7F84" w:rsidP="004E7F84">
      <w:pPr>
        <w:pStyle w:val="ListParagraph"/>
        <w:numPr>
          <w:ilvl w:val="0"/>
          <w:numId w:val="29"/>
        </w:numPr>
        <w:jc w:val="both"/>
      </w:pPr>
      <w:r w:rsidRPr="00B75A66">
        <w:rPr>
          <w:u w:val="single"/>
          <w:lang w:eastAsia="hr-HR"/>
        </w:rPr>
        <w:t>Ministarstvo mora, prometa i infrastrukture</w:t>
      </w:r>
      <w:r w:rsidRPr="00EB644C">
        <w:rPr>
          <w:bCs/>
        </w:rPr>
        <w:t xml:space="preserve"> </w:t>
      </w:r>
      <w:r w:rsidR="0021108A" w:rsidRPr="00EB644C">
        <w:rPr>
          <w:bCs/>
        </w:rPr>
        <w:t xml:space="preserve">je </w:t>
      </w:r>
      <w:r w:rsidRPr="00EB644C">
        <w:rPr>
          <w:bCs/>
        </w:rPr>
        <w:t xml:space="preserve">dodijelilo </w:t>
      </w:r>
      <w:r w:rsidR="0021108A" w:rsidRPr="00EB644C">
        <w:rPr>
          <w:bCs/>
        </w:rPr>
        <w:t xml:space="preserve">u 2023. godini potpore male vrijednosti u iznosu od </w:t>
      </w:r>
      <w:r w:rsidR="00A84FE8" w:rsidRPr="00EB644C">
        <w:t>537.124,20 eura</w:t>
      </w:r>
      <w:r w:rsidRPr="00EB644C">
        <w:rPr>
          <w:bCs/>
        </w:rPr>
        <w:t xml:space="preserve"> </w:t>
      </w:r>
      <w:r w:rsidR="0021108A" w:rsidRPr="00EB644C">
        <w:rPr>
          <w:bCs/>
        </w:rPr>
        <w:t xml:space="preserve">putem </w:t>
      </w:r>
      <w:r w:rsidRPr="00EB644C">
        <w:rPr>
          <w:lang w:eastAsia="hr-HR"/>
        </w:rPr>
        <w:t xml:space="preserve">subvencija za </w:t>
      </w:r>
      <w:r w:rsidRPr="00EB644C">
        <w:rPr>
          <w:bCs/>
          <w:color w:val="000000"/>
          <w:lang w:eastAsia="hr-HR"/>
        </w:rPr>
        <w:t xml:space="preserve">kopneni promet unutarnjim plovnim putovima temeljem </w:t>
      </w:r>
      <w:r w:rsidRPr="00EB644C">
        <w:rPr>
          <w:lang w:eastAsia="hr-HR"/>
        </w:rPr>
        <w:t xml:space="preserve">Programa </w:t>
      </w:r>
      <w:r w:rsidRPr="00EB644C">
        <w:t>dodjele de minimis potpora za ulaganja u djelatnosti prometa na unutarnjim vodama (rijekama, kanalima i jezerima).</w:t>
      </w:r>
    </w:p>
    <w:p w14:paraId="60207BEB" w14:textId="77777777" w:rsidR="00A84FE8" w:rsidRPr="00EB644C" w:rsidRDefault="00A84FE8" w:rsidP="00756DEC">
      <w:pPr>
        <w:jc w:val="both"/>
      </w:pPr>
    </w:p>
    <w:p w14:paraId="300735F2" w14:textId="3AF2B64D" w:rsidR="004E7F84" w:rsidRPr="00EB644C" w:rsidRDefault="004E7F84" w:rsidP="009666C0">
      <w:pPr>
        <w:pStyle w:val="ListParagraph"/>
        <w:numPr>
          <w:ilvl w:val="0"/>
          <w:numId w:val="29"/>
        </w:numPr>
        <w:jc w:val="both"/>
        <w:rPr>
          <w:spacing w:val="-2"/>
        </w:rPr>
      </w:pPr>
      <w:r w:rsidRPr="00B75A66">
        <w:rPr>
          <w:color w:val="000000"/>
          <w:spacing w:val="-2"/>
          <w:u w:val="single"/>
          <w:lang w:eastAsia="hr-HR"/>
        </w:rPr>
        <w:t xml:space="preserve">Ministarstvo </w:t>
      </w:r>
      <w:r w:rsidRPr="00B75A66">
        <w:rPr>
          <w:spacing w:val="-2"/>
          <w:u w:val="single"/>
        </w:rPr>
        <w:t>prostornoga uređenja, graditeljstva i državne imovine</w:t>
      </w:r>
      <w:r w:rsidRPr="00EB644C">
        <w:rPr>
          <w:bCs/>
          <w:spacing w:val="-2"/>
        </w:rPr>
        <w:t xml:space="preserve"> </w:t>
      </w:r>
      <w:r w:rsidR="0021108A" w:rsidRPr="00EB644C">
        <w:rPr>
          <w:bCs/>
          <w:spacing w:val="-2"/>
        </w:rPr>
        <w:t>je dodijelilo u 2023. godini putem subvencija</w:t>
      </w:r>
      <w:r w:rsidRPr="00EB644C">
        <w:rPr>
          <w:bCs/>
          <w:spacing w:val="-2"/>
        </w:rPr>
        <w:t xml:space="preserve"> energetskom sektoru za zaštitu okoliša, iznos od </w:t>
      </w:r>
      <w:r w:rsidR="0021108A" w:rsidRPr="00EB644C">
        <w:rPr>
          <w:spacing w:val="-2"/>
        </w:rPr>
        <w:t>264.892,68 eura, i to</w:t>
      </w:r>
      <w:r w:rsidRPr="00EB644C">
        <w:rPr>
          <w:bCs/>
          <w:spacing w:val="-2"/>
        </w:rPr>
        <w:t xml:space="preserve"> </w:t>
      </w:r>
      <w:r w:rsidR="0021108A" w:rsidRPr="00EB644C">
        <w:rPr>
          <w:bCs/>
          <w:spacing w:val="-2"/>
        </w:rPr>
        <w:t xml:space="preserve">temeljem </w:t>
      </w:r>
      <w:r w:rsidR="0021108A" w:rsidRPr="00EB644C">
        <w:rPr>
          <w:spacing w:val="-2"/>
        </w:rPr>
        <w:t xml:space="preserve">Programa dodjele de minimis potpora za energetsku obnovu zgrada javnog sektora iznos od 165.340,86 eura te </w:t>
      </w:r>
      <w:r w:rsidRPr="00EB644C">
        <w:rPr>
          <w:bCs/>
          <w:spacing w:val="-2"/>
        </w:rPr>
        <w:t xml:space="preserve">temeljem </w:t>
      </w:r>
      <w:r w:rsidRPr="00EB644C">
        <w:rPr>
          <w:spacing w:val="-2"/>
        </w:rPr>
        <w:t xml:space="preserve">Programa dodjele potpora male vrijednosti (de minimis) za energetsku obnovu </w:t>
      </w:r>
      <w:proofErr w:type="spellStart"/>
      <w:r w:rsidRPr="00EB644C">
        <w:rPr>
          <w:spacing w:val="-2"/>
        </w:rPr>
        <w:t>višestambenih</w:t>
      </w:r>
      <w:proofErr w:type="spellEnd"/>
      <w:r w:rsidRPr="00EB644C">
        <w:rPr>
          <w:spacing w:val="-2"/>
        </w:rPr>
        <w:t xml:space="preserve"> zgrada</w:t>
      </w:r>
      <w:r w:rsidR="0021108A" w:rsidRPr="00EB644C">
        <w:rPr>
          <w:iCs/>
          <w:color w:val="000000"/>
          <w:spacing w:val="-2"/>
          <w:lang w:eastAsia="hr-HR"/>
        </w:rPr>
        <w:t xml:space="preserve"> iznos od </w:t>
      </w:r>
      <w:r w:rsidR="0021108A" w:rsidRPr="00EB644C">
        <w:rPr>
          <w:spacing w:val="-2"/>
        </w:rPr>
        <w:t>99.551,82 eura.</w:t>
      </w:r>
    </w:p>
    <w:p w14:paraId="21D27729" w14:textId="77777777" w:rsidR="0021108A" w:rsidRPr="0021108A" w:rsidRDefault="0021108A" w:rsidP="0021108A">
      <w:pPr>
        <w:pStyle w:val="ListParagraph"/>
      </w:pPr>
    </w:p>
    <w:p w14:paraId="081C89B7" w14:textId="1EE95D54" w:rsidR="004E7F84" w:rsidRPr="00A84FE8" w:rsidRDefault="004E7F84" w:rsidP="004E7F84">
      <w:pPr>
        <w:pStyle w:val="ListParagraph"/>
        <w:numPr>
          <w:ilvl w:val="0"/>
          <w:numId w:val="29"/>
        </w:numPr>
        <w:jc w:val="both"/>
      </w:pPr>
      <w:r w:rsidRPr="00B75A66">
        <w:rPr>
          <w:u w:val="single"/>
          <w:lang w:eastAsia="hr-HR"/>
        </w:rPr>
        <w:t>Ministarstvo financija – Carinska uprava</w:t>
      </w:r>
      <w:r w:rsidRPr="0021108A">
        <w:rPr>
          <w:bCs/>
        </w:rPr>
        <w:t xml:space="preserve"> dodijelila je </w:t>
      </w:r>
      <w:r w:rsidR="00A84FE8" w:rsidRPr="0021108A">
        <w:t xml:space="preserve">35.247,53 eura </w:t>
      </w:r>
      <w:r w:rsidRPr="0021108A">
        <w:rPr>
          <w:lang w:eastAsia="hr-HR"/>
        </w:rPr>
        <w:t>potpora male</w:t>
      </w:r>
      <w:r w:rsidRPr="00A84FE8">
        <w:rPr>
          <w:lang w:eastAsia="hr-HR"/>
        </w:rPr>
        <w:t xml:space="preserve"> vrijednosti </w:t>
      </w:r>
      <w:r w:rsidRPr="00A84FE8">
        <w:rPr>
          <w:bCs/>
        </w:rPr>
        <w:t xml:space="preserve">putem poreznih olakšica </w:t>
      </w:r>
      <w:r w:rsidRPr="00A84FE8">
        <w:rPr>
          <w:lang w:eastAsia="hr-HR"/>
        </w:rPr>
        <w:t>temeljem</w:t>
      </w:r>
      <w:r w:rsidRPr="00A84FE8">
        <w:rPr>
          <w:color w:val="000000"/>
          <w:lang w:eastAsia="hr-HR"/>
        </w:rPr>
        <w:t xml:space="preserve"> Programa Povrata plaćene trošarine </w:t>
      </w:r>
      <w:r w:rsidRPr="00A84FE8">
        <w:t>na dizelsko gorivo za pogon strojeva za pripremu površina u razminiranju</w:t>
      </w:r>
      <w:r w:rsidRPr="00A84FE8">
        <w:rPr>
          <w:color w:val="000000"/>
          <w:lang w:eastAsia="hr-HR"/>
        </w:rPr>
        <w:t xml:space="preserve"> s ciljem </w:t>
      </w:r>
      <w:r w:rsidRPr="00A84FE8">
        <w:rPr>
          <w:bCs/>
          <w:color w:val="000000"/>
          <w:lang w:eastAsia="hr-HR"/>
        </w:rPr>
        <w:t>ublažavanja ili otklanjanja šteta prouzročenih ratnim okolnostima.</w:t>
      </w:r>
    </w:p>
    <w:p w14:paraId="2948030E" w14:textId="77777777" w:rsidR="002F6449" w:rsidRPr="00A84FE8" w:rsidRDefault="002F6449" w:rsidP="002F6449">
      <w:pPr>
        <w:jc w:val="both"/>
      </w:pPr>
    </w:p>
    <w:p w14:paraId="4AAA09ED" w14:textId="01053E1C" w:rsidR="00383AC1" w:rsidRPr="005070F5" w:rsidRDefault="005070F5" w:rsidP="00383AC1">
      <w:pPr>
        <w:jc w:val="both"/>
      </w:pPr>
      <w:r w:rsidRPr="005070F5">
        <w:t>Davatelji potpora malih vrijednosti na lokalnoj razini</w:t>
      </w:r>
      <w:r w:rsidR="00F53F57" w:rsidRPr="005070F5">
        <w:t>,</w:t>
      </w:r>
      <w:r w:rsidRPr="005070F5">
        <w:t xml:space="preserve"> a to su</w:t>
      </w:r>
      <w:r w:rsidR="00F53F57" w:rsidRPr="005070F5">
        <w:t xml:space="preserve"> županije, općine i gradovi</w:t>
      </w:r>
      <w:r w:rsidRPr="005070F5">
        <w:t xml:space="preserve">, temeljem podataka iz Registra, dodijelili su u 2023. godini </w:t>
      </w:r>
      <w:r w:rsidR="00383AC1" w:rsidRPr="005070F5">
        <w:t xml:space="preserve">potpore </w:t>
      </w:r>
      <w:r w:rsidR="00F53F57" w:rsidRPr="005070F5">
        <w:t xml:space="preserve">male vrijednosti </w:t>
      </w:r>
      <w:r w:rsidR="00383AC1" w:rsidRPr="005070F5">
        <w:t xml:space="preserve">u visini od </w:t>
      </w:r>
      <w:r w:rsidRPr="005070F5">
        <w:t>24,7 milijuna eura</w:t>
      </w:r>
      <w:r w:rsidR="00383AC1" w:rsidRPr="005070F5">
        <w:t>.</w:t>
      </w:r>
    </w:p>
    <w:p w14:paraId="6C6FD4E0" w14:textId="77777777" w:rsidR="003E032E" w:rsidRPr="005070F5" w:rsidRDefault="003E032E" w:rsidP="00BE487D"/>
    <w:p w14:paraId="6516D816" w14:textId="7469A1BE" w:rsidR="00A5297F" w:rsidRPr="00A943A1" w:rsidRDefault="00F70D95" w:rsidP="00A943A1">
      <w:pPr>
        <w:pStyle w:val="ListParagraph"/>
        <w:numPr>
          <w:ilvl w:val="0"/>
          <w:numId w:val="31"/>
        </w:numPr>
        <w:jc w:val="both"/>
        <w:rPr>
          <w:spacing w:val="-2"/>
        </w:rPr>
      </w:pPr>
      <w:r w:rsidRPr="00A943A1">
        <w:rPr>
          <w:spacing w:val="-2"/>
          <w:u w:val="single"/>
        </w:rPr>
        <w:t>Županije, općine i gradovi</w:t>
      </w:r>
      <w:r w:rsidRPr="00A943A1">
        <w:rPr>
          <w:spacing w:val="-2"/>
        </w:rPr>
        <w:t xml:space="preserve"> dodijelili su </w:t>
      </w:r>
      <w:r w:rsidR="005070F5" w:rsidRPr="00A943A1">
        <w:rPr>
          <w:spacing w:val="-2"/>
        </w:rPr>
        <w:t xml:space="preserve">24,7 milijuna eura </w:t>
      </w:r>
      <w:r w:rsidRPr="00A943A1">
        <w:rPr>
          <w:spacing w:val="-2"/>
        </w:rPr>
        <w:t>potpora male vrijednosti putem raznih instrumenata</w:t>
      </w:r>
      <w:r w:rsidR="00F53F57" w:rsidRPr="00A943A1">
        <w:rPr>
          <w:spacing w:val="-2"/>
        </w:rPr>
        <w:t>, a c</w:t>
      </w:r>
      <w:r w:rsidRPr="00A943A1">
        <w:rPr>
          <w:spacing w:val="-2"/>
        </w:rPr>
        <w:t>iljevi i iznosi za koje su potpore</w:t>
      </w:r>
      <w:r w:rsidR="00F866AD" w:rsidRPr="00A943A1">
        <w:rPr>
          <w:spacing w:val="-2"/>
        </w:rPr>
        <w:t xml:space="preserve"> </w:t>
      </w:r>
      <w:r w:rsidRPr="00A943A1">
        <w:rPr>
          <w:spacing w:val="-2"/>
        </w:rPr>
        <w:t xml:space="preserve">dodijeljene su </w:t>
      </w:r>
      <w:r w:rsidR="00E16874" w:rsidRPr="00A943A1">
        <w:rPr>
          <w:spacing w:val="-2"/>
        </w:rPr>
        <w:t xml:space="preserve">prikazani </w:t>
      </w:r>
      <w:r w:rsidR="00F53F57" w:rsidRPr="00A943A1">
        <w:rPr>
          <w:spacing w:val="-2"/>
        </w:rPr>
        <w:t xml:space="preserve">po visini dodijeljenih sredstava u </w:t>
      </w:r>
      <w:r w:rsidR="005070F5" w:rsidRPr="00A943A1">
        <w:rPr>
          <w:spacing w:val="-2"/>
        </w:rPr>
        <w:t>eurima</w:t>
      </w:r>
      <w:r w:rsidRPr="00A943A1">
        <w:rPr>
          <w:spacing w:val="-2"/>
        </w:rPr>
        <w:t xml:space="preserve">: </w:t>
      </w:r>
      <w:r w:rsidR="005070F5" w:rsidRPr="00A943A1">
        <w:rPr>
          <w:spacing w:val="-2"/>
        </w:rPr>
        <w:t xml:space="preserve">malim i srednjim poduzetnicima dodijeljeno je 18,7 milijuna eura, za turizam 1,7 milijuna eura, za regionalni razvoj 1,2 milijuna eura, </w:t>
      </w:r>
      <w:r w:rsidR="00F417A9" w:rsidRPr="00A943A1">
        <w:rPr>
          <w:spacing w:val="-2"/>
        </w:rPr>
        <w:t>za kopneni cestovni promet 788.019,98 eura, za sektorski razvoj 701.246,44 eura, za zapošljavanje 432.175,33 eura, za kulturu 307.510,41 eura, za radiotelevizijsko emitiranje 287.213,99 eura, za zaštitu kulturne baštine 143.343,00 eura, za lokalnu infrastrukturu 99.872,30 eura, za otklanjanje i ublažavanje šteta prouzročenih prirodnim nepogodama ili izvanrednim okolnostima 80.012,66 eura, za audiovizualnu industriju 66.570,28 eura, za istraživanje i razvoj i inovacije 44.181,69 eura, za energetski sektor 26.307,79 eura, za zračni promet 25.000,00 eura, za usavršavanje 9.290,60 eura, za podupiranje pristupa financiranju u krizi 9.078,24 eura, za financijske usluge 2.185,92 eura te za poštanske usluge 46,13 eura.</w:t>
      </w:r>
      <w:r w:rsidR="00A5297F" w:rsidRPr="00A943A1">
        <w:rPr>
          <w:b/>
          <w:highlight w:val="red"/>
        </w:rPr>
        <w:br w:type="page"/>
      </w:r>
    </w:p>
    <w:p w14:paraId="386CA746" w14:textId="69B21FDB" w:rsidR="00BE0817" w:rsidRPr="00962D55" w:rsidRDefault="00BE0817" w:rsidP="00BE487D">
      <w:pPr>
        <w:pStyle w:val="Heading1"/>
        <w:numPr>
          <w:ilvl w:val="0"/>
          <w:numId w:val="1"/>
        </w:numPr>
        <w:spacing w:before="0"/>
        <w:jc w:val="both"/>
        <w:rPr>
          <w:rFonts w:ascii="Times New Roman" w:hAnsi="Times New Roman" w:cs="Times New Roman"/>
          <w:b/>
          <w:color w:val="auto"/>
          <w:sz w:val="24"/>
          <w:szCs w:val="24"/>
        </w:rPr>
      </w:pPr>
      <w:bookmarkStart w:id="33" w:name="_Toc184635863"/>
      <w:r w:rsidRPr="00962D55">
        <w:rPr>
          <w:rFonts w:ascii="Times New Roman" w:hAnsi="Times New Roman" w:cs="Times New Roman"/>
          <w:b/>
          <w:color w:val="auto"/>
          <w:sz w:val="24"/>
          <w:szCs w:val="24"/>
        </w:rPr>
        <w:lastRenderedPageBreak/>
        <w:t>ZAKLJUČAK</w:t>
      </w:r>
      <w:bookmarkEnd w:id="33"/>
    </w:p>
    <w:p w14:paraId="3B59F5C2" w14:textId="77777777" w:rsidR="00BE0817" w:rsidRPr="00962D55" w:rsidRDefault="00BE0817" w:rsidP="00BE487D">
      <w:pPr>
        <w:jc w:val="both"/>
        <w:rPr>
          <w:b/>
        </w:rPr>
      </w:pPr>
    </w:p>
    <w:p w14:paraId="0535D857" w14:textId="77777777" w:rsidR="00BE0817" w:rsidRPr="00962D55" w:rsidRDefault="00BE0817" w:rsidP="00BE487D">
      <w:pPr>
        <w:jc w:val="both"/>
        <w:rPr>
          <w:b/>
        </w:rPr>
      </w:pPr>
    </w:p>
    <w:p w14:paraId="110AB822" w14:textId="3F971D0A" w:rsidR="00260B66" w:rsidRPr="00260B66" w:rsidRDefault="00260B66" w:rsidP="00260B66">
      <w:pPr>
        <w:jc w:val="both"/>
      </w:pPr>
      <w:r w:rsidRPr="00260B66">
        <w:t>Ministarstvo financija je sukladno Zakonu izradilo Godišnje izvješće o državnim potporama za 2023. godinu temeljem svih preuzetih podataka koje su davatelji potpora unijeli u Registar o dodijeljenim državnim potporama i potporama male vrijednosti.</w:t>
      </w:r>
    </w:p>
    <w:p w14:paraId="7A73751A" w14:textId="631C0592" w:rsidR="00260B66" w:rsidRPr="003D1DBF" w:rsidRDefault="00260B66" w:rsidP="000D2FCC">
      <w:pPr>
        <w:jc w:val="both"/>
      </w:pPr>
    </w:p>
    <w:p w14:paraId="2DD6770F" w14:textId="02C94A31" w:rsidR="003D1DBF" w:rsidRPr="00D5421F" w:rsidRDefault="003D1DBF" w:rsidP="003D1DBF">
      <w:pPr>
        <w:jc w:val="both"/>
      </w:pPr>
      <w:r w:rsidRPr="00D5421F">
        <w:t xml:space="preserve">Temeljem pravila za dodjelu potpora, kategorije potpora koje mogu utjecati na narušavanje tržišnog natjecanja odobrava isključivo Europska komisija, dok horizontalne potpore, ukoliko ispunjavaju uvjete da su izuzete od obveze prijave Europskoj komisiji sukladno novoj Uredbi 2023/1315, a ranije i </w:t>
      </w:r>
      <w:r w:rsidR="00303007">
        <w:t xml:space="preserve">Uredbi Komisije (EU) br. 651/2014 od 17. lipnja 2014. o ocjenjivanju određenih kategorija potpora spojivima s unutarnjim tržištem u primjeni članaka 107. i 108. Ugovora (u daljnjem tekstu: Uredba 651/2014) </w:t>
      </w:r>
      <w:r w:rsidRPr="00D5421F">
        <w:t xml:space="preserve">i svih njenih izmjena i dopuna, Ministarstvo financija mora samostalno ocijeniti jesu li prijedlozi programa odnosno pojedinačnih potpora, u cijelosti usklađeni s navedenim uredbama. Davatelj potpore prilikom dodjele iste poduzetniku mora poštivati uvjete iz programa potpore za kojeg je dobio mišljenje Ministarstva financija. </w:t>
      </w:r>
      <w:r w:rsidR="00D5421F" w:rsidRPr="00D5421F">
        <w:t xml:space="preserve">Omogućavanjem samostalnog ocjenjivanja horizontalnih potpora izuzetih od obveze prijave Europskoj komisiji, potiče se i veća dodjele navedenih potpora u odnosu na </w:t>
      </w:r>
      <w:r w:rsidRPr="00D5421F">
        <w:t xml:space="preserve">sektorske potpore i ostale horizontalne potpore koje </w:t>
      </w:r>
      <w:r w:rsidR="00D5421F" w:rsidRPr="00D5421F">
        <w:t xml:space="preserve">mora </w:t>
      </w:r>
      <w:r w:rsidRPr="00D5421F">
        <w:t>odobr</w:t>
      </w:r>
      <w:r w:rsidR="00D5421F" w:rsidRPr="00D5421F">
        <w:t>iti</w:t>
      </w:r>
      <w:r w:rsidRPr="00D5421F">
        <w:t xml:space="preserve"> Europska komisija a koje nisu izuzete od obveze prijave Europskoj komisiji.</w:t>
      </w:r>
    </w:p>
    <w:p w14:paraId="420D635B" w14:textId="77777777" w:rsidR="003D1DBF" w:rsidRPr="00D5421F" w:rsidRDefault="003D1DBF" w:rsidP="000D2FCC">
      <w:pPr>
        <w:jc w:val="both"/>
      </w:pPr>
    </w:p>
    <w:p w14:paraId="3EEE0A1D" w14:textId="65BD73F0" w:rsidR="00801D22" w:rsidRPr="00852994" w:rsidRDefault="00801D22" w:rsidP="00801D22">
      <w:pPr>
        <w:jc w:val="both"/>
      </w:pPr>
      <w:r>
        <w:t xml:space="preserve">Iz prikazanog se može zaključiti kako se </w:t>
      </w:r>
      <w:r w:rsidRPr="00D5421F">
        <w:t xml:space="preserve">u 2023. godini najviše potpora dodjeljuje temeljem odobrenih programa potpora, </w:t>
      </w:r>
      <w:r>
        <w:t>dok se tek manji dio dodjeljuje</w:t>
      </w:r>
      <w:r w:rsidRPr="00D5421F">
        <w:t xml:space="preserve"> na ad </w:t>
      </w:r>
      <w:proofErr w:type="spellStart"/>
      <w:r w:rsidRPr="00D5421F">
        <w:t>hoc</w:t>
      </w:r>
      <w:proofErr w:type="spellEnd"/>
      <w:r w:rsidRPr="00D5421F">
        <w:t xml:space="preserve"> osnovi</w:t>
      </w:r>
      <w:r>
        <w:t xml:space="preserve"> izravno</w:t>
      </w:r>
      <w:r w:rsidRPr="00D5421F">
        <w:t xml:space="preserve"> pojedinačnim korisnicima</w:t>
      </w:r>
      <w:r w:rsidRPr="00852994">
        <w:t>.</w:t>
      </w:r>
    </w:p>
    <w:p w14:paraId="3A982A1C" w14:textId="77777777" w:rsidR="000B32D7" w:rsidRPr="00801D22" w:rsidRDefault="000B32D7" w:rsidP="000D2FCC">
      <w:pPr>
        <w:jc w:val="both"/>
        <w:rPr>
          <w:highlight w:val="yellow"/>
        </w:rPr>
      </w:pPr>
    </w:p>
    <w:p w14:paraId="7AF16384" w14:textId="529E6437" w:rsidR="00801D22" w:rsidRPr="00852994" w:rsidRDefault="00801D22" w:rsidP="00801D22">
      <w:pPr>
        <w:jc w:val="both"/>
      </w:pPr>
      <w:r>
        <w:t xml:space="preserve">Važnim je naglasiti kako narav dodjele potpora putem programa potpora predstavlja oblik koji uvelike doprinosi </w:t>
      </w:r>
      <w:r w:rsidRPr="00852994">
        <w:t>transparentnosti potpora</w:t>
      </w:r>
      <w:r>
        <w:t xml:space="preserve"> i u manjoj mjeri utječe na čimbenike selektivnosti. Pritom se dodatna transparentnost postiže i objavom podataka o dodijeljenim potporama na </w:t>
      </w:r>
      <w:r w:rsidR="00B772C7">
        <w:t>mrežnim</w:t>
      </w:r>
      <w:r>
        <w:t xml:space="preserve"> stranic</w:t>
      </w:r>
      <w:r w:rsidR="00B772C7">
        <w:t>ama</w:t>
      </w:r>
      <w:r>
        <w:t xml:space="preserve"> Ministarstva financija</w:t>
      </w:r>
      <w:r>
        <w:rPr>
          <w:rStyle w:val="FootnoteReference"/>
        </w:rPr>
        <w:footnoteReference w:id="42"/>
      </w:r>
      <w:r>
        <w:t>.</w:t>
      </w:r>
    </w:p>
    <w:p w14:paraId="2EE2BC37" w14:textId="01EACE99" w:rsidR="00D5421F" w:rsidRDefault="00D5421F" w:rsidP="0023348E">
      <w:pPr>
        <w:jc w:val="both"/>
        <w:rPr>
          <w:highlight w:val="yellow"/>
        </w:rPr>
      </w:pPr>
    </w:p>
    <w:p w14:paraId="174A1B6B" w14:textId="42EABA02" w:rsidR="00801D22" w:rsidRPr="00801D22" w:rsidRDefault="00801D22" w:rsidP="00801D22">
      <w:pPr>
        <w:jc w:val="both"/>
      </w:pPr>
      <w:r w:rsidRPr="00801D22">
        <w:t>Iz samog izvješća razvidno je kako su na godišnjoj razini dodijeljene potpore blago porasle u odnosu na 2022. godinu za 0,7 posto. Istovremeno dolazi do smanjenja udjela potpora u BDP-u. Smanjuju se i potpore po zaposlenom, tako da su u 2023. godini iznosile 1.824,83 eura, uz smanjenje na godišnjoj razini od 2</w:t>
      </w:r>
      <w:r w:rsidRPr="00801D22">
        <w:rPr>
          <w:rFonts w:eastAsia="Times New Roman"/>
        </w:rPr>
        <w:t xml:space="preserve"> </w:t>
      </w:r>
      <w:r w:rsidRPr="00801D22">
        <w:t xml:space="preserve">posto u odnosu na </w:t>
      </w:r>
      <w:r w:rsidRPr="00801D22">
        <w:rPr>
          <w:rFonts w:eastAsia="Times New Roman"/>
        </w:rPr>
        <w:t>2022.</w:t>
      </w:r>
      <w:r w:rsidRPr="00801D22">
        <w:t xml:space="preserve"> godinu te za </w:t>
      </w:r>
      <w:r w:rsidRPr="00801D22">
        <w:rPr>
          <w:rFonts w:eastAsia="Times New Roman"/>
        </w:rPr>
        <w:t xml:space="preserve">2,2 </w:t>
      </w:r>
      <w:r w:rsidRPr="00801D22">
        <w:t xml:space="preserve">posto u odnosu na 2021. godinu. Međutim, tijekom promatranog razdoblja povećavaju se potpore po stanovniku, koje su u 2023. godini iznosile 778,37 eura, što je povećanje za 0,7 posto u odnosu na </w:t>
      </w:r>
      <w:r w:rsidRPr="00801D22">
        <w:rPr>
          <w:rFonts w:eastAsia="Times New Roman"/>
        </w:rPr>
        <w:t>2022</w:t>
      </w:r>
      <w:r w:rsidRPr="00801D22">
        <w:t>. godinu te za 3,3</w:t>
      </w:r>
      <w:r w:rsidRPr="00801D22">
        <w:rPr>
          <w:rFonts w:eastAsia="Times New Roman"/>
        </w:rPr>
        <w:t xml:space="preserve"> </w:t>
      </w:r>
      <w:r w:rsidRPr="00801D22">
        <w:t>posto u odnosu na 2021. godinu. Vezano za udio dodijeljenih potpora u rashodima države, u 2023. godini je iznosio 10,80</w:t>
      </w:r>
      <w:r w:rsidRPr="00801D22">
        <w:rPr>
          <w:rFonts w:eastAsia="Times New Roman"/>
        </w:rPr>
        <w:t xml:space="preserve"> </w:t>
      </w:r>
      <w:r w:rsidRPr="00801D22">
        <w:t>posto, u 2022. godini 12,98</w:t>
      </w:r>
      <w:r w:rsidRPr="00801D22">
        <w:rPr>
          <w:rFonts w:eastAsia="Times New Roman"/>
        </w:rPr>
        <w:t xml:space="preserve"> </w:t>
      </w:r>
      <w:r w:rsidRPr="00801D22">
        <w:t>posto dok je u 2021. godini iznosio 13,10</w:t>
      </w:r>
      <w:r w:rsidRPr="00801D22">
        <w:rPr>
          <w:rFonts w:eastAsia="Times New Roman"/>
        </w:rPr>
        <w:t xml:space="preserve"> </w:t>
      </w:r>
      <w:r w:rsidRPr="00801D22">
        <w:t xml:space="preserve">posto. </w:t>
      </w:r>
    </w:p>
    <w:p w14:paraId="5DE0E1CF" w14:textId="02E463F2" w:rsidR="006070B7" w:rsidRPr="00EC5AF0" w:rsidRDefault="006070B7" w:rsidP="008E269C">
      <w:pPr>
        <w:jc w:val="both"/>
      </w:pPr>
    </w:p>
    <w:p w14:paraId="30660806" w14:textId="452E425E" w:rsidR="008E269C" w:rsidRPr="00EC5AF0" w:rsidRDefault="008E269C" w:rsidP="008E269C">
      <w:pPr>
        <w:jc w:val="both"/>
        <w:rPr>
          <w:spacing w:val="-2"/>
        </w:rPr>
      </w:pPr>
      <w:r w:rsidRPr="00EC5AF0">
        <w:rPr>
          <w:spacing w:val="-2"/>
        </w:rPr>
        <w:t xml:space="preserve">Unutar ukupno dodijeljenih potpora </w:t>
      </w:r>
      <w:r w:rsidR="006070B7" w:rsidRPr="00EC5AF0">
        <w:rPr>
          <w:spacing w:val="-2"/>
        </w:rPr>
        <w:t xml:space="preserve">u 2023. godini </w:t>
      </w:r>
      <w:r w:rsidRPr="00EC5AF0">
        <w:rPr>
          <w:spacing w:val="-2"/>
        </w:rPr>
        <w:t xml:space="preserve">u iznosu od </w:t>
      </w:r>
      <w:r w:rsidR="006070B7" w:rsidRPr="00EC5AF0">
        <w:rPr>
          <w:spacing w:val="-2"/>
        </w:rPr>
        <w:t>3.035,6 milijuna eura</w:t>
      </w:r>
      <w:r w:rsidRPr="00EC5AF0">
        <w:rPr>
          <w:spacing w:val="-2"/>
        </w:rPr>
        <w:t xml:space="preserve">, na potpore u sektoru poljoprivrede i ribarstva odnosi </w:t>
      </w:r>
      <w:r w:rsidR="00C86C46" w:rsidRPr="00EC5AF0">
        <w:rPr>
          <w:spacing w:val="-2"/>
        </w:rPr>
        <w:t xml:space="preserve">se </w:t>
      </w:r>
      <w:r w:rsidR="00823C8C" w:rsidRPr="00EC5AF0">
        <w:rPr>
          <w:spacing w:val="-2"/>
        </w:rPr>
        <w:t xml:space="preserve">iznos od 1.068 milijuna eura ili 35,2 posto </w:t>
      </w:r>
      <w:r w:rsidRPr="00EC5AF0">
        <w:rPr>
          <w:spacing w:val="-2"/>
        </w:rPr>
        <w:t xml:space="preserve">udjela, dok se na sektor industrije i usluga odnosi </w:t>
      </w:r>
      <w:r w:rsidR="00823C8C" w:rsidRPr="00EC5AF0">
        <w:rPr>
          <w:spacing w:val="-2"/>
        </w:rPr>
        <w:t xml:space="preserve">iznos od 1.967,7 milijuna eura ili </w:t>
      </w:r>
      <w:r w:rsidR="00823C8C" w:rsidRPr="00EC5AF0">
        <w:rPr>
          <w:rFonts w:eastAsia="Times New Roman"/>
          <w:spacing w:val="-2"/>
        </w:rPr>
        <w:t xml:space="preserve">64,8 </w:t>
      </w:r>
      <w:r w:rsidR="00823C8C" w:rsidRPr="00EC5AF0">
        <w:rPr>
          <w:spacing w:val="-2"/>
        </w:rPr>
        <w:t>posto udjela</w:t>
      </w:r>
      <w:r w:rsidRPr="00EC5AF0">
        <w:rPr>
          <w:spacing w:val="-2"/>
        </w:rPr>
        <w:t xml:space="preserve">. </w:t>
      </w:r>
    </w:p>
    <w:p w14:paraId="554E8A1F" w14:textId="77777777" w:rsidR="008E269C" w:rsidRPr="00EC5AF0" w:rsidRDefault="008E269C" w:rsidP="002A4F3E">
      <w:pPr>
        <w:contextualSpacing/>
        <w:jc w:val="both"/>
      </w:pPr>
    </w:p>
    <w:p w14:paraId="4115AD17" w14:textId="5B967CA9" w:rsidR="00C86C46" w:rsidRPr="00EC5AF0" w:rsidRDefault="003854CC" w:rsidP="00C86C46">
      <w:pPr>
        <w:jc w:val="both"/>
      </w:pPr>
      <w:r w:rsidRPr="00EC5AF0">
        <w:t xml:space="preserve">Potpore </w:t>
      </w:r>
      <w:r w:rsidR="00823C8C" w:rsidRPr="00EC5AF0">
        <w:t xml:space="preserve">u </w:t>
      </w:r>
      <w:r w:rsidRPr="00EC5AF0">
        <w:t xml:space="preserve">sektoru poljoprivrede i ribarstva dodijeljene </w:t>
      </w:r>
      <w:r w:rsidR="006070B7" w:rsidRPr="00EC5AF0">
        <w:t xml:space="preserve">u 2023. godini </w:t>
      </w:r>
      <w:r w:rsidR="00C86C46" w:rsidRPr="00EC5AF0">
        <w:t xml:space="preserve">u iznosu od </w:t>
      </w:r>
      <w:r w:rsidR="006070B7" w:rsidRPr="00EC5AF0">
        <w:t>1.068 milijuna eura</w:t>
      </w:r>
      <w:r w:rsidRPr="00EC5AF0">
        <w:t xml:space="preserve">, </w:t>
      </w:r>
      <w:r w:rsidR="00823C8C" w:rsidRPr="00EC5AF0">
        <w:t xml:space="preserve">što je povećanje za </w:t>
      </w:r>
      <w:r w:rsidR="00823C8C" w:rsidRPr="00EC5AF0">
        <w:rPr>
          <w:rFonts w:eastAsia="Times New Roman"/>
        </w:rPr>
        <w:t xml:space="preserve">9,7 </w:t>
      </w:r>
      <w:r w:rsidR="00823C8C" w:rsidRPr="00EC5AF0">
        <w:t xml:space="preserve">posto u odnosu na 2022. godinu te povećanje za </w:t>
      </w:r>
      <w:r w:rsidR="00823C8C" w:rsidRPr="00EC5AF0">
        <w:rPr>
          <w:rFonts w:eastAsia="Times New Roman"/>
        </w:rPr>
        <w:t xml:space="preserve">6,2 </w:t>
      </w:r>
      <w:r w:rsidR="00823C8C" w:rsidRPr="00EC5AF0">
        <w:t>posto u odnosu na 2021. godinu</w:t>
      </w:r>
      <w:r w:rsidRPr="00EC5AF0">
        <w:t>.</w:t>
      </w:r>
      <w:r w:rsidR="00C86C46" w:rsidRPr="00EC5AF0">
        <w:t xml:space="preserve"> Udio navedenih potpora u ukupnim potporama u 202</w:t>
      </w:r>
      <w:r w:rsidR="00823C8C" w:rsidRPr="00EC5AF0">
        <w:t>3</w:t>
      </w:r>
      <w:r w:rsidR="00C86C46" w:rsidRPr="00EC5AF0">
        <w:t xml:space="preserve">. godini iznosio je </w:t>
      </w:r>
      <w:r w:rsidR="00823C8C" w:rsidRPr="00EC5AF0">
        <w:t>35,2 posto</w:t>
      </w:r>
      <w:r w:rsidR="00C86C46" w:rsidRPr="00EC5AF0">
        <w:t xml:space="preserve">, dok je udio u BDP-u iznosio </w:t>
      </w:r>
      <w:r w:rsidR="00823C8C" w:rsidRPr="00EC5AF0">
        <w:t>1,40</w:t>
      </w:r>
      <w:r w:rsidR="00823C8C" w:rsidRPr="00EC5AF0">
        <w:rPr>
          <w:rFonts w:eastAsia="Times New Roman"/>
        </w:rPr>
        <w:t xml:space="preserve"> </w:t>
      </w:r>
      <w:r w:rsidR="00823C8C" w:rsidRPr="00EC5AF0">
        <w:t>posto</w:t>
      </w:r>
      <w:r w:rsidR="00C86C46" w:rsidRPr="00EC5AF0">
        <w:t xml:space="preserve">. Unutar navedenih potpora u iznosu od </w:t>
      </w:r>
      <w:r w:rsidR="00823C8C" w:rsidRPr="00EC5AF0">
        <w:t xml:space="preserve">1.068 </w:t>
      </w:r>
      <w:r w:rsidR="00823C8C" w:rsidRPr="00EC5AF0">
        <w:lastRenderedPageBreak/>
        <w:t>milijuna eura</w:t>
      </w:r>
      <w:r w:rsidR="00C86C46" w:rsidRPr="00EC5AF0">
        <w:t>, na potpore u sektoru poljoprivrede</w:t>
      </w:r>
      <w:r w:rsidR="00823C8C" w:rsidRPr="00EC5AF0">
        <w:t xml:space="preserve"> odnosi se udio od 93,2 posto</w:t>
      </w:r>
      <w:r w:rsidR="00C86C46" w:rsidRPr="00EC5AF0">
        <w:t xml:space="preserve">, dok se na potpore u sektoru ribarstva odnosi </w:t>
      </w:r>
      <w:r w:rsidR="00823C8C" w:rsidRPr="00EC5AF0">
        <w:t>6,8</w:t>
      </w:r>
      <w:r w:rsidR="00C86C46" w:rsidRPr="00EC5AF0">
        <w:t xml:space="preserve"> posto, a unutar potpora u sektoru poljoprivrede udio od </w:t>
      </w:r>
      <w:r w:rsidR="00823C8C" w:rsidRPr="00EC5AF0">
        <w:t xml:space="preserve">55,1 </w:t>
      </w:r>
      <w:r w:rsidR="00C86C46" w:rsidRPr="00EC5AF0">
        <w:t xml:space="preserve">posto odnosi se na potpore za poljoprivredu, lov i šumarstvo dok </w:t>
      </w:r>
      <w:r w:rsidR="00823C8C" w:rsidRPr="00EC5AF0">
        <w:t>s</w:t>
      </w:r>
      <w:r w:rsidR="00C86C46" w:rsidRPr="00EC5AF0">
        <w:t xml:space="preserve">e na ruralni odnosno regionalni razvoj odnosi </w:t>
      </w:r>
      <w:r w:rsidR="00823C8C" w:rsidRPr="00EC5AF0">
        <w:t>udio od 44,9</w:t>
      </w:r>
      <w:r w:rsidR="00C86C46" w:rsidRPr="00EC5AF0">
        <w:t xml:space="preserve"> posto. </w:t>
      </w:r>
    </w:p>
    <w:p w14:paraId="0A9C9127" w14:textId="77777777" w:rsidR="00DE69CB" w:rsidRPr="00EC5AF0" w:rsidRDefault="00DE69CB" w:rsidP="00DE69CB">
      <w:pPr>
        <w:contextualSpacing/>
        <w:jc w:val="both"/>
      </w:pPr>
    </w:p>
    <w:p w14:paraId="1A4B168C" w14:textId="106707A6" w:rsidR="00601494" w:rsidRPr="00EC5AF0" w:rsidRDefault="00823C8C" w:rsidP="00601494">
      <w:pPr>
        <w:jc w:val="both"/>
      </w:pPr>
      <w:r w:rsidRPr="00EC5AF0">
        <w:t xml:space="preserve">Potpore u sektoru industrije i usluga dodijeljene su u 2023. godini u iznosu od 1.967,7 milijuna eura, </w:t>
      </w:r>
      <w:r w:rsidR="00601494" w:rsidRPr="00EC5AF0">
        <w:t>što je smanjenje za 3,6 posto u odnosu na 2022. godinu te povećanje za 1,7 posto u odnosu na 2021. godinu</w:t>
      </w:r>
      <w:r w:rsidR="00C86C46" w:rsidRPr="00EC5AF0">
        <w:t>.</w:t>
      </w:r>
      <w:r w:rsidR="00EE7159" w:rsidRPr="00EC5AF0">
        <w:t xml:space="preserve"> </w:t>
      </w:r>
      <w:r w:rsidR="00601494" w:rsidRPr="00EC5AF0">
        <w:t>Udio potpora u sektoru industrije i usluga u BDP-u u 2023. godini iznosio je 2,57 posto, u 2022. godini 2,99 posto, a u 2021. godini 3,29 posto. U</w:t>
      </w:r>
      <w:r w:rsidR="00EE7159" w:rsidRPr="00EC5AF0">
        <w:t xml:space="preserve">dio navedenih potpora u ukupno dodijeljenim potporama smanjen </w:t>
      </w:r>
      <w:r w:rsidR="00601494" w:rsidRPr="00EC5AF0">
        <w:t xml:space="preserve">je </w:t>
      </w:r>
      <w:r w:rsidR="00EE7159" w:rsidRPr="00EC5AF0">
        <w:t>u odnosu na prethodn</w:t>
      </w:r>
      <w:r w:rsidR="00601494" w:rsidRPr="00EC5AF0">
        <w:t>a</w:t>
      </w:r>
      <w:r w:rsidR="00EE7159" w:rsidRPr="00EC5AF0">
        <w:t xml:space="preserve"> razdoblja </w:t>
      </w:r>
      <w:r w:rsidR="00601494" w:rsidRPr="00EC5AF0">
        <w:t>i u</w:t>
      </w:r>
      <w:r w:rsidR="00EE7159" w:rsidRPr="00EC5AF0">
        <w:t xml:space="preserve"> 202</w:t>
      </w:r>
      <w:r w:rsidR="00601494" w:rsidRPr="00EC5AF0">
        <w:t>3</w:t>
      </w:r>
      <w:r w:rsidR="00EE7159" w:rsidRPr="00EC5AF0">
        <w:t>. godini iznos</w:t>
      </w:r>
      <w:r w:rsidR="00601494" w:rsidRPr="00EC5AF0">
        <w:t>e</w:t>
      </w:r>
      <w:r w:rsidR="00EE7159" w:rsidRPr="00EC5AF0">
        <w:t xml:space="preserve"> </w:t>
      </w:r>
      <w:r w:rsidR="00601494" w:rsidRPr="00EC5AF0">
        <w:t>64,8. I nadalje</w:t>
      </w:r>
      <w:r w:rsidR="002A4F3E" w:rsidRPr="00EC5AF0">
        <w:t xml:space="preserve"> </w:t>
      </w:r>
      <w:r w:rsidR="00601494" w:rsidRPr="00EC5AF0">
        <w:t xml:space="preserve">u </w:t>
      </w:r>
      <w:r w:rsidR="002A4F3E" w:rsidRPr="00EC5AF0">
        <w:t>sektoru industrije i usluga</w:t>
      </w:r>
      <w:r w:rsidR="00EE7159" w:rsidRPr="00EC5AF0">
        <w:t xml:space="preserve"> u 202</w:t>
      </w:r>
      <w:r w:rsidR="00601494" w:rsidRPr="00EC5AF0">
        <w:t>3</w:t>
      </w:r>
      <w:r w:rsidR="00EE7159" w:rsidRPr="00EC5AF0">
        <w:t>. godini</w:t>
      </w:r>
      <w:r w:rsidR="002A4F3E" w:rsidRPr="00EC5AF0">
        <w:t xml:space="preserve">, </w:t>
      </w:r>
      <w:r w:rsidR="00EE7159" w:rsidRPr="00EC5AF0">
        <w:t xml:space="preserve">kontinuirano </w:t>
      </w:r>
      <w:r w:rsidR="00601494" w:rsidRPr="00EC5AF0">
        <w:t>dominiraju</w:t>
      </w:r>
      <w:r w:rsidR="00EE7159" w:rsidRPr="00EC5AF0">
        <w:t xml:space="preserve"> sektorske potpore u odnosu na horizontalne </w:t>
      </w:r>
      <w:r w:rsidR="00601494" w:rsidRPr="00EC5AF0">
        <w:t xml:space="preserve">potpore i </w:t>
      </w:r>
      <w:r w:rsidR="00EE7159" w:rsidRPr="00EC5AF0">
        <w:t xml:space="preserve">potpore podrške gospodarstvu u COVID–19 </w:t>
      </w:r>
      <w:proofErr w:type="spellStart"/>
      <w:r w:rsidR="00EE7159" w:rsidRPr="00EC5AF0">
        <w:t>pandemiji</w:t>
      </w:r>
      <w:proofErr w:type="spellEnd"/>
      <w:r w:rsidR="00D242A4" w:rsidRPr="00EC5AF0">
        <w:t xml:space="preserve"> te za suzbijanje učinaka ruske agresije na Ukrajinu</w:t>
      </w:r>
      <w:r w:rsidR="00EE7159" w:rsidRPr="00EC5AF0">
        <w:t>. Unutar navedenih potpora</w:t>
      </w:r>
      <w:r w:rsidR="003854CC" w:rsidRPr="00EC5AF0">
        <w:t>, posebnim sektorima je dodijeljen</w:t>
      </w:r>
      <w:r w:rsidR="00EE7159" w:rsidRPr="00EC5AF0">
        <w:t xml:space="preserve">o </w:t>
      </w:r>
      <w:r w:rsidR="00601494" w:rsidRPr="00EC5AF0">
        <w:t xml:space="preserve">43,1 posto </w:t>
      </w:r>
      <w:r w:rsidR="00EE7159" w:rsidRPr="00EC5AF0">
        <w:t xml:space="preserve">potpora, </w:t>
      </w:r>
      <w:r w:rsidR="00601494" w:rsidRPr="00EC5AF0">
        <w:t>horizontalnim ciljevima, uključujući horizontalne potpore, regionalne potpore i potpore na lokalnoj raz</w:t>
      </w:r>
      <w:r w:rsidR="00D35146" w:rsidRPr="00EC5AF0">
        <w:t xml:space="preserve">ini, dodijeljeno je 28,6 posto </w:t>
      </w:r>
      <w:r w:rsidR="00601494" w:rsidRPr="00EC5AF0">
        <w:t xml:space="preserve">dok je kao potpora podrške gospodarstvu u COVID–19 </w:t>
      </w:r>
      <w:proofErr w:type="spellStart"/>
      <w:r w:rsidR="00601494" w:rsidRPr="00EC5AF0">
        <w:t>pandemiji</w:t>
      </w:r>
      <w:proofErr w:type="spellEnd"/>
      <w:r w:rsidR="00601494" w:rsidRPr="00EC5AF0">
        <w:t xml:space="preserve"> te za suzbijanje učinaka ruske agresije na Ukrajinu dodijeljeno 28,3 posto potpora.</w:t>
      </w:r>
    </w:p>
    <w:p w14:paraId="4E8F63C3" w14:textId="77777777" w:rsidR="00601494" w:rsidRPr="00EC5AF0" w:rsidRDefault="00601494" w:rsidP="003854CC">
      <w:pPr>
        <w:jc w:val="both"/>
      </w:pPr>
    </w:p>
    <w:p w14:paraId="07F18D5C" w14:textId="476B05E0" w:rsidR="00DE69CB" w:rsidRPr="00EC5AF0" w:rsidRDefault="00601494" w:rsidP="00DE69CB">
      <w:pPr>
        <w:jc w:val="both"/>
      </w:pPr>
      <w:r w:rsidRPr="00EC5AF0">
        <w:t>Sektorske potpore su dodijeljene u 2023. godini u iznosu od 848,9 milijuna eura, što je povećanje za 40,5 posto u odnosu na 2022. godinu te povećanje za 45,3 posto u odnosu na 2021. godinu. Udio navedenih potpora u BDP-u u 2023. godini iznosio je 1,11 posto, u 2022. godini 0,88 posto, a u 2021. godini 0,99 posto</w:t>
      </w:r>
      <w:r w:rsidR="00EE7159" w:rsidRPr="00EC5AF0">
        <w:t>.</w:t>
      </w:r>
      <w:r w:rsidR="006C7C84" w:rsidRPr="00EC5AF0">
        <w:t xml:space="preserve"> </w:t>
      </w:r>
      <w:r w:rsidR="00391313" w:rsidRPr="00EC5AF0">
        <w:t xml:space="preserve">Udio tih potpora u ukupno dodijeljenim potporama iznosio je 28 posto. </w:t>
      </w:r>
      <w:r w:rsidR="00DE69CB" w:rsidRPr="00EC5AF0">
        <w:t xml:space="preserve">Unutar sektorskih potpora, </w:t>
      </w:r>
      <w:r w:rsidR="00391313" w:rsidRPr="00EC5AF0">
        <w:t>najviši udio potpora imaju potpore</w:t>
      </w:r>
      <w:r w:rsidR="00DE69CB" w:rsidRPr="00EC5AF0">
        <w:t xml:space="preserve"> sektoru prometa s 37,8 posto udjela, slijede potpore za zaštitu okoliša i očuvanje energije </w:t>
      </w:r>
      <w:r w:rsidR="00391313" w:rsidRPr="00EC5AF0">
        <w:t xml:space="preserve">od </w:t>
      </w:r>
      <w:r w:rsidR="00DE69CB" w:rsidRPr="00EC5AF0">
        <w:t xml:space="preserve">21,8 posto, usluge za javno radiotelevizijsko emitiranje i audiovizualnu industriju </w:t>
      </w:r>
      <w:r w:rsidR="00391313" w:rsidRPr="00EC5AF0">
        <w:t>od</w:t>
      </w:r>
      <w:r w:rsidR="00DE69CB" w:rsidRPr="00EC5AF0">
        <w:t xml:space="preserve"> 18,1 posto, </w:t>
      </w:r>
      <w:r w:rsidR="00391313" w:rsidRPr="00EC5AF0">
        <w:t>potpore</w:t>
      </w:r>
      <w:r w:rsidR="00DE69CB" w:rsidRPr="00EC5AF0">
        <w:t xml:space="preserve"> turizm</w:t>
      </w:r>
      <w:r w:rsidR="00391313" w:rsidRPr="00EC5AF0">
        <w:t>u s</w:t>
      </w:r>
      <w:r w:rsidR="00DE69CB" w:rsidRPr="00EC5AF0">
        <w:t xml:space="preserve"> 15,4 posto, </w:t>
      </w:r>
      <w:r w:rsidR="00391313" w:rsidRPr="00EC5AF0">
        <w:t xml:space="preserve">potpore </w:t>
      </w:r>
      <w:r w:rsidR="00DE69CB" w:rsidRPr="00EC5AF0">
        <w:t xml:space="preserve">sektoru brodogradnje 3,5 posto, </w:t>
      </w:r>
      <w:r w:rsidR="00391313" w:rsidRPr="00EC5AF0">
        <w:t xml:space="preserve">potpore </w:t>
      </w:r>
      <w:r w:rsidR="00DE69CB" w:rsidRPr="00EC5AF0">
        <w:t xml:space="preserve">za poštanske usluge 1,7 posto, </w:t>
      </w:r>
      <w:r w:rsidR="00391313" w:rsidRPr="00EC5AF0">
        <w:t xml:space="preserve">potpore </w:t>
      </w:r>
      <w:r w:rsidR="00DE69CB" w:rsidRPr="00EC5AF0">
        <w:t xml:space="preserve">za sanaciju i restrukturiranje poduzetnika 1,1 posto te </w:t>
      </w:r>
      <w:r w:rsidR="00391313" w:rsidRPr="00EC5AF0">
        <w:t>potpore</w:t>
      </w:r>
      <w:r w:rsidR="00DE69CB" w:rsidRPr="00EC5AF0">
        <w:t xml:space="preserve"> za razvoj širokopojasnih mreža 0,7 posto.</w:t>
      </w:r>
    </w:p>
    <w:p w14:paraId="58C8ADCE" w14:textId="77777777" w:rsidR="00DE69CB" w:rsidRPr="00EC5AF0" w:rsidRDefault="00DE69CB" w:rsidP="00DE69CB">
      <w:pPr>
        <w:jc w:val="both"/>
      </w:pPr>
    </w:p>
    <w:p w14:paraId="749B4CB3" w14:textId="40CCFCED" w:rsidR="006C7C84" w:rsidRPr="00EC5AF0" w:rsidRDefault="00391313" w:rsidP="006C7C84">
      <w:pPr>
        <w:jc w:val="both"/>
        <w:rPr>
          <w:spacing w:val="-2"/>
        </w:rPr>
      </w:pPr>
      <w:r w:rsidRPr="001C1B71">
        <w:rPr>
          <w:spacing w:val="-2"/>
        </w:rPr>
        <w:t>Veza</w:t>
      </w:r>
      <w:r w:rsidR="006F2A3C" w:rsidRPr="001C1B71">
        <w:rPr>
          <w:spacing w:val="-2"/>
        </w:rPr>
        <w:t xml:space="preserve">no za sektorske potpore, </w:t>
      </w:r>
      <w:r w:rsidRPr="001C1B71">
        <w:rPr>
          <w:spacing w:val="-2"/>
        </w:rPr>
        <w:t xml:space="preserve">unutar potpora posebnim sektorima u 2023. godini, za obavljanje usluga od općeg gospodarskog interesa kao naknada za obavljanje javne usluge dodijeljen je iznos od </w:t>
      </w:r>
      <w:r w:rsidR="001C1B71" w:rsidRPr="001C1B71">
        <w:rPr>
          <w:spacing w:val="-2"/>
        </w:rPr>
        <w:t>592,5</w:t>
      </w:r>
      <w:r w:rsidRPr="001C1B71">
        <w:rPr>
          <w:spacing w:val="-2"/>
        </w:rPr>
        <w:t xml:space="preserve"> milijuna eura. </w:t>
      </w:r>
      <w:r w:rsidR="006C7C84" w:rsidRPr="001C1B71">
        <w:rPr>
          <w:spacing w:val="-2"/>
        </w:rPr>
        <w:t xml:space="preserve">Udio </w:t>
      </w:r>
      <w:r w:rsidR="00DF33C6" w:rsidRPr="001C1B71">
        <w:rPr>
          <w:spacing w:val="-2"/>
        </w:rPr>
        <w:t xml:space="preserve">navedenih potpora u BDP-u iznosio je </w:t>
      </w:r>
      <w:r w:rsidRPr="001C1B71">
        <w:rPr>
          <w:spacing w:val="-2"/>
        </w:rPr>
        <w:t>0,7</w:t>
      </w:r>
      <w:r w:rsidR="001C1B71" w:rsidRPr="001C1B71">
        <w:rPr>
          <w:spacing w:val="-2"/>
        </w:rPr>
        <w:t>7</w:t>
      </w:r>
      <w:r w:rsidRPr="001C1B71">
        <w:rPr>
          <w:spacing w:val="-2"/>
        </w:rPr>
        <w:t xml:space="preserve"> posto</w:t>
      </w:r>
      <w:r w:rsidR="00DF33C6" w:rsidRPr="001C1B71">
        <w:rPr>
          <w:spacing w:val="-2"/>
        </w:rPr>
        <w:t xml:space="preserve">, udio u ukupno dodijeljenim potporama </w:t>
      </w:r>
      <w:r w:rsidRPr="001C1B71">
        <w:rPr>
          <w:spacing w:val="-2"/>
        </w:rPr>
        <w:t>19,</w:t>
      </w:r>
      <w:r w:rsidR="001C1B71" w:rsidRPr="001C1B71">
        <w:rPr>
          <w:spacing w:val="-2"/>
        </w:rPr>
        <w:t>5</w:t>
      </w:r>
      <w:r w:rsidRPr="001C1B71">
        <w:rPr>
          <w:spacing w:val="-2"/>
        </w:rPr>
        <w:t xml:space="preserve"> posto</w:t>
      </w:r>
      <w:r w:rsidR="00DF33C6" w:rsidRPr="001C1B71">
        <w:rPr>
          <w:spacing w:val="-2"/>
        </w:rPr>
        <w:t xml:space="preserve">, udio u dodijeljenim potporama u sektoru industrije i usluga </w:t>
      </w:r>
      <w:r w:rsidRPr="001C1B71">
        <w:rPr>
          <w:spacing w:val="-2"/>
        </w:rPr>
        <w:t>30,</w:t>
      </w:r>
      <w:r w:rsidR="001C1B71" w:rsidRPr="001C1B71">
        <w:rPr>
          <w:spacing w:val="-2"/>
        </w:rPr>
        <w:t>1</w:t>
      </w:r>
      <w:r w:rsidRPr="001C1B71">
        <w:rPr>
          <w:spacing w:val="-2"/>
        </w:rPr>
        <w:t xml:space="preserve"> posto</w:t>
      </w:r>
      <w:r w:rsidR="00DF33C6" w:rsidRPr="001C1B71">
        <w:rPr>
          <w:spacing w:val="-2"/>
        </w:rPr>
        <w:t xml:space="preserve">, dok je udio u sektorskim potporama iznosio </w:t>
      </w:r>
      <w:r w:rsidR="001C1B71" w:rsidRPr="001C1B71">
        <w:rPr>
          <w:spacing w:val="-2"/>
        </w:rPr>
        <w:t>69,8</w:t>
      </w:r>
      <w:r w:rsidRPr="001C1B71">
        <w:rPr>
          <w:spacing w:val="-2"/>
        </w:rPr>
        <w:t xml:space="preserve"> posto</w:t>
      </w:r>
      <w:r w:rsidR="00DF33C6" w:rsidRPr="001C1B71">
        <w:rPr>
          <w:spacing w:val="-2"/>
        </w:rPr>
        <w:t xml:space="preserve">. </w:t>
      </w:r>
      <w:r w:rsidR="006C7C84" w:rsidRPr="001C1B71">
        <w:rPr>
          <w:spacing w:val="-2"/>
        </w:rPr>
        <w:t xml:space="preserve">Unutar navedenih potpora, </w:t>
      </w:r>
      <w:r w:rsidRPr="001C1B71">
        <w:rPr>
          <w:spacing w:val="-2"/>
        </w:rPr>
        <w:t>najveći udio odnosi se na potpore kopnenom cestovnom prometu s 3</w:t>
      </w:r>
      <w:r w:rsidR="001C1B71" w:rsidRPr="001C1B71">
        <w:rPr>
          <w:spacing w:val="-2"/>
        </w:rPr>
        <w:t>9,4</w:t>
      </w:r>
      <w:r w:rsidRPr="001C1B71">
        <w:rPr>
          <w:spacing w:val="-2"/>
        </w:rPr>
        <w:t xml:space="preserve"> posto, slijede potpore za javne radiodifuzijske usluge za emitiranje javnog radio i televizijskog programa od 25,</w:t>
      </w:r>
      <w:r w:rsidR="001C1B71" w:rsidRPr="001C1B71">
        <w:rPr>
          <w:spacing w:val="-2"/>
        </w:rPr>
        <w:t>7</w:t>
      </w:r>
      <w:r w:rsidRPr="001C1B71">
        <w:rPr>
          <w:spacing w:val="-2"/>
        </w:rPr>
        <w:t xml:space="preserve"> posto, potom potpore za kopneni željeznički promet sa </w:t>
      </w:r>
      <w:r w:rsidR="001C1B71" w:rsidRPr="001C1B71">
        <w:rPr>
          <w:spacing w:val="-2"/>
        </w:rPr>
        <w:t>18,2</w:t>
      </w:r>
      <w:r w:rsidRPr="001C1B71">
        <w:rPr>
          <w:spacing w:val="-2"/>
        </w:rPr>
        <w:t xml:space="preserve"> posto, potpore pomorskom prometu s 10,</w:t>
      </w:r>
      <w:r w:rsidR="001C1B71" w:rsidRPr="001C1B71">
        <w:rPr>
          <w:spacing w:val="-2"/>
        </w:rPr>
        <w:t>7</w:t>
      </w:r>
      <w:r w:rsidRPr="001C1B71">
        <w:rPr>
          <w:spacing w:val="-2"/>
        </w:rPr>
        <w:t xml:space="preserve"> posto, potpore zračnom prometu od </w:t>
      </w:r>
      <w:r w:rsidR="001C1B71" w:rsidRPr="001C1B71">
        <w:rPr>
          <w:spacing w:val="-2"/>
        </w:rPr>
        <w:t>3,6</w:t>
      </w:r>
      <w:r w:rsidRPr="001C1B71">
        <w:rPr>
          <w:spacing w:val="-2"/>
        </w:rPr>
        <w:t xml:space="preserve"> posto te potpore za poštanske usluge s 2,5 posto</w:t>
      </w:r>
      <w:r w:rsidR="006C7C84" w:rsidRPr="001C1B71">
        <w:rPr>
          <w:spacing w:val="-2"/>
        </w:rPr>
        <w:t>.</w:t>
      </w:r>
    </w:p>
    <w:p w14:paraId="4130B0BA" w14:textId="77777777" w:rsidR="00DE69CB" w:rsidRPr="00EC5AF0" w:rsidRDefault="00DE69CB" w:rsidP="00DE69CB">
      <w:pPr>
        <w:jc w:val="both"/>
      </w:pPr>
    </w:p>
    <w:p w14:paraId="4712E869" w14:textId="7724EAED" w:rsidR="0076310A" w:rsidRPr="00EC5AF0" w:rsidRDefault="00DF33C6" w:rsidP="0020185B">
      <w:pPr>
        <w:jc w:val="both"/>
      </w:pPr>
      <w:r w:rsidRPr="00EC5AF0">
        <w:t xml:space="preserve">Horizontalne potpore, uključujući horizontalne ciljeve, regionalne potpore i potpore na lokalnoj razini, </w:t>
      </w:r>
      <w:r w:rsidR="0076310A" w:rsidRPr="00EC5AF0">
        <w:t xml:space="preserve">dodijeljene su u </w:t>
      </w:r>
      <w:r w:rsidR="00391313" w:rsidRPr="00EC5AF0">
        <w:t xml:space="preserve">2023. godini </w:t>
      </w:r>
      <w:r w:rsidR="0076310A" w:rsidRPr="00EC5AF0">
        <w:t xml:space="preserve">u </w:t>
      </w:r>
      <w:r w:rsidRPr="00EC5AF0">
        <w:t xml:space="preserve">iznosu od </w:t>
      </w:r>
      <w:r w:rsidR="00242C23" w:rsidRPr="00EC5AF0">
        <w:t>562,2 milijuna eura, što je povećanje za 71,8 posto u odnosu na 2022. godinu, te povećanje za 13,5 posto u odnosu na 2021. godinu</w:t>
      </w:r>
      <w:r w:rsidR="0076310A" w:rsidRPr="00EC5AF0">
        <w:t xml:space="preserve">. Udio horizontalnih potpora u BDP-u u </w:t>
      </w:r>
      <w:r w:rsidR="00242C23" w:rsidRPr="00EC5AF0">
        <w:t xml:space="preserve">2023. godini </w:t>
      </w:r>
      <w:r w:rsidR="0076310A" w:rsidRPr="00EC5AF0">
        <w:t xml:space="preserve">iznosio je </w:t>
      </w:r>
      <w:r w:rsidR="00242C23" w:rsidRPr="00EC5AF0">
        <w:t>0,74 posto</w:t>
      </w:r>
      <w:r w:rsidR="0076310A" w:rsidRPr="00EC5AF0">
        <w:t xml:space="preserve">, udio u ukupno dodijeljenim potporama </w:t>
      </w:r>
      <w:r w:rsidR="00242C23" w:rsidRPr="00EC5AF0">
        <w:t xml:space="preserve">18,5 </w:t>
      </w:r>
      <w:r w:rsidR="0076310A" w:rsidRPr="00EC5AF0">
        <w:t xml:space="preserve">posto, dok je udio u sektoru industrije i usluga iznosio </w:t>
      </w:r>
      <w:r w:rsidR="00242C23" w:rsidRPr="00EC5AF0">
        <w:t xml:space="preserve">28,6 </w:t>
      </w:r>
      <w:r w:rsidR="0076310A" w:rsidRPr="00EC5AF0">
        <w:t>posto. Unutar horizontalnih potpora dodijeljenih u 202</w:t>
      </w:r>
      <w:r w:rsidR="00242C23" w:rsidRPr="00EC5AF0">
        <w:t>3</w:t>
      </w:r>
      <w:r w:rsidR="0076310A" w:rsidRPr="00EC5AF0">
        <w:t>. godini</w:t>
      </w:r>
      <w:r w:rsidRPr="00EC5AF0">
        <w:t>, na horizontalne ciljeve odnosno horizontalne potpore u užem smislu</w:t>
      </w:r>
      <w:r w:rsidRPr="00EC5AF0">
        <w:rPr>
          <w:vertAlign w:val="superscript"/>
        </w:rPr>
        <w:footnoteReference w:id="43"/>
      </w:r>
      <w:r w:rsidRPr="00EC5AF0">
        <w:t xml:space="preserve">, odnosi se udio od </w:t>
      </w:r>
      <w:r w:rsidR="00242C23" w:rsidRPr="00EC5AF0">
        <w:t xml:space="preserve">47,6 </w:t>
      </w:r>
      <w:r w:rsidR="0076310A" w:rsidRPr="00EC5AF0">
        <w:t>posto</w:t>
      </w:r>
      <w:r w:rsidRPr="00EC5AF0">
        <w:t xml:space="preserve">, na regionalne potpore udio od </w:t>
      </w:r>
      <w:r w:rsidR="00242C23" w:rsidRPr="00EC5AF0">
        <w:t xml:space="preserve">26,4 </w:t>
      </w:r>
      <w:r w:rsidR="0076310A" w:rsidRPr="00EC5AF0">
        <w:t xml:space="preserve">posto </w:t>
      </w:r>
      <w:r w:rsidRPr="00EC5AF0">
        <w:t xml:space="preserve">te na potpore na lokalnoj razini udio od </w:t>
      </w:r>
      <w:r w:rsidR="00242C23" w:rsidRPr="00EC5AF0">
        <w:t xml:space="preserve">26 </w:t>
      </w:r>
      <w:r w:rsidR="0076310A" w:rsidRPr="00EC5AF0">
        <w:t>posto</w:t>
      </w:r>
      <w:r w:rsidRPr="00EC5AF0">
        <w:t xml:space="preserve">. </w:t>
      </w:r>
    </w:p>
    <w:p w14:paraId="2FE0BCD9" w14:textId="77777777" w:rsidR="00DE69CB" w:rsidRPr="00EC5AF0" w:rsidRDefault="00DE69CB" w:rsidP="00DE69CB">
      <w:pPr>
        <w:jc w:val="both"/>
      </w:pPr>
    </w:p>
    <w:p w14:paraId="0D4BC44D" w14:textId="625CC948" w:rsidR="0015086C" w:rsidRPr="00EC5AF0" w:rsidRDefault="0020185B" w:rsidP="003854CC">
      <w:pPr>
        <w:jc w:val="both"/>
      </w:pPr>
      <w:r w:rsidRPr="00EC5AF0">
        <w:lastRenderedPageBreak/>
        <w:t>U</w:t>
      </w:r>
      <w:r w:rsidR="00242C23" w:rsidRPr="00EC5AF0">
        <w:t>nutar</w:t>
      </w:r>
      <w:r w:rsidRPr="00EC5AF0">
        <w:t xml:space="preserve"> horizontalnih potpora u užem smislu u 202</w:t>
      </w:r>
      <w:r w:rsidR="00242C23" w:rsidRPr="00EC5AF0">
        <w:t>3</w:t>
      </w:r>
      <w:r w:rsidRPr="00EC5AF0">
        <w:t xml:space="preserve">. godini, dodijeljenih u iznosu od </w:t>
      </w:r>
      <w:r w:rsidR="00242C23" w:rsidRPr="00EC5AF0">
        <w:t>267,7 milijuna eura</w:t>
      </w:r>
      <w:r w:rsidRPr="00EC5AF0">
        <w:t xml:space="preserve">, najviše potpora dodijeljeno </w:t>
      </w:r>
      <w:r w:rsidR="0076310A" w:rsidRPr="00EC5AF0">
        <w:t xml:space="preserve">je </w:t>
      </w:r>
      <w:r w:rsidR="000026E5" w:rsidRPr="00EC5AF0">
        <w:t>za istraživanje i razvoj i inovacije s udjelom od 72,2 posto, slijede potpore za zapošljavanje od 15,8 posto, potpore za kulturu od 9 posto, potpore malim i srednjim poduzetnicima s 2,9 posto, te potpore za usavršavanje od 0,01 posto</w:t>
      </w:r>
      <w:r w:rsidR="0076310A" w:rsidRPr="00EC5AF0">
        <w:t>.</w:t>
      </w:r>
      <w:r w:rsidR="0015086C" w:rsidRPr="00EC5AF0">
        <w:t xml:space="preserve"> </w:t>
      </w:r>
      <w:r w:rsidRPr="00EC5AF0">
        <w:t xml:space="preserve">Regionalne potpore </w:t>
      </w:r>
      <w:r w:rsidR="0076310A" w:rsidRPr="00EC5AF0">
        <w:t xml:space="preserve">su </w:t>
      </w:r>
      <w:r w:rsidR="000026E5" w:rsidRPr="00EC5AF0">
        <w:t xml:space="preserve">u 2023. godini </w:t>
      </w:r>
      <w:r w:rsidR="0076310A" w:rsidRPr="00EC5AF0">
        <w:t xml:space="preserve">dodijeljene u iznosu od </w:t>
      </w:r>
      <w:r w:rsidR="000026E5" w:rsidRPr="00EC5AF0">
        <w:t>148,2 milijuna eura</w:t>
      </w:r>
      <w:r w:rsidRPr="00EC5AF0">
        <w:t xml:space="preserve">, </w:t>
      </w:r>
      <w:r w:rsidR="000026E5" w:rsidRPr="00EC5AF0">
        <w:t>s udjelom</w:t>
      </w:r>
      <w:r w:rsidRPr="00EC5AF0">
        <w:t xml:space="preserve"> u BDP-u od 0,1</w:t>
      </w:r>
      <w:r w:rsidR="000026E5" w:rsidRPr="00EC5AF0">
        <w:t>9</w:t>
      </w:r>
      <w:r w:rsidRPr="00EC5AF0">
        <w:t xml:space="preserve"> posto, </w:t>
      </w:r>
      <w:r w:rsidR="000026E5" w:rsidRPr="00EC5AF0">
        <w:t xml:space="preserve">udjelom </w:t>
      </w:r>
      <w:r w:rsidRPr="00EC5AF0">
        <w:t xml:space="preserve">u ukupno dodijeljenim potporama </w:t>
      </w:r>
      <w:r w:rsidR="00B37536" w:rsidRPr="00EC5AF0">
        <w:t xml:space="preserve">od </w:t>
      </w:r>
      <w:r w:rsidR="000026E5" w:rsidRPr="00EC5AF0">
        <w:t xml:space="preserve">4,9 </w:t>
      </w:r>
      <w:r w:rsidR="0015086C" w:rsidRPr="00EC5AF0">
        <w:t>posto</w:t>
      </w:r>
      <w:r w:rsidR="0076310A" w:rsidRPr="00EC5AF0">
        <w:t>.</w:t>
      </w:r>
      <w:r w:rsidR="0015086C" w:rsidRPr="00EC5AF0">
        <w:t xml:space="preserve"> </w:t>
      </w:r>
      <w:r w:rsidR="003854CC" w:rsidRPr="00EC5AF0">
        <w:t>Potpore na razini jedinica područne i lokalne (regionalne) samouprave su u 202</w:t>
      </w:r>
      <w:r w:rsidR="000026E5" w:rsidRPr="00EC5AF0">
        <w:t>3</w:t>
      </w:r>
      <w:r w:rsidR="003854CC" w:rsidRPr="00EC5AF0">
        <w:t xml:space="preserve">. godini </w:t>
      </w:r>
      <w:r w:rsidR="000026E5" w:rsidRPr="00EC5AF0">
        <w:t xml:space="preserve">dodijeljene </w:t>
      </w:r>
      <w:r w:rsidR="003854CC" w:rsidRPr="00EC5AF0">
        <w:t xml:space="preserve">u iznosu od </w:t>
      </w:r>
      <w:r w:rsidR="000026E5" w:rsidRPr="00EC5AF0">
        <w:t>146,4 milijuna eura</w:t>
      </w:r>
      <w:r w:rsidR="003854CC" w:rsidRPr="00EC5AF0">
        <w:t xml:space="preserve">, </w:t>
      </w:r>
      <w:r w:rsidR="0015086C" w:rsidRPr="00EC5AF0">
        <w:t xml:space="preserve">te imaju udio </w:t>
      </w:r>
      <w:r w:rsidR="003854CC" w:rsidRPr="00EC5AF0">
        <w:t xml:space="preserve">u BDP-u </w:t>
      </w:r>
      <w:r w:rsidR="000026E5" w:rsidRPr="00EC5AF0">
        <w:t xml:space="preserve">0,19 </w:t>
      </w:r>
      <w:r w:rsidR="003854CC" w:rsidRPr="00EC5AF0">
        <w:t>posto</w:t>
      </w:r>
      <w:r w:rsidR="000026E5" w:rsidRPr="00EC5AF0">
        <w:t xml:space="preserve"> te</w:t>
      </w:r>
      <w:r w:rsidR="003854CC" w:rsidRPr="00EC5AF0">
        <w:t xml:space="preserve"> </w:t>
      </w:r>
      <w:r w:rsidR="0015086C" w:rsidRPr="00EC5AF0">
        <w:t>u</w:t>
      </w:r>
      <w:r w:rsidR="003854CC" w:rsidRPr="00EC5AF0">
        <w:t xml:space="preserve">dio u ukupno dodijeljenim potporama </w:t>
      </w:r>
      <w:r w:rsidR="00B37536" w:rsidRPr="00EC5AF0">
        <w:t xml:space="preserve">od </w:t>
      </w:r>
      <w:r w:rsidR="000026E5" w:rsidRPr="00EC5AF0">
        <w:t>4,8 posto</w:t>
      </w:r>
      <w:r w:rsidR="0015086C" w:rsidRPr="00EC5AF0">
        <w:t>.</w:t>
      </w:r>
    </w:p>
    <w:p w14:paraId="1C50FD25" w14:textId="593B572C" w:rsidR="00DE69CB" w:rsidRPr="00EC5AF0" w:rsidRDefault="00DE69CB" w:rsidP="0020185B">
      <w:pPr>
        <w:jc w:val="both"/>
      </w:pPr>
    </w:p>
    <w:p w14:paraId="3452AD0C" w14:textId="3B3B1837" w:rsidR="00EC5AF0" w:rsidRPr="007F7517" w:rsidRDefault="00EC5AF0" w:rsidP="00EC5AF0">
      <w:pPr>
        <w:jc w:val="both"/>
      </w:pPr>
      <w:r w:rsidRPr="007F7517">
        <w:t xml:space="preserve">Potpore za podršku gospodarstvu u aktualnoj </w:t>
      </w:r>
      <w:proofErr w:type="spellStart"/>
      <w:r w:rsidRPr="007F7517">
        <w:t>pandemiji</w:t>
      </w:r>
      <w:proofErr w:type="spellEnd"/>
      <w:r w:rsidRPr="007F7517">
        <w:t xml:space="preserve"> COVID–19 te za </w:t>
      </w:r>
      <w:r>
        <w:t xml:space="preserve">ublažavanje negativnih </w:t>
      </w:r>
      <w:r w:rsidRPr="007F7517">
        <w:t xml:space="preserve">učinaka ruske agresije na Ukrajinu dodijeljene su u 2023. godini u iznosu od 556,6 milijuna eura, što </w:t>
      </w:r>
      <w:r>
        <w:t xml:space="preserve">predstavlja </w:t>
      </w:r>
      <w:r w:rsidRPr="007F7517">
        <w:t xml:space="preserve">smanjenje za 49,9 posto u odnosu na 2022. godinu te za 34,9 posto u odnosu na 2021. godinu. Udio navedenih potpora u BDP-u u 2023. godini iznosio je </w:t>
      </w:r>
      <w:r w:rsidRPr="007F7517">
        <w:rPr>
          <w:rFonts w:eastAsia="Times New Roman"/>
          <w:lang w:eastAsia="hr-HR"/>
        </w:rPr>
        <w:t xml:space="preserve">0,73 </w:t>
      </w:r>
      <w:r w:rsidRPr="007F7517">
        <w:t>posto dok je udio u ukupno dodijeljenim potporama 18,34 posto.</w:t>
      </w:r>
    </w:p>
    <w:p w14:paraId="4E1EA8A1" w14:textId="77777777" w:rsidR="00DE69CB" w:rsidRPr="00801D22" w:rsidRDefault="00DE69CB" w:rsidP="0023348E">
      <w:pPr>
        <w:jc w:val="both"/>
        <w:rPr>
          <w:bCs/>
          <w:highlight w:val="yellow"/>
        </w:rPr>
      </w:pPr>
    </w:p>
    <w:p w14:paraId="2FBAFA9C" w14:textId="6815458C" w:rsidR="00434F02" w:rsidRPr="00CA6CF8" w:rsidRDefault="00434F02" w:rsidP="00434F02">
      <w:pPr>
        <w:jc w:val="both"/>
      </w:pPr>
      <w:r>
        <w:rPr>
          <w:bCs/>
        </w:rPr>
        <w:t>Kroz prikaz u ovom izvješću</w:t>
      </w:r>
      <w:r w:rsidRPr="00CA6CF8">
        <w:t>, mo</w:t>
      </w:r>
      <w:r>
        <w:t>glo bi</w:t>
      </w:r>
      <w:r w:rsidRPr="00CA6CF8">
        <w:t xml:space="preserve"> se zaključiti kako u promatranom razdoblju od 2021. do 2023. godine u strukturi potpora nije došlo do bitnijih promjena,</w:t>
      </w:r>
      <w:r>
        <w:t xml:space="preserve"> no primjetno je kako se u jednoj mjeri </w:t>
      </w:r>
      <w:r w:rsidRPr="00CA6CF8">
        <w:t xml:space="preserve">potiče </w:t>
      </w:r>
      <w:r>
        <w:t xml:space="preserve">povećanje </w:t>
      </w:r>
      <w:r w:rsidRPr="00CA6CF8">
        <w:t xml:space="preserve">dodjele horizontalnih potpora koje se smatraju „poželjnim </w:t>
      </w:r>
      <w:r>
        <w:t xml:space="preserve">pozitivnim </w:t>
      </w:r>
      <w:r w:rsidRPr="00CA6CF8">
        <w:t>potporama“, jer kao takve potiču rast gospodarstva uz istovremeno bitno manji utjecaj na distorziju tržišnog natjecanja. Sama struktura dodijeljenih potpora predstavlja odraz karakteristike gospodarstva u danom trenutku, te u dugom roku ovisi o stabilnosti prilika u nacionalnoj ekonomiji.</w:t>
      </w:r>
    </w:p>
    <w:p w14:paraId="64A803E4" w14:textId="071D98AB" w:rsidR="0026636B" w:rsidRPr="00434F02" w:rsidRDefault="0026636B" w:rsidP="002C0E05">
      <w:pPr>
        <w:jc w:val="both"/>
      </w:pPr>
    </w:p>
    <w:p w14:paraId="24C7C618" w14:textId="0E4DF5E7" w:rsidR="002C0E05" w:rsidRPr="00434F02" w:rsidRDefault="00CA6CF8" w:rsidP="002C0E05">
      <w:pPr>
        <w:jc w:val="both"/>
        <w:rPr>
          <w:spacing w:val="-2"/>
        </w:rPr>
      </w:pPr>
      <w:r w:rsidRPr="00434F02">
        <w:rPr>
          <w:spacing w:val="-2"/>
        </w:rPr>
        <w:t xml:space="preserve">Važno je naglasiti kako kod dodijeljenih potpora i nadalje ostaje visok udio posebnih sektora, poglavito potpora u sektoru prometa i za usluge za javno radiotelevizijsko emitiranje i audiovizualnu industriju što se nije u bitnome promijenilo, ali je pozitivna činjenica kako u posebnim sektorima raste udio potpora za zaštitu okoliša i energetskih mjera, što je pozitivan trend poglavito iz razloga poticanja da </w:t>
      </w:r>
      <w:r w:rsidR="002C0E05" w:rsidRPr="00434F02">
        <w:rPr>
          <w:spacing w:val="-2"/>
        </w:rPr>
        <w:t>Europ</w:t>
      </w:r>
      <w:r w:rsidRPr="00434F02">
        <w:rPr>
          <w:spacing w:val="-2"/>
        </w:rPr>
        <w:t xml:space="preserve">a </w:t>
      </w:r>
      <w:r w:rsidR="002C0E05" w:rsidRPr="00434F02">
        <w:rPr>
          <w:spacing w:val="-2"/>
        </w:rPr>
        <w:t>posta</w:t>
      </w:r>
      <w:r w:rsidRPr="00434F02">
        <w:rPr>
          <w:spacing w:val="-2"/>
        </w:rPr>
        <w:t xml:space="preserve">ne </w:t>
      </w:r>
      <w:r w:rsidR="002C0E05" w:rsidRPr="00434F02">
        <w:rPr>
          <w:spacing w:val="-2"/>
        </w:rPr>
        <w:t xml:space="preserve">prvi klimatski neutralni kontinent do 2050. godine, </w:t>
      </w:r>
      <w:r w:rsidRPr="00434F02">
        <w:rPr>
          <w:spacing w:val="-2"/>
        </w:rPr>
        <w:t xml:space="preserve">a da se </w:t>
      </w:r>
      <w:r w:rsidR="002C0E05" w:rsidRPr="00434F02">
        <w:rPr>
          <w:spacing w:val="-2"/>
        </w:rPr>
        <w:t>do 2030. godine smanji neto emisij</w:t>
      </w:r>
      <w:r w:rsidRPr="00434F02">
        <w:rPr>
          <w:spacing w:val="-2"/>
        </w:rPr>
        <w:t>a</w:t>
      </w:r>
      <w:r w:rsidR="002C0E05" w:rsidRPr="00434F02">
        <w:rPr>
          <w:spacing w:val="-2"/>
        </w:rPr>
        <w:t xml:space="preserve"> stakleničkih plinova za najmanje 55 posto.</w:t>
      </w:r>
    </w:p>
    <w:p w14:paraId="5FDF56D0" w14:textId="4DCBF527" w:rsidR="00071C3D" w:rsidRPr="00434F02" w:rsidRDefault="00071C3D" w:rsidP="002C0E05">
      <w:pPr>
        <w:jc w:val="both"/>
      </w:pPr>
    </w:p>
    <w:p w14:paraId="0CC5D4E6" w14:textId="36331360" w:rsidR="003111A6" w:rsidRPr="00434F02" w:rsidRDefault="00071C3D" w:rsidP="00071C3D">
      <w:pPr>
        <w:jc w:val="both"/>
      </w:pPr>
      <w:r w:rsidRPr="00434F02">
        <w:t xml:space="preserve">Struktura dodijeljenih potpora tijekom promatranog razdoblja predstavlja odraz poduzetih mjera ekonomske politike Vlade Republike Hrvatske, a to posebice dolazi do izražaja korištenjem EU sredstava kroz </w:t>
      </w:r>
      <w:r w:rsidR="003111A6" w:rsidRPr="00434F02">
        <w:t xml:space="preserve">mjere Nacionalnog plana oporavka i otpornosti </w:t>
      </w:r>
      <w:r w:rsidRPr="00434F02">
        <w:t>i</w:t>
      </w:r>
      <w:r w:rsidR="003111A6" w:rsidRPr="00434F02">
        <w:t>li drugim vidovima financiranja, kako bi se i nadalje pozitivno djelovalo na očuvanje gospodarstva.</w:t>
      </w:r>
    </w:p>
    <w:p w14:paraId="4A7B2B7D" w14:textId="77777777" w:rsidR="003111A6" w:rsidRPr="00434F02" w:rsidRDefault="003111A6" w:rsidP="00071C3D">
      <w:pPr>
        <w:jc w:val="both"/>
      </w:pPr>
    </w:p>
    <w:p w14:paraId="6AF6359A" w14:textId="5B8B050B" w:rsidR="00434F02" w:rsidRPr="002B0C5A" w:rsidRDefault="00434F02" w:rsidP="00434F02">
      <w:pPr>
        <w:jc w:val="both"/>
      </w:pPr>
      <w:r w:rsidRPr="002B0C5A">
        <w:t xml:space="preserve">Kada se promatra struktura dodijeljenih potpora u razdoblju trajanja </w:t>
      </w:r>
      <w:proofErr w:type="spellStart"/>
      <w:r w:rsidRPr="002B0C5A">
        <w:t>pandemije</w:t>
      </w:r>
      <w:proofErr w:type="spellEnd"/>
      <w:r w:rsidRPr="002B0C5A">
        <w:t xml:space="preserve"> bolesti COVID-19, vidljivo je kako su iste utjecale na izradu i provedbu mjera politike državnih potpora, koja je radi niza restrikcija utjecala na poduzetnike s obzirom na neizvjesnost koja je trajala zbog značajnih negativnih utjecaja na cjelokupno EU tržište. U tom razdoblju, primjenjivale su se navedene mjere kroz </w:t>
      </w:r>
      <w:r>
        <w:t xml:space="preserve">mjere sadržane u </w:t>
      </w:r>
      <w:r w:rsidRPr="002B0C5A">
        <w:t>Privremen</w:t>
      </w:r>
      <w:r>
        <w:t>om</w:t>
      </w:r>
      <w:r w:rsidRPr="002B0C5A">
        <w:t xml:space="preserve"> okvir</w:t>
      </w:r>
      <w:r>
        <w:t>u, a</w:t>
      </w:r>
      <w:r w:rsidRPr="002B0C5A">
        <w:t xml:space="preserve"> koj</w:t>
      </w:r>
      <w:r>
        <w:t>e</w:t>
      </w:r>
      <w:r w:rsidRPr="002B0C5A">
        <w:t xml:space="preserve"> su se prilagođaval</w:t>
      </w:r>
      <w:r>
        <w:t>e</w:t>
      </w:r>
      <w:r w:rsidRPr="002B0C5A">
        <w:t xml:space="preserve"> i nastalim okolnostima energetske krize i rata u Ukrajini. S obzirom na navedeno, potpore za podršku gospodarstvu se smanjuju</w:t>
      </w:r>
      <w:r>
        <w:t>, te bi se moglo zaključiti da su kao takve</w:t>
      </w:r>
      <w:r w:rsidRPr="002B0C5A">
        <w:t xml:space="preserve"> imale pozitivan učinak na poslovanja poduzetnika </w:t>
      </w:r>
      <w:r>
        <w:t>za razdoblje trajanja posebice energetske krize uzrokovane ratom u Ukrajini određujući pritom jasne prioritete Vlade Republike Hrvatske namijenjene stanovništvu, ali i samim poduzetnicima.</w:t>
      </w:r>
    </w:p>
    <w:p w14:paraId="7A2272F9" w14:textId="5056EA48" w:rsidR="00071C3D" w:rsidRDefault="00071C3D" w:rsidP="00434F02">
      <w:pPr>
        <w:jc w:val="both"/>
        <w:rPr>
          <w:highlight w:val="yellow"/>
        </w:rPr>
      </w:pPr>
    </w:p>
    <w:p w14:paraId="3FEFB52E" w14:textId="6D121BD3" w:rsidR="00434F02" w:rsidRPr="002B0C5A" w:rsidRDefault="00434F02" w:rsidP="00434F02">
      <w:pPr>
        <w:jc w:val="both"/>
      </w:pPr>
      <w:r w:rsidRPr="002B0C5A">
        <w:t xml:space="preserve">Isto tako, potrebno je </w:t>
      </w:r>
      <w:r>
        <w:t xml:space="preserve">uzeti u obzir </w:t>
      </w:r>
      <w:r w:rsidRPr="002B0C5A">
        <w:t>kako je</w:t>
      </w:r>
      <w:r>
        <w:t xml:space="preserve"> tijekom razdoblja od 2022. godine, pa sve do kraja 2023. godine </w:t>
      </w:r>
      <w:r w:rsidRPr="002B0C5A">
        <w:t>struktura dodijeljenih potpora uvjetovana proračunskim ograničenjima</w:t>
      </w:r>
      <w:r>
        <w:t>,</w:t>
      </w:r>
      <w:r w:rsidRPr="002B0C5A">
        <w:t xml:space="preserve"> pri čemu su </w:t>
      </w:r>
      <w:r>
        <w:t xml:space="preserve">primjerice </w:t>
      </w:r>
      <w:r w:rsidRPr="002B0C5A">
        <w:t xml:space="preserve">države članice </w:t>
      </w:r>
      <w:proofErr w:type="spellStart"/>
      <w:r w:rsidRPr="002B0C5A">
        <w:t>eurozone</w:t>
      </w:r>
      <w:proofErr w:type="spellEnd"/>
      <w:r w:rsidRPr="002B0C5A">
        <w:t xml:space="preserve"> uvelike mogle lakše koristiti sredstva i uz postojeći </w:t>
      </w:r>
      <w:r w:rsidRPr="002B0C5A">
        <w:lastRenderedPageBreak/>
        <w:t>fiskalni potencijal dati u većoj mjeri potpore poduzetnicima. Iako uz ograničene resurse, kvalitetno određeni i ciljani instrumenti ekonomske politike doprinijeli su ublažavanju teškoća poduzetnika za vrijeme uočenih vanjskih i sistemskih rizika. Time bi se moglo zaključiti kako se radi o dobrom</w:t>
      </w:r>
      <w:r>
        <w:t xml:space="preserve"> i primjerenom</w:t>
      </w:r>
      <w:r w:rsidRPr="002B0C5A">
        <w:t xml:space="preserve"> modelu dodjele potpora koji se prilagođavao nastalim okolnostima i uvelike je doprinio makroekonomskoj stabilnosti.</w:t>
      </w:r>
    </w:p>
    <w:p w14:paraId="02FBDEBE" w14:textId="607F5863" w:rsidR="00071C3D" w:rsidRPr="00801D22" w:rsidRDefault="00071C3D" w:rsidP="00071C3D">
      <w:pPr>
        <w:ind w:firstLine="708"/>
        <w:jc w:val="both"/>
        <w:rPr>
          <w:highlight w:val="yellow"/>
        </w:rPr>
      </w:pPr>
    </w:p>
    <w:p w14:paraId="5EF93E1A" w14:textId="7A345933" w:rsidR="00021159" w:rsidRDefault="00021159" w:rsidP="00021159">
      <w:pPr>
        <w:jc w:val="both"/>
      </w:pPr>
      <w:r w:rsidRPr="003111A6">
        <w:t xml:space="preserve">Pritom </w:t>
      </w:r>
      <w:r>
        <w:t xml:space="preserve">je od bitnoga naglasiti </w:t>
      </w:r>
      <w:r w:rsidRPr="003111A6">
        <w:t xml:space="preserve">kako se korištenjem sredstava, a posebice kroz mjere Nacionalnog plana oporavka i otpornosti uvelike sadržajno struktura dodijeljenih državnih potpora usmjerava prema područjima energetskog sektora kroz korištenje obnovljivih izvora energije, kružnog gospodarstva, učinkovite </w:t>
      </w:r>
      <w:proofErr w:type="spellStart"/>
      <w:r w:rsidRPr="003111A6">
        <w:t>kogeneracije</w:t>
      </w:r>
      <w:proofErr w:type="spellEnd"/>
      <w:r w:rsidRPr="003111A6">
        <w:t>, pa potom i one mjere koje su usmjerene u digitalizaciju i jačanju konkurentnosti u poduzetništvu. Isto se odnosi kako na same programe potpora, tako i za pojedinačne potpore</w:t>
      </w:r>
      <w:r>
        <w:t>.</w:t>
      </w:r>
    </w:p>
    <w:p w14:paraId="650198FE" w14:textId="77777777" w:rsidR="00021159" w:rsidRDefault="00021159" w:rsidP="00021159">
      <w:pPr>
        <w:jc w:val="both"/>
      </w:pPr>
    </w:p>
    <w:p w14:paraId="09573765" w14:textId="45ED9383" w:rsidR="00021159" w:rsidRPr="00021159" w:rsidRDefault="00021159" w:rsidP="00021159">
      <w:pPr>
        <w:jc w:val="both"/>
      </w:pPr>
      <w:r w:rsidRPr="00021159">
        <w:t xml:space="preserve">Iz prikazanog u ovom </w:t>
      </w:r>
      <w:r w:rsidR="00B772C7">
        <w:t>I</w:t>
      </w:r>
      <w:r w:rsidRPr="00021159">
        <w:t>zvješću može se zaključiti kako će struktura potpora i njihova dodjela u Republici Hrvatskoj i nadalje biti uvjetovana gospodarskim okvirima pri čemu će dodatni poticaj i promjene uslijediti kao rezultat dobro odmjerenih i uspješnih politika usmjerenih korištenju poglavito sredstava Nacionalnog plana oporavka i otpornosti, dodjela potpora te ostalim mjerama koje će u bitnome definirati i određenja Europske komisije.</w:t>
      </w:r>
    </w:p>
    <w:p w14:paraId="71F4DF7A" w14:textId="77777777" w:rsidR="00021159" w:rsidRPr="00021159" w:rsidRDefault="00021159" w:rsidP="00021159">
      <w:pPr>
        <w:jc w:val="both"/>
      </w:pPr>
    </w:p>
    <w:p w14:paraId="3635AF37" w14:textId="6D1CA0C2" w:rsidR="009E652B" w:rsidRPr="009E652B" w:rsidRDefault="00021159" w:rsidP="00021159">
      <w:pPr>
        <w:jc w:val="both"/>
      </w:pPr>
      <w:r w:rsidRPr="009E652B">
        <w:t xml:space="preserve">S tim u vezi važnim je uzeti u obzir i kako će u budućnosti sama struktura i obilježja koja čine politiku državnih potpora ovisiti o nizu čimbenika, a poglavito uzimajući u obzir i jasna određenja Europske komisije u odnosu na prijedloge sadržane u </w:t>
      </w:r>
      <w:r w:rsidR="00476EB2" w:rsidRPr="009E652B">
        <w:t xml:space="preserve">izvješćima </w:t>
      </w:r>
      <w:r w:rsidR="009E652B" w:rsidRPr="009E652B">
        <w:t xml:space="preserve">koja su objavili u 2024. godini g. Mario </w:t>
      </w:r>
      <w:proofErr w:type="spellStart"/>
      <w:r w:rsidR="009E652B" w:rsidRPr="009E652B">
        <w:t>Draghi</w:t>
      </w:r>
      <w:proofErr w:type="spellEnd"/>
      <w:r w:rsidR="009E652B" w:rsidRPr="009E652B">
        <w:t xml:space="preserve"> „Budućnost europske konkurentnosti“</w:t>
      </w:r>
      <w:r w:rsidR="009E652B" w:rsidRPr="009E652B">
        <w:rPr>
          <w:rStyle w:val="FootnoteReference"/>
        </w:rPr>
        <w:footnoteReference w:id="44"/>
      </w:r>
      <w:r w:rsidR="009E652B" w:rsidRPr="009E652B">
        <w:t xml:space="preserve"> te g. </w:t>
      </w:r>
      <w:proofErr w:type="spellStart"/>
      <w:r w:rsidR="009E652B" w:rsidRPr="009E652B">
        <w:t>Enrico</w:t>
      </w:r>
      <w:proofErr w:type="spellEnd"/>
      <w:r w:rsidR="009E652B" w:rsidRPr="009E652B">
        <w:t xml:space="preserve"> </w:t>
      </w:r>
      <w:proofErr w:type="spellStart"/>
      <w:r w:rsidR="009E652B" w:rsidRPr="009E652B">
        <w:t>Letta</w:t>
      </w:r>
      <w:proofErr w:type="spellEnd"/>
      <w:r w:rsidR="009E652B" w:rsidRPr="009E652B">
        <w:t xml:space="preserve"> „Puno više od tržišta“</w:t>
      </w:r>
      <w:r w:rsidR="009E652B" w:rsidRPr="009E652B">
        <w:rPr>
          <w:rStyle w:val="FootnoteReference"/>
        </w:rPr>
        <w:footnoteReference w:id="45"/>
      </w:r>
      <w:r w:rsidR="009E652B" w:rsidRPr="009E652B">
        <w:t>.</w:t>
      </w:r>
    </w:p>
    <w:p w14:paraId="3A1787D4" w14:textId="7D351348" w:rsidR="00021159" w:rsidRDefault="00021159" w:rsidP="00021159">
      <w:pPr>
        <w:jc w:val="both"/>
      </w:pPr>
    </w:p>
    <w:p w14:paraId="33C2A00A" w14:textId="5A2FA947" w:rsidR="00021159" w:rsidRPr="00021159" w:rsidRDefault="00021159" w:rsidP="00021159">
      <w:pPr>
        <w:jc w:val="both"/>
      </w:pPr>
      <w:r w:rsidRPr="00021159">
        <w:t xml:space="preserve">Za očekivati je kako će se ovisno o određenjima prema ovim izvješćima zasigurno imati i utjecaj kako na izvore financiranja, tako i na promjene postojećih smjernica i okvira dodjele potpora koji bi se prilagođavali jačanju konkurentnosti Europske unije. Ovisno o eventualnim promjenama pravila o potporama mijenjat će se i određenja davatelja potpora koje bi u još većoj mjeri trebale biti usmjerene općim ciljevima zaštite okoliša, digitalizacije, energetske učinkovitosti, </w:t>
      </w:r>
      <w:proofErr w:type="spellStart"/>
      <w:r w:rsidRPr="00021159">
        <w:t>dekarbonizacije</w:t>
      </w:r>
      <w:proofErr w:type="spellEnd"/>
      <w:r w:rsidRPr="00021159">
        <w:t xml:space="preserve"> i jačanja istraživanja i razvoja s ciljem još veće inovativnosti i prilagodbe novim tehnologijama uključujući pritom i umjetnu inteligenciju. Za očekivati je kako će se postojeći programi u takvim okolnostima prilagođavati novim određenjima i smjernicama, ali i donošenjem novih programa ili dodjele pojedinačnih/ad </w:t>
      </w:r>
      <w:proofErr w:type="spellStart"/>
      <w:r w:rsidRPr="00021159">
        <w:t>hoc</w:t>
      </w:r>
      <w:proofErr w:type="spellEnd"/>
      <w:r w:rsidRPr="00021159">
        <w:t xml:space="preserve"> potpora u skladu s pravilima k</w:t>
      </w:r>
      <w:r w:rsidR="00DF44C6">
        <w:t>oja će se možebitno mijenjati.</w:t>
      </w:r>
    </w:p>
    <w:p w14:paraId="4C82792C" w14:textId="77777777" w:rsidR="00021159" w:rsidRPr="00021159" w:rsidRDefault="00021159" w:rsidP="00021159">
      <w:pPr>
        <w:jc w:val="both"/>
        <w:rPr>
          <w:b/>
        </w:rPr>
      </w:pPr>
    </w:p>
    <w:p w14:paraId="446F6925" w14:textId="17722E6B" w:rsidR="00021159" w:rsidRPr="00021159" w:rsidRDefault="00021159" w:rsidP="00021159">
      <w:pPr>
        <w:jc w:val="both"/>
      </w:pPr>
      <w:r w:rsidRPr="00021159">
        <w:t xml:space="preserve">Zaključno, određenja i ciljevi sektorskih politika i ostvarenje još učinkovitije provedbe mjera ekonomske politike kroz dodjelu potpora ovoga trenutka se može ocijeniti uspješnom, a poglavito razmatrajući razdoblje od 2020. godine kada su dobro prilagođenim i odmjerenim mjerama Vlade Republike Hrvatske uspješno odgovorilo na izazove koji su uslijedili uslijed teškoća uzrokovanih </w:t>
      </w:r>
      <w:proofErr w:type="spellStart"/>
      <w:r w:rsidRPr="00021159">
        <w:t>pandemijom</w:t>
      </w:r>
      <w:proofErr w:type="spellEnd"/>
      <w:r w:rsidRPr="00021159">
        <w:t xml:space="preserve"> bolesti COVID-19, ali i energetskom krizom i svim drugim vanjskim čimbenicima i sistemskim rizicima nastalim uslijed ratnih zbivanja u Ukrajini.</w:t>
      </w:r>
    </w:p>
    <w:p w14:paraId="01219A52" w14:textId="77777777" w:rsidR="00021159" w:rsidRPr="00021159" w:rsidRDefault="00021159" w:rsidP="00021159">
      <w:pPr>
        <w:jc w:val="both"/>
        <w:rPr>
          <w:b/>
        </w:rPr>
      </w:pPr>
    </w:p>
    <w:p w14:paraId="2A2F1E6B" w14:textId="4BC2E75B" w:rsidR="00071C3D" w:rsidRPr="00021159" w:rsidRDefault="00071C3D" w:rsidP="00BE487D">
      <w:pPr>
        <w:jc w:val="both"/>
        <w:rPr>
          <w:b/>
          <w:highlight w:val="yellow"/>
        </w:rPr>
      </w:pPr>
    </w:p>
    <w:p w14:paraId="0F326979" w14:textId="77777777" w:rsidR="00071C3D" w:rsidRPr="00021159" w:rsidRDefault="00071C3D" w:rsidP="00BE487D">
      <w:pPr>
        <w:jc w:val="both"/>
        <w:rPr>
          <w:b/>
          <w:highlight w:val="yellow"/>
        </w:rPr>
      </w:pPr>
    </w:p>
    <w:p w14:paraId="74E92CB6" w14:textId="77777777" w:rsidR="00DF33C6" w:rsidRPr="008149B5" w:rsidRDefault="00DF33C6">
      <w:pPr>
        <w:rPr>
          <w:rFonts w:eastAsiaTheme="majorEastAsia"/>
          <w:b/>
          <w:sz w:val="32"/>
          <w:highlight w:val="red"/>
        </w:rPr>
      </w:pPr>
      <w:r w:rsidRPr="008149B5">
        <w:rPr>
          <w:b/>
          <w:highlight w:val="red"/>
        </w:rPr>
        <w:br w:type="page"/>
      </w:r>
    </w:p>
    <w:p w14:paraId="3065494A" w14:textId="1665338C" w:rsidR="00BE0817" w:rsidRPr="00620DC1" w:rsidRDefault="00BE0817" w:rsidP="00BE487D">
      <w:pPr>
        <w:pStyle w:val="Heading1"/>
        <w:spacing w:before="0"/>
        <w:jc w:val="both"/>
        <w:rPr>
          <w:rFonts w:ascii="Times New Roman" w:hAnsi="Times New Roman" w:cs="Times New Roman"/>
          <w:b/>
          <w:color w:val="auto"/>
          <w:sz w:val="24"/>
          <w:szCs w:val="24"/>
        </w:rPr>
      </w:pPr>
      <w:bookmarkStart w:id="34" w:name="_Toc184635864"/>
      <w:r w:rsidRPr="00620DC1">
        <w:rPr>
          <w:rFonts w:ascii="Times New Roman" w:hAnsi="Times New Roman" w:cs="Times New Roman"/>
          <w:b/>
          <w:color w:val="auto"/>
          <w:sz w:val="24"/>
          <w:szCs w:val="24"/>
        </w:rPr>
        <w:lastRenderedPageBreak/>
        <w:t>PRILOG 1.</w:t>
      </w:r>
      <w:bookmarkEnd w:id="34"/>
    </w:p>
    <w:p w14:paraId="38B9696F" w14:textId="77777777" w:rsidR="00995EF4" w:rsidRPr="00620DC1" w:rsidRDefault="00995EF4" w:rsidP="00BE487D">
      <w:pPr>
        <w:jc w:val="both"/>
      </w:pPr>
    </w:p>
    <w:p w14:paraId="3C0EA117" w14:textId="36CB43E0" w:rsidR="00995EF4" w:rsidRPr="00620DC1" w:rsidRDefault="00995EF4" w:rsidP="00BE487D">
      <w:pPr>
        <w:contextualSpacing/>
        <w:jc w:val="both"/>
      </w:pPr>
      <w:r w:rsidRPr="00620DC1">
        <w:rPr>
          <w:b/>
        </w:rPr>
        <w:t>Davatelji potpora na razini središnje države u 20</w:t>
      </w:r>
      <w:r w:rsidR="00863EE5" w:rsidRPr="00620DC1">
        <w:rPr>
          <w:b/>
        </w:rPr>
        <w:t>2</w:t>
      </w:r>
      <w:r w:rsidR="00620DC1" w:rsidRPr="00620DC1">
        <w:rPr>
          <w:b/>
        </w:rPr>
        <w:t>3</w:t>
      </w:r>
      <w:r w:rsidRPr="00620DC1">
        <w:rPr>
          <w:b/>
        </w:rPr>
        <w:t>. godini</w:t>
      </w:r>
    </w:p>
    <w:p w14:paraId="1846BA10" w14:textId="77777777" w:rsidR="00995EF4" w:rsidRPr="00620DC1" w:rsidRDefault="00995EF4" w:rsidP="00BE487D">
      <w:pPr>
        <w:contextualSpacing/>
        <w:jc w:val="both"/>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995EF4" w:rsidRPr="008149B5" w14:paraId="3AB0E138" w14:textId="77777777" w:rsidTr="004E7739">
        <w:trPr>
          <w:trHeight w:val="364"/>
          <w:jc w:val="center"/>
        </w:trPr>
        <w:tc>
          <w:tcPr>
            <w:tcW w:w="8642" w:type="dxa"/>
            <w:tcBorders>
              <w:bottom w:val="double" w:sz="4" w:space="0" w:color="auto"/>
            </w:tcBorders>
            <w:shd w:val="clear" w:color="auto" w:fill="FFFF99"/>
            <w:vAlign w:val="center"/>
          </w:tcPr>
          <w:p w14:paraId="6C5CAEF5" w14:textId="184B03F4" w:rsidR="00995EF4" w:rsidRPr="00620DC1" w:rsidRDefault="00995EF4" w:rsidP="00620DC1">
            <w:pPr>
              <w:contextualSpacing/>
              <w:jc w:val="both"/>
              <w:rPr>
                <w:b/>
                <w:i/>
                <w:sz w:val="22"/>
                <w:szCs w:val="22"/>
              </w:rPr>
            </w:pPr>
            <w:r w:rsidRPr="00620DC1">
              <w:rPr>
                <w:b/>
                <w:i/>
                <w:sz w:val="22"/>
                <w:szCs w:val="22"/>
              </w:rPr>
              <w:t>Davatelji potpora na razini središnje države u 20</w:t>
            </w:r>
            <w:r w:rsidR="00863EE5" w:rsidRPr="00620DC1">
              <w:rPr>
                <w:b/>
                <w:i/>
                <w:sz w:val="22"/>
                <w:szCs w:val="22"/>
              </w:rPr>
              <w:t>2</w:t>
            </w:r>
            <w:r w:rsidR="00620DC1" w:rsidRPr="00620DC1">
              <w:rPr>
                <w:b/>
                <w:i/>
                <w:sz w:val="22"/>
                <w:szCs w:val="22"/>
              </w:rPr>
              <w:t>3</w:t>
            </w:r>
            <w:r w:rsidRPr="00620DC1">
              <w:rPr>
                <w:b/>
                <w:i/>
                <w:sz w:val="22"/>
                <w:szCs w:val="22"/>
              </w:rPr>
              <w:t>. godini</w:t>
            </w:r>
          </w:p>
        </w:tc>
      </w:tr>
      <w:tr w:rsidR="00995EF4" w:rsidRPr="008149B5" w14:paraId="216A9DDB" w14:textId="77777777" w:rsidTr="004E7739">
        <w:trPr>
          <w:jc w:val="center"/>
        </w:trPr>
        <w:tc>
          <w:tcPr>
            <w:tcW w:w="8642" w:type="dxa"/>
            <w:tcBorders>
              <w:top w:val="double" w:sz="4" w:space="0" w:color="auto"/>
            </w:tcBorders>
            <w:vAlign w:val="center"/>
          </w:tcPr>
          <w:p w14:paraId="2EBCF0B2" w14:textId="77777777" w:rsidR="00995EF4" w:rsidRPr="00620DC1" w:rsidRDefault="00995EF4" w:rsidP="00BE487D">
            <w:pPr>
              <w:contextualSpacing/>
              <w:jc w:val="both"/>
              <w:rPr>
                <w:sz w:val="22"/>
                <w:szCs w:val="22"/>
              </w:rPr>
            </w:pPr>
            <w:r w:rsidRPr="00620DC1">
              <w:rPr>
                <w:sz w:val="22"/>
                <w:szCs w:val="22"/>
              </w:rPr>
              <w:t>1. Ministarstvo financija</w:t>
            </w:r>
          </w:p>
        </w:tc>
      </w:tr>
      <w:tr w:rsidR="00995EF4" w:rsidRPr="00961D82" w14:paraId="521BFF21" w14:textId="77777777" w:rsidTr="004E7739">
        <w:trPr>
          <w:jc w:val="center"/>
        </w:trPr>
        <w:tc>
          <w:tcPr>
            <w:tcW w:w="8642" w:type="dxa"/>
            <w:vAlign w:val="center"/>
          </w:tcPr>
          <w:p w14:paraId="12368F16" w14:textId="77777777" w:rsidR="004427F6" w:rsidRPr="00961D82" w:rsidRDefault="004427F6" w:rsidP="00484657">
            <w:pPr>
              <w:jc w:val="both"/>
              <w:rPr>
                <w:sz w:val="22"/>
                <w:szCs w:val="22"/>
              </w:rPr>
            </w:pPr>
            <w:r w:rsidRPr="00961D82">
              <w:rPr>
                <w:sz w:val="22"/>
                <w:szCs w:val="22"/>
              </w:rPr>
              <w:t xml:space="preserve">2. </w:t>
            </w:r>
            <w:r w:rsidR="00DE02BD" w:rsidRPr="00961D82">
              <w:rPr>
                <w:sz w:val="22"/>
                <w:szCs w:val="22"/>
              </w:rPr>
              <w:t>Ministarstvo gospodarstva i održivog razvoja</w:t>
            </w:r>
          </w:p>
        </w:tc>
      </w:tr>
      <w:tr w:rsidR="00995EF4" w:rsidRPr="00961D82" w14:paraId="7BCC6C9C" w14:textId="77777777" w:rsidTr="004E7739">
        <w:trPr>
          <w:jc w:val="center"/>
        </w:trPr>
        <w:tc>
          <w:tcPr>
            <w:tcW w:w="8642" w:type="dxa"/>
            <w:vAlign w:val="center"/>
          </w:tcPr>
          <w:p w14:paraId="1717816A" w14:textId="77777777" w:rsidR="00995EF4" w:rsidRPr="00961D82" w:rsidRDefault="00995EF4" w:rsidP="00BE487D">
            <w:pPr>
              <w:contextualSpacing/>
              <w:jc w:val="both"/>
              <w:rPr>
                <w:sz w:val="22"/>
                <w:szCs w:val="22"/>
              </w:rPr>
            </w:pPr>
            <w:r w:rsidRPr="00961D82">
              <w:rPr>
                <w:sz w:val="22"/>
                <w:szCs w:val="22"/>
              </w:rPr>
              <w:t xml:space="preserve">3. Ministarstvo </w:t>
            </w:r>
            <w:r w:rsidRPr="00961D82">
              <w:rPr>
                <w:bCs/>
                <w:sz w:val="22"/>
                <w:szCs w:val="22"/>
                <w:lang w:eastAsia="hr-HR"/>
              </w:rPr>
              <w:t xml:space="preserve">hrvatskih </w:t>
            </w:r>
            <w:r w:rsidRPr="00961D82">
              <w:rPr>
                <w:sz w:val="22"/>
                <w:szCs w:val="22"/>
              </w:rPr>
              <w:t>branitelja</w:t>
            </w:r>
          </w:p>
        </w:tc>
      </w:tr>
      <w:tr w:rsidR="00995EF4" w:rsidRPr="00961D82" w14:paraId="12E1B81B" w14:textId="77777777" w:rsidTr="004E7739">
        <w:trPr>
          <w:jc w:val="center"/>
        </w:trPr>
        <w:tc>
          <w:tcPr>
            <w:tcW w:w="8642" w:type="dxa"/>
            <w:vAlign w:val="center"/>
          </w:tcPr>
          <w:p w14:paraId="6C6FAA36" w14:textId="77777777" w:rsidR="004427F6" w:rsidRPr="00961D82" w:rsidRDefault="00995EF4" w:rsidP="004D348B">
            <w:pPr>
              <w:contextualSpacing/>
              <w:jc w:val="both"/>
              <w:rPr>
                <w:sz w:val="22"/>
                <w:szCs w:val="22"/>
              </w:rPr>
            </w:pPr>
            <w:r w:rsidRPr="00961D82">
              <w:rPr>
                <w:sz w:val="22"/>
                <w:szCs w:val="22"/>
              </w:rPr>
              <w:t xml:space="preserve">4. </w:t>
            </w:r>
            <w:r w:rsidR="00DE02BD" w:rsidRPr="00961D82">
              <w:rPr>
                <w:sz w:val="22"/>
                <w:szCs w:val="22"/>
              </w:rPr>
              <w:t>Ministarstvo kulture i medija</w:t>
            </w:r>
          </w:p>
        </w:tc>
      </w:tr>
      <w:tr w:rsidR="00995EF4" w:rsidRPr="00961D82" w14:paraId="2CE359D5" w14:textId="77777777" w:rsidTr="004E7739">
        <w:trPr>
          <w:jc w:val="center"/>
        </w:trPr>
        <w:tc>
          <w:tcPr>
            <w:tcW w:w="8642" w:type="dxa"/>
            <w:vAlign w:val="center"/>
          </w:tcPr>
          <w:p w14:paraId="7860993B" w14:textId="77777777" w:rsidR="00995EF4" w:rsidRPr="00961D82" w:rsidRDefault="00995EF4" w:rsidP="00BE487D">
            <w:pPr>
              <w:contextualSpacing/>
              <w:jc w:val="both"/>
              <w:rPr>
                <w:sz w:val="22"/>
                <w:szCs w:val="22"/>
              </w:rPr>
            </w:pPr>
            <w:r w:rsidRPr="00961D82">
              <w:rPr>
                <w:sz w:val="22"/>
                <w:szCs w:val="22"/>
              </w:rPr>
              <w:t>5. Ministarstvo mora, prometa i infrastrukture</w:t>
            </w:r>
          </w:p>
        </w:tc>
      </w:tr>
      <w:tr w:rsidR="00995EF4" w:rsidRPr="00961D82" w14:paraId="192C5D4D" w14:textId="77777777" w:rsidTr="004E7739">
        <w:trPr>
          <w:jc w:val="center"/>
        </w:trPr>
        <w:tc>
          <w:tcPr>
            <w:tcW w:w="8642" w:type="dxa"/>
            <w:vAlign w:val="center"/>
          </w:tcPr>
          <w:p w14:paraId="28F9FB59" w14:textId="77777777" w:rsidR="00995EF4" w:rsidRPr="00961D82" w:rsidRDefault="00995EF4" w:rsidP="00BE487D">
            <w:pPr>
              <w:contextualSpacing/>
              <w:jc w:val="both"/>
              <w:rPr>
                <w:sz w:val="22"/>
                <w:szCs w:val="22"/>
              </w:rPr>
            </w:pPr>
            <w:r w:rsidRPr="00961D82">
              <w:rPr>
                <w:sz w:val="22"/>
                <w:szCs w:val="22"/>
              </w:rPr>
              <w:t>6. Ministarstvo poljoprivrede</w:t>
            </w:r>
          </w:p>
        </w:tc>
      </w:tr>
      <w:tr w:rsidR="00CC4DFA" w:rsidRPr="008149B5" w14:paraId="74E26B27" w14:textId="77777777" w:rsidTr="004E7739">
        <w:trPr>
          <w:jc w:val="center"/>
        </w:trPr>
        <w:tc>
          <w:tcPr>
            <w:tcW w:w="8642" w:type="dxa"/>
            <w:vAlign w:val="center"/>
          </w:tcPr>
          <w:p w14:paraId="56040FE3" w14:textId="77777777" w:rsidR="00CC4DFA" w:rsidRPr="00961D82" w:rsidRDefault="004657CD" w:rsidP="004657CD">
            <w:pPr>
              <w:rPr>
                <w:sz w:val="22"/>
              </w:rPr>
            </w:pPr>
            <w:r w:rsidRPr="00961D82">
              <w:rPr>
                <w:sz w:val="22"/>
              </w:rPr>
              <w:t xml:space="preserve">7. </w:t>
            </w:r>
            <w:r w:rsidR="00CC4DFA" w:rsidRPr="00961D82">
              <w:rPr>
                <w:sz w:val="22"/>
              </w:rPr>
              <w:t>Ministarstvo prostornoga uređenja, graditeljstva i državne imovine</w:t>
            </w:r>
          </w:p>
        </w:tc>
      </w:tr>
      <w:tr w:rsidR="00995EF4" w:rsidRPr="00961D82" w14:paraId="1997B9B9" w14:textId="77777777" w:rsidTr="004E7739">
        <w:trPr>
          <w:jc w:val="center"/>
        </w:trPr>
        <w:tc>
          <w:tcPr>
            <w:tcW w:w="8642" w:type="dxa"/>
            <w:vAlign w:val="center"/>
          </w:tcPr>
          <w:p w14:paraId="0B42B7F4" w14:textId="4BD72A7A" w:rsidR="00995EF4" w:rsidRPr="00961D82" w:rsidRDefault="000A0D14" w:rsidP="00BE487D">
            <w:pPr>
              <w:contextualSpacing/>
              <w:jc w:val="both"/>
              <w:rPr>
                <w:sz w:val="22"/>
                <w:szCs w:val="22"/>
              </w:rPr>
            </w:pPr>
            <w:r>
              <w:rPr>
                <w:sz w:val="22"/>
                <w:szCs w:val="22"/>
              </w:rPr>
              <w:t>8</w:t>
            </w:r>
            <w:r w:rsidR="00995EF4" w:rsidRPr="00961D82">
              <w:rPr>
                <w:sz w:val="22"/>
                <w:szCs w:val="22"/>
              </w:rPr>
              <w:t>. Ministarstvo regionalnoga razvoja i fondova Europske unije</w:t>
            </w:r>
          </w:p>
        </w:tc>
      </w:tr>
      <w:tr w:rsidR="00995EF4" w:rsidRPr="008149B5" w14:paraId="1FA6F94E" w14:textId="77777777" w:rsidTr="004E7739">
        <w:trPr>
          <w:jc w:val="center"/>
        </w:trPr>
        <w:tc>
          <w:tcPr>
            <w:tcW w:w="8642" w:type="dxa"/>
            <w:vAlign w:val="center"/>
          </w:tcPr>
          <w:p w14:paraId="6CBCBCE1" w14:textId="10FF9B2D" w:rsidR="004427F6" w:rsidRPr="00961D82" w:rsidRDefault="000A0D14" w:rsidP="004D348B">
            <w:pPr>
              <w:contextualSpacing/>
              <w:jc w:val="both"/>
              <w:rPr>
                <w:sz w:val="22"/>
                <w:szCs w:val="22"/>
              </w:rPr>
            </w:pPr>
            <w:r>
              <w:rPr>
                <w:sz w:val="22"/>
                <w:szCs w:val="22"/>
              </w:rPr>
              <w:t>9</w:t>
            </w:r>
            <w:r w:rsidR="00995EF4" w:rsidRPr="00961D82">
              <w:rPr>
                <w:sz w:val="22"/>
                <w:szCs w:val="22"/>
              </w:rPr>
              <w:t xml:space="preserve">. </w:t>
            </w:r>
            <w:r w:rsidR="00DE02BD" w:rsidRPr="00961D82">
              <w:rPr>
                <w:sz w:val="22"/>
                <w:szCs w:val="22"/>
              </w:rPr>
              <w:t>Ministarstvo turizma i sporta</w:t>
            </w:r>
          </w:p>
        </w:tc>
      </w:tr>
      <w:tr w:rsidR="00995EF4" w:rsidRPr="00961D82" w14:paraId="0EF95756" w14:textId="77777777" w:rsidTr="004E7739">
        <w:trPr>
          <w:jc w:val="center"/>
        </w:trPr>
        <w:tc>
          <w:tcPr>
            <w:tcW w:w="8642" w:type="dxa"/>
            <w:vAlign w:val="center"/>
          </w:tcPr>
          <w:p w14:paraId="15198468" w14:textId="1BE29C7E" w:rsidR="00995EF4" w:rsidRPr="00961D82" w:rsidRDefault="00995EF4" w:rsidP="000A0D14">
            <w:pPr>
              <w:jc w:val="both"/>
              <w:rPr>
                <w:sz w:val="22"/>
                <w:szCs w:val="22"/>
              </w:rPr>
            </w:pPr>
            <w:r w:rsidRPr="00961D82">
              <w:rPr>
                <w:sz w:val="22"/>
                <w:szCs w:val="22"/>
              </w:rPr>
              <w:t>1</w:t>
            </w:r>
            <w:r w:rsidR="000A0D14">
              <w:rPr>
                <w:sz w:val="22"/>
                <w:szCs w:val="22"/>
              </w:rPr>
              <w:t>0</w:t>
            </w:r>
            <w:r w:rsidRPr="00961D82">
              <w:rPr>
                <w:sz w:val="22"/>
                <w:szCs w:val="22"/>
              </w:rPr>
              <w:t xml:space="preserve">. </w:t>
            </w:r>
            <w:r w:rsidR="00484657" w:rsidRPr="00961D82">
              <w:rPr>
                <w:sz w:val="22"/>
                <w:szCs w:val="22"/>
              </w:rPr>
              <w:t>Agencija za elektroničke medije</w:t>
            </w:r>
          </w:p>
        </w:tc>
      </w:tr>
      <w:tr w:rsidR="00995EF4" w:rsidRPr="00961D82" w14:paraId="7FB551A4" w14:textId="77777777" w:rsidTr="004E7739">
        <w:trPr>
          <w:jc w:val="center"/>
        </w:trPr>
        <w:tc>
          <w:tcPr>
            <w:tcW w:w="8642" w:type="dxa"/>
            <w:vAlign w:val="center"/>
          </w:tcPr>
          <w:p w14:paraId="0E9831A5" w14:textId="38E75255" w:rsidR="00995EF4" w:rsidRPr="00961D82" w:rsidRDefault="004427F6" w:rsidP="000A0D14">
            <w:pPr>
              <w:jc w:val="both"/>
              <w:rPr>
                <w:sz w:val="22"/>
                <w:szCs w:val="22"/>
              </w:rPr>
            </w:pPr>
            <w:r w:rsidRPr="00961D82">
              <w:rPr>
                <w:sz w:val="22"/>
                <w:szCs w:val="22"/>
              </w:rPr>
              <w:t>1</w:t>
            </w:r>
            <w:r w:rsidR="000A0D14">
              <w:rPr>
                <w:sz w:val="22"/>
                <w:szCs w:val="22"/>
              </w:rPr>
              <w:t>1</w:t>
            </w:r>
            <w:r w:rsidRPr="00961D82">
              <w:rPr>
                <w:sz w:val="22"/>
                <w:szCs w:val="22"/>
              </w:rPr>
              <w:t xml:space="preserve">. </w:t>
            </w:r>
            <w:r w:rsidR="00484657" w:rsidRPr="00961D82">
              <w:rPr>
                <w:sz w:val="22"/>
                <w:szCs w:val="22"/>
              </w:rPr>
              <w:t>Agencija za obalni linijski pomorski promet</w:t>
            </w:r>
          </w:p>
        </w:tc>
      </w:tr>
      <w:tr w:rsidR="00995EF4" w:rsidRPr="00961D82" w14:paraId="5F6ED971"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12F5168D" w14:textId="37E10101" w:rsidR="00995EF4" w:rsidRPr="00961D82" w:rsidRDefault="004427F6" w:rsidP="000A0D14">
            <w:pPr>
              <w:contextualSpacing/>
              <w:jc w:val="both"/>
              <w:rPr>
                <w:sz w:val="22"/>
                <w:szCs w:val="22"/>
              </w:rPr>
            </w:pPr>
            <w:r w:rsidRPr="00961D82">
              <w:rPr>
                <w:sz w:val="22"/>
                <w:szCs w:val="22"/>
              </w:rPr>
              <w:t>1</w:t>
            </w:r>
            <w:r w:rsidR="000A0D14">
              <w:rPr>
                <w:sz w:val="22"/>
                <w:szCs w:val="22"/>
              </w:rPr>
              <w:t>2</w:t>
            </w:r>
            <w:r w:rsidRPr="00961D82">
              <w:rPr>
                <w:sz w:val="22"/>
                <w:szCs w:val="22"/>
              </w:rPr>
              <w:t>.</w:t>
            </w:r>
            <w:r w:rsidR="00995EF4" w:rsidRPr="00961D82">
              <w:rPr>
                <w:sz w:val="22"/>
                <w:szCs w:val="22"/>
              </w:rPr>
              <w:t xml:space="preserve"> </w:t>
            </w:r>
            <w:r w:rsidR="00484657" w:rsidRPr="00961D82">
              <w:rPr>
                <w:sz w:val="22"/>
                <w:szCs w:val="22"/>
              </w:rPr>
              <w:t>Fond za obnovu i razvoj grada Vukovara</w:t>
            </w:r>
          </w:p>
        </w:tc>
      </w:tr>
      <w:tr w:rsidR="004427F6" w:rsidRPr="00961D82" w14:paraId="0CB45C94"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3A98A30F" w14:textId="4BDC4E06" w:rsidR="004427F6" w:rsidRPr="00961D82" w:rsidRDefault="004427F6" w:rsidP="000A0D14">
            <w:pPr>
              <w:contextualSpacing/>
              <w:jc w:val="both"/>
              <w:rPr>
                <w:sz w:val="22"/>
                <w:szCs w:val="22"/>
              </w:rPr>
            </w:pPr>
            <w:r w:rsidRPr="00961D82">
              <w:rPr>
                <w:sz w:val="22"/>
                <w:szCs w:val="22"/>
              </w:rPr>
              <w:t>1</w:t>
            </w:r>
            <w:r w:rsidR="000A0D14">
              <w:rPr>
                <w:sz w:val="22"/>
                <w:szCs w:val="22"/>
              </w:rPr>
              <w:t>3</w:t>
            </w:r>
            <w:r w:rsidRPr="00961D82">
              <w:rPr>
                <w:sz w:val="22"/>
                <w:szCs w:val="22"/>
              </w:rPr>
              <w:t xml:space="preserve">. </w:t>
            </w:r>
            <w:r w:rsidR="00484657" w:rsidRPr="00961D82">
              <w:rPr>
                <w:sz w:val="22"/>
                <w:szCs w:val="22"/>
              </w:rPr>
              <w:t>Fond za zaštitu okoliša i energetsku učinkovitost</w:t>
            </w:r>
          </w:p>
        </w:tc>
      </w:tr>
      <w:tr w:rsidR="00995EF4" w:rsidRPr="00961D82" w14:paraId="6D000F0B"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7E506357" w14:textId="3FDDA330" w:rsidR="00995EF4" w:rsidRPr="00961D82" w:rsidRDefault="00995EF4" w:rsidP="000A0D14">
            <w:pPr>
              <w:contextualSpacing/>
              <w:jc w:val="both"/>
              <w:rPr>
                <w:sz w:val="22"/>
                <w:szCs w:val="22"/>
              </w:rPr>
            </w:pPr>
            <w:r w:rsidRPr="00961D82">
              <w:rPr>
                <w:sz w:val="22"/>
                <w:szCs w:val="22"/>
              </w:rPr>
              <w:t>1</w:t>
            </w:r>
            <w:r w:rsidR="000A0D14">
              <w:rPr>
                <w:sz w:val="22"/>
                <w:szCs w:val="22"/>
              </w:rPr>
              <w:t>4</w:t>
            </w:r>
            <w:r w:rsidRPr="00961D82">
              <w:rPr>
                <w:sz w:val="22"/>
                <w:szCs w:val="22"/>
              </w:rPr>
              <w:t xml:space="preserve">. </w:t>
            </w:r>
            <w:r w:rsidR="00484657" w:rsidRPr="00961D82">
              <w:rPr>
                <w:rStyle w:val="Strong"/>
                <w:b w:val="0"/>
                <w:sz w:val="22"/>
                <w:szCs w:val="22"/>
              </w:rPr>
              <w:t>Hrvatska agencija za malo gospodarstvo, inovacije i investicije</w:t>
            </w:r>
            <w:r w:rsidR="00B772C7">
              <w:rPr>
                <w:rStyle w:val="Strong"/>
                <w:b w:val="0"/>
                <w:sz w:val="22"/>
                <w:szCs w:val="22"/>
              </w:rPr>
              <w:t xml:space="preserve"> (HAMAG – BICRO)</w:t>
            </w:r>
          </w:p>
        </w:tc>
      </w:tr>
      <w:tr w:rsidR="00995EF4" w:rsidRPr="008149B5" w14:paraId="69247992"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364DFE60" w14:textId="682D3941" w:rsidR="00995EF4" w:rsidRPr="00961D82" w:rsidRDefault="00995EF4" w:rsidP="000A0D14">
            <w:pPr>
              <w:contextualSpacing/>
              <w:jc w:val="both"/>
              <w:rPr>
                <w:sz w:val="22"/>
                <w:szCs w:val="22"/>
              </w:rPr>
            </w:pPr>
            <w:r w:rsidRPr="00961D82">
              <w:rPr>
                <w:sz w:val="22"/>
                <w:szCs w:val="22"/>
              </w:rPr>
              <w:t>1</w:t>
            </w:r>
            <w:r w:rsidR="000A0D14">
              <w:rPr>
                <w:sz w:val="22"/>
                <w:szCs w:val="22"/>
              </w:rPr>
              <w:t>5</w:t>
            </w:r>
            <w:r w:rsidRPr="00961D82">
              <w:rPr>
                <w:sz w:val="22"/>
                <w:szCs w:val="22"/>
              </w:rPr>
              <w:t xml:space="preserve">. </w:t>
            </w:r>
            <w:r w:rsidR="00484657" w:rsidRPr="00961D82">
              <w:rPr>
                <w:sz w:val="22"/>
                <w:szCs w:val="22"/>
              </w:rPr>
              <w:t>Hrvatska banka za obnovu i razvitak</w:t>
            </w:r>
          </w:p>
        </w:tc>
      </w:tr>
      <w:tr w:rsidR="00995EF4" w:rsidRPr="00961D82" w14:paraId="63FAD2E5"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3758C7EE" w14:textId="2986B291" w:rsidR="00995EF4" w:rsidRPr="00961D82" w:rsidRDefault="004427F6" w:rsidP="000A0D14">
            <w:pPr>
              <w:contextualSpacing/>
              <w:jc w:val="both"/>
              <w:rPr>
                <w:b/>
                <w:sz w:val="22"/>
                <w:szCs w:val="22"/>
              </w:rPr>
            </w:pPr>
            <w:r w:rsidRPr="00961D82">
              <w:rPr>
                <w:sz w:val="22"/>
                <w:szCs w:val="22"/>
              </w:rPr>
              <w:t>1</w:t>
            </w:r>
            <w:r w:rsidR="000A0D14">
              <w:rPr>
                <w:sz w:val="22"/>
                <w:szCs w:val="22"/>
              </w:rPr>
              <w:t>6</w:t>
            </w:r>
            <w:r w:rsidR="00995EF4" w:rsidRPr="00961D82">
              <w:rPr>
                <w:sz w:val="22"/>
                <w:szCs w:val="22"/>
              </w:rPr>
              <w:t>.</w:t>
            </w:r>
            <w:r w:rsidR="00995EF4" w:rsidRPr="00961D82">
              <w:rPr>
                <w:b/>
                <w:sz w:val="22"/>
                <w:szCs w:val="22"/>
              </w:rPr>
              <w:t xml:space="preserve"> </w:t>
            </w:r>
            <w:r w:rsidR="00484657" w:rsidRPr="00961D82">
              <w:rPr>
                <w:sz w:val="22"/>
                <w:szCs w:val="22"/>
              </w:rPr>
              <w:t>Hrvatski audiovizualni centar</w:t>
            </w:r>
          </w:p>
        </w:tc>
      </w:tr>
      <w:tr w:rsidR="00995EF4" w:rsidRPr="008149B5" w14:paraId="59740415"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28798870" w14:textId="45C277BD" w:rsidR="00995EF4" w:rsidRPr="00961D82" w:rsidRDefault="00961D82" w:rsidP="000A0D14">
            <w:pPr>
              <w:contextualSpacing/>
              <w:jc w:val="both"/>
              <w:rPr>
                <w:sz w:val="22"/>
                <w:szCs w:val="22"/>
              </w:rPr>
            </w:pPr>
            <w:r>
              <w:rPr>
                <w:sz w:val="22"/>
                <w:szCs w:val="22"/>
              </w:rPr>
              <w:t>1</w:t>
            </w:r>
            <w:r w:rsidR="000A0D14">
              <w:rPr>
                <w:sz w:val="22"/>
                <w:szCs w:val="22"/>
              </w:rPr>
              <w:t>7</w:t>
            </w:r>
            <w:r w:rsidR="00995EF4" w:rsidRPr="00961D82">
              <w:rPr>
                <w:sz w:val="22"/>
                <w:szCs w:val="22"/>
              </w:rPr>
              <w:t xml:space="preserve">. </w:t>
            </w:r>
            <w:r w:rsidR="00484657" w:rsidRPr="00961D82">
              <w:rPr>
                <w:bCs/>
                <w:sz w:val="22"/>
                <w:szCs w:val="22"/>
                <w:lang w:eastAsia="hr-HR"/>
              </w:rPr>
              <w:t>Hrvatski operator tržišta energije d.o.o.</w:t>
            </w:r>
          </w:p>
        </w:tc>
      </w:tr>
      <w:tr w:rsidR="00995EF4" w:rsidRPr="00961D82" w14:paraId="2FC7E946"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52CD79D6" w14:textId="231D3FB9" w:rsidR="00995EF4" w:rsidRPr="00961D82" w:rsidRDefault="004427F6" w:rsidP="000A0D14">
            <w:pPr>
              <w:contextualSpacing/>
              <w:jc w:val="both"/>
              <w:rPr>
                <w:sz w:val="22"/>
                <w:szCs w:val="22"/>
              </w:rPr>
            </w:pPr>
            <w:r w:rsidRPr="00961D82">
              <w:rPr>
                <w:sz w:val="22"/>
                <w:szCs w:val="22"/>
              </w:rPr>
              <w:t>1</w:t>
            </w:r>
            <w:r w:rsidR="000A0D14">
              <w:rPr>
                <w:sz w:val="22"/>
                <w:szCs w:val="22"/>
              </w:rPr>
              <w:t>8</w:t>
            </w:r>
            <w:r w:rsidR="00995EF4" w:rsidRPr="00961D82">
              <w:rPr>
                <w:sz w:val="22"/>
                <w:szCs w:val="22"/>
              </w:rPr>
              <w:t xml:space="preserve">. </w:t>
            </w:r>
            <w:r w:rsidR="00484657" w:rsidRPr="00961D82">
              <w:rPr>
                <w:sz w:val="22"/>
                <w:szCs w:val="22"/>
              </w:rPr>
              <w:t>Hrvatski zavod za zapošljavanje</w:t>
            </w:r>
          </w:p>
        </w:tc>
      </w:tr>
      <w:tr w:rsidR="00995EF4" w:rsidRPr="008149B5" w14:paraId="5AA4DE2D" w14:textId="77777777" w:rsidTr="004E7739">
        <w:trPr>
          <w:jc w:val="center"/>
        </w:trPr>
        <w:tc>
          <w:tcPr>
            <w:tcW w:w="8642" w:type="dxa"/>
            <w:tcBorders>
              <w:top w:val="single" w:sz="4" w:space="0" w:color="auto"/>
              <w:left w:val="single" w:sz="4" w:space="0" w:color="auto"/>
              <w:bottom w:val="single" w:sz="4" w:space="0" w:color="auto"/>
              <w:right w:val="single" w:sz="4" w:space="0" w:color="auto"/>
            </w:tcBorders>
            <w:vAlign w:val="center"/>
          </w:tcPr>
          <w:p w14:paraId="234CF6CD" w14:textId="6F35F6DB" w:rsidR="00995EF4" w:rsidRPr="00961D82" w:rsidRDefault="000A0D14" w:rsidP="00961D82">
            <w:pPr>
              <w:contextualSpacing/>
              <w:jc w:val="both"/>
              <w:rPr>
                <w:sz w:val="22"/>
                <w:szCs w:val="22"/>
              </w:rPr>
            </w:pPr>
            <w:r>
              <w:rPr>
                <w:sz w:val="22"/>
                <w:szCs w:val="22"/>
              </w:rPr>
              <w:t>19</w:t>
            </w:r>
            <w:r w:rsidR="00995EF4" w:rsidRPr="00961D82">
              <w:rPr>
                <w:sz w:val="22"/>
                <w:szCs w:val="22"/>
              </w:rPr>
              <w:t xml:space="preserve">. </w:t>
            </w:r>
            <w:r w:rsidR="00484657" w:rsidRPr="00961D82">
              <w:rPr>
                <w:sz w:val="22"/>
                <w:szCs w:val="22"/>
              </w:rPr>
              <w:t>Zavod za vještačenje, profesionalnu rehabilitaciju i zapošljavanje osoba s invaliditetom</w:t>
            </w:r>
          </w:p>
        </w:tc>
      </w:tr>
    </w:tbl>
    <w:p w14:paraId="01EC5E09" w14:textId="77777777" w:rsidR="00484657" w:rsidRPr="0062599F" w:rsidRDefault="00484657" w:rsidP="00BE487D">
      <w:pPr>
        <w:jc w:val="both"/>
      </w:pPr>
    </w:p>
    <w:p w14:paraId="63E03225" w14:textId="77777777" w:rsidR="00995EF4" w:rsidRPr="0062599F" w:rsidRDefault="00995EF4" w:rsidP="00BE487D">
      <w:pPr>
        <w:jc w:val="both"/>
      </w:pPr>
      <w:r w:rsidRPr="0062599F">
        <w:br w:type="page"/>
      </w:r>
    </w:p>
    <w:p w14:paraId="2AF09C19" w14:textId="77777777" w:rsidR="00995EF4" w:rsidRPr="0062599F" w:rsidRDefault="00995EF4" w:rsidP="00BE487D">
      <w:pPr>
        <w:jc w:val="both"/>
      </w:pPr>
    </w:p>
    <w:p w14:paraId="6BA12FB7" w14:textId="6B28516E" w:rsidR="00BE0817" w:rsidRPr="0062599F" w:rsidRDefault="00BE0817" w:rsidP="00BE487D">
      <w:pPr>
        <w:pStyle w:val="Heading1"/>
        <w:spacing w:before="0"/>
        <w:jc w:val="both"/>
        <w:rPr>
          <w:rFonts w:ascii="Times New Roman" w:hAnsi="Times New Roman" w:cs="Times New Roman"/>
          <w:b/>
          <w:color w:val="auto"/>
          <w:sz w:val="24"/>
          <w:szCs w:val="24"/>
        </w:rPr>
      </w:pPr>
      <w:bookmarkStart w:id="35" w:name="_Toc184635865"/>
      <w:r w:rsidRPr="0062599F">
        <w:rPr>
          <w:rFonts w:ascii="Times New Roman" w:hAnsi="Times New Roman" w:cs="Times New Roman"/>
          <w:b/>
          <w:color w:val="auto"/>
          <w:sz w:val="24"/>
          <w:szCs w:val="24"/>
        </w:rPr>
        <w:t>PRILOG 2.</w:t>
      </w:r>
      <w:bookmarkEnd w:id="35"/>
    </w:p>
    <w:p w14:paraId="21B06802" w14:textId="77777777" w:rsidR="00995EF4" w:rsidRPr="0062599F" w:rsidRDefault="00995EF4" w:rsidP="00BE487D">
      <w:pPr>
        <w:jc w:val="both"/>
      </w:pPr>
    </w:p>
    <w:p w14:paraId="0792D731" w14:textId="77777777" w:rsidR="00995EF4" w:rsidRPr="0062599F" w:rsidRDefault="00995EF4" w:rsidP="00BE487D">
      <w:pPr>
        <w:pStyle w:val="T-129sred"/>
        <w:spacing w:before="0" w:after="0"/>
        <w:contextualSpacing/>
        <w:jc w:val="both"/>
        <w:rPr>
          <w:rFonts w:ascii="Times New Roman" w:hAnsi="Times New Roman"/>
          <w:b/>
          <w:bCs/>
          <w:caps/>
          <w:sz w:val="24"/>
          <w:szCs w:val="24"/>
          <w:lang w:val="hr-HR"/>
        </w:rPr>
      </w:pPr>
      <w:r w:rsidRPr="0062599F">
        <w:rPr>
          <w:rFonts w:ascii="Times New Roman" w:hAnsi="Times New Roman"/>
          <w:b/>
          <w:bCs/>
          <w:sz w:val="24"/>
          <w:szCs w:val="24"/>
          <w:lang w:val="hr-HR"/>
        </w:rPr>
        <w:t>Kategorije državnih potpora</w:t>
      </w:r>
    </w:p>
    <w:p w14:paraId="27562AB3" w14:textId="77777777" w:rsidR="00995EF4" w:rsidRPr="0062599F" w:rsidRDefault="00995EF4" w:rsidP="00BE487D">
      <w:pPr>
        <w:widowControl w:val="0"/>
        <w:autoSpaceDE w:val="0"/>
        <w:autoSpaceDN w:val="0"/>
        <w:adjustRightInd w:val="0"/>
        <w:jc w:val="both"/>
      </w:pP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4"/>
        <w:gridCol w:w="273"/>
        <w:gridCol w:w="807"/>
        <w:gridCol w:w="7018"/>
      </w:tblGrid>
      <w:tr w:rsidR="00995EF4" w:rsidRPr="0062599F" w14:paraId="2EEE6D2C" w14:textId="77777777" w:rsidTr="00AC539A">
        <w:trPr>
          <w:trHeight w:val="64"/>
        </w:trPr>
        <w:tc>
          <w:tcPr>
            <w:tcW w:w="8926" w:type="dxa"/>
            <w:gridSpan w:val="5"/>
            <w:tcBorders>
              <w:top w:val="single" w:sz="4" w:space="0" w:color="auto"/>
              <w:left w:val="single" w:sz="4" w:space="0" w:color="auto"/>
              <w:bottom w:val="single" w:sz="2" w:space="0" w:color="auto"/>
              <w:right w:val="single" w:sz="4" w:space="0" w:color="auto"/>
            </w:tcBorders>
            <w:shd w:val="clear" w:color="auto" w:fill="FF99CC"/>
            <w:vAlign w:val="center"/>
          </w:tcPr>
          <w:p w14:paraId="2FB0DBD6" w14:textId="77777777" w:rsidR="00995EF4" w:rsidRPr="0062599F" w:rsidRDefault="00995EF4" w:rsidP="00BE487D">
            <w:pPr>
              <w:widowControl w:val="0"/>
              <w:autoSpaceDE w:val="0"/>
              <w:autoSpaceDN w:val="0"/>
              <w:adjustRightInd w:val="0"/>
              <w:jc w:val="both"/>
              <w:rPr>
                <w:b/>
                <w:bCs/>
                <w:sz w:val="18"/>
                <w:szCs w:val="18"/>
              </w:rPr>
            </w:pPr>
            <w:r w:rsidRPr="0062599F">
              <w:rPr>
                <w:b/>
                <w:bCs/>
                <w:sz w:val="18"/>
                <w:szCs w:val="18"/>
              </w:rPr>
              <w:t>Pravila</w:t>
            </w:r>
          </w:p>
        </w:tc>
      </w:tr>
      <w:tr w:rsidR="00995EF4" w:rsidRPr="0062599F" w14:paraId="470CF437" w14:textId="77777777" w:rsidTr="00AC539A">
        <w:tc>
          <w:tcPr>
            <w:tcW w:w="828" w:type="dxa"/>
            <w:gridSpan w:val="2"/>
            <w:tcBorders>
              <w:top w:val="single" w:sz="4" w:space="0" w:color="auto"/>
              <w:left w:val="single" w:sz="4" w:space="0" w:color="auto"/>
              <w:bottom w:val="single" w:sz="4" w:space="0" w:color="auto"/>
              <w:right w:val="nil"/>
            </w:tcBorders>
            <w:shd w:val="clear" w:color="auto" w:fill="FF99CC"/>
            <w:vAlign w:val="center"/>
          </w:tcPr>
          <w:p w14:paraId="0BDEEEF4" w14:textId="77777777" w:rsidR="00995EF4" w:rsidRPr="0062599F" w:rsidRDefault="00995EF4" w:rsidP="00BE487D">
            <w:pPr>
              <w:widowControl w:val="0"/>
              <w:autoSpaceDE w:val="0"/>
              <w:autoSpaceDN w:val="0"/>
              <w:adjustRightInd w:val="0"/>
              <w:jc w:val="both"/>
              <w:rPr>
                <w:b/>
                <w:bCs/>
                <w:sz w:val="18"/>
                <w:szCs w:val="18"/>
              </w:rPr>
            </w:pPr>
          </w:p>
        </w:tc>
        <w:tc>
          <w:tcPr>
            <w:tcW w:w="8098" w:type="dxa"/>
            <w:gridSpan w:val="3"/>
            <w:tcBorders>
              <w:top w:val="single" w:sz="4" w:space="0" w:color="auto"/>
              <w:left w:val="nil"/>
              <w:bottom w:val="single" w:sz="2" w:space="0" w:color="auto"/>
              <w:right w:val="single" w:sz="4" w:space="0" w:color="auto"/>
            </w:tcBorders>
            <w:shd w:val="clear" w:color="auto" w:fill="FF99CC"/>
            <w:vAlign w:val="center"/>
          </w:tcPr>
          <w:p w14:paraId="0281C270" w14:textId="77777777" w:rsidR="00995EF4" w:rsidRPr="0062599F" w:rsidRDefault="00995EF4" w:rsidP="00BE487D">
            <w:pPr>
              <w:widowControl w:val="0"/>
              <w:autoSpaceDE w:val="0"/>
              <w:autoSpaceDN w:val="0"/>
              <w:adjustRightInd w:val="0"/>
              <w:jc w:val="both"/>
              <w:rPr>
                <w:b/>
                <w:bCs/>
                <w:sz w:val="18"/>
                <w:szCs w:val="18"/>
              </w:rPr>
            </w:pPr>
            <w:r w:rsidRPr="0062599F">
              <w:rPr>
                <w:b/>
                <w:bCs/>
                <w:sz w:val="18"/>
                <w:szCs w:val="18"/>
              </w:rPr>
              <w:t>Kategorija</w:t>
            </w:r>
          </w:p>
        </w:tc>
      </w:tr>
      <w:tr w:rsidR="00995EF4" w:rsidRPr="0062599F" w14:paraId="354F49E7" w14:textId="77777777" w:rsidTr="00AC539A">
        <w:trPr>
          <w:trHeight w:val="57"/>
        </w:trPr>
        <w:tc>
          <w:tcPr>
            <w:tcW w:w="828" w:type="dxa"/>
            <w:gridSpan w:val="2"/>
            <w:tcBorders>
              <w:top w:val="single" w:sz="4" w:space="0" w:color="auto"/>
              <w:left w:val="single" w:sz="4" w:space="0" w:color="auto"/>
              <w:bottom w:val="single" w:sz="2" w:space="0" w:color="auto"/>
              <w:right w:val="nil"/>
            </w:tcBorders>
            <w:shd w:val="clear" w:color="auto" w:fill="FF99CC"/>
            <w:vAlign w:val="center"/>
          </w:tcPr>
          <w:p w14:paraId="5701BE4B" w14:textId="77777777" w:rsidR="00995EF4" w:rsidRPr="0062599F" w:rsidRDefault="00995EF4" w:rsidP="00BE487D">
            <w:pPr>
              <w:widowControl w:val="0"/>
              <w:autoSpaceDE w:val="0"/>
              <w:autoSpaceDN w:val="0"/>
              <w:adjustRightInd w:val="0"/>
              <w:jc w:val="both"/>
              <w:rPr>
                <w:b/>
                <w:bCs/>
                <w:sz w:val="18"/>
                <w:szCs w:val="18"/>
              </w:rPr>
            </w:pPr>
          </w:p>
        </w:tc>
        <w:tc>
          <w:tcPr>
            <w:tcW w:w="1080" w:type="dxa"/>
            <w:gridSpan w:val="2"/>
            <w:tcBorders>
              <w:top w:val="single" w:sz="4" w:space="0" w:color="auto"/>
              <w:left w:val="nil"/>
              <w:bottom w:val="single" w:sz="2" w:space="0" w:color="auto"/>
              <w:right w:val="nil"/>
            </w:tcBorders>
            <w:shd w:val="clear" w:color="auto" w:fill="FF99CC"/>
            <w:vAlign w:val="center"/>
          </w:tcPr>
          <w:p w14:paraId="78EE2BB1" w14:textId="77777777" w:rsidR="00995EF4" w:rsidRPr="0062599F" w:rsidRDefault="00995EF4" w:rsidP="00BE487D">
            <w:pPr>
              <w:widowControl w:val="0"/>
              <w:autoSpaceDE w:val="0"/>
              <w:autoSpaceDN w:val="0"/>
              <w:adjustRightInd w:val="0"/>
              <w:jc w:val="both"/>
              <w:rPr>
                <w:b/>
                <w:bCs/>
                <w:sz w:val="18"/>
                <w:szCs w:val="18"/>
              </w:rPr>
            </w:pPr>
          </w:p>
        </w:tc>
        <w:tc>
          <w:tcPr>
            <w:tcW w:w="7018" w:type="dxa"/>
            <w:tcBorders>
              <w:top w:val="single" w:sz="4" w:space="0" w:color="auto"/>
              <w:left w:val="nil"/>
              <w:bottom w:val="single" w:sz="2" w:space="0" w:color="auto"/>
              <w:right w:val="single" w:sz="4" w:space="0" w:color="auto"/>
            </w:tcBorders>
            <w:shd w:val="clear" w:color="auto" w:fill="FF99CC"/>
            <w:vAlign w:val="center"/>
          </w:tcPr>
          <w:p w14:paraId="640F2D72" w14:textId="77777777" w:rsidR="00995EF4" w:rsidRPr="0062599F" w:rsidRDefault="00995EF4" w:rsidP="00BE487D">
            <w:pPr>
              <w:widowControl w:val="0"/>
              <w:autoSpaceDE w:val="0"/>
              <w:autoSpaceDN w:val="0"/>
              <w:adjustRightInd w:val="0"/>
              <w:jc w:val="both"/>
              <w:rPr>
                <w:b/>
                <w:bCs/>
                <w:sz w:val="18"/>
                <w:szCs w:val="18"/>
              </w:rPr>
            </w:pPr>
            <w:r w:rsidRPr="0062599F">
              <w:rPr>
                <w:b/>
                <w:bCs/>
                <w:sz w:val="18"/>
                <w:szCs w:val="18"/>
              </w:rPr>
              <w:t>Namjena</w:t>
            </w:r>
          </w:p>
        </w:tc>
      </w:tr>
      <w:tr w:rsidR="00995EF4" w:rsidRPr="0062599F" w14:paraId="60F85E80" w14:textId="77777777" w:rsidTr="00AC539A">
        <w:tc>
          <w:tcPr>
            <w:tcW w:w="8926" w:type="dxa"/>
            <w:gridSpan w:val="5"/>
            <w:tcBorders>
              <w:top w:val="single" w:sz="2" w:space="0" w:color="auto"/>
              <w:left w:val="single" w:sz="4" w:space="0" w:color="auto"/>
              <w:bottom w:val="single" w:sz="2" w:space="0" w:color="auto"/>
              <w:right w:val="single" w:sz="4" w:space="0" w:color="auto"/>
            </w:tcBorders>
            <w:shd w:val="clear" w:color="auto" w:fill="FFCC99"/>
            <w:vAlign w:val="center"/>
          </w:tcPr>
          <w:p w14:paraId="3DD2F471"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 xml:space="preserve">HORIZONTALNA </w:t>
            </w:r>
            <w:r w:rsidRPr="0062599F">
              <w:rPr>
                <w:b/>
                <w:bCs/>
                <w:sz w:val="18"/>
                <w:szCs w:val="18"/>
              </w:rPr>
              <w:t>PRAVILA</w:t>
            </w:r>
          </w:p>
        </w:tc>
      </w:tr>
      <w:tr w:rsidR="00995EF4" w:rsidRPr="0062599F" w14:paraId="46C9551F" w14:textId="77777777" w:rsidTr="00AC539A">
        <w:tc>
          <w:tcPr>
            <w:tcW w:w="534" w:type="dxa"/>
            <w:tcBorders>
              <w:top w:val="single" w:sz="2" w:space="0" w:color="auto"/>
              <w:left w:val="single" w:sz="4" w:space="0" w:color="auto"/>
              <w:bottom w:val="nil"/>
              <w:right w:val="single" w:sz="2" w:space="0" w:color="auto"/>
            </w:tcBorders>
            <w:vAlign w:val="center"/>
          </w:tcPr>
          <w:p w14:paraId="334E5155"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5E92F4E1"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Istraživanje i razvoj i inovacije</w:t>
            </w:r>
          </w:p>
        </w:tc>
      </w:tr>
      <w:tr w:rsidR="00995EF4" w:rsidRPr="0062599F" w14:paraId="2229C6E0" w14:textId="77777777" w:rsidTr="00AC539A">
        <w:tc>
          <w:tcPr>
            <w:tcW w:w="534" w:type="dxa"/>
            <w:tcBorders>
              <w:top w:val="nil"/>
              <w:left w:val="single" w:sz="4" w:space="0" w:color="auto"/>
              <w:bottom w:val="nil"/>
              <w:right w:val="nil"/>
            </w:tcBorders>
            <w:vAlign w:val="center"/>
          </w:tcPr>
          <w:p w14:paraId="34D369FE"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2D96060C"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F72CCDA"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Projekti istraživanja i razvoja za temeljna, primijenjena i razvojna istraživanja i studije o tehničkoj izvodivosti za primijenjena i razvojna istraživanja</w:t>
            </w:r>
          </w:p>
        </w:tc>
      </w:tr>
      <w:tr w:rsidR="00995EF4" w:rsidRPr="0062599F" w14:paraId="55043F63" w14:textId="77777777" w:rsidTr="00AC539A">
        <w:tc>
          <w:tcPr>
            <w:tcW w:w="534" w:type="dxa"/>
            <w:tcBorders>
              <w:top w:val="nil"/>
              <w:left w:val="single" w:sz="4" w:space="0" w:color="auto"/>
              <w:bottom w:val="nil"/>
              <w:right w:val="nil"/>
            </w:tcBorders>
            <w:vAlign w:val="center"/>
          </w:tcPr>
          <w:p w14:paraId="37BF46A2"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00584BA"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EC19F2D"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Pokrivanje troškova zaštite prava industrijskog vlasništva za male i srednje poduzetnike</w:t>
            </w:r>
          </w:p>
        </w:tc>
      </w:tr>
      <w:tr w:rsidR="00995EF4" w:rsidRPr="0062599F" w14:paraId="2C7AF310" w14:textId="77777777" w:rsidTr="00AC539A">
        <w:tc>
          <w:tcPr>
            <w:tcW w:w="534" w:type="dxa"/>
            <w:tcBorders>
              <w:top w:val="nil"/>
              <w:left w:val="single" w:sz="4" w:space="0" w:color="auto"/>
              <w:bottom w:val="nil"/>
              <w:right w:val="nil"/>
            </w:tcBorders>
            <w:vAlign w:val="center"/>
          </w:tcPr>
          <w:p w14:paraId="1F00A217"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7657201F"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7784851"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Novo osnovani mali poduzetnici koji se bave inovacijama</w:t>
            </w:r>
          </w:p>
        </w:tc>
      </w:tr>
      <w:tr w:rsidR="00995EF4" w:rsidRPr="0062599F" w14:paraId="4E686DFC" w14:textId="77777777" w:rsidTr="00AC539A">
        <w:tc>
          <w:tcPr>
            <w:tcW w:w="534" w:type="dxa"/>
            <w:tcBorders>
              <w:top w:val="nil"/>
              <w:left w:val="single" w:sz="4" w:space="0" w:color="auto"/>
              <w:bottom w:val="nil"/>
              <w:right w:val="nil"/>
            </w:tcBorders>
            <w:vAlign w:val="center"/>
          </w:tcPr>
          <w:p w14:paraId="03CB8A07"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327AE08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F042E1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Inovacije procesa i organizacije poslovanja u sektoru usluga</w:t>
            </w:r>
          </w:p>
        </w:tc>
      </w:tr>
      <w:tr w:rsidR="00995EF4" w:rsidRPr="0062599F" w14:paraId="3C7127CC" w14:textId="77777777" w:rsidTr="00AC539A">
        <w:tc>
          <w:tcPr>
            <w:tcW w:w="534" w:type="dxa"/>
            <w:tcBorders>
              <w:top w:val="nil"/>
              <w:left w:val="single" w:sz="4" w:space="0" w:color="auto"/>
              <w:bottom w:val="nil"/>
              <w:right w:val="nil"/>
            </w:tcBorders>
            <w:vAlign w:val="center"/>
          </w:tcPr>
          <w:p w14:paraId="175049A5"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7E26046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1383A582"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Savjetodavne usluge o inovacijama i usluge koje potiču inovacije (mali i srednji poduzetnici)</w:t>
            </w:r>
          </w:p>
        </w:tc>
      </w:tr>
      <w:tr w:rsidR="00995EF4" w:rsidRPr="0062599F" w14:paraId="78CB7880" w14:textId="77777777" w:rsidTr="00AC539A">
        <w:tc>
          <w:tcPr>
            <w:tcW w:w="534" w:type="dxa"/>
            <w:tcBorders>
              <w:top w:val="nil"/>
              <w:left w:val="single" w:sz="4" w:space="0" w:color="auto"/>
              <w:bottom w:val="nil"/>
              <w:right w:val="nil"/>
            </w:tcBorders>
            <w:vAlign w:val="center"/>
          </w:tcPr>
          <w:p w14:paraId="5C108018"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000F0166"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AB5500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Unajmljivanje visoko stručnog kadra koji se privremeno zapošljava iz istraživačkih organizacija ili velikih poduzetnika u malim i srednjim poduzetnicima</w:t>
            </w:r>
          </w:p>
        </w:tc>
      </w:tr>
      <w:tr w:rsidR="00995EF4" w:rsidRPr="0062599F" w14:paraId="54F58BB2" w14:textId="77777777" w:rsidTr="00AC539A">
        <w:tc>
          <w:tcPr>
            <w:tcW w:w="534" w:type="dxa"/>
            <w:tcBorders>
              <w:top w:val="nil"/>
              <w:left w:val="single" w:sz="4" w:space="0" w:color="auto"/>
              <w:bottom w:val="single" w:sz="2" w:space="0" w:color="auto"/>
              <w:right w:val="nil"/>
            </w:tcBorders>
            <w:vAlign w:val="center"/>
          </w:tcPr>
          <w:p w14:paraId="30DAC62E"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53F199F8"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6AC8EF7"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 xml:space="preserve">Osnivanje, širenje i oživljavanje inovacijskih </w:t>
            </w:r>
            <w:proofErr w:type="spellStart"/>
            <w:r w:rsidRPr="0062599F">
              <w:rPr>
                <w:sz w:val="18"/>
                <w:szCs w:val="18"/>
              </w:rPr>
              <w:t>clustera</w:t>
            </w:r>
            <w:proofErr w:type="spellEnd"/>
          </w:p>
        </w:tc>
      </w:tr>
      <w:tr w:rsidR="00995EF4" w:rsidRPr="0062599F" w14:paraId="6EDBD8A1" w14:textId="77777777" w:rsidTr="00AC539A">
        <w:trPr>
          <w:trHeight w:val="75"/>
        </w:trPr>
        <w:tc>
          <w:tcPr>
            <w:tcW w:w="534" w:type="dxa"/>
            <w:tcBorders>
              <w:top w:val="single" w:sz="2" w:space="0" w:color="auto"/>
              <w:left w:val="single" w:sz="4" w:space="0" w:color="auto"/>
              <w:bottom w:val="nil"/>
              <w:right w:val="single" w:sz="2" w:space="0" w:color="auto"/>
            </w:tcBorders>
            <w:vAlign w:val="center"/>
          </w:tcPr>
          <w:p w14:paraId="6AFD1024"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0961252D"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Mali i srednji poduzetnici</w:t>
            </w:r>
          </w:p>
        </w:tc>
      </w:tr>
      <w:tr w:rsidR="00995EF4" w:rsidRPr="0062599F" w14:paraId="7D15E2A2" w14:textId="77777777" w:rsidTr="00AC539A">
        <w:trPr>
          <w:trHeight w:val="65"/>
        </w:trPr>
        <w:tc>
          <w:tcPr>
            <w:tcW w:w="534" w:type="dxa"/>
            <w:tcBorders>
              <w:top w:val="nil"/>
              <w:left w:val="single" w:sz="4" w:space="0" w:color="auto"/>
              <w:bottom w:val="nil"/>
              <w:right w:val="nil"/>
            </w:tcBorders>
            <w:vAlign w:val="center"/>
          </w:tcPr>
          <w:p w14:paraId="03129BE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4" w:space="0" w:color="auto"/>
            </w:tcBorders>
            <w:vAlign w:val="center"/>
          </w:tcPr>
          <w:p w14:paraId="7BF42A8F"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4" w:space="0" w:color="auto"/>
              <w:bottom w:val="single" w:sz="4" w:space="0" w:color="auto"/>
              <w:right w:val="single" w:sz="4" w:space="0" w:color="auto"/>
            </w:tcBorders>
            <w:vAlign w:val="center"/>
          </w:tcPr>
          <w:p w14:paraId="6111A5E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 xml:space="preserve">Ulaganje u materijalnu i nematerijalnu imovinu i otvaranje novih radnih mjesta vezanih uz projekt ulaganja </w:t>
            </w:r>
          </w:p>
        </w:tc>
      </w:tr>
      <w:tr w:rsidR="00995EF4" w:rsidRPr="0062599F" w14:paraId="1463FCBB" w14:textId="77777777" w:rsidTr="00AC539A">
        <w:trPr>
          <w:trHeight w:val="125"/>
        </w:trPr>
        <w:tc>
          <w:tcPr>
            <w:tcW w:w="534" w:type="dxa"/>
            <w:tcBorders>
              <w:top w:val="nil"/>
              <w:left w:val="single" w:sz="4" w:space="0" w:color="auto"/>
              <w:bottom w:val="nil"/>
              <w:right w:val="nil"/>
            </w:tcBorders>
            <w:vAlign w:val="center"/>
          </w:tcPr>
          <w:p w14:paraId="4BA453A4"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7A299EE7"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9C20C70"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Pokriće troškova osnivanja i tekućih troškova poslovanja vezanih samo za male ženske poduzetnike</w:t>
            </w:r>
          </w:p>
        </w:tc>
      </w:tr>
      <w:tr w:rsidR="00995EF4" w:rsidRPr="0062599F" w14:paraId="1EAB3B0F" w14:textId="77777777" w:rsidTr="00AC539A">
        <w:tc>
          <w:tcPr>
            <w:tcW w:w="534" w:type="dxa"/>
            <w:tcBorders>
              <w:top w:val="nil"/>
              <w:left w:val="single" w:sz="4" w:space="0" w:color="auto"/>
              <w:bottom w:val="nil"/>
              <w:right w:val="nil"/>
            </w:tcBorders>
            <w:vAlign w:val="center"/>
          </w:tcPr>
          <w:p w14:paraId="5AE355D1"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5E60227E"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918275F"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Prilagodba budućim obvezujućim standardima</w:t>
            </w:r>
          </w:p>
        </w:tc>
      </w:tr>
      <w:tr w:rsidR="00995EF4" w:rsidRPr="0062599F" w14:paraId="2CE9342E" w14:textId="77777777" w:rsidTr="00AC539A">
        <w:tc>
          <w:tcPr>
            <w:tcW w:w="534" w:type="dxa"/>
            <w:tcBorders>
              <w:top w:val="nil"/>
              <w:left w:val="single" w:sz="4" w:space="0" w:color="auto"/>
              <w:bottom w:val="nil"/>
              <w:right w:val="nil"/>
            </w:tcBorders>
            <w:vAlign w:val="center"/>
          </w:tcPr>
          <w:p w14:paraId="2A05763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E958FB9"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AB78154"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Savjetodavne usluge</w:t>
            </w:r>
          </w:p>
        </w:tc>
      </w:tr>
      <w:tr w:rsidR="00995EF4" w:rsidRPr="0062599F" w14:paraId="56B16702" w14:textId="77777777" w:rsidTr="00AC539A">
        <w:tc>
          <w:tcPr>
            <w:tcW w:w="534" w:type="dxa"/>
            <w:tcBorders>
              <w:top w:val="nil"/>
              <w:left w:val="single" w:sz="4" w:space="0" w:color="auto"/>
              <w:bottom w:val="nil"/>
              <w:right w:val="nil"/>
            </w:tcBorders>
            <w:vAlign w:val="center"/>
          </w:tcPr>
          <w:p w14:paraId="09839930"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18987D10"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D029240"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Sudjelovanje na sajmovima</w:t>
            </w:r>
          </w:p>
        </w:tc>
      </w:tr>
      <w:tr w:rsidR="00995EF4" w:rsidRPr="0062599F" w14:paraId="75C17674" w14:textId="77777777" w:rsidTr="00AC539A">
        <w:tc>
          <w:tcPr>
            <w:tcW w:w="534" w:type="dxa"/>
            <w:tcBorders>
              <w:top w:val="nil"/>
              <w:left w:val="single" w:sz="4" w:space="0" w:color="auto"/>
              <w:bottom w:val="nil"/>
              <w:right w:val="nil"/>
            </w:tcBorders>
            <w:vAlign w:val="center"/>
          </w:tcPr>
          <w:p w14:paraId="6EC995AF"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680523C"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3DFA4C8"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Pokrivanje troškova prava industrijskog vlasništva</w:t>
            </w:r>
          </w:p>
        </w:tc>
      </w:tr>
      <w:tr w:rsidR="00995EF4" w:rsidRPr="0062599F" w14:paraId="7CEFB0DD" w14:textId="77777777" w:rsidTr="00AC539A">
        <w:tc>
          <w:tcPr>
            <w:tcW w:w="534" w:type="dxa"/>
            <w:tcBorders>
              <w:top w:val="nil"/>
              <w:left w:val="single" w:sz="4" w:space="0" w:color="auto"/>
              <w:bottom w:val="nil"/>
              <w:right w:val="nil"/>
            </w:tcBorders>
            <w:vAlign w:val="center"/>
          </w:tcPr>
          <w:p w14:paraId="19EA2C44"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7B0E460"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8360F2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Novi mali poduzetnici koji se bave inovacijama</w:t>
            </w:r>
          </w:p>
        </w:tc>
      </w:tr>
      <w:tr w:rsidR="00995EF4" w:rsidRPr="0062599F" w14:paraId="6EAE5563" w14:textId="77777777" w:rsidTr="00AC539A">
        <w:tc>
          <w:tcPr>
            <w:tcW w:w="534" w:type="dxa"/>
            <w:tcBorders>
              <w:top w:val="nil"/>
              <w:left w:val="single" w:sz="4" w:space="0" w:color="auto"/>
              <w:bottom w:val="nil"/>
              <w:right w:val="nil"/>
            </w:tcBorders>
            <w:vAlign w:val="center"/>
          </w:tcPr>
          <w:p w14:paraId="126117D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31DCF2EB"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45FEA5B"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Savjetodavne usluge o inovacijama i usluge koje potiču inovacije</w:t>
            </w:r>
          </w:p>
        </w:tc>
      </w:tr>
      <w:tr w:rsidR="00995EF4" w:rsidRPr="0062599F" w14:paraId="3986600C" w14:textId="77777777" w:rsidTr="00AC539A">
        <w:tc>
          <w:tcPr>
            <w:tcW w:w="534" w:type="dxa"/>
            <w:tcBorders>
              <w:top w:val="nil"/>
              <w:left w:val="single" w:sz="4" w:space="0" w:color="auto"/>
              <w:bottom w:val="single" w:sz="2" w:space="0" w:color="auto"/>
              <w:right w:val="nil"/>
            </w:tcBorders>
            <w:vAlign w:val="center"/>
          </w:tcPr>
          <w:p w14:paraId="310E96E0"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17BED609"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F25D5C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Ulaganja rizičnog kapitala od strane investicijskih fondova</w:t>
            </w:r>
          </w:p>
        </w:tc>
      </w:tr>
      <w:tr w:rsidR="00995EF4" w:rsidRPr="0062599F" w14:paraId="207D58F3" w14:textId="77777777" w:rsidTr="00AC539A">
        <w:tc>
          <w:tcPr>
            <w:tcW w:w="534" w:type="dxa"/>
            <w:tcBorders>
              <w:top w:val="single" w:sz="2" w:space="0" w:color="auto"/>
              <w:left w:val="single" w:sz="4" w:space="0" w:color="auto"/>
              <w:bottom w:val="nil"/>
              <w:right w:val="single" w:sz="2" w:space="0" w:color="auto"/>
            </w:tcBorders>
            <w:vAlign w:val="center"/>
          </w:tcPr>
          <w:p w14:paraId="731F8DC3"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1C8E7724"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Zapošljavanje</w:t>
            </w:r>
          </w:p>
        </w:tc>
      </w:tr>
      <w:tr w:rsidR="00995EF4" w:rsidRPr="0062599F" w14:paraId="79403A31" w14:textId="77777777" w:rsidTr="00AC539A">
        <w:trPr>
          <w:trHeight w:val="171"/>
        </w:trPr>
        <w:tc>
          <w:tcPr>
            <w:tcW w:w="534" w:type="dxa"/>
            <w:tcBorders>
              <w:top w:val="nil"/>
              <w:left w:val="single" w:sz="4" w:space="0" w:color="auto"/>
              <w:bottom w:val="nil"/>
              <w:right w:val="nil"/>
            </w:tcBorders>
            <w:vAlign w:val="center"/>
          </w:tcPr>
          <w:p w14:paraId="03CA36F3"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7FAAC57D"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right w:val="single" w:sz="4" w:space="0" w:color="auto"/>
            </w:tcBorders>
            <w:vAlign w:val="center"/>
          </w:tcPr>
          <w:p w14:paraId="55675BF9"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Zapošljavanje osoba s invaliditetom ili osoba koje se teže zapošljavaju</w:t>
            </w:r>
          </w:p>
        </w:tc>
      </w:tr>
      <w:tr w:rsidR="00995EF4" w:rsidRPr="0062599F" w14:paraId="106795F5" w14:textId="77777777" w:rsidTr="00AC539A">
        <w:tc>
          <w:tcPr>
            <w:tcW w:w="534" w:type="dxa"/>
            <w:tcBorders>
              <w:top w:val="nil"/>
              <w:left w:val="single" w:sz="4" w:space="0" w:color="auto"/>
              <w:bottom w:val="single" w:sz="2" w:space="0" w:color="auto"/>
              <w:right w:val="nil"/>
            </w:tcBorders>
            <w:vAlign w:val="center"/>
          </w:tcPr>
          <w:p w14:paraId="300568B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5A8F9C62"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26F3C42"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Pokriće dodatnih troškova zapošljavanja osoba s invaliditetom</w:t>
            </w:r>
          </w:p>
        </w:tc>
      </w:tr>
      <w:tr w:rsidR="00995EF4" w:rsidRPr="0062599F" w14:paraId="056BF59C" w14:textId="77777777" w:rsidTr="00AC539A">
        <w:tc>
          <w:tcPr>
            <w:tcW w:w="534" w:type="dxa"/>
            <w:tcBorders>
              <w:top w:val="single" w:sz="2" w:space="0" w:color="auto"/>
              <w:left w:val="single" w:sz="4" w:space="0" w:color="auto"/>
              <w:bottom w:val="nil"/>
              <w:right w:val="single" w:sz="2" w:space="0" w:color="auto"/>
            </w:tcBorders>
            <w:vAlign w:val="center"/>
          </w:tcPr>
          <w:p w14:paraId="70F093A5"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585D1142"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 xml:space="preserve">Usavršavanje </w:t>
            </w:r>
          </w:p>
        </w:tc>
      </w:tr>
      <w:tr w:rsidR="00995EF4" w:rsidRPr="0062599F" w14:paraId="0E023F77" w14:textId="77777777" w:rsidTr="00AC539A">
        <w:tc>
          <w:tcPr>
            <w:tcW w:w="534" w:type="dxa"/>
            <w:tcBorders>
              <w:top w:val="nil"/>
              <w:left w:val="single" w:sz="4" w:space="0" w:color="auto"/>
              <w:bottom w:val="nil"/>
              <w:right w:val="nil"/>
            </w:tcBorders>
            <w:vAlign w:val="center"/>
          </w:tcPr>
          <w:p w14:paraId="19BA12FA"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1276C83B"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1EC36E1"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Posebno usavršavanje zaposlenika</w:t>
            </w:r>
          </w:p>
        </w:tc>
      </w:tr>
      <w:tr w:rsidR="00995EF4" w:rsidRPr="0062599F" w14:paraId="0E405CF6" w14:textId="77777777" w:rsidTr="00AC539A">
        <w:tc>
          <w:tcPr>
            <w:tcW w:w="534" w:type="dxa"/>
            <w:tcBorders>
              <w:top w:val="nil"/>
              <w:left w:val="single" w:sz="4" w:space="0" w:color="auto"/>
              <w:bottom w:val="single" w:sz="2" w:space="0" w:color="auto"/>
              <w:right w:val="nil"/>
            </w:tcBorders>
            <w:vAlign w:val="center"/>
          </w:tcPr>
          <w:p w14:paraId="07497719"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286ABCC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1D89E5F"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Opće usavršavanje zaposlenika</w:t>
            </w:r>
          </w:p>
        </w:tc>
      </w:tr>
      <w:tr w:rsidR="00995EF4" w:rsidRPr="0062599F" w14:paraId="4EDCB466" w14:textId="77777777" w:rsidTr="00AC539A">
        <w:tc>
          <w:tcPr>
            <w:tcW w:w="534" w:type="dxa"/>
            <w:tcBorders>
              <w:top w:val="single" w:sz="2" w:space="0" w:color="auto"/>
              <w:left w:val="single" w:sz="4" w:space="0" w:color="auto"/>
              <w:bottom w:val="nil"/>
              <w:right w:val="single" w:sz="2" w:space="0" w:color="auto"/>
            </w:tcBorders>
            <w:vAlign w:val="center"/>
          </w:tcPr>
          <w:p w14:paraId="563AF08E"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2E2B515A"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Kultura i zaštita baštine</w:t>
            </w:r>
          </w:p>
        </w:tc>
      </w:tr>
      <w:tr w:rsidR="00995EF4" w:rsidRPr="0062599F" w14:paraId="27F22003" w14:textId="77777777" w:rsidTr="00AC539A">
        <w:tc>
          <w:tcPr>
            <w:tcW w:w="534" w:type="dxa"/>
            <w:tcBorders>
              <w:top w:val="nil"/>
              <w:left w:val="single" w:sz="4" w:space="0" w:color="auto"/>
              <w:bottom w:val="single" w:sz="2" w:space="0" w:color="auto"/>
              <w:right w:val="nil"/>
            </w:tcBorders>
            <w:vAlign w:val="center"/>
          </w:tcPr>
          <w:p w14:paraId="04018A92"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single" w:sz="2" w:space="0" w:color="auto"/>
              <w:right w:val="single" w:sz="2" w:space="0" w:color="auto"/>
            </w:tcBorders>
            <w:vAlign w:val="center"/>
          </w:tcPr>
          <w:p w14:paraId="4A2DAA87"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4F3CC51"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Poticanje kulture i zaštita baštine</w:t>
            </w:r>
          </w:p>
        </w:tc>
      </w:tr>
      <w:tr w:rsidR="00995EF4" w:rsidRPr="0062599F" w14:paraId="620ED16C" w14:textId="77777777" w:rsidTr="00AC539A">
        <w:tc>
          <w:tcPr>
            <w:tcW w:w="8926" w:type="dxa"/>
            <w:gridSpan w:val="5"/>
            <w:tcBorders>
              <w:top w:val="single" w:sz="2" w:space="0" w:color="auto"/>
              <w:left w:val="single" w:sz="4" w:space="0" w:color="auto"/>
              <w:bottom w:val="single" w:sz="2" w:space="0" w:color="auto"/>
              <w:right w:val="single" w:sz="4" w:space="0" w:color="auto"/>
            </w:tcBorders>
            <w:shd w:val="clear" w:color="auto" w:fill="FFCC99"/>
            <w:vAlign w:val="center"/>
          </w:tcPr>
          <w:p w14:paraId="0EC2CBBD"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 xml:space="preserve">POSEBNA SEKTORSKA </w:t>
            </w:r>
          </w:p>
        </w:tc>
      </w:tr>
      <w:tr w:rsidR="00995EF4" w:rsidRPr="0062599F" w14:paraId="0736CE9E" w14:textId="77777777" w:rsidTr="00AC539A">
        <w:tc>
          <w:tcPr>
            <w:tcW w:w="534" w:type="dxa"/>
            <w:tcBorders>
              <w:top w:val="single" w:sz="2" w:space="0" w:color="auto"/>
              <w:left w:val="single" w:sz="4" w:space="0" w:color="auto"/>
              <w:bottom w:val="nil"/>
              <w:right w:val="single" w:sz="2" w:space="0" w:color="auto"/>
            </w:tcBorders>
            <w:vAlign w:val="center"/>
          </w:tcPr>
          <w:p w14:paraId="6D850C2D"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2431026D"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Kopneni promet (željeznički, cestovni, unutarnji plovni putevi)</w:t>
            </w:r>
          </w:p>
        </w:tc>
      </w:tr>
      <w:tr w:rsidR="00995EF4" w:rsidRPr="0062599F" w14:paraId="3D27C509" w14:textId="77777777" w:rsidTr="00AC539A">
        <w:tc>
          <w:tcPr>
            <w:tcW w:w="534" w:type="dxa"/>
            <w:tcBorders>
              <w:top w:val="nil"/>
              <w:left w:val="single" w:sz="4" w:space="0" w:color="auto"/>
              <w:bottom w:val="nil"/>
              <w:right w:val="nil"/>
            </w:tcBorders>
            <w:vAlign w:val="center"/>
          </w:tcPr>
          <w:p w14:paraId="5CA12DA8"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2E6170F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B372232" w14:textId="77777777" w:rsidR="00995EF4" w:rsidRPr="0062599F" w:rsidRDefault="00995EF4" w:rsidP="00BE487D">
            <w:pPr>
              <w:widowControl w:val="0"/>
              <w:autoSpaceDE w:val="0"/>
              <w:autoSpaceDN w:val="0"/>
              <w:adjustRightInd w:val="0"/>
              <w:jc w:val="both"/>
              <w:rPr>
                <w:spacing w:val="-4"/>
                <w:sz w:val="18"/>
                <w:szCs w:val="18"/>
              </w:rPr>
            </w:pPr>
            <w:r w:rsidRPr="0062599F">
              <w:rPr>
                <w:spacing w:val="-4"/>
                <w:sz w:val="18"/>
                <w:szCs w:val="18"/>
              </w:rPr>
              <w:t>Služba od općeg gospodarskog interesa koja se odnosi na gradski, prigradski, regionalni i nacionalni prijevoz</w:t>
            </w:r>
          </w:p>
        </w:tc>
      </w:tr>
      <w:tr w:rsidR="00995EF4" w:rsidRPr="0062599F" w14:paraId="75DD0870" w14:textId="77777777" w:rsidTr="00AC539A">
        <w:tc>
          <w:tcPr>
            <w:tcW w:w="534" w:type="dxa"/>
            <w:tcBorders>
              <w:top w:val="nil"/>
              <w:left w:val="single" w:sz="4" w:space="0" w:color="auto"/>
              <w:bottom w:val="nil"/>
              <w:right w:val="nil"/>
            </w:tcBorders>
            <w:vAlign w:val="center"/>
          </w:tcPr>
          <w:p w14:paraId="39BEC143"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6608FCC2"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1D57B04"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Investicijska ulaganja u razvoj kombiniranog prijevoza koja se odnose na ulaganja u infrastrukturu te nepomične i pomične objekte koji su neophodni za pretovar</w:t>
            </w:r>
          </w:p>
        </w:tc>
      </w:tr>
      <w:tr w:rsidR="00995EF4" w:rsidRPr="0062599F" w14:paraId="19383910" w14:textId="77777777" w:rsidTr="00AC539A">
        <w:tc>
          <w:tcPr>
            <w:tcW w:w="534" w:type="dxa"/>
            <w:tcBorders>
              <w:top w:val="nil"/>
              <w:left w:val="single" w:sz="4" w:space="0" w:color="auto"/>
              <w:bottom w:val="single" w:sz="2" w:space="0" w:color="auto"/>
              <w:right w:val="nil"/>
            </w:tcBorders>
            <w:vAlign w:val="center"/>
          </w:tcPr>
          <w:p w14:paraId="3B99B58A"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12D63B7D"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FB4E168"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i regionalnim potporama</w:t>
            </w:r>
          </w:p>
        </w:tc>
      </w:tr>
      <w:tr w:rsidR="00995EF4" w:rsidRPr="0062599F" w14:paraId="15AB545E" w14:textId="77777777" w:rsidTr="00AC539A">
        <w:tc>
          <w:tcPr>
            <w:tcW w:w="534" w:type="dxa"/>
            <w:tcBorders>
              <w:top w:val="single" w:sz="2" w:space="0" w:color="auto"/>
              <w:left w:val="single" w:sz="4" w:space="0" w:color="auto"/>
              <w:bottom w:val="nil"/>
              <w:right w:val="single" w:sz="2" w:space="0" w:color="auto"/>
            </w:tcBorders>
            <w:vAlign w:val="center"/>
          </w:tcPr>
          <w:p w14:paraId="1CF1CBF8"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032AA291"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Zračni promet</w:t>
            </w:r>
          </w:p>
        </w:tc>
      </w:tr>
      <w:tr w:rsidR="00995EF4" w:rsidRPr="0062599F" w14:paraId="726C051D" w14:textId="77777777" w:rsidTr="00AC539A">
        <w:trPr>
          <w:trHeight w:val="148"/>
        </w:trPr>
        <w:tc>
          <w:tcPr>
            <w:tcW w:w="534" w:type="dxa"/>
            <w:vMerge w:val="restart"/>
            <w:tcBorders>
              <w:top w:val="nil"/>
              <w:left w:val="single" w:sz="4" w:space="0" w:color="auto"/>
              <w:bottom w:val="single" w:sz="2" w:space="0" w:color="auto"/>
              <w:right w:val="nil"/>
            </w:tcBorders>
            <w:vAlign w:val="center"/>
          </w:tcPr>
          <w:p w14:paraId="68D05CC3"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vMerge w:val="restart"/>
            <w:tcBorders>
              <w:top w:val="single" w:sz="2" w:space="0" w:color="auto"/>
              <w:left w:val="nil"/>
              <w:bottom w:val="nil"/>
              <w:right w:val="single" w:sz="2" w:space="0" w:color="auto"/>
            </w:tcBorders>
            <w:vAlign w:val="center"/>
          </w:tcPr>
          <w:p w14:paraId="1C8381AE"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right w:val="single" w:sz="4" w:space="0" w:color="auto"/>
            </w:tcBorders>
            <w:vAlign w:val="center"/>
          </w:tcPr>
          <w:p w14:paraId="7C12A5B5"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Služba od općeg gospodarskog interesa za zračni prijevoz unutar države između regionalnih zračnih luka</w:t>
            </w:r>
          </w:p>
        </w:tc>
      </w:tr>
      <w:tr w:rsidR="00995EF4" w:rsidRPr="0062599F" w14:paraId="70CE8782" w14:textId="77777777" w:rsidTr="00AC539A">
        <w:tc>
          <w:tcPr>
            <w:tcW w:w="534" w:type="dxa"/>
            <w:vMerge/>
            <w:tcBorders>
              <w:top w:val="nil"/>
              <w:left w:val="single" w:sz="4" w:space="0" w:color="auto"/>
              <w:bottom w:val="single" w:sz="2" w:space="0" w:color="auto"/>
              <w:right w:val="nil"/>
            </w:tcBorders>
            <w:vAlign w:val="center"/>
          </w:tcPr>
          <w:p w14:paraId="350D2D2F"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vMerge/>
            <w:tcBorders>
              <w:top w:val="single" w:sz="2" w:space="0" w:color="auto"/>
              <w:left w:val="nil"/>
              <w:bottom w:val="nil"/>
              <w:right w:val="single" w:sz="2" w:space="0" w:color="auto"/>
            </w:tcBorders>
            <w:vAlign w:val="center"/>
          </w:tcPr>
          <w:p w14:paraId="558B437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AA7C21C"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potporama</w:t>
            </w:r>
          </w:p>
        </w:tc>
      </w:tr>
      <w:tr w:rsidR="00995EF4" w:rsidRPr="0062599F" w14:paraId="3D5D3575" w14:textId="77777777" w:rsidTr="00AC539A">
        <w:tc>
          <w:tcPr>
            <w:tcW w:w="534" w:type="dxa"/>
            <w:tcBorders>
              <w:top w:val="single" w:sz="2" w:space="0" w:color="auto"/>
              <w:left w:val="single" w:sz="4" w:space="0" w:color="auto"/>
              <w:bottom w:val="nil"/>
              <w:right w:val="single" w:sz="2" w:space="0" w:color="auto"/>
            </w:tcBorders>
            <w:vAlign w:val="center"/>
          </w:tcPr>
          <w:p w14:paraId="3E31702D"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09A94232"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Pomorski promet</w:t>
            </w:r>
          </w:p>
        </w:tc>
      </w:tr>
      <w:tr w:rsidR="00995EF4" w:rsidRPr="0062599F" w14:paraId="40C22101" w14:textId="77777777" w:rsidTr="00AC539A">
        <w:tc>
          <w:tcPr>
            <w:tcW w:w="534" w:type="dxa"/>
            <w:tcBorders>
              <w:top w:val="nil"/>
              <w:left w:val="single" w:sz="4" w:space="0" w:color="auto"/>
              <w:bottom w:val="nil"/>
              <w:right w:val="nil"/>
            </w:tcBorders>
            <w:vAlign w:val="center"/>
          </w:tcPr>
          <w:p w14:paraId="3BD8934F"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7E981450"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B50405E"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Služba od općeg gospodarskog interesa koja se odnosi na pomorsku kabotažu</w:t>
            </w:r>
          </w:p>
        </w:tc>
      </w:tr>
      <w:tr w:rsidR="00995EF4" w:rsidRPr="0062599F" w14:paraId="28A6E552" w14:textId="77777777" w:rsidTr="00AC539A">
        <w:tc>
          <w:tcPr>
            <w:tcW w:w="534" w:type="dxa"/>
            <w:tcBorders>
              <w:top w:val="nil"/>
              <w:left w:val="single" w:sz="4" w:space="0" w:color="auto"/>
              <w:bottom w:val="nil"/>
              <w:right w:val="nil"/>
            </w:tcBorders>
            <w:vAlign w:val="center"/>
          </w:tcPr>
          <w:p w14:paraId="7278E872"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37A4963"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255E2B11"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Odobravanje poreznih olakšica u cilju održavanja konkurentnosti brodara</w:t>
            </w:r>
          </w:p>
        </w:tc>
      </w:tr>
      <w:tr w:rsidR="00995EF4" w:rsidRPr="0062599F" w14:paraId="127025E2" w14:textId="77777777" w:rsidTr="00AC539A">
        <w:tc>
          <w:tcPr>
            <w:tcW w:w="534" w:type="dxa"/>
            <w:tcBorders>
              <w:top w:val="nil"/>
              <w:left w:val="single" w:sz="4" w:space="0" w:color="auto"/>
              <w:bottom w:val="nil"/>
              <w:right w:val="nil"/>
            </w:tcBorders>
            <w:vAlign w:val="center"/>
          </w:tcPr>
          <w:p w14:paraId="25B852D5"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B4E7944"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C8EEEE8"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Pokriće troškova zapošljavanja koji se odnose na smanjenje stope doprinosa za socijalno osiguranje</w:t>
            </w:r>
          </w:p>
        </w:tc>
      </w:tr>
      <w:tr w:rsidR="00995EF4" w:rsidRPr="0062599F" w14:paraId="643A5733" w14:textId="77777777" w:rsidTr="00AC539A">
        <w:tc>
          <w:tcPr>
            <w:tcW w:w="534" w:type="dxa"/>
            <w:tcBorders>
              <w:top w:val="nil"/>
              <w:left w:val="single" w:sz="4" w:space="0" w:color="auto"/>
              <w:bottom w:val="nil"/>
              <w:right w:val="nil"/>
            </w:tcBorders>
            <w:vAlign w:val="center"/>
          </w:tcPr>
          <w:p w14:paraId="7369FC48"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400444D"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9491869"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Zamjena posade tj. podmirenje dijela troškova povratka pomorca u domovinu</w:t>
            </w:r>
          </w:p>
        </w:tc>
      </w:tr>
      <w:tr w:rsidR="00CF7BFC" w:rsidRPr="0062599F" w14:paraId="049C2A77" w14:textId="77777777" w:rsidTr="00AC539A">
        <w:trPr>
          <w:trHeight w:val="85"/>
        </w:trPr>
        <w:tc>
          <w:tcPr>
            <w:tcW w:w="1101" w:type="dxa"/>
            <w:gridSpan w:val="3"/>
            <w:tcBorders>
              <w:top w:val="nil"/>
              <w:left w:val="single" w:sz="4" w:space="0" w:color="auto"/>
              <w:right w:val="single" w:sz="2" w:space="0" w:color="auto"/>
            </w:tcBorders>
            <w:vAlign w:val="center"/>
          </w:tcPr>
          <w:p w14:paraId="2D301E50"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right w:val="single" w:sz="4" w:space="0" w:color="auto"/>
            </w:tcBorders>
            <w:vAlign w:val="center"/>
          </w:tcPr>
          <w:p w14:paraId="2A07B449"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Ulaganje u obnovu flote koja čine dio strukturalne reforme čiji je cilj smanjivanje kapaciteta flote</w:t>
            </w:r>
          </w:p>
        </w:tc>
      </w:tr>
      <w:tr w:rsidR="00995EF4" w:rsidRPr="0062599F" w14:paraId="7B544C7D" w14:textId="77777777" w:rsidTr="00AC539A">
        <w:tc>
          <w:tcPr>
            <w:tcW w:w="534" w:type="dxa"/>
            <w:tcBorders>
              <w:top w:val="nil"/>
              <w:left w:val="single" w:sz="4" w:space="0" w:color="auto"/>
              <w:bottom w:val="single" w:sz="2" w:space="0" w:color="auto"/>
              <w:right w:val="nil"/>
            </w:tcBorders>
            <w:vAlign w:val="center"/>
          </w:tcPr>
          <w:p w14:paraId="7615D7D1"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3F055CCB"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BC5B8ED"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Usavršavanje pomoraca te ostale namjene predviđene horizontalnim i regionalnim potporama</w:t>
            </w:r>
          </w:p>
        </w:tc>
      </w:tr>
      <w:tr w:rsidR="00995EF4" w:rsidRPr="0062599F" w14:paraId="1E82F645" w14:textId="77777777" w:rsidTr="00AC539A">
        <w:trPr>
          <w:trHeight w:val="228"/>
        </w:trPr>
        <w:tc>
          <w:tcPr>
            <w:tcW w:w="534" w:type="dxa"/>
            <w:tcBorders>
              <w:top w:val="single" w:sz="2" w:space="0" w:color="auto"/>
              <w:left w:val="single" w:sz="4" w:space="0" w:color="auto"/>
              <w:bottom w:val="nil"/>
              <w:right w:val="single" w:sz="2" w:space="0" w:color="auto"/>
            </w:tcBorders>
            <w:vAlign w:val="center"/>
          </w:tcPr>
          <w:p w14:paraId="6C0742EE"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6D9F9779"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Proizvodnja čelika</w:t>
            </w:r>
          </w:p>
        </w:tc>
      </w:tr>
      <w:tr w:rsidR="00995EF4" w:rsidRPr="0062599F" w14:paraId="703F666C" w14:textId="77777777" w:rsidTr="00AC539A">
        <w:tc>
          <w:tcPr>
            <w:tcW w:w="534" w:type="dxa"/>
            <w:tcBorders>
              <w:top w:val="nil"/>
              <w:left w:val="single" w:sz="4" w:space="0" w:color="auto"/>
              <w:bottom w:val="nil"/>
              <w:right w:val="nil"/>
            </w:tcBorders>
            <w:vAlign w:val="center"/>
          </w:tcPr>
          <w:p w14:paraId="212E6B8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0CE06900"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1828CCA4"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Zatvaranje poslovanja (kapaciteta) poduzetnika</w:t>
            </w:r>
          </w:p>
        </w:tc>
      </w:tr>
      <w:tr w:rsidR="00995EF4" w:rsidRPr="0062599F" w14:paraId="163B14A0" w14:textId="77777777" w:rsidTr="00AC539A">
        <w:tc>
          <w:tcPr>
            <w:tcW w:w="534" w:type="dxa"/>
            <w:tcBorders>
              <w:top w:val="nil"/>
              <w:left w:val="single" w:sz="4" w:space="0" w:color="auto"/>
              <w:bottom w:val="nil"/>
              <w:right w:val="nil"/>
            </w:tcBorders>
            <w:vAlign w:val="center"/>
          </w:tcPr>
          <w:p w14:paraId="4B493BF0"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538D4605"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DC413DE"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Zbrinjavanje viška radnika i prijevremeno umirovljenje radnika, pod uvjetom da se radi o djelomičnom ili potpunom zatvaranju kapaciteta</w:t>
            </w:r>
          </w:p>
        </w:tc>
      </w:tr>
      <w:tr w:rsidR="00995EF4" w:rsidRPr="0062599F" w14:paraId="6A0F557C" w14:textId="77777777" w:rsidTr="00AC539A">
        <w:tc>
          <w:tcPr>
            <w:tcW w:w="534" w:type="dxa"/>
            <w:tcBorders>
              <w:top w:val="nil"/>
              <w:left w:val="single" w:sz="4" w:space="0" w:color="auto"/>
              <w:bottom w:val="single" w:sz="2" w:space="0" w:color="auto"/>
              <w:right w:val="nil"/>
            </w:tcBorders>
            <w:vAlign w:val="center"/>
          </w:tcPr>
          <w:p w14:paraId="73930408"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6A0E92CD"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C22B1E4"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 xml:space="preserve">Ostale namjene predviđene horizontalnim potporama osim potpora za sanaciju i restrukturiranje </w:t>
            </w:r>
          </w:p>
        </w:tc>
      </w:tr>
      <w:tr w:rsidR="00995EF4" w:rsidRPr="0062599F" w14:paraId="5C6C6648" w14:textId="77777777" w:rsidTr="00AC539A">
        <w:tc>
          <w:tcPr>
            <w:tcW w:w="534" w:type="dxa"/>
            <w:tcBorders>
              <w:top w:val="single" w:sz="2" w:space="0" w:color="auto"/>
              <w:left w:val="single" w:sz="4" w:space="0" w:color="auto"/>
              <w:bottom w:val="nil"/>
              <w:right w:val="single" w:sz="2" w:space="0" w:color="auto"/>
            </w:tcBorders>
            <w:vAlign w:val="center"/>
          </w:tcPr>
          <w:p w14:paraId="694F7832"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28C30390" w14:textId="77777777" w:rsidR="00995EF4" w:rsidRPr="0062599F" w:rsidRDefault="00995EF4" w:rsidP="00BE487D">
            <w:pPr>
              <w:widowControl w:val="0"/>
              <w:autoSpaceDE w:val="0"/>
              <w:autoSpaceDN w:val="0"/>
              <w:adjustRightInd w:val="0"/>
              <w:jc w:val="both"/>
              <w:rPr>
                <w:b/>
                <w:sz w:val="18"/>
                <w:szCs w:val="18"/>
              </w:rPr>
            </w:pPr>
            <w:r w:rsidRPr="0062599F">
              <w:rPr>
                <w:b/>
                <w:sz w:val="18"/>
                <w:szCs w:val="18"/>
              </w:rPr>
              <w:t>Brodogradnja</w:t>
            </w:r>
          </w:p>
        </w:tc>
      </w:tr>
      <w:tr w:rsidR="00995EF4" w:rsidRPr="0062599F" w14:paraId="74051882" w14:textId="77777777" w:rsidTr="00AC539A">
        <w:tc>
          <w:tcPr>
            <w:tcW w:w="534" w:type="dxa"/>
            <w:tcBorders>
              <w:top w:val="nil"/>
              <w:left w:val="single" w:sz="4" w:space="0" w:color="auto"/>
              <w:bottom w:val="nil"/>
              <w:right w:val="nil"/>
            </w:tcBorders>
            <w:vAlign w:val="center"/>
          </w:tcPr>
          <w:p w14:paraId="459CB01F"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271D788B"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0A639D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Prilikom djelomičnog ili potpunog zatvaranja kapaciteta mogu se pokriti sljedeći troškovi: zbrinjavanje viška radnika i prijevremeno umirovljenje; savjetodavne usluge radnicima koji su proglašeni viškom odnosno prijevremeno umirovljeni; prekvalifikacija radnika; preuređenje brodogradilišta, zgrada, postrojenja i infrastrukture za svrhe različite od brodogradnje</w:t>
            </w:r>
          </w:p>
        </w:tc>
      </w:tr>
      <w:tr w:rsidR="00995EF4" w:rsidRPr="0062599F" w14:paraId="493D8005" w14:textId="77777777" w:rsidTr="00AC539A">
        <w:tc>
          <w:tcPr>
            <w:tcW w:w="534" w:type="dxa"/>
            <w:tcBorders>
              <w:top w:val="nil"/>
              <w:left w:val="single" w:sz="4" w:space="0" w:color="auto"/>
              <w:bottom w:val="nil"/>
              <w:right w:val="nil"/>
            </w:tcBorders>
            <w:vAlign w:val="center"/>
          </w:tcPr>
          <w:p w14:paraId="028A30A9"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0A797992"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1399607" w14:textId="77777777" w:rsidR="00995EF4" w:rsidRPr="0062599F" w:rsidRDefault="00995EF4" w:rsidP="00BE487D">
            <w:pPr>
              <w:widowControl w:val="0"/>
              <w:autoSpaceDE w:val="0"/>
              <w:autoSpaceDN w:val="0"/>
              <w:adjustRightInd w:val="0"/>
              <w:jc w:val="both"/>
              <w:rPr>
                <w:spacing w:val="-4"/>
                <w:sz w:val="18"/>
                <w:szCs w:val="18"/>
              </w:rPr>
            </w:pPr>
            <w:r w:rsidRPr="0062599F">
              <w:rPr>
                <w:spacing w:val="-4"/>
                <w:sz w:val="18"/>
                <w:szCs w:val="18"/>
              </w:rPr>
              <w:t>Prilikom potpunog zatvaranja kapaciteta putem zajmova i državnih jamstava okončanje nedovršenih poslova</w:t>
            </w:r>
          </w:p>
        </w:tc>
      </w:tr>
      <w:tr w:rsidR="00995EF4" w:rsidRPr="0062599F" w14:paraId="4E750746" w14:textId="77777777" w:rsidTr="00AC539A">
        <w:tc>
          <w:tcPr>
            <w:tcW w:w="534" w:type="dxa"/>
            <w:tcBorders>
              <w:top w:val="nil"/>
              <w:left w:val="single" w:sz="4" w:space="0" w:color="auto"/>
              <w:bottom w:val="nil"/>
              <w:right w:val="nil"/>
            </w:tcBorders>
            <w:vAlign w:val="center"/>
          </w:tcPr>
          <w:p w14:paraId="576529B0"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5EFD3807"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35B3E62"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Regionalne potpore za nadogradnju ili modernizaciju postojećih poduzetnika zbog poboljšanja iskoristivosti postojeće opreme i uređaja</w:t>
            </w:r>
          </w:p>
        </w:tc>
      </w:tr>
      <w:tr w:rsidR="00995EF4" w:rsidRPr="0062599F" w14:paraId="3340ADBB" w14:textId="77777777" w:rsidTr="00AC539A">
        <w:tc>
          <w:tcPr>
            <w:tcW w:w="534" w:type="dxa"/>
            <w:tcBorders>
              <w:top w:val="nil"/>
              <w:left w:val="single" w:sz="4" w:space="0" w:color="auto"/>
              <w:bottom w:val="single" w:sz="2" w:space="0" w:color="auto"/>
              <w:right w:val="nil"/>
            </w:tcBorders>
            <w:vAlign w:val="center"/>
          </w:tcPr>
          <w:p w14:paraId="7AA4E1D1"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22780384" w14:textId="77777777" w:rsidR="00995EF4" w:rsidRPr="0062599F" w:rsidRDefault="00995EF4"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12BAAB4"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potporama</w:t>
            </w:r>
          </w:p>
        </w:tc>
      </w:tr>
      <w:tr w:rsidR="00995EF4" w:rsidRPr="0062599F" w14:paraId="21AE83D7" w14:textId="77777777" w:rsidTr="00AC539A">
        <w:tc>
          <w:tcPr>
            <w:tcW w:w="534" w:type="dxa"/>
            <w:tcBorders>
              <w:top w:val="single" w:sz="2" w:space="0" w:color="auto"/>
              <w:left w:val="single" w:sz="4" w:space="0" w:color="auto"/>
              <w:bottom w:val="nil"/>
              <w:right w:val="single" w:sz="2" w:space="0" w:color="auto"/>
            </w:tcBorders>
            <w:vAlign w:val="center"/>
          </w:tcPr>
          <w:p w14:paraId="5355BFF7"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1BB24930"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Javne radiodifuzijske usluge</w:t>
            </w:r>
          </w:p>
        </w:tc>
      </w:tr>
      <w:tr w:rsidR="00995EF4" w:rsidRPr="0062599F" w14:paraId="63F90268" w14:textId="77777777" w:rsidTr="00AC539A">
        <w:tc>
          <w:tcPr>
            <w:tcW w:w="534" w:type="dxa"/>
            <w:tcBorders>
              <w:top w:val="nil"/>
              <w:left w:val="single" w:sz="4" w:space="0" w:color="auto"/>
              <w:bottom w:val="nil"/>
              <w:right w:val="nil"/>
            </w:tcBorders>
            <w:vAlign w:val="center"/>
          </w:tcPr>
          <w:p w14:paraId="3F049AEF"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2EB895C5"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A56835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 xml:space="preserve">Usluge od općeg gospodarskog interesa koje su u izravnoj vezi s demokratskim, socijalnim i kulturnim potrebama društva i potrebom očuvanja medijskog pluralizma </w:t>
            </w:r>
          </w:p>
        </w:tc>
      </w:tr>
      <w:tr w:rsidR="00995EF4" w:rsidRPr="0062599F" w14:paraId="5F4DB6D7" w14:textId="77777777" w:rsidTr="00AC539A">
        <w:tc>
          <w:tcPr>
            <w:tcW w:w="534" w:type="dxa"/>
            <w:tcBorders>
              <w:top w:val="nil"/>
              <w:left w:val="single" w:sz="4" w:space="0" w:color="auto"/>
              <w:bottom w:val="single" w:sz="2" w:space="0" w:color="auto"/>
              <w:right w:val="nil"/>
            </w:tcBorders>
            <w:vAlign w:val="center"/>
          </w:tcPr>
          <w:p w14:paraId="62DE4857"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048A156A"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06434E3"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i regionalnim potporama</w:t>
            </w:r>
          </w:p>
        </w:tc>
      </w:tr>
      <w:tr w:rsidR="00995EF4" w:rsidRPr="0062599F" w14:paraId="482D081A" w14:textId="77777777" w:rsidTr="00AC539A">
        <w:tc>
          <w:tcPr>
            <w:tcW w:w="534" w:type="dxa"/>
            <w:tcBorders>
              <w:top w:val="single" w:sz="2" w:space="0" w:color="auto"/>
              <w:left w:val="single" w:sz="4" w:space="0" w:color="auto"/>
              <w:bottom w:val="nil"/>
              <w:right w:val="single" w:sz="2" w:space="0" w:color="auto"/>
            </w:tcBorders>
            <w:vAlign w:val="center"/>
          </w:tcPr>
          <w:p w14:paraId="436C2FCB"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287268D9"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Kinematografija i ostala audiovizualna djelatnost</w:t>
            </w:r>
          </w:p>
        </w:tc>
      </w:tr>
      <w:tr w:rsidR="00995EF4" w:rsidRPr="0062599F" w14:paraId="72E8ED92" w14:textId="77777777" w:rsidTr="00AC539A">
        <w:tc>
          <w:tcPr>
            <w:tcW w:w="534" w:type="dxa"/>
            <w:tcBorders>
              <w:top w:val="nil"/>
              <w:left w:val="single" w:sz="4" w:space="0" w:color="auto"/>
              <w:bottom w:val="nil"/>
              <w:right w:val="nil"/>
            </w:tcBorders>
            <w:vAlign w:val="center"/>
          </w:tcPr>
          <w:p w14:paraId="029C9AED"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4CF02288"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3698A3C"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Proizvodnja filmova i TV programa koji su od značaja za razvoj kulture sukladno potvrđenim nacionalnim kriterijima</w:t>
            </w:r>
          </w:p>
        </w:tc>
      </w:tr>
      <w:tr w:rsidR="00995EF4" w:rsidRPr="0062599F" w14:paraId="3DFA8920" w14:textId="77777777" w:rsidTr="00AC539A">
        <w:tc>
          <w:tcPr>
            <w:tcW w:w="534" w:type="dxa"/>
            <w:tcBorders>
              <w:top w:val="nil"/>
              <w:left w:val="single" w:sz="4" w:space="0" w:color="auto"/>
              <w:bottom w:val="single" w:sz="2" w:space="0" w:color="auto"/>
              <w:right w:val="nil"/>
            </w:tcBorders>
            <w:vAlign w:val="center"/>
          </w:tcPr>
          <w:p w14:paraId="6CEEE8B5"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24624C89"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A1EE315"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i regionalnim potporama</w:t>
            </w:r>
          </w:p>
        </w:tc>
      </w:tr>
      <w:tr w:rsidR="00995EF4" w:rsidRPr="0062599F" w14:paraId="32C14E6F" w14:textId="77777777" w:rsidTr="00AC539A">
        <w:trPr>
          <w:trHeight w:val="99"/>
        </w:trPr>
        <w:tc>
          <w:tcPr>
            <w:tcW w:w="534" w:type="dxa"/>
            <w:tcBorders>
              <w:top w:val="single" w:sz="2" w:space="0" w:color="auto"/>
              <w:left w:val="single" w:sz="4" w:space="0" w:color="auto"/>
              <w:bottom w:val="nil"/>
              <w:right w:val="single" w:sz="2" w:space="0" w:color="auto"/>
            </w:tcBorders>
            <w:vAlign w:val="center"/>
          </w:tcPr>
          <w:p w14:paraId="4F6B6B10"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66F727DE"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Poštanske usluge</w:t>
            </w:r>
          </w:p>
        </w:tc>
      </w:tr>
      <w:tr w:rsidR="00995EF4" w:rsidRPr="0062599F" w14:paraId="304A1F1B" w14:textId="77777777" w:rsidTr="00AC539A">
        <w:tc>
          <w:tcPr>
            <w:tcW w:w="534" w:type="dxa"/>
            <w:tcBorders>
              <w:top w:val="nil"/>
              <w:left w:val="single" w:sz="4" w:space="0" w:color="auto"/>
              <w:bottom w:val="nil"/>
              <w:right w:val="nil"/>
            </w:tcBorders>
            <w:vAlign w:val="center"/>
          </w:tcPr>
          <w:p w14:paraId="3CEAC98C"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4" w:space="0" w:color="auto"/>
            </w:tcBorders>
            <w:vAlign w:val="center"/>
          </w:tcPr>
          <w:p w14:paraId="1642D5CE"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1D11006D"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Služba od općeg gospodarskog interesa koja se odnosi na univerzalne usluge, a ispunjava zahtjeve za kontinuitetom, tajnošću, neutralnošću, jednakosti postupanja i prilagodljivosti</w:t>
            </w:r>
          </w:p>
        </w:tc>
      </w:tr>
      <w:tr w:rsidR="00995EF4" w:rsidRPr="0062599F" w14:paraId="6703B2B1" w14:textId="77777777" w:rsidTr="00AC539A">
        <w:tc>
          <w:tcPr>
            <w:tcW w:w="534" w:type="dxa"/>
            <w:tcBorders>
              <w:top w:val="nil"/>
              <w:left w:val="single" w:sz="4" w:space="0" w:color="auto"/>
              <w:bottom w:val="single" w:sz="2" w:space="0" w:color="auto"/>
              <w:right w:val="nil"/>
            </w:tcBorders>
            <w:vAlign w:val="center"/>
          </w:tcPr>
          <w:p w14:paraId="2698098E"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4" w:space="0" w:color="auto"/>
            </w:tcBorders>
            <w:vAlign w:val="center"/>
          </w:tcPr>
          <w:p w14:paraId="31B34FA6"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7035C96"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Ostale namjene predviđene horizontalnim i regionalnim potporama</w:t>
            </w:r>
          </w:p>
        </w:tc>
      </w:tr>
      <w:tr w:rsidR="00995EF4" w:rsidRPr="0062599F" w14:paraId="7150605B" w14:textId="77777777" w:rsidTr="00AC539A">
        <w:tc>
          <w:tcPr>
            <w:tcW w:w="534" w:type="dxa"/>
            <w:tcBorders>
              <w:top w:val="single" w:sz="2" w:space="0" w:color="auto"/>
              <w:left w:val="single" w:sz="4" w:space="0" w:color="auto"/>
              <w:bottom w:val="nil"/>
              <w:right w:val="single" w:sz="2" w:space="0" w:color="auto"/>
            </w:tcBorders>
            <w:vAlign w:val="center"/>
          </w:tcPr>
          <w:p w14:paraId="13EB2617" w14:textId="77777777" w:rsidR="00995EF4" w:rsidRPr="0062599F" w:rsidRDefault="00995EF4"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3F210883"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Turizam</w:t>
            </w:r>
          </w:p>
        </w:tc>
      </w:tr>
      <w:tr w:rsidR="00995EF4" w:rsidRPr="0062599F" w14:paraId="4E3AA944" w14:textId="77777777" w:rsidTr="00AC539A">
        <w:tc>
          <w:tcPr>
            <w:tcW w:w="534" w:type="dxa"/>
            <w:tcBorders>
              <w:top w:val="nil"/>
              <w:left w:val="single" w:sz="4" w:space="0" w:color="auto"/>
              <w:bottom w:val="single" w:sz="2" w:space="0" w:color="auto"/>
              <w:right w:val="nil"/>
            </w:tcBorders>
            <w:vAlign w:val="center"/>
          </w:tcPr>
          <w:p w14:paraId="338D69F0"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single" w:sz="2" w:space="0" w:color="auto"/>
              <w:right w:val="single" w:sz="4" w:space="0" w:color="auto"/>
            </w:tcBorders>
            <w:vAlign w:val="center"/>
          </w:tcPr>
          <w:p w14:paraId="5325DECC"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EE1244E"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Sve namjene predviđene horizontalnim i regionalnim potporama</w:t>
            </w:r>
          </w:p>
        </w:tc>
      </w:tr>
      <w:tr w:rsidR="00CF7BFC" w:rsidRPr="0062599F" w14:paraId="7A614260" w14:textId="77777777" w:rsidTr="00AC539A">
        <w:tc>
          <w:tcPr>
            <w:tcW w:w="534" w:type="dxa"/>
            <w:tcBorders>
              <w:top w:val="single" w:sz="2" w:space="0" w:color="auto"/>
              <w:left w:val="single" w:sz="4" w:space="0" w:color="auto"/>
              <w:bottom w:val="nil"/>
              <w:right w:val="single" w:sz="2" w:space="0" w:color="auto"/>
            </w:tcBorders>
            <w:vAlign w:val="center"/>
          </w:tcPr>
          <w:p w14:paraId="3B7C62F4" w14:textId="77777777" w:rsidR="00CF7BFC" w:rsidRPr="0062599F" w:rsidRDefault="00CF7BFC"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2DED0EE5" w14:textId="77777777" w:rsidR="00CF7BFC" w:rsidRPr="0062599F" w:rsidRDefault="00CF7BFC" w:rsidP="00BE487D">
            <w:pPr>
              <w:widowControl w:val="0"/>
              <w:autoSpaceDE w:val="0"/>
              <w:autoSpaceDN w:val="0"/>
              <w:adjustRightInd w:val="0"/>
              <w:jc w:val="both"/>
              <w:rPr>
                <w:b/>
                <w:sz w:val="18"/>
                <w:szCs w:val="18"/>
              </w:rPr>
            </w:pPr>
            <w:r w:rsidRPr="0062599F">
              <w:rPr>
                <w:b/>
                <w:sz w:val="18"/>
                <w:szCs w:val="18"/>
              </w:rPr>
              <w:t>Zaštita okoliša i ušteda energije</w:t>
            </w:r>
          </w:p>
        </w:tc>
      </w:tr>
      <w:tr w:rsidR="00CF7BFC" w:rsidRPr="0062599F" w14:paraId="0733D143" w14:textId="77777777" w:rsidTr="00AC539A">
        <w:tc>
          <w:tcPr>
            <w:tcW w:w="534" w:type="dxa"/>
            <w:tcBorders>
              <w:top w:val="nil"/>
              <w:left w:val="single" w:sz="4" w:space="0" w:color="auto"/>
              <w:bottom w:val="nil"/>
              <w:right w:val="nil"/>
            </w:tcBorders>
            <w:vAlign w:val="center"/>
          </w:tcPr>
          <w:p w14:paraId="003C5F41"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271EF630"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9D76468" w14:textId="77777777" w:rsidR="00CF7BFC" w:rsidRPr="0062599F" w:rsidRDefault="00CF7BFC" w:rsidP="00BE487D">
            <w:pPr>
              <w:widowControl w:val="0"/>
              <w:autoSpaceDE w:val="0"/>
              <w:autoSpaceDN w:val="0"/>
              <w:adjustRightInd w:val="0"/>
              <w:jc w:val="both"/>
              <w:rPr>
                <w:spacing w:val="-6"/>
                <w:sz w:val="18"/>
                <w:szCs w:val="18"/>
              </w:rPr>
            </w:pPr>
            <w:r w:rsidRPr="0062599F">
              <w:rPr>
                <w:spacing w:val="-6"/>
                <w:sz w:val="18"/>
                <w:szCs w:val="18"/>
              </w:rPr>
              <w:t>Postizanje višeg stupnja zaštite okoliša od obvezujućih standarda odnosno ukoliko ne postoje obvezujući standardi</w:t>
            </w:r>
          </w:p>
        </w:tc>
      </w:tr>
      <w:tr w:rsidR="00CF7BFC" w:rsidRPr="0062599F" w14:paraId="370519AA" w14:textId="77777777" w:rsidTr="00AC539A">
        <w:trPr>
          <w:trHeight w:val="378"/>
        </w:trPr>
        <w:tc>
          <w:tcPr>
            <w:tcW w:w="534" w:type="dxa"/>
            <w:tcBorders>
              <w:top w:val="nil"/>
              <w:left w:val="single" w:sz="4" w:space="0" w:color="auto"/>
              <w:bottom w:val="nil"/>
              <w:right w:val="nil"/>
            </w:tcBorders>
            <w:vAlign w:val="center"/>
          </w:tcPr>
          <w:p w14:paraId="69EFA4E5"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995CFD1"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right w:val="single" w:sz="4" w:space="0" w:color="auto"/>
            </w:tcBorders>
            <w:vAlign w:val="center"/>
          </w:tcPr>
          <w:p w14:paraId="73524A9B"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 xml:space="preserve">Nabava novih transportnih vozila po standardima višim od obvezujućih odnosno ukoliko ne postoje obvezujući standardi </w:t>
            </w:r>
          </w:p>
        </w:tc>
      </w:tr>
      <w:tr w:rsidR="00CF7BFC" w:rsidRPr="0062599F" w14:paraId="3B45A2D4" w14:textId="77777777" w:rsidTr="00AC539A">
        <w:trPr>
          <w:trHeight w:val="136"/>
        </w:trPr>
        <w:tc>
          <w:tcPr>
            <w:tcW w:w="534" w:type="dxa"/>
            <w:tcBorders>
              <w:top w:val="nil"/>
              <w:left w:val="single" w:sz="4" w:space="0" w:color="auto"/>
              <w:bottom w:val="nil"/>
              <w:right w:val="nil"/>
            </w:tcBorders>
            <w:vAlign w:val="center"/>
          </w:tcPr>
          <w:p w14:paraId="59B66440"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530CEC1"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right w:val="single" w:sz="4" w:space="0" w:color="auto"/>
            </w:tcBorders>
            <w:vAlign w:val="center"/>
          </w:tcPr>
          <w:p w14:paraId="7C78A457"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Prilagodba budućim obvezujućim standardima</w:t>
            </w:r>
          </w:p>
        </w:tc>
      </w:tr>
      <w:tr w:rsidR="00CF7BFC" w:rsidRPr="0062599F" w14:paraId="52BF2B90" w14:textId="77777777" w:rsidTr="00AC539A">
        <w:tc>
          <w:tcPr>
            <w:tcW w:w="534" w:type="dxa"/>
            <w:tcBorders>
              <w:top w:val="nil"/>
              <w:left w:val="single" w:sz="4" w:space="0" w:color="auto"/>
              <w:bottom w:val="nil"/>
              <w:right w:val="nil"/>
            </w:tcBorders>
            <w:vAlign w:val="center"/>
          </w:tcPr>
          <w:p w14:paraId="7984775A"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69E3BDD1"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0F5DA28"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Istraživanja odnosno izrada studija neposredno vezanih za zaštitu okoliša</w:t>
            </w:r>
          </w:p>
        </w:tc>
      </w:tr>
      <w:tr w:rsidR="00CF7BFC" w:rsidRPr="0062599F" w14:paraId="672CAFB8" w14:textId="77777777" w:rsidTr="00AC539A">
        <w:tc>
          <w:tcPr>
            <w:tcW w:w="534" w:type="dxa"/>
            <w:tcBorders>
              <w:top w:val="nil"/>
              <w:left w:val="single" w:sz="4" w:space="0" w:color="auto"/>
              <w:bottom w:val="nil"/>
              <w:right w:val="nil"/>
            </w:tcBorders>
            <w:vAlign w:val="center"/>
          </w:tcPr>
          <w:p w14:paraId="0AF716E5"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44361207"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95E7147"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Ušteda energije</w:t>
            </w:r>
          </w:p>
        </w:tc>
      </w:tr>
      <w:tr w:rsidR="00CF7BFC" w:rsidRPr="0062599F" w14:paraId="6DB91A9B" w14:textId="77777777" w:rsidTr="00AC539A">
        <w:tc>
          <w:tcPr>
            <w:tcW w:w="534" w:type="dxa"/>
            <w:tcBorders>
              <w:top w:val="nil"/>
              <w:left w:val="single" w:sz="4" w:space="0" w:color="auto"/>
              <w:bottom w:val="nil"/>
              <w:right w:val="nil"/>
            </w:tcBorders>
            <w:vAlign w:val="center"/>
          </w:tcPr>
          <w:p w14:paraId="385E1A82"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0D2BBFF3"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626F9522"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Obnovljivi izvori energije</w:t>
            </w:r>
          </w:p>
        </w:tc>
      </w:tr>
      <w:tr w:rsidR="00CF7BFC" w:rsidRPr="0062599F" w14:paraId="404243FE" w14:textId="77777777" w:rsidTr="00AC539A">
        <w:tc>
          <w:tcPr>
            <w:tcW w:w="534" w:type="dxa"/>
            <w:tcBorders>
              <w:top w:val="nil"/>
              <w:left w:val="single" w:sz="4" w:space="0" w:color="auto"/>
              <w:bottom w:val="nil"/>
              <w:right w:val="nil"/>
            </w:tcBorders>
            <w:vAlign w:val="center"/>
          </w:tcPr>
          <w:p w14:paraId="713EA3AB"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0B19BE9A"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5B1C793" w14:textId="77777777" w:rsidR="00CF7BFC" w:rsidRPr="0062599F" w:rsidRDefault="00CF7BFC" w:rsidP="00BE487D">
            <w:pPr>
              <w:widowControl w:val="0"/>
              <w:autoSpaceDE w:val="0"/>
              <w:autoSpaceDN w:val="0"/>
              <w:adjustRightInd w:val="0"/>
              <w:jc w:val="both"/>
              <w:rPr>
                <w:sz w:val="18"/>
                <w:szCs w:val="18"/>
              </w:rPr>
            </w:pPr>
            <w:proofErr w:type="spellStart"/>
            <w:r w:rsidRPr="0062599F">
              <w:rPr>
                <w:sz w:val="18"/>
                <w:szCs w:val="18"/>
              </w:rPr>
              <w:t>Kogeneracija</w:t>
            </w:r>
            <w:proofErr w:type="spellEnd"/>
            <w:r w:rsidRPr="0062599F">
              <w:rPr>
                <w:sz w:val="18"/>
                <w:szCs w:val="18"/>
              </w:rPr>
              <w:t xml:space="preserve"> i daljinsko grijanje</w:t>
            </w:r>
          </w:p>
        </w:tc>
      </w:tr>
      <w:tr w:rsidR="00CF7BFC" w:rsidRPr="0062599F" w14:paraId="62120F49" w14:textId="77777777" w:rsidTr="00AC539A">
        <w:tc>
          <w:tcPr>
            <w:tcW w:w="534" w:type="dxa"/>
            <w:tcBorders>
              <w:top w:val="nil"/>
              <w:left w:val="single" w:sz="4" w:space="0" w:color="auto"/>
              <w:bottom w:val="nil"/>
              <w:right w:val="nil"/>
            </w:tcBorders>
            <w:vAlign w:val="center"/>
          </w:tcPr>
          <w:p w14:paraId="49374F33"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69E62EE4"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EA1D917"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Gospodarenje otpadom</w:t>
            </w:r>
          </w:p>
        </w:tc>
      </w:tr>
      <w:tr w:rsidR="00CF7BFC" w:rsidRPr="0062599F" w14:paraId="3B937555" w14:textId="77777777" w:rsidTr="00AC539A">
        <w:tc>
          <w:tcPr>
            <w:tcW w:w="534" w:type="dxa"/>
            <w:tcBorders>
              <w:top w:val="nil"/>
              <w:left w:val="single" w:sz="4" w:space="0" w:color="auto"/>
              <w:bottom w:val="nil"/>
              <w:right w:val="nil"/>
            </w:tcBorders>
            <w:vAlign w:val="center"/>
          </w:tcPr>
          <w:p w14:paraId="69E14BBE"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0323AB44"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A6E111E"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Sanacija onečišćenih područja</w:t>
            </w:r>
          </w:p>
        </w:tc>
      </w:tr>
      <w:tr w:rsidR="00CF7BFC" w:rsidRPr="0062599F" w14:paraId="3BDB87B4" w14:textId="77777777" w:rsidTr="00AC539A">
        <w:tc>
          <w:tcPr>
            <w:tcW w:w="534" w:type="dxa"/>
            <w:tcBorders>
              <w:top w:val="nil"/>
              <w:left w:val="single" w:sz="4" w:space="0" w:color="auto"/>
              <w:bottom w:val="nil"/>
              <w:right w:val="nil"/>
            </w:tcBorders>
            <w:vAlign w:val="center"/>
          </w:tcPr>
          <w:p w14:paraId="230908A6"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C9D9D80"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5AFFF22"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Premještanje poduzetnika radi zaštite okoliša na postojećoj lokaciji</w:t>
            </w:r>
          </w:p>
        </w:tc>
      </w:tr>
      <w:tr w:rsidR="00CF7BFC" w:rsidRPr="0062599F" w14:paraId="052B4428" w14:textId="77777777" w:rsidTr="00AC539A">
        <w:tc>
          <w:tcPr>
            <w:tcW w:w="534" w:type="dxa"/>
            <w:tcBorders>
              <w:top w:val="nil"/>
              <w:left w:val="single" w:sz="4" w:space="0" w:color="auto"/>
              <w:bottom w:val="nil"/>
              <w:right w:val="nil"/>
            </w:tcBorders>
            <w:vAlign w:val="center"/>
          </w:tcPr>
          <w:p w14:paraId="6FF1E1C0"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2D6E6907"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7FC00921"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Sustav trgovanja dozvolama</w:t>
            </w:r>
          </w:p>
        </w:tc>
      </w:tr>
      <w:tr w:rsidR="00CF7BFC" w:rsidRPr="0062599F" w14:paraId="4D229F9D" w14:textId="77777777" w:rsidTr="00AC539A">
        <w:trPr>
          <w:trHeight w:val="279"/>
        </w:trPr>
        <w:tc>
          <w:tcPr>
            <w:tcW w:w="534" w:type="dxa"/>
            <w:tcBorders>
              <w:top w:val="nil"/>
              <w:left w:val="single" w:sz="4" w:space="0" w:color="auto"/>
              <w:bottom w:val="single" w:sz="2" w:space="0" w:color="auto"/>
              <w:right w:val="nil"/>
            </w:tcBorders>
            <w:vAlign w:val="center"/>
          </w:tcPr>
          <w:p w14:paraId="67E26E19"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nil"/>
              <w:left w:val="nil"/>
              <w:bottom w:val="single" w:sz="2" w:space="0" w:color="auto"/>
              <w:right w:val="single" w:sz="2" w:space="0" w:color="auto"/>
            </w:tcBorders>
            <w:vAlign w:val="center"/>
          </w:tcPr>
          <w:p w14:paraId="74A69E6E" w14:textId="77777777" w:rsidR="00CF7BFC" w:rsidRPr="0062599F" w:rsidRDefault="00CF7BFC" w:rsidP="00BE487D">
            <w:pPr>
              <w:widowControl w:val="0"/>
              <w:autoSpaceDE w:val="0"/>
              <w:autoSpaceDN w:val="0"/>
              <w:adjustRightInd w:val="0"/>
              <w:jc w:val="both"/>
              <w:rPr>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718CAA3" w14:textId="77777777" w:rsidR="00CF7BFC" w:rsidRPr="0062599F" w:rsidRDefault="00CF7BFC" w:rsidP="00BE487D">
            <w:pPr>
              <w:widowControl w:val="0"/>
              <w:autoSpaceDE w:val="0"/>
              <w:autoSpaceDN w:val="0"/>
              <w:adjustRightInd w:val="0"/>
              <w:jc w:val="both"/>
              <w:rPr>
                <w:spacing w:val="-4"/>
                <w:sz w:val="18"/>
                <w:szCs w:val="18"/>
              </w:rPr>
            </w:pPr>
            <w:r w:rsidRPr="0062599F">
              <w:rPr>
                <w:spacing w:val="-4"/>
                <w:sz w:val="18"/>
                <w:szCs w:val="18"/>
              </w:rPr>
              <w:t>Suzbijanje negativnih vanjskih učinaka zaštite okoliša putem smanjenja ili izuzeća od poreza za zaštitu okoliša za pojedine sektore ili kategorije poduzetnika uz mogućnost uvođenja viših poreza za ostale poduzetnike</w:t>
            </w:r>
          </w:p>
        </w:tc>
      </w:tr>
      <w:tr w:rsidR="00CF7BFC" w:rsidRPr="0062599F" w14:paraId="4AE7FF53" w14:textId="77777777" w:rsidTr="00AC539A">
        <w:trPr>
          <w:trHeight w:val="280"/>
        </w:trPr>
        <w:tc>
          <w:tcPr>
            <w:tcW w:w="534" w:type="dxa"/>
            <w:tcBorders>
              <w:top w:val="single" w:sz="2" w:space="0" w:color="auto"/>
              <w:left w:val="single" w:sz="4" w:space="0" w:color="auto"/>
              <w:bottom w:val="nil"/>
              <w:right w:val="single" w:sz="2" w:space="0" w:color="auto"/>
            </w:tcBorders>
            <w:vAlign w:val="center"/>
          </w:tcPr>
          <w:p w14:paraId="4452200E" w14:textId="77777777" w:rsidR="00CF7BFC" w:rsidRPr="0062599F" w:rsidRDefault="00CF7BFC" w:rsidP="00BE487D">
            <w:pPr>
              <w:widowControl w:val="0"/>
              <w:autoSpaceDE w:val="0"/>
              <w:autoSpaceDN w:val="0"/>
              <w:adjustRightInd w:val="0"/>
              <w:jc w:val="both"/>
              <w:rPr>
                <w:b/>
                <w:sz w:val="18"/>
                <w:szCs w:val="18"/>
              </w:rPr>
            </w:pPr>
          </w:p>
        </w:tc>
        <w:tc>
          <w:tcPr>
            <w:tcW w:w="8392" w:type="dxa"/>
            <w:gridSpan w:val="4"/>
            <w:tcBorders>
              <w:top w:val="single" w:sz="2" w:space="0" w:color="auto"/>
              <w:left w:val="single" w:sz="2" w:space="0" w:color="auto"/>
              <w:bottom w:val="single" w:sz="2" w:space="0" w:color="auto"/>
              <w:right w:val="single" w:sz="4" w:space="0" w:color="auto"/>
            </w:tcBorders>
            <w:shd w:val="clear" w:color="auto" w:fill="FFFF99"/>
            <w:vAlign w:val="center"/>
          </w:tcPr>
          <w:p w14:paraId="1DA480A5" w14:textId="77777777" w:rsidR="00CF7BFC" w:rsidRPr="0062599F" w:rsidRDefault="00CF7BFC" w:rsidP="00BE487D">
            <w:pPr>
              <w:widowControl w:val="0"/>
              <w:autoSpaceDE w:val="0"/>
              <w:autoSpaceDN w:val="0"/>
              <w:adjustRightInd w:val="0"/>
              <w:jc w:val="both"/>
              <w:rPr>
                <w:sz w:val="18"/>
                <w:szCs w:val="18"/>
              </w:rPr>
            </w:pPr>
            <w:r w:rsidRPr="0062599F">
              <w:rPr>
                <w:b/>
                <w:sz w:val="18"/>
                <w:szCs w:val="18"/>
              </w:rPr>
              <w:t>Sanacija i restrukturiranje</w:t>
            </w:r>
          </w:p>
        </w:tc>
      </w:tr>
      <w:tr w:rsidR="00CF7BFC" w:rsidRPr="0062599F" w14:paraId="333C413F" w14:textId="77777777" w:rsidTr="00AC539A">
        <w:tc>
          <w:tcPr>
            <w:tcW w:w="534" w:type="dxa"/>
            <w:tcBorders>
              <w:top w:val="nil"/>
              <w:left w:val="single" w:sz="4" w:space="0" w:color="auto"/>
              <w:bottom w:val="single" w:sz="2" w:space="0" w:color="auto"/>
              <w:right w:val="nil"/>
            </w:tcBorders>
            <w:vAlign w:val="center"/>
          </w:tcPr>
          <w:p w14:paraId="413AF4A2" w14:textId="77777777" w:rsidR="00CF7BFC" w:rsidRPr="0062599F" w:rsidRDefault="00CF7BFC"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single" w:sz="2" w:space="0" w:color="auto"/>
              <w:right w:val="single" w:sz="2" w:space="0" w:color="auto"/>
            </w:tcBorders>
            <w:vAlign w:val="center"/>
          </w:tcPr>
          <w:p w14:paraId="0DC7D0C2" w14:textId="77777777" w:rsidR="00CF7BFC" w:rsidRPr="0062599F" w:rsidRDefault="00CF7BFC"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45A05727" w14:textId="77777777" w:rsidR="00CF7BFC" w:rsidRPr="0062599F" w:rsidRDefault="00CF7BFC" w:rsidP="00BE487D">
            <w:pPr>
              <w:widowControl w:val="0"/>
              <w:autoSpaceDE w:val="0"/>
              <w:autoSpaceDN w:val="0"/>
              <w:adjustRightInd w:val="0"/>
              <w:jc w:val="both"/>
              <w:rPr>
                <w:sz w:val="18"/>
                <w:szCs w:val="18"/>
              </w:rPr>
            </w:pPr>
            <w:r w:rsidRPr="0062599F">
              <w:rPr>
                <w:sz w:val="18"/>
                <w:szCs w:val="18"/>
              </w:rPr>
              <w:t>Pomoć poduzetnicima u teškoćama kojima se temeljem ostvarivog i prihvaćenog plana restrukturiranja može osigurati dugoročni ostanak na tržištu</w:t>
            </w:r>
          </w:p>
        </w:tc>
      </w:tr>
      <w:tr w:rsidR="00995EF4" w:rsidRPr="0062599F" w14:paraId="72568C9B" w14:textId="77777777" w:rsidTr="00AC539A">
        <w:tc>
          <w:tcPr>
            <w:tcW w:w="8926" w:type="dxa"/>
            <w:gridSpan w:val="5"/>
            <w:tcBorders>
              <w:top w:val="single" w:sz="2" w:space="0" w:color="auto"/>
              <w:left w:val="single" w:sz="4" w:space="0" w:color="auto"/>
              <w:bottom w:val="single" w:sz="2" w:space="0" w:color="auto"/>
              <w:right w:val="single" w:sz="4" w:space="0" w:color="auto"/>
            </w:tcBorders>
            <w:shd w:val="clear" w:color="auto" w:fill="FFCC99"/>
            <w:vAlign w:val="center"/>
          </w:tcPr>
          <w:p w14:paraId="299FCBB4" w14:textId="77777777" w:rsidR="00995EF4" w:rsidRPr="0062599F" w:rsidRDefault="00995EF4" w:rsidP="00BE487D">
            <w:pPr>
              <w:widowControl w:val="0"/>
              <w:autoSpaceDE w:val="0"/>
              <w:autoSpaceDN w:val="0"/>
              <w:adjustRightInd w:val="0"/>
              <w:jc w:val="both"/>
              <w:rPr>
                <w:sz w:val="18"/>
                <w:szCs w:val="18"/>
              </w:rPr>
            </w:pPr>
            <w:r w:rsidRPr="0062599F">
              <w:rPr>
                <w:b/>
                <w:sz w:val="18"/>
                <w:szCs w:val="18"/>
              </w:rPr>
              <w:t xml:space="preserve">REGIONALNA </w:t>
            </w:r>
          </w:p>
        </w:tc>
      </w:tr>
      <w:tr w:rsidR="00995EF4" w:rsidRPr="0062599F" w14:paraId="37E19F07" w14:textId="77777777" w:rsidTr="00AC539A">
        <w:tc>
          <w:tcPr>
            <w:tcW w:w="534" w:type="dxa"/>
            <w:tcBorders>
              <w:top w:val="single" w:sz="2" w:space="0" w:color="auto"/>
              <w:left w:val="single" w:sz="4" w:space="0" w:color="auto"/>
              <w:bottom w:val="nil"/>
              <w:right w:val="nil"/>
            </w:tcBorders>
            <w:vAlign w:val="center"/>
          </w:tcPr>
          <w:p w14:paraId="7D5D1CCD"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single" w:sz="2" w:space="0" w:color="auto"/>
              <w:left w:val="nil"/>
              <w:bottom w:val="nil"/>
              <w:right w:val="single" w:sz="2" w:space="0" w:color="auto"/>
            </w:tcBorders>
            <w:vAlign w:val="center"/>
          </w:tcPr>
          <w:p w14:paraId="7826E678"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7648F7F"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Početna materijalna i nematerijalna ulaganja</w:t>
            </w:r>
          </w:p>
        </w:tc>
      </w:tr>
      <w:tr w:rsidR="00995EF4" w:rsidRPr="0062599F" w14:paraId="04460B20" w14:textId="77777777" w:rsidTr="00AC539A">
        <w:tc>
          <w:tcPr>
            <w:tcW w:w="534" w:type="dxa"/>
            <w:tcBorders>
              <w:top w:val="nil"/>
              <w:left w:val="single" w:sz="4" w:space="0" w:color="auto"/>
              <w:bottom w:val="nil"/>
              <w:right w:val="nil"/>
            </w:tcBorders>
            <w:vAlign w:val="center"/>
          </w:tcPr>
          <w:p w14:paraId="659EA99B"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12DD85E3"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5766227D"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Otvaranje novih radnih mjesta povezanih s projektom ulaganja</w:t>
            </w:r>
          </w:p>
        </w:tc>
      </w:tr>
      <w:tr w:rsidR="00995EF4" w:rsidRPr="0062599F" w14:paraId="6A685736" w14:textId="77777777" w:rsidTr="00AC539A">
        <w:tc>
          <w:tcPr>
            <w:tcW w:w="534" w:type="dxa"/>
            <w:tcBorders>
              <w:top w:val="nil"/>
              <w:left w:val="single" w:sz="4" w:space="0" w:color="auto"/>
              <w:bottom w:val="nil"/>
              <w:right w:val="nil"/>
            </w:tcBorders>
            <w:vAlign w:val="center"/>
          </w:tcPr>
          <w:p w14:paraId="0E258BD1" w14:textId="77777777" w:rsidR="00995EF4" w:rsidRPr="0062599F" w:rsidRDefault="00995EF4" w:rsidP="00BE487D">
            <w:pPr>
              <w:widowControl w:val="0"/>
              <w:autoSpaceDE w:val="0"/>
              <w:autoSpaceDN w:val="0"/>
              <w:adjustRightInd w:val="0"/>
              <w:jc w:val="both"/>
              <w:rPr>
                <w:b/>
                <w:sz w:val="18"/>
                <w:szCs w:val="18"/>
              </w:rPr>
            </w:pPr>
          </w:p>
        </w:tc>
        <w:tc>
          <w:tcPr>
            <w:tcW w:w="567" w:type="dxa"/>
            <w:gridSpan w:val="2"/>
            <w:tcBorders>
              <w:top w:val="nil"/>
              <w:left w:val="nil"/>
              <w:bottom w:val="nil"/>
              <w:right w:val="single" w:sz="2" w:space="0" w:color="auto"/>
            </w:tcBorders>
            <w:vAlign w:val="center"/>
          </w:tcPr>
          <w:p w14:paraId="51718573" w14:textId="77777777" w:rsidR="00995EF4" w:rsidRPr="0062599F" w:rsidRDefault="00995EF4" w:rsidP="00BE487D">
            <w:pPr>
              <w:widowControl w:val="0"/>
              <w:autoSpaceDE w:val="0"/>
              <w:autoSpaceDN w:val="0"/>
              <w:adjustRightInd w:val="0"/>
              <w:jc w:val="both"/>
              <w:rPr>
                <w:b/>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0B197348" w14:textId="77777777" w:rsidR="00995EF4" w:rsidRPr="0062599F" w:rsidRDefault="00995EF4" w:rsidP="00BE487D">
            <w:pPr>
              <w:autoSpaceDE w:val="0"/>
              <w:autoSpaceDN w:val="0"/>
              <w:adjustRightInd w:val="0"/>
              <w:jc w:val="both"/>
              <w:rPr>
                <w:sz w:val="18"/>
                <w:szCs w:val="18"/>
              </w:rPr>
            </w:pPr>
            <w:r w:rsidRPr="0062599F">
              <w:rPr>
                <w:sz w:val="18"/>
                <w:szCs w:val="18"/>
              </w:rPr>
              <w:t>Naknada dijela troškova tekućeg poslovanja (postojanje dodatnih transportnih troškova, područja s naseljenošću ispod 8 stanovnika po km</w:t>
            </w:r>
            <w:r w:rsidRPr="0062599F">
              <w:rPr>
                <w:rFonts w:eastAsiaTheme="minorEastAsia"/>
                <w:sz w:val="18"/>
                <w:szCs w:val="18"/>
                <w:lang w:eastAsia="zh-CN"/>
              </w:rPr>
              <w:t>²</w:t>
            </w:r>
            <w:r w:rsidRPr="0062599F">
              <w:rPr>
                <w:sz w:val="18"/>
                <w:szCs w:val="18"/>
              </w:rPr>
              <w:t>, udaljenost i nedostupnost pojedinih područja te za novoosnovane male poduzetnike)</w:t>
            </w:r>
          </w:p>
        </w:tc>
      </w:tr>
      <w:tr w:rsidR="00995EF4" w:rsidRPr="0062599F" w14:paraId="74222877" w14:textId="77777777" w:rsidTr="00AC539A">
        <w:tc>
          <w:tcPr>
            <w:tcW w:w="534" w:type="dxa"/>
            <w:tcBorders>
              <w:top w:val="nil"/>
              <w:left w:val="single" w:sz="4" w:space="0" w:color="auto"/>
              <w:bottom w:val="single" w:sz="2" w:space="0" w:color="auto"/>
              <w:right w:val="nil"/>
            </w:tcBorders>
            <w:vAlign w:val="center"/>
          </w:tcPr>
          <w:p w14:paraId="3FE6AC73" w14:textId="77777777" w:rsidR="00995EF4" w:rsidRPr="0062599F" w:rsidRDefault="00995EF4" w:rsidP="00BE487D">
            <w:pPr>
              <w:widowControl w:val="0"/>
              <w:autoSpaceDE w:val="0"/>
              <w:autoSpaceDN w:val="0"/>
              <w:adjustRightInd w:val="0"/>
              <w:jc w:val="both"/>
              <w:rPr>
                <w:b/>
                <w:i/>
                <w:sz w:val="18"/>
                <w:szCs w:val="18"/>
              </w:rPr>
            </w:pPr>
          </w:p>
        </w:tc>
        <w:tc>
          <w:tcPr>
            <w:tcW w:w="567" w:type="dxa"/>
            <w:gridSpan w:val="2"/>
            <w:tcBorders>
              <w:top w:val="nil"/>
              <w:left w:val="nil"/>
              <w:bottom w:val="single" w:sz="2" w:space="0" w:color="auto"/>
              <w:right w:val="single" w:sz="2" w:space="0" w:color="auto"/>
            </w:tcBorders>
            <w:vAlign w:val="center"/>
          </w:tcPr>
          <w:p w14:paraId="0F729EF5" w14:textId="77777777" w:rsidR="00995EF4" w:rsidRPr="0062599F" w:rsidRDefault="00995EF4" w:rsidP="00BE487D">
            <w:pPr>
              <w:widowControl w:val="0"/>
              <w:autoSpaceDE w:val="0"/>
              <w:autoSpaceDN w:val="0"/>
              <w:adjustRightInd w:val="0"/>
              <w:jc w:val="both"/>
              <w:rPr>
                <w:b/>
                <w:i/>
                <w:sz w:val="18"/>
                <w:szCs w:val="18"/>
              </w:rPr>
            </w:pPr>
          </w:p>
        </w:tc>
        <w:tc>
          <w:tcPr>
            <w:tcW w:w="7825" w:type="dxa"/>
            <w:gridSpan w:val="2"/>
            <w:tcBorders>
              <w:top w:val="single" w:sz="2" w:space="0" w:color="auto"/>
              <w:left w:val="single" w:sz="2" w:space="0" w:color="auto"/>
              <w:bottom w:val="single" w:sz="2" w:space="0" w:color="auto"/>
              <w:right w:val="single" w:sz="4" w:space="0" w:color="auto"/>
            </w:tcBorders>
            <w:vAlign w:val="center"/>
          </w:tcPr>
          <w:p w14:paraId="3B48D50D" w14:textId="77777777" w:rsidR="00995EF4" w:rsidRPr="0062599F" w:rsidRDefault="00995EF4" w:rsidP="00BE487D">
            <w:pPr>
              <w:widowControl w:val="0"/>
              <w:autoSpaceDE w:val="0"/>
              <w:autoSpaceDN w:val="0"/>
              <w:adjustRightInd w:val="0"/>
              <w:jc w:val="both"/>
              <w:rPr>
                <w:sz w:val="18"/>
                <w:szCs w:val="18"/>
              </w:rPr>
            </w:pPr>
            <w:r w:rsidRPr="0062599F">
              <w:rPr>
                <w:sz w:val="18"/>
                <w:szCs w:val="18"/>
              </w:rPr>
              <w:t>Veliki projekti ulaganja</w:t>
            </w:r>
          </w:p>
        </w:tc>
      </w:tr>
    </w:tbl>
    <w:p w14:paraId="5D7747C7" w14:textId="77777777" w:rsidR="00CF7BFC" w:rsidRPr="0062599F" w:rsidRDefault="00CF7BFC" w:rsidP="00BE487D">
      <w:pPr>
        <w:widowControl w:val="0"/>
        <w:autoSpaceDE w:val="0"/>
        <w:autoSpaceDN w:val="0"/>
        <w:adjustRightInd w:val="0"/>
        <w:jc w:val="both"/>
      </w:pPr>
    </w:p>
    <w:p w14:paraId="44098285" w14:textId="77777777" w:rsidR="00995EF4" w:rsidRPr="0062599F" w:rsidRDefault="00995EF4" w:rsidP="00BE487D">
      <w:pPr>
        <w:widowControl w:val="0"/>
        <w:autoSpaceDE w:val="0"/>
        <w:autoSpaceDN w:val="0"/>
        <w:adjustRightInd w:val="0"/>
        <w:jc w:val="both"/>
      </w:pPr>
      <w:r w:rsidRPr="0062599F">
        <w:rPr>
          <w:b/>
          <w:bCs/>
        </w:rPr>
        <w:t>Razina državne potpore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8"/>
      </w:tblGrid>
      <w:tr w:rsidR="00995EF4" w:rsidRPr="0062599F" w14:paraId="44640FF3" w14:textId="77777777" w:rsidTr="004E7739">
        <w:trPr>
          <w:trHeight w:val="179"/>
        </w:trPr>
        <w:tc>
          <w:tcPr>
            <w:tcW w:w="3678" w:type="dxa"/>
            <w:tcBorders>
              <w:top w:val="single" w:sz="4" w:space="0" w:color="auto"/>
              <w:left w:val="single" w:sz="4" w:space="0" w:color="auto"/>
              <w:bottom w:val="single" w:sz="4" w:space="0" w:color="auto"/>
              <w:right w:val="single" w:sz="4" w:space="0" w:color="auto"/>
            </w:tcBorders>
            <w:shd w:val="clear" w:color="auto" w:fill="FFCC99"/>
            <w:vAlign w:val="center"/>
          </w:tcPr>
          <w:p w14:paraId="3BE1115E" w14:textId="77777777" w:rsidR="00995EF4" w:rsidRPr="0062599F" w:rsidRDefault="00995EF4" w:rsidP="00BE487D">
            <w:pPr>
              <w:widowControl w:val="0"/>
              <w:autoSpaceDE w:val="0"/>
              <w:autoSpaceDN w:val="0"/>
              <w:adjustRightInd w:val="0"/>
              <w:jc w:val="both"/>
              <w:rPr>
                <w:sz w:val="18"/>
              </w:rPr>
            </w:pPr>
            <w:r w:rsidRPr="0062599F">
              <w:rPr>
                <w:sz w:val="18"/>
              </w:rPr>
              <w:t>Opis razine</w:t>
            </w:r>
          </w:p>
        </w:tc>
      </w:tr>
      <w:tr w:rsidR="00995EF4" w:rsidRPr="0062599F" w14:paraId="0FBD1F8C" w14:textId="77777777" w:rsidTr="004E7739">
        <w:trPr>
          <w:trHeight w:val="239"/>
        </w:trPr>
        <w:tc>
          <w:tcPr>
            <w:tcW w:w="3678" w:type="dxa"/>
            <w:tcBorders>
              <w:top w:val="single" w:sz="4" w:space="0" w:color="auto"/>
              <w:left w:val="single" w:sz="4" w:space="0" w:color="auto"/>
              <w:bottom w:val="single" w:sz="4" w:space="0" w:color="auto"/>
              <w:right w:val="single" w:sz="4" w:space="0" w:color="auto"/>
            </w:tcBorders>
            <w:vAlign w:val="center"/>
          </w:tcPr>
          <w:p w14:paraId="4DC4BE16" w14:textId="77777777" w:rsidR="00995EF4" w:rsidRPr="0062599F" w:rsidRDefault="00995EF4" w:rsidP="00BE487D">
            <w:pPr>
              <w:pStyle w:val="ListParagraph"/>
              <w:widowControl w:val="0"/>
              <w:numPr>
                <w:ilvl w:val="0"/>
                <w:numId w:val="8"/>
              </w:numPr>
              <w:autoSpaceDE w:val="0"/>
              <w:autoSpaceDN w:val="0"/>
              <w:adjustRightInd w:val="0"/>
              <w:jc w:val="both"/>
              <w:rPr>
                <w:sz w:val="18"/>
              </w:rPr>
            </w:pPr>
            <w:r w:rsidRPr="0062599F">
              <w:rPr>
                <w:sz w:val="18"/>
              </w:rPr>
              <w:t>Državna razina</w:t>
            </w:r>
          </w:p>
        </w:tc>
      </w:tr>
      <w:tr w:rsidR="00995EF4" w:rsidRPr="0062599F" w14:paraId="1287620C" w14:textId="77777777" w:rsidTr="004E7739">
        <w:trPr>
          <w:trHeight w:val="106"/>
        </w:trPr>
        <w:tc>
          <w:tcPr>
            <w:tcW w:w="3678" w:type="dxa"/>
            <w:tcBorders>
              <w:top w:val="single" w:sz="4" w:space="0" w:color="auto"/>
              <w:left w:val="single" w:sz="4" w:space="0" w:color="auto"/>
              <w:bottom w:val="single" w:sz="4" w:space="0" w:color="auto"/>
              <w:right w:val="single" w:sz="4" w:space="0" w:color="auto"/>
            </w:tcBorders>
            <w:vAlign w:val="center"/>
          </w:tcPr>
          <w:p w14:paraId="656FF142" w14:textId="77777777" w:rsidR="00995EF4" w:rsidRPr="0062599F" w:rsidRDefault="00995EF4" w:rsidP="00BE487D">
            <w:pPr>
              <w:pStyle w:val="ListParagraph"/>
              <w:widowControl w:val="0"/>
              <w:numPr>
                <w:ilvl w:val="0"/>
                <w:numId w:val="8"/>
              </w:numPr>
              <w:autoSpaceDE w:val="0"/>
              <w:autoSpaceDN w:val="0"/>
              <w:adjustRightInd w:val="0"/>
              <w:jc w:val="both"/>
              <w:rPr>
                <w:sz w:val="18"/>
              </w:rPr>
            </w:pPr>
            <w:r w:rsidRPr="0062599F">
              <w:rPr>
                <w:sz w:val="18"/>
              </w:rPr>
              <w:t>Regionalna razina</w:t>
            </w:r>
          </w:p>
        </w:tc>
      </w:tr>
      <w:tr w:rsidR="00995EF4" w:rsidRPr="0062599F" w14:paraId="347DD214" w14:textId="77777777" w:rsidTr="004E7739">
        <w:trPr>
          <w:trHeight w:val="70"/>
        </w:trPr>
        <w:tc>
          <w:tcPr>
            <w:tcW w:w="3678" w:type="dxa"/>
            <w:tcBorders>
              <w:top w:val="single" w:sz="4" w:space="0" w:color="auto"/>
              <w:left w:val="single" w:sz="4" w:space="0" w:color="auto"/>
              <w:bottom w:val="single" w:sz="4" w:space="0" w:color="auto"/>
              <w:right w:val="single" w:sz="4" w:space="0" w:color="auto"/>
            </w:tcBorders>
            <w:vAlign w:val="center"/>
          </w:tcPr>
          <w:p w14:paraId="6EC91D81" w14:textId="77777777" w:rsidR="00995EF4" w:rsidRPr="0062599F" w:rsidRDefault="00995EF4" w:rsidP="00BE487D">
            <w:pPr>
              <w:pStyle w:val="ListParagraph"/>
              <w:widowControl w:val="0"/>
              <w:numPr>
                <w:ilvl w:val="0"/>
                <w:numId w:val="8"/>
              </w:numPr>
              <w:autoSpaceDE w:val="0"/>
              <w:autoSpaceDN w:val="0"/>
              <w:adjustRightInd w:val="0"/>
              <w:jc w:val="both"/>
              <w:rPr>
                <w:sz w:val="18"/>
              </w:rPr>
            </w:pPr>
            <w:r w:rsidRPr="0062599F">
              <w:rPr>
                <w:sz w:val="18"/>
              </w:rPr>
              <w:t>Lokalna razina</w:t>
            </w:r>
          </w:p>
        </w:tc>
      </w:tr>
      <w:tr w:rsidR="00995EF4" w:rsidRPr="0062599F" w14:paraId="114A2697" w14:textId="77777777" w:rsidTr="004E7739">
        <w:trPr>
          <w:trHeight w:val="70"/>
        </w:trPr>
        <w:tc>
          <w:tcPr>
            <w:tcW w:w="3678" w:type="dxa"/>
            <w:tcBorders>
              <w:top w:val="single" w:sz="4" w:space="0" w:color="auto"/>
              <w:left w:val="single" w:sz="4" w:space="0" w:color="auto"/>
              <w:bottom w:val="single" w:sz="4" w:space="0" w:color="auto"/>
              <w:right w:val="single" w:sz="4" w:space="0" w:color="auto"/>
            </w:tcBorders>
            <w:vAlign w:val="center"/>
          </w:tcPr>
          <w:p w14:paraId="59F1189D" w14:textId="77777777" w:rsidR="00995EF4" w:rsidRPr="0062599F" w:rsidRDefault="00995EF4" w:rsidP="00BE487D">
            <w:pPr>
              <w:pStyle w:val="ListParagraph"/>
              <w:widowControl w:val="0"/>
              <w:numPr>
                <w:ilvl w:val="0"/>
                <w:numId w:val="8"/>
              </w:numPr>
              <w:autoSpaceDE w:val="0"/>
              <w:autoSpaceDN w:val="0"/>
              <w:adjustRightInd w:val="0"/>
              <w:jc w:val="both"/>
              <w:rPr>
                <w:sz w:val="18"/>
              </w:rPr>
            </w:pPr>
            <w:r w:rsidRPr="0062599F">
              <w:rPr>
                <w:sz w:val="18"/>
              </w:rPr>
              <w:t>Ostalo</w:t>
            </w:r>
          </w:p>
        </w:tc>
      </w:tr>
    </w:tbl>
    <w:p w14:paraId="64B72361" w14:textId="77777777" w:rsidR="00995EF4" w:rsidRPr="0062599F" w:rsidRDefault="00995EF4" w:rsidP="00BE487D">
      <w:pPr>
        <w:jc w:val="both"/>
      </w:pPr>
    </w:p>
    <w:p w14:paraId="60D526BD" w14:textId="77777777" w:rsidR="00995EF4" w:rsidRPr="0062599F" w:rsidRDefault="00995EF4" w:rsidP="00BE487D">
      <w:pPr>
        <w:jc w:val="both"/>
      </w:pPr>
    </w:p>
    <w:p w14:paraId="6C3C0D14" w14:textId="77777777" w:rsidR="00995EF4" w:rsidRPr="0062599F" w:rsidRDefault="00995EF4" w:rsidP="00BE487D">
      <w:pPr>
        <w:jc w:val="both"/>
      </w:pPr>
    </w:p>
    <w:p w14:paraId="56CEB219" w14:textId="77777777" w:rsidR="00995EF4" w:rsidRPr="0062599F" w:rsidRDefault="00995EF4" w:rsidP="00BE487D">
      <w:pPr>
        <w:jc w:val="both"/>
      </w:pPr>
      <w:r w:rsidRPr="0062599F">
        <w:br w:type="page"/>
      </w:r>
    </w:p>
    <w:p w14:paraId="52935068" w14:textId="77777777" w:rsidR="00995EF4" w:rsidRPr="0062599F" w:rsidRDefault="00995EF4" w:rsidP="00BE487D">
      <w:pPr>
        <w:jc w:val="both"/>
      </w:pPr>
    </w:p>
    <w:p w14:paraId="78809220" w14:textId="4A67C304" w:rsidR="00BE0817" w:rsidRPr="0062599F" w:rsidRDefault="00BE0817" w:rsidP="00BE487D">
      <w:pPr>
        <w:pStyle w:val="Heading1"/>
        <w:spacing w:before="0"/>
        <w:jc w:val="both"/>
        <w:rPr>
          <w:rFonts w:ascii="Times New Roman" w:hAnsi="Times New Roman" w:cs="Times New Roman"/>
          <w:b/>
          <w:color w:val="auto"/>
          <w:sz w:val="24"/>
          <w:szCs w:val="24"/>
        </w:rPr>
      </w:pPr>
      <w:bookmarkStart w:id="36" w:name="_Toc184635866"/>
      <w:r w:rsidRPr="0062599F">
        <w:rPr>
          <w:rFonts w:ascii="Times New Roman" w:hAnsi="Times New Roman" w:cs="Times New Roman"/>
          <w:b/>
          <w:color w:val="auto"/>
          <w:sz w:val="24"/>
          <w:szCs w:val="24"/>
        </w:rPr>
        <w:t>PRILOG 3.</w:t>
      </w:r>
      <w:bookmarkEnd w:id="36"/>
    </w:p>
    <w:p w14:paraId="7772C87D" w14:textId="77777777" w:rsidR="00BE0817" w:rsidRPr="0062599F" w:rsidRDefault="00BE0817" w:rsidP="00BE487D">
      <w:pPr>
        <w:jc w:val="both"/>
        <w:rPr>
          <w:b/>
        </w:rPr>
      </w:pPr>
    </w:p>
    <w:p w14:paraId="09824EC9" w14:textId="77777777" w:rsidR="00995EF4" w:rsidRPr="0062599F" w:rsidRDefault="00995EF4" w:rsidP="00BE487D">
      <w:pPr>
        <w:contextualSpacing/>
        <w:jc w:val="both"/>
        <w:rPr>
          <w:b/>
        </w:rPr>
      </w:pPr>
      <w:r w:rsidRPr="0062599F">
        <w:rPr>
          <w:b/>
        </w:rPr>
        <w:t>Instrumenti državne potpore</w:t>
      </w:r>
      <w:r w:rsidR="00F13FE5" w:rsidRPr="0062599F">
        <w:rPr>
          <w:b/>
        </w:rPr>
        <w:t xml:space="preserve"> i potpore male vrijednosti</w:t>
      </w:r>
    </w:p>
    <w:p w14:paraId="671533BC" w14:textId="77777777" w:rsidR="00995EF4" w:rsidRPr="0062599F" w:rsidRDefault="00995EF4" w:rsidP="00BE487D">
      <w:pPr>
        <w:contextualSpacing/>
        <w:jc w:val="both"/>
      </w:pPr>
    </w:p>
    <w:p w14:paraId="336E8E69" w14:textId="77777777" w:rsidR="00995EF4" w:rsidRPr="0062599F" w:rsidRDefault="00995EF4" w:rsidP="00BE487D">
      <w:pPr>
        <w:contextualSpacing/>
        <w:jc w:val="both"/>
      </w:pPr>
    </w:p>
    <w:p w14:paraId="335A2730" w14:textId="77777777" w:rsidR="00995EF4" w:rsidRPr="0062599F" w:rsidRDefault="00995EF4" w:rsidP="00BE487D">
      <w:pPr>
        <w:contextualSpacing/>
        <w:jc w:val="both"/>
      </w:pPr>
      <w:r w:rsidRPr="0062599F">
        <w:rPr>
          <w:b/>
        </w:rPr>
        <w:t>A – Subvencije, porezna izuzeća i oprost duga</w:t>
      </w:r>
    </w:p>
    <w:p w14:paraId="249E3C7F" w14:textId="77777777" w:rsidR="00995EF4" w:rsidRPr="0062599F" w:rsidRDefault="00995EF4" w:rsidP="00BE487D">
      <w:pPr>
        <w:contextualSpacing/>
        <w:jc w:val="both"/>
      </w:pPr>
    </w:p>
    <w:p w14:paraId="6583A8BB" w14:textId="77777777" w:rsidR="00995EF4" w:rsidRPr="0062599F" w:rsidRDefault="00995EF4" w:rsidP="00BE487D">
      <w:pPr>
        <w:contextualSpacing/>
        <w:jc w:val="both"/>
      </w:pPr>
      <w:r w:rsidRPr="0062599F">
        <w:t>Subvencije i porezna izuzeća, čine prvu skupinu u kojoj cjelokupan iznos transferiran korisniku čini potporu. Ta skupina se dijeli na dvije podskupine:</w:t>
      </w:r>
    </w:p>
    <w:p w14:paraId="06ECEA8C" w14:textId="77777777" w:rsidR="00995EF4" w:rsidRPr="0062599F" w:rsidRDefault="00995EF4" w:rsidP="00BE487D">
      <w:pPr>
        <w:contextualSpacing/>
        <w:jc w:val="both"/>
      </w:pPr>
    </w:p>
    <w:p w14:paraId="49EEC3D1" w14:textId="77777777" w:rsidR="00995EF4" w:rsidRPr="0062599F" w:rsidRDefault="00995EF4" w:rsidP="00BE487D">
      <w:pPr>
        <w:numPr>
          <w:ilvl w:val="0"/>
          <w:numId w:val="9"/>
        </w:numPr>
        <w:contextualSpacing/>
        <w:jc w:val="both"/>
      </w:pPr>
      <w:r w:rsidRPr="0062599F">
        <w:rPr>
          <w:b/>
        </w:rPr>
        <w:t>A1</w:t>
      </w:r>
      <w:r w:rsidRPr="0062599F">
        <w:t xml:space="preserve"> – subvencije (subvencije, neposredne subvencije kamata, oprost duga po osnovi za</w:t>
      </w:r>
      <w:r w:rsidR="009366E2" w:rsidRPr="0062599F">
        <w:t>jma, prisilna nagodba i stečaj)</w:t>
      </w:r>
    </w:p>
    <w:p w14:paraId="67DB034A" w14:textId="77777777" w:rsidR="00995EF4" w:rsidRPr="0062599F" w:rsidRDefault="00995EF4" w:rsidP="00BE487D">
      <w:pPr>
        <w:numPr>
          <w:ilvl w:val="0"/>
          <w:numId w:val="9"/>
        </w:numPr>
        <w:contextualSpacing/>
        <w:jc w:val="both"/>
      </w:pPr>
      <w:r w:rsidRPr="0062599F">
        <w:rPr>
          <w:b/>
        </w:rPr>
        <w:t>A2</w:t>
      </w:r>
      <w:r w:rsidRPr="0062599F">
        <w:t xml:space="preserve"> – oprost poreza, porezna oslobođenja, izuzeća i olakšice (kao različiti oblici umanjenja</w:t>
      </w:r>
      <w:r w:rsidRPr="0062599F">
        <w:rPr>
          <w:b/>
        </w:rPr>
        <w:t xml:space="preserve"> </w:t>
      </w:r>
      <w:r w:rsidRPr="0062599F">
        <w:t>poreza na dobit poduzetnicima, i to: olakšice s područja posebne državne skrbi - niža stopa poreza na dobit, olakšice i oslobađanja za porezne obveznike na području Grada Vukovara - niža stopa poreza na dobit, olakšice i oslobađanja za porezne obveznike koji posluju u slobodnim zonama - niža stopa poreza na dobit, poticaji ulaganja - niža stopa poreza na dobit, poticaji zapošljavanja osoba s invaliditetom - niža stopa poreza na dobit, poticaji istraživanja i razvoja - umanjenje porezne osnovice za troškove istraživanja i razvoja).</w:t>
      </w:r>
    </w:p>
    <w:p w14:paraId="581A09F8" w14:textId="77777777" w:rsidR="00995EF4" w:rsidRPr="0062599F" w:rsidRDefault="00995EF4" w:rsidP="00BE487D">
      <w:pPr>
        <w:contextualSpacing/>
        <w:jc w:val="both"/>
      </w:pPr>
    </w:p>
    <w:p w14:paraId="79FD51FF" w14:textId="77777777" w:rsidR="00995EF4" w:rsidRPr="0062599F" w:rsidRDefault="00995EF4" w:rsidP="00BE487D">
      <w:pPr>
        <w:contextualSpacing/>
        <w:jc w:val="both"/>
      </w:pPr>
      <w:r w:rsidRPr="0062599F">
        <w:t>Osim subvencija i poreznih izuzeća u skupinu A2</w:t>
      </w:r>
      <w:r w:rsidRPr="0062599F">
        <w:rPr>
          <w:b/>
        </w:rPr>
        <w:t xml:space="preserve"> </w:t>
      </w:r>
      <w:r w:rsidRPr="0062599F">
        <w:t>ulaze i snižavanje, oslobođenje, olakšice, izuzeće i oprost plaćanja doprinosa, odgode pri plaćanju poreza, otpis duga i odgode pri podmirenju duga.</w:t>
      </w:r>
    </w:p>
    <w:p w14:paraId="063F9ADA" w14:textId="77777777" w:rsidR="00995EF4" w:rsidRPr="0062599F" w:rsidRDefault="00995EF4" w:rsidP="00BE487D">
      <w:pPr>
        <w:contextualSpacing/>
        <w:jc w:val="both"/>
      </w:pPr>
    </w:p>
    <w:p w14:paraId="5124505F" w14:textId="77777777" w:rsidR="00995EF4" w:rsidRPr="0062599F" w:rsidRDefault="00995EF4" w:rsidP="00BE487D">
      <w:pPr>
        <w:contextualSpacing/>
        <w:jc w:val="both"/>
      </w:pPr>
    </w:p>
    <w:p w14:paraId="792C28AC" w14:textId="77777777" w:rsidR="00995EF4" w:rsidRPr="0062599F" w:rsidRDefault="00995EF4" w:rsidP="00BE487D">
      <w:pPr>
        <w:contextualSpacing/>
        <w:jc w:val="both"/>
        <w:rPr>
          <w:b/>
        </w:rPr>
      </w:pPr>
      <w:r w:rsidRPr="0062599F">
        <w:rPr>
          <w:b/>
        </w:rPr>
        <w:t xml:space="preserve">B - Udjeli u vlasničkom kapitalu </w:t>
      </w:r>
    </w:p>
    <w:p w14:paraId="2E21385C" w14:textId="77777777" w:rsidR="00995EF4" w:rsidRPr="0062599F" w:rsidRDefault="00995EF4" w:rsidP="00BE487D">
      <w:pPr>
        <w:contextualSpacing/>
        <w:jc w:val="both"/>
      </w:pPr>
    </w:p>
    <w:p w14:paraId="4B7BEE39" w14:textId="77777777" w:rsidR="00995EF4" w:rsidRPr="0062599F" w:rsidRDefault="00995EF4" w:rsidP="00BE487D">
      <w:pPr>
        <w:contextualSpacing/>
        <w:jc w:val="both"/>
      </w:pPr>
      <w:r w:rsidRPr="0062599F">
        <w:t>Kako bi država pomogla nekom poduzetniku, svoje potraživanje prema tom poduzetniku može pretvoriti u vlasnički udjel i time postaje suvlasnikom toga poduzetnika. U tu skupinu potpora ubrajaju se: državna ulaganja u vlasnički kapital poduzetnika kojima nije cilj stvaranje dobiti, kapitalna ulaganja i rizični kapital, pretvaranje duga prema državi u vlasnički udjel, prodaja državne imovine pod povoljnim uvjetima, odricanje od isplate dobiti poduzetnika na koju država ima pravo na temelju udjela u vlasništvu poduzetnika i sl. Ovdje se radi uglavnom o poduzetnicima u teškoćama, kojima država na ovaj način nastoji pomoći.</w:t>
      </w:r>
    </w:p>
    <w:p w14:paraId="6C6EE183" w14:textId="77777777" w:rsidR="00995EF4" w:rsidRPr="0062599F" w:rsidRDefault="00995EF4" w:rsidP="00BE487D">
      <w:pPr>
        <w:contextualSpacing/>
        <w:jc w:val="both"/>
      </w:pPr>
    </w:p>
    <w:p w14:paraId="74CE5280" w14:textId="77777777" w:rsidR="00995EF4" w:rsidRPr="0062599F" w:rsidRDefault="00995EF4" w:rsidP="00BE487D">
      <w:pPr>
        <w:contextualSpacing/>
        <w:jc w:val="both"/>
      </w:pPr>
    </w:p>
    <w:p w14:paraId="2A3FF8B4" w14:textId="77777777" w:rsidR="00995EF4" w:rsidRPr="0062599F" w:rsidRDefault="00995EF4" w:rsidP="00BE487D">
      <w:pPr>
        <w:contextualSpacing/>
        <w:jc w:val="both"/>
        <w:rPr>
          <w:b/>
        </w:rPr>
      </w:pPr>
      <w:r w:rsidRPr="0062599F">
        <w:rPr>
          <w:b/>
        </w:rPr>
        <w:t>C – Financijski transferi</w:t>
      </w:r>
    </w:p>
    <w:p w14:paraId="7334E322" w14:textId="77777777" w:rsidR="00995EF4" w:rsidRPr="0062599F" w:rsidRDefault="00995EF4" w:rsidP="00BE487D">
      <w:pPr>
        <w:contextualSpacing/>
        <w:jc w:val="both"/>
        <w:rPr>
          <w:b/>
        </w:rPr>
      </w:pPr>
    </w:p>
    <w:p w14:paraId="4EFA9612" w14:textId="77777777" w:rsidR="00995EF4" w:rsidRPr="0062599F" w:rsidRDefault="00995EF4" w:rsidP="00BE487D">
      <w:pPr>
        <w:pStyle w:val="ListParagraph"/>
        <w:numPr>
          <w:ilvl w:val="0"/>
          <w:numId w:val="10"/>
        </w:numPr>
        <w:jc w:val="both"/>
      </w:pPr>
      <w:r w:rsidRPr="0062599F">
        <w:rPr>
          <w:b/>
        </w:rPr>
        <w:t>C1 - Povoljni zajmovi -</w:t>
      </w:r>
      <w:r w:rsidRPr="0062599F">
        <w:t xml:space="preserve"> krediti koje država izravno ili putem ovlaštenih pravnih osoba ili putem poslovnih banaka, dodjeljuje poduzetnicima uz povoljnije uvjete od tržišnih, tj. niže kamatne stope od tržišnih, uz dulje vrijeme počeka ili otplate te druge povoljne uvjete. Takvi krediti obično su namijenjeni poduzetnicima u teškoćama koji kredit ne bi mogli dobiti pod redovnim tržišnim uvjetima, a uglavnom se dodjeljuju preko Hrvatske banke za obnovu i razvitak. U ovoj skupini nalaze se i zajmovi poduzetnicima u</w:t>
      </w:r>
      <w:r w:rsidRPr="0062599F">
        <w:rPr>
          <w:b/>
        </w:rPr>
        <w:t xml:space="preserve"> </w:t>
      </w:r>
      <w:r w:rsidRPr="0062599F">
        <w:t>teškoćama.</w:t>
      </w:r>
    </w:p>
    <w:p w14:paraId="7E5C2127" w14:textId="77777777" w:rsidR="00995EF4" w:rsidRPr="0062599F" w:rsidRDefault="00995EF4" w:rsidP="00BE487D">
      <w:pPr>
        <w:contextualSpacing/>
        <w:jc w:val="both"/>
      </w:pPr>
    </w:p>
    <w:p w14:paraId="2F70D599" w14:textId="77777777" w:rsidR="00995EF4" w:rsidRPr="0062599F" w:rsidRDefault="00995EF4" w:rsidP="00BE487D">
      <w:pPr>
        <w:contextualSpacing/>
        <w:jc w:val="both"/>
      </w:pPr>
    </w:p>
    <w:p w14:paraId="16BF0EF3" w14:textId="77777777" w:rsidR="00AE408F" w:rsidRPr="0062599F" w:rsidRDefault="00AE408F">
      <w:pPr>
        <w:rPr>
          <w:b/>
        </w:rPr>
      </w:pPr>
      <w:r w:rsidRPr="0062599F">
        <w:rPr>
          <w:b/>
        </w:rPr>
        <w:br w:type="page"/>
      </w:r>
    </w:p>
    <w:p w14:paraId="3AAD34E1" w14:textId="77777777" w:rsidR="00995EF4" w:rsidRPr="0062599F" w:rsidRDefault="00995EF4" w:rsidP="00BE487D">
      <w:pPr>
        <w:contextualSpacing/>
        <w:jc w:val="both"/>
        <w:rPr>
          <w:b/>
        </w:rPr>
      </w:pPr>
      <w:r w:rsidRPr="0062599F">
        <w:rPr>
          <w:b/>
        </w:rPr>
        <w:lastRenderedPageBreak/>
        <w:t>D – Jamstva, opozvana jamstva</w:t>
      </w:r>
    </w:p>
    <w:p w14:paraId="21D262D9" w14:textId="77777777" w:rsidR="00995EF4" w:rsidRPr="0062599F" w:rsidRDefault="00995EF4" w:rsidP="00BE487D">
      <w:pPr>
        <w:contextualSpacing/>
        <w:jc w:val="both"/>
      </w:pPr>
    </w:p>
    <w:p w14:paraId="1F26E0C5" w14:textId="77777777" w:rsidR="00995EF4" w:rsidRPr="0062599F" w:rsidRDefault="00995EF4" w:rsidP="00BE487D">
      <w:pPr>
        <w:contextualSpacing/>
        <w:jc w:val="both"/>
      </w:pPr>
      <w:r w:rsidRPr="0062599F">
        <w:t>Obuhvaćaju državna jamstva za osiguranje od komercijalnih i nekomercijalnih rizika u nominalnom iznosu. Državna jamstva omogućuju korisniku da dobije kredit uz povoljnije uvjete od onih na financijskim tržištima. Državno jamstvo u pravilu ne predstavlja potporu korisniku ako su ispunjeni sljedeći uvjeti: da korisnik zajma nije u financijskim poteškoćama, da korisnik zajma može na financijskom tržištu dobiti zajam po tržišnim uvjetima bez posredovanja države, da je državno jamstvo povezano s određenom financijskom transakcijom, ograničeno po visini i po vremenu trajanja, da državno jamstvo ne pokriva više od 80 posto određene financijske obveze, da se za državno jamstvo zaračunava tržišna cijena. Samo ako su kumulativno ispunjeni svi navedeni uvjeti, tada jamstvo ne predstavlja potporu.</w:t>
      </w:r>
    </w:p>
    <w:p w14:paraId="3189B96A" w14:textId="77777777" w:rsidR="00995EF4" w:rsidRPr="0062599F" w:rsidRDefault="00995EF4" w:rsidP="00BE487D">
      <w:pPr>
        <w:contextualSpacing/>
        <w:jc w:val="both"/>
      </w:pPr>
    </w:p>
    <w:p w14:paraId="0B9AD4CD" w14:textId="77777777" w:rsidR="00995EF4" w:rsidRPr="0062599F" w:rsidRDefault="00995EF4" w:rsidP="00BE487D">
      <w:pPr>
        <w:contextualSpacing/>
        <w:jc w:val="both"/>
      </w:pPr>
      <w:r w:rsidRPr="0062599F">
        <w:t>Ovoj skupini pripadaju i opozvana jamstva kod kojih je element potpore jednak iznosu opozvanog jamstva.</w:t>
      </w:r>
    </w:p>
    <w:p w14:paraId="4DE28647" w14:textId="77777777" w:rsidR="00995EF4" w:rsidRPr="0062599F" w:rsidRDefault="00995EF4" w:rsidP="00BE487D">
      <w:pPr>
        <w:contextualSpacing/>
        <w:jc w:val="both"/>
      </w:pPr>
    </w:p>
    <w:p w14:paraId="0646286A" w14:textId="77777777" w:rsidR="00995EF4" w:rsidRPr="0062599F" w:rsidRDefault="00995EF4" w:rsidP="00BE487D">
      <w:pPr>
        <w:contextualSpacing/>
        <w:jc w:val="both"/>
      </w:pPr>
      <w:r w:rsidRPr="0062599F">
        <w:t>Navedeni instrumenti dodjele potpore predstavljaju samo najčešće korištene instrumente.</w:t>
      </w:r>
    </w:p>
    <w:p w14:paraId="4C891D15" w14:textId="77777777" w:rsidR="00995EF4" w:rsidRPr="0062599F" w:rsidRDefault="00995EF4" w:rsidP="00BE487D">
      <w:pPr>
        <w:contextualSpacing/>
        <w:jc w:val="both"/>
      </w:pPr>
    </w:p>
    <w:p w14:paraId="432D9FC5" w14:textId="77777777" w:rsidR="00EF0F3E" w:rsidRPr="0062599F" w:rsidRDefault="00EF0F3E" w:rsidP="00BE487D">
      <w:pPr>
        <w:contextualSpacing/>
        <w:jc w:val="both"/>
      </w:pPr>
    </w:p>
    <w:p w14:paraId="48572D0C" w14:textId="77777777" w:rsidR="00995EF4" w:rsidRPr="0062599F" w:rsidRDefault="00995EF4" w:rsidP="00BE487D">
      <w:pPr>
        <w:rPr>
          <w:b/>
        </w:rPr>
      </w:pPr>
      <w:r w:rsidRPr="0062599F">
        <w:rPr>
          <w:b/>
        </w:rPr>
        <w:t>Metodologija ocjene elementa državne potpore</w:t>
      </w:r>
    </w:p>
    <w:p w14:paraId="5367EF17" w14:textId="77777777" w:rsidR="00995EF4" w:rsidRPr="0062599F" w:rsidRDefault="00995EF4"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31"/>
      </w:tblGrid>
      <w:tr w:rsidR="00B2708F" w:rsidRPr="0062599F" w14:paraId="62CEA46C" w14:textId="77777777" w:rsidTr="00620DC1">
        <w:tc>
          <w:tcPr>
            <w:tcW w:w="9062" w:type="dxa"/>
            <w:gridSpan w:val="2"/>
            <w:shd w:val="clear" w:color="auto" w:fill="FFFFCC"/>
          </w:tcPr>
          <w:p w14:paraId="554C1501" w14:textId="77777777" w:rsidR="00B2708F" w:rsidRPr="0062599F" w:rsidRDefault="00B2708F" w:rsidP="00BE487D">
            <w:pPr>
              <w:contextualSpacing/>
              <w:jc w:val="both"/>
              <w:rPr>
                <w:sz w:val="20"/>
              </w:rPr>
            </w:pPr>
            <w:r w:rsidRPr="0062599F">
              <w:rPr>
                <w:b/>
                <w:sz w:val="20"/>
              </w:rPr>
              <w:t>Skupina A1</w:t>
            </w:r>
          </w:p>
        </w:tc>
      </w:tr>
      <w:tr w:rsidR="00B2708F" w:rsidRPr="0062599F" w14:paraId="0DD47A57" w14:textId="77777777" w:rsidTr="00620DC1">
        <w:tc>
          <w:tcPr>
            <w:tcW w:w="2830" w:type="dxa"/>
          </w:tcPr>
          <w:p w14:paraId="2C86B401" w14:textId="77777777" w:rsidR="00B2708F" w:rsidRPr="0062599F" w:rsidRDefault="00B2708F" w:rsidP="00BE487D">
            <w:pPr>
              <w:contextualSpacing/>
              <w:jc w:val="both"/>
              <w:rPr>
                <w:sz w:val="20"/>
              </w:rPr>
            </w:pPr>
            <w:r w:rsidRPr="0062599F">
              <w:rPr>
                <w:sz w:val="20"/>
              </w:rPr>
              <w:t>Subvencije</w:t>
            </w:r>
          </w:p>
        </w:tc>
        <w:tc>
          <w:tcPr>
            <w:tcW w:w="6232" w:type="dxa"/>
          </w:tcPr>
          <w:p w14:paraId="46B44C00" w14:textId="77777777" w:rsidR="00B2708F" w:rsidRPr="0062599F" w:rsidRDefault="00B2708F" w:rsidP="00BE487D">
            <w:pPr>
              <w:contextualSpacing/>
              <w:jc w:val="both"/>
              <w:rPr>
                <w:sz w:val="20"/>
              </w:rPr>
            </w:pPr>
            <w:r w:rsidRPr="0062599F">
              <w:rPr>
                <w:sz w:val="20"/>
              </w:rPr>
              <w:t>ukupna vrijednost primljene subvencije</w:t>
            </w:r>
          </w:p>
        </w:tc>
      </w:tr>
      <w:tr w:rsidR="00B2708F" w:rsidRPr="0062599F" w14:paraId="117B4CF8" w14:textId="77777777" w:rsidTr="00620DC1">
        <w:tc>
          <w:tcPr>
            <w:tcW w:w="2830" w:type="dxa"/>
          </w:tcPr>
          <w:p w14:paraId="2B660305" w14:textId="77777777" w:rsidR="00B2708F" w:rsidRPr="0062599F" w:rsidRDefault="00B2708F" w:rsidP="00BE487D">
            <w:pPr>
              <w:contextualSpacing/>
              <w:jc w:val="both"/>
              <w:rPr>
                <w:sz w:val="20"/>
              </w:rPr>
            </w:pPr>
            <w:r w:rsidRPr="0062599F">
              <w:rPr>
                <w:sz w:val="20"/>
              </w:rPr>
              <w:t>Neposredne subvencije kamata</w:t>
            </w:r>
          </w:p>
        </w:tc>
        <w:tc>
          <w:tcPr>
            <w:tcW w:w="6232" w:type="dxa"/>
          </w:tcPr>
          <w:p w14:paraId="038E9F20" w14:textId="77777777" w:rsidR="00B2708F" w:rsidRPr="0062599F" w:rsidRDefault="00B2708F" w:rsidP="00BE487D">
            <w:pPr>
              <w:contextualSpacing/>
              <w:jc w:val="both"/>
              <w:rPr>
                <w:sz w:val="20"/>
              </w:rPr>
            </w:pPr>
            <w:r w:rsidRPr="0062599F">
              <w:rPr>
                <w:sz w:val="20"/>
              </w:rPr>
              <w:t>ukupna vrijednost primljene subvencije (ili neisplata dijela kamata)</w:t>
            </w:r>
          </w:p>
        </w:tc>
      </w:tr>
      <w:tr w:rsidR="00B2708F" w:rsidRPr="0062599F" w14:paraId="0AE14383" w14:textId="77777777" w:rsidTr="00620DC1">
        <w:tc>
          <w:tcPr>
            <w:tcW w:w="2830" w:type="dxa"/>
          </w:tcPr>
          <w:p w14:paraId="42447E5D" w14:textId="77777777" w:rsidR="00B2708F" w:rsidRPr="0062599F" w:rsidRDefault="00B2708F" w:rsidP="00BE487D">
            <w:pPr>
              <w:contextualSpacing/>
              <w:jc w:val="both"/>
              <w:rPr>
                <w:sz w:val="20"/>
              </w:rPr>
            </w:pPr>
            <w:r w:rsidRPr="0062599F">
              <w:rPr>
                <w:sz w:val="20"/>
              </w:rPr>
              <w:t xml:space="preserve">Oprost duga po osnovi zajma </w:t>
            </w:r>
          </w:p>
        </w:tc>
        <w:tc>
          <w:tcPr>
            <w:tcW w:w="6232" w:type="dxa"/>
          </w:tcPr>
          <w:p w14:paraId="58B09F6F" w14:textId="77777777" w:rsidR="00B2708F" w:rsidRPr="0062599F" w:rsidRDefault="00B2708F" w:rsidP="00BE487D">
            <w:pPr>
              <w:contextualSpacing/>
              <w:jc w:val="both"/>
              <w:rPr>
                <w:sz w:val="20"/>
              </w:rPr>
            </w:pPr>
            <w:r w:rsidRPr="0062599F">
              <w:rPr>
                <w:sz w:val="20"/>
              </w:rPr>
              <w:t>vrijednost otpisanoga duga</w:t>
            </w:r>
          </w:p>
        </w:tc>
      </w:tr>
      <w:tr w:rsidR="00B2708F" w:rsidRPr="0062599F" w14:paraId="4CD47341" w14:textId="77777777" w:rsidTr="00620DC1">
        <w:tc>
          <w:tcPr>
            <w:tcW w:w="2830" w:type="dxa"/>
          </w:tcPr>
          <w:p w14:paraId="7EE7B86D" w14:textId="77777777" w:rsidR="00B2708F" w:rsidRPr="0062599F" w:rsidRDefault="00B2708F" w:rsidP="00BE487D">
            <w:pPr>
              <w:contextualSpacing/>
              <w:jc w:val="both"/>
              <w:rPr>
                <w:sz w:val="20"/>
              </w:rPr>
            </w:pPr>
            <w:r w:rsidRPr="0062599F">
              <w:rPr>
                <w:sz w:val="20"/>
              </w:rPr>
              <w:t>Prisilna nagodba i stečaj</w:t>
            </w:r>
          </w:p>
        </w:tc>
        <w:tc>
          <w:tcPr>
            <w:tcW w:w="6232" w:type="dxa"/>
          </w:tcPr>
          <w:p w14:paraId="1A9B2483" w14:textId="77777777" w:rsidR="00B2708F" w:rsidRPr="0062599F" w:rsidRDefault="00B2708F" w:rsidP="00BE487D">
            <w:pPr>
              <w:contextualSpacing/>
              <w:jc w:val="both"/>
              <w:rPr>
                <w:sz w:val="20"/>
              </w:rPr>
            </w:pPr>
            <w:r w:rsidRPr="0062599F">
              <w:rPr>
                <w:sz w:val="20"/>
              </w:rPr>
              <w:t>procijenjeni umanjeni iznos nagodbe ili tražbine iz stečajne mase u odnosu prema drugim vjerovnicima zbog svjesno prouzročenog slabijega položaja države kao vjerovnika u postupku nagodbe ili stečaja</w:t>
            </w:r>
          </w:p>
        </w:tc>
      </w:tr>
    </w:tbl>
    <w:p w14:paraId="0D567143" w14:textId="77777777" w:rsidR="00B2708F" w:rsidRPr="0062599F" w:rsidRDefault="00B2708F"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0"/>
      </w:tblGrid>
      <w:tr w:rsidR="00B2708F" w:rsidRPr="0062599F" w14:paraId="6DF62C82" w14:textId="77777777" w:rsidTr="00620DC1">
        <w:tc>
          <w:tcPr>
            <w:tcW w:w="9062" w:type="dxa"/>
            <w:gridSpan w:val="2"/>
            <w:shd w:val="clear" w:color="auto" w:fill="FFFFCC"/>
          </w:tcPr>
          <w:p w14:paraId="4843D95A" w14:textId="77777777" w:rsidR="00B2708F" w:rsidRPr="0062599F" w:rsidRDefault="00B2708F" w:rsidP="00BE487D">
            <w:pPr>
              <w:contextualSpacing/>
              <w:jc w:val="both"/>
              <w:rPr>
                <w:sz w:val="20"/>
              </w:rPr>
            </w:pPr>
            <w:r w:rsidRPr="0062599F">
              <w:rPr>
                <w:b/>
                <w:sz w:val="20"/>
              </w:rPr>
              <w:t>Skupina A2</w:t>
            </w:r>
          </w:p>
        </w:tc>
      </w:tr>
      <w:tr w:rsidR="00B2708F" w:rsidRPr="0062599F" w14:paraId="46CD0FC8" w14:textId="77777777" w:rsidTr="00620DC1">
        <w:tc>
          <w:tcPr>
            <w:tcW w:w="2830" w:type="dxa"/>
          </w:tcPr>
          <w:p w14:paraId="181656C3" w14:textId="77777777" w:rsidR="00B2708F" w:rsidRPr="0062599F" w:rsidRDefault="00B2708F" w:rsidP="00BE487D">
            <w:pPr>
              <w:contextualSpacing/>
              <w:rPr>
                <w:sz w:val="20"/>
              </w:rPr>
            </w:pPr>
            <w:r w:rsidRPr="0062599F">
              <w:rPr>
                <w:sz w:val="20"/>
              </w:rPr>
              <w:t>Oprost poreza, porezna oslobođenja, izuzeća i olakšice</w:t>
            </w:r>
          </w:p>
        </w:tc>
        <w:tc>
          <w:tcPr>
            <w:tcW w:w="6232" w:type="dxa"/>
          </w:tcPr>
          <w:p w14:paraId="2C0B4118" w14:textId="77777777" w:rsidR="00B2708F" w:rsidRPr="0062599F" w:rsidRDefault="00B2708F" w:rsidP="00BE487D">
            <w:pPr>
              <w:contextualSpacing/>
              <w:jc w:val="both"/>
              <w:rPr>
                <w:spacing w:val="-4"/>
                <w:sz w:val="20"/>
              </w:rPr>
            </w:pPr>
            <w:r w:rsidRPr="0062599F">
              <w:rPr>
                <w:spacing w:val="-4"/>
                <w:sz w:val="20"/>
              </w:rPr>
              <w:t>nisu uključene porezne olakšice koje su općeg karaktera, već samo olakšice koje su specifične za određenog poduzetnika ili skupinu poduzetnika odnosno za pojedino područje; potpora je ukupni izračunati iznos izuzeća ili olakšice</w:t>
            </w:r>
          </w:p>
        </w:tc>
      </w:tr>
      <w:tr w:rsidR="00B2708F" w:rsidRPr="0062599F" w14:paraId="7D1831FF" w14:textId="77777777" w:rsidTr="00620DC1">
        <w:tc>
          <w:tcPr>
            <w:tcW w:w="2830" w:type="dxa"/>
          </w:tcPr>
          <w:p w14:paraId="43E3523C" w14:textId="77777777" w:rsidR="00B2708F" w:rsidRPr="0062599F" w:rsidRDefault="00B2708F" w:rsidP="00BE487D">
            <w:pPr>
              <w:contextualSpacing/>
              <w:rPr>
                <w:sz w:val="20"/>
              </w:rPr>
            </w:pPr>
            <w:r w:rsidRPr="0062599F">
              <w:rPr>
                <w:sz w:val="20"/>
              </w:rPr>
              <w:t>Snižavanje, oslobođenje, olakšice, izuzeće i oprost plaćanja doprinosa</w:t>
            </w:r>
          </w:p>
        </w:tc>
        <w:tc>
          <w:tcPr>
            <w:tcW w:w="6232" w:type="dxa"/>
          </w:tcPr>
          <w:p w14:paraId="02D694D4" w14:textId="77777777" w:rsidR="00B2708F" w:rsidRPr="0062599F" w:rsidRDefault="00B2708F" w:rsidP="00BE487D">
            <w:pPr>
              <w:contextualSpacing/>
              <w:jc w:val="both"/>
              <w:rPr>
                <w:sz w:val="20"/>
              </w:rPr>
            </w:pPr>
            <w:r w:rsidRPr="0062599F">
              <w:rPr>
                <w:sz w:val="20"/>
              </w:rPr>
              <w:t>vrijedi isto načelo kao i kod poreznih izuzeća – u potpore ne ulaze one olakšice koje imaju opći značaj; potporu čini ukupni izračunati iznos</w:t>
            </w:r>
          </w:p>
        </w:tc>
      </w:tr>
      <w:tr w:rsidR="00B2708F" w:rsidRPr="0062599F" w14:paraId="307C55D8" w14:textId="77777777" w:rsidTr="00620DC1">
        <w:tc>
          <w:tcPr>
            <w:tcW w:w="2830" w:type="dxa"/>
          </w:tcPr>
          <w:p w14:paraId="2443118E" w14:textId="77777777" w:rsidR="00B2708F" w:rsidRPr="0062599F" w:rsidRDefault="00B2708F" w:rsidP="00BE487D">
            <w:pPr>
              <w:contextualSpacing/>
              <w:rPr>
                <w:sz w:val="20"/>
              </w:rPr>
            </w:pPr>
            <w:r w:rsidRPr="0062599F">
              <w:rPr>
                <w:sz w:val="20"/>
              </w:rPr>
              <w:t>Odgode pri plaćanju poreza</w:t>
            </w:r>
          </w:p>
        </w:tc>
        <w:tc>
          <w:tcPr>
            <w:tcW w:w="6232" w:type="dxa"/>
          </w:tcPr>
          <w:p w14:paraId="3C054030" w14:textId="77777777" w:rsidR="00B2708F" w:rsidRPr="0062599F" w:rsidRDefault="00B2708F" w:rsidP="00BE487D">
            <w:pPr>
              <w:contextualSpacing/>
              <w:jc w:val="both"/>
              <w:rPr>
                <w:sz w:val="20"/>
              </w:rPr>
            </w:pPr>
            <w:r w:rsidRPr="0062599F">
              <w:rPr>
                <w:sz w:val="20"/>
              </w:rPr>
              <w:t>iznos kamate izračunate prema referentnoj stopi za razdoblje odgode (dekurzivni jednostavni kamatni račun) i svedene na sadašnju vrijednost</w:t>
            </w:r>
          </w:p>
        </w:tc>
      </w:tr>
      <w:tr w:rsidR="00B2708F" w:rsidRPr="0062599F" w14:paraId="13F75894" w14:textId="77777777" w:rsidTr="00620DC1">
        <w:tc>
          <w:tcPr>
            <w:tcW w:w="2830" w:type="dxa"/>
          </w:tcPr>
          <w:p w14:paraId="2CF6023B" w14:textId="77777777" w:rsidR="00B2708F" w:rsidRPr="0062599F" w:rsidRDefault="00B2708F" w:rsidP="00BE487D">
            <w:pPr>
              <w:contextualSpacing/>
              <w:rPr>
                <w:sz w:val="20"/>
              </w:rPr>
            </w:pPr>
            <w:r w:rsidRPr="0062599F">
              <w:rPr>
                <w:sz w:val="20"/>
              </w:rPr>
              <w:t>Otpis duga</w:t>
            </w:r>
          </w:p>
        </w:tc>
        <w:tc>
          <w:tcPr>
            <w:tcW w:w="6232" w:type="dxa"/>
          </w:tcPr>
          <w:p w14:paraId="74C06533" w14:textId="77777777" w:rsidR="00B2708F" w:rsidRPr="0062599F" w:rsidRDefault="00B2708F" w:rsidP="00BE487D">
            <w:pPr>
              <w:contextualSpacing/>
              <w:jc w:val="both"/>
              <w:rPr>
                <w:sz w:val="20"/>
              </w:rPr>
            </w:pPr>
            <w:r w:rsidRPr="0062599F">
              <w:rPr>
                <w:sz w:val="20"/>
              </w:rPr>
              <w:t>iznos otpisanog duga</w:t>
            </w:r>
          </w:p>
        </w:tc>
      </w:tr>
      <w:tr w:rsidR="00B2708F" w:rsidRPr="0062599F" w14:paraId="4DB751D9" w14:textId="77777777" w:rsidTr="00620DC1">
        <w:tc>
          <w:tcPr>
            <w:tcW w:w="2830" w:type="dxa"/>
          </w:tcPr>
          <w:p w14:paraId="130DF3C5" w14:textId="77777777" w:rsidR="00B2708F" w:rsidRPr="0062599F" w:rsidRDefault="00B2708F" w:rsidP="00BE487D">
            <w:pPr>
              <w:contextualSpacing/>
              <w:rPr>
                <w:sz w:val="20"/>
              </w:rPr>
            </w:pPr>
            <w:r w:rsidRPr="0062599F">
              <w:rPr>
                <w:sz w:val="20"/>
              </w:rPr>
              <w:t>Odgode pri podmirenju duga</w:t>
            </w:r>
          </w:p>
        </w:tc>
        <w:tc>
          <w:tcPr>
            <w:tcW w:w="6232" w:type="dxa"/>
          </w:tcPr>
          <w:p w14:paraId="194D836B" w14:textId="77777777" w:rsidR="00B2708F" w:rsidRPr="0062599F" w:rsidRDefault="00B2708F" w:rsidP="00BE487D">
            <w:pPr>
              <w:contextualSpacing/>
              <w:jc w:val="both"/>
              <w:rPr>
                <w:sz w:val="20"/>
              </w:rPr>
            </w:pPr>
            <w:r w:rsidRPr="0062599F">
              <w:rPr>
                <w:sz w:val="20"/>
              </w:rPr>
              <w:t>iznos kamate izračunate prema referentnoj stopi za razdoblje odgode (dekurzivni jednostavni kamatni račun) i svedene na sadašnju vrijednost</w:t>
            </w:r>
          </w:p>
        </w:tc>
      </w:tr>
    </w:tbl>
    <w:p w14:paraId="0CCBD198" w14:textId="77777777" w:rsidR="00B2708F" w:rsidRPr="0062599F" w:rsidRDefault="00B2708F"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31"/>
      </w:tblGrid>
      <w:tr w:rsidR="00B2708F" w:rsidRPr="0062599F" w14:paraId="30442049" w14:textId="77777777" w:rsidTr="00620DC1">
        <w:tc>
          <w:tcPr>
            <w:tcW w:w="9062" w:type="dxa"/>
            <w:gridSpan w:val="2"/>
            <w:shd w:val="clear" w:color="auto" w:fill="FFFFCC"/>
          </w:tcPr>
          <w:p w14:paraId="02346CF2" w14:textId="77777777" w:rsidR="00B2708F" w:rsidRPr="0062599F" w:rsidRDefault="00B2708F" w:rsidP="00BE487D">
            <w:pPr>
              <w:contextualSpacing/>
              <w:jc w:val="both"/>
              <w:rPr>
                <w:sz w:val="20"/>
              </w:rPr>
            </w:pPr>
            <w:r w:rsidRPr="0062599F">
              <w:rPr>
                <w:b/>
                <w:sz w:val="20"/>
              </w:rPr>
              <w:t>Skupina B</w:t>
            </w:r>
          </w:p>
        </w:tc>
      </w:tr>
      <w:tr w:rsidR="00B2708F" w:rsidRPr="0062599F" w14:paraId="5582F125" w14:textId="77777777" w:rsidTr="00620DC1">
        <w:tc>
          <w:tcPr>
            <w:tcW w:w="2830" w:type="dxa"/>
          </w:tcPr>
          <w:p w14:paraId="409755FB" w14:textId="77777777" w:rsidR="00B2708F" w:rsidRPr="0062599F" w:rsidRDefault="00B2708F" w:rsidP="00BE487D">
            <w:pPr>
              <w:contextualSpacing/>
              <w:rPr>
                <w:sz w:val="20"/>
              </w:rPr>
            </w:pPr>
            <w:r w:rsidRPr="0062599F">
              <w:rPr>
                <w:sz w:val="20"/>
              </w:rPr>
              <w:t>Ulaganja u vlastiti kapital</w:t>
            </w:r>
          </w:p>
        </w:tc>
        <w:tc>
          <w:tcPr>
            <w:tcW w:w="6232" w:type="dxa"/>
          </w:tcPr>
          <w:p w14:paraId="08CA5747" w14:textId="77777777" w:rsidR="00B2708F" w:rsidRPr="0062599F" w:rsidRDefault="00B2708F" w:rsidP="00BE487D">
            <w:pPr>
              <w:contextualSpacing/>
              <w:jc w:val="both"/>
              <w:rPr>
                <w:sz w:val="20"/>
              </w:rPr>
            </w:pPr>
            <w:r w:rsidRPr="0062599F">
              <w:rPr>
                <w:sz w:val="20"/>
              </w:rPr>
              <w:t>potpora je iskazana vrijednost koristi za korisnika potpore</w:t>
            </w:r>
          </w:p>
        </w:tc>
      </w:tr>
      <w:tr w:rsidR="00B2708F" w:rsidRPr="0062599F" w14:paraId="08682BE9" w14:textId="77777777" w:rsidTr="00620DC1">
        <w:tc>
          <w:tcPr>
            <w:tcW w:w="2830" w:type="dxa"/>
          </w:tcPr>
          <w:p w14:paraId="1B69F4AE" w14:textId="77777777" w:rsidR="00B2708F" w:rsidRPr="0062599F" w:rsidRDefault="00B2708F" w:rsidP="00BE487D">
            <w:pPr>
              <w:contextualSpacing/>
              <w:rPr>
                <w:sz w:val="20"/>
              </w:rPr>
            </w:pPr>
            <w:r w:rsidRPr="0062599F">
              <w:rPr>
                <w:sz w:val="20"/>
              </w:rPr>
              <w:t>Kapitalna ulaganja i rizični kapital</w:t>
            </w:r>
          </w:p>
        </w:tc>
        <w:tc>
          <w:tcPr>
            <w:tcW w:w="6232" w:type="dxa"/>
          </w:tcPr>
          <w:p w14:paraId="4ADC81B0" w14:textId="77777777" w:rsidR="00B2708F" w:rsidRPr="0062599F" w:rsidRDefault="00B2708F" w:rsidP="00BE487D">
            <w:pPr>
              <w:contextualSpacing/>
              <w:jc w:val="both"/>
              <w:rPr>
                <w:sz w:val="20"/>
              </w:rPr>
            </w:pPr>
            <w:r w:rsidRPr="0062599F">
              <w:rPr>
                <w:sz w:val="20"/>
              </w:rPr>
              <w:t>element potpora nazočan je u svim državnim ulaganjima koje kao primarni cilj nemaju stvaranje dobiti; element potpore je iskazana vrijednost koristi za korisnika potpore; ovaj instrument obuhvaća ulaganja u vlasnički kapital, investicijska ulaganja i rizični kapital</w:t>
            </w:r>
          </w:p>
        </w:tc>
      </w:tr>
      <w:tr w:rsidR="00B2708F" w:rsidRPr="0062599F" w14:paraId="0E167EAC" w14:textId="77777777" w:rsidTr="00620DC1">
        <w:tc>
          <w:tcPr>
            <w:tcW w:w="2830" w:type="dxa"/>
          </w:tcPr>
          <w:p w14:paraId="1F693D7F" w14:textId="77777777" w:rsidR="00B2708F" w:rsidRPr="0062599F" w:rsidRDefault="00B2708F" w:rsidP="00BE487D">
            <w:pPr>
              <w:contextualSpacing/>
              <w:rPr>
                <w:sz w:val="20"/>
              </w:rPr>
            </w:pPr>
            <w:r w:rsidRPr="0062599F">
              <w:rPr>
                <w:sz w:val="20"/>
              </w:rPr>
              <w:t>Pretvaranje duga u vlasnički udjel</w:t>
            </w:r>
          </w:p>
        </w:tc>
        <w:tc>
          <w:tcPr>
            <w:tcW w:w="6232" w:type="dxa"/>
          </w:tcPr>
          <w:p w14:paraId="2368FF4A" w14:textId="77777777" w:rsidR="00B2708F" w:rsidRPr="0062599F" w:rsidRDefault="00B2708F" w:rsidP="00BE487D">
            <w:pPr>
              <w:widowControl w:val="0"/>
              <w:autoSpaceDE w:val="0"/>
              <w:autoSpaceDN w:val="0"/>
              <w:adjustRightInd w:val="0"/>
              <w:jc w:val="both"/>
              <w:rPr>
                <w:sz w:val="20"/>
              </w:rPr>
            </w:pPr>
            <w:r w:rsidRPr="0062599F">
              <w:rPr>
                <w:sz w:val="20"/>
              </w:rPr>
              <w:t>element potpore postoji u slučaju kada je država u slabijem položaju od ostalih vjerovnika; potpora je iskazana vrijednost koristi za korisnika potpore, koja proizlazi zbog slabijeg položaja države</w:t>
            </w:r>
          </w:p>
        </w:tc>
      </w:tr>
      <w:tr w:rsidR="00B2708F" w:rsidRPr="0062599F" w14:paraId="0EBD9D3D" w14:textId="77777777" w:rsidTr="00620DC1">
        <w:tc>
          <w:tcPr>
            <w:tcW w:w="2830" w:type="dxa"/>
          </w:tcPr>
          <w:p w14:paraId="10063639" w14:textId="77777777" w:rsidR="00B2708F" w:rsidRPr="0062599F" w:rsidRDefault="00B2708F" w:rsidP="00BE487D">
            <w:pPr>
              <w:contextualSpacing/>
              <w:rPr>
                <w:sz w:val="20"/>
              </w:rPr>
            </w:pPr>
            <w:r w:rsidRPr="0062599F">
              <w:rPr>
                <w:sz w:val="20"/>
              </w:rPr>
              <w:t>Prodaja državne imovine pod povoljnim uvjetima</w:t>
            </w:r>
          </w:p>
        </w:tc>
        <w:tc>
          <w:tcPr>
            <w:tcW w:w="6232" w:type="dxa"/>
          </w:tcPr>
          <w:p w14:paraId="595AE2DA" w14:textId="77777777" w:rsidR="00B2708F" w:rsidRPr="0062599F" w:rsidRDefault="00B2708F" w:rsidP="00BE487D">
            <w:pPr>
              <w:widowControl w:val="0"/>
              <w:autoSpaceDE w:val="0"/>
              <w:autoSpaceDN w:val="0"/>
              <w:adjustRightInd w:val="0"/>
              <w:jc w:val="both"/>
              <w:rPr>
                <w:sz w:val="20"/>
              </w:rPr>
            </w:pPr>
            <w:r w:rsidRPr="0062599F">
              <w:rPr>
                <w:sz w:val="20"/>
              </w:rPr>
              <w:t>potpora je razlika između tržišne vrijednosti imovine i cijene po kojoj se prodaje</w:t>
            </w:r>
          </w:p>
        </w:tc>
      </w:tr>
      <w:tr w:rsidR="00B2708F" w:rsidRPr="0062599F" w14:paraId="7563D9E8" w14:textId="77777777" w:rsidTr="00620DC1">
        <w:tc>
          <w:tcPr>
            <w:tcW w:w="2830" w:type="dxa"/>
          </w:tcPr>
          <w:p w14:paraId="1B45F10C" w14:textId="77777777" w:rsidR="00B2708F" w:rsidRPr="0062599F" w:rsidRDefault="00B2708F" w:rsidP="00BE487D">
            <w:pPr>
              <w:contextualSpacing/>
              <w:rPr>
                <w:sz w:val="20"/>
              </w:rPr>
            </w:pPr>
            <w:r w:rsidRPr="0062599F">
              <w:rPr>
                <w:sz w:val="20"/>
              </w:rPr>
              <w:t>Odricanje od isplate dobiti poduzetnika</w:t>
            </w:r>
          </w:p>
        </w:tc>
        <w:tc>
          <w:tcPr>
            <w:tcW w:w="6232" w:type="dxa"/>
          </w:tcPr>
          <w:p w14:paraId="653D2290" w14:textId="77777777" w:rsidR="00B2708F" w:rsidRPr="0062599F" w:rsidRDefault="00B2708F" w:rsidP="00BE487D">
            <w:pPr>
              <w:widowControl w:val="0"/>
              <w:autoSpaceDE w:val="0"/>
              <w:autoSpaceDN w:val="0"/>
              <w:adjustRightInd w:val="0"/>
              <w:jc w:val="both"/>
              <w:rPr>
                <w:sz w:val="20"/>
              </w:rPr>
            </w:pPr>
            <w:r w:rsidRPr="0062599F">
              <w:rPr>
                <w:sz w:val="20"/>
              </w:rPr>
              <w:t>dio raspodijeljene dobiti, koja potječe iz vlasništva države u poduzetniku i kojega se država odrekne, predstavlja u cijelosti potporu</w:t>
            </w:r>
          </w:p>
        </w:tc>
      </w:tr>
    </w:tbl>
    <w:p w14:paraId="12AB9331" w14:textId="77777777" w:rsidR="00EE774D" w:rsidRPr="0062599F" w:rsidRDefault="00EE774D"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0"/>
      </w:tblGrid>
      <w:tr w:rsidR="00B2708F" w:rsidRPr="0062599F" w14:paraId="6F4CBC49" w14:textId="77777777" w:rsidTr="00620DC1">
        <w:tc>
          <w:tcPr>
            <w:tcW w:w="9060" w:type="dxa"/>
            <w:gridSpan w:val="2"/>
            <w:shd w:val="clear" w:color="auto" w:fill="FFFFCC"/>
          </w:tcPr>
          <w:p w14:paraId="5B3A86A8" w14:textId="77777777" w:rsidR="00B2708F" w:rsidRPr="0062599F" w:rsidRDefault="00B2708F" w:rsidP="00BE487D">
            <w:pPr>
              <w:contextualSpacing/>
              <w:jc w:val="both"/>
              <w:rPr>
                <w:sz w:val="20"/>
              </w:rPr>
            </w:pPr>
            <w:r w:rsidRPr="0062599F">
              <w:rPr>
                <w:b/>
                <w:sz w:val="20"/>
              </w:rPr>
              <w:t>Skupina C1</w:t>
            </w:r>
          </w:p>
        </w:tc>
      </w:tr>
      <w:tr w:rsidR="00B2708F" w:rsidRPr="0062599F" w14:paraId="3E4DDFFA" w14:textId="77777777" w:rsidTr="00620DC1">
        <w:tc>
          <w:tcPr>
            <w:tcW w:w="2830" w:type="dxa"/>
          </w:tcPr>
          <w:p w14:paraId="6DE033E1" w14:textId="77777777" w:rsidR="00B2708F" w:rsidRPr="0062599F" w:rsidRDefault="00B2708F" w:rsidP="00BE487D">
            <w:pPr>
              <w:contextualSpacing/>
              <w:jc w:val="both"/>
              <w:rPr>
                <w:sz w:val="20"/>
              </w:rPr>
            </w:pPr>
            <w:r w:rsidRPr="0062599F">
              <w:rPr>
                <w:sz w:val="20"/>
              </w:rPr>
              <w:t>Povoljni zajmovi</w:t>
            </w:r>
          </w:p>
        </w:tc>
        <w:tc>
          <w:tcPr>
            <w:tcW w:w="6230" w:type="dxa"/>
          </w:tcPr>
          <w:p w14:paraId="4D332637" w14:textId="77777777" w:rsidR="00B2708F" w:rsidRPr="0062599F" w:rsidRDefault="00B2708F" w:rsidP="00BE487D">
            <w:pPr>
              <w:widowControl w:val="0"/>
              <w:autoSpaceDE w:val="0"/>
              <w:autoSpaceDN w:val="0"/>
              <w:adjustRightInd w:val="0"/>
              <w:jc w:val="both"/>
              <w:rPr>
                <w:sz w:val="20"/>
              </w:rPr>
            </w:pPr>
            <w:r w:rsidRPr="0062599F">
              <w:rPr>
                <w:sz w:val="20"/>
              </w:rPr>
              <w:t xml:space="preserve">razlika između referentne stope i povoljne kamatne stope po kojoj je zajam odobren; tako dobivena razlika se svodi na sadašnju vrijednost </w:t>
            </w:r>
          </w:p>
        </w:tc>
      </w:tr>
      <w:tr w:rsidR="00B2708F" w:rsidRPr="0062599F" w14:paraId="2C1458E3" w14:textId="77777777" w:rsidTr="00620DC1">
        <w:tc>
          <w:tcPr>
            <w:tcW w:w="2830" w:type="dxa"/>
          </w:tcPr>
          <w:p w14:paraId="4C96450C" w14:textId="77777777" w:rsidR="00B2708F" w:rsidRPr="0062599F" w:rsidRDefault="00B2708F" w:rsidP="00BE487D">
            <w:pPr>
              <w:contextualSpacing/>
              <w:rPr>
                <w:sz w:val="20"/>
              </w:rPr>
            </w:pPr>
            <w:r w:rsidRPr="0062599F">
              <w:rPr>
                <w:sz w:val="20"/>
              </w:rPr>
              <w:t>Zajmovi poduzetnicima u teškoćama</w:t>
            </w:r>
          </w:p>
        </w:tc>
        <w:tc>
          <w:tcPr>
            <w:tcW w:w="6230" w:type="dxa"/>
          </w:tcPr>
          <w:p w14:paraId="3BE3C549" w14:textId="77777777" w:rsidR="00B2708F" w:rsidRPr="0062599F" w:rsidRDefault="00B2708F" w:rsidP="00BE487D">
            <w:pPr>
              <w:jc w:val="both"/>
              <w:rPr>
                <w:sz w:val="20"/>
              </w:rPr>
            </w:pPr>
            <w:r w:rsidRPr="0062599F">
              <w:rPr>
                <w:sz w:val="20"/>
              </w:rPr>
              <w:t>razlika između referentne stope za poduzetnike u teškoćama i ugovorene povoljne kamatne stope; tako dobivena razlika se svodi na sadašnju vrijednost; potpora sadržana u ovakvim zajmovima može iznositi i do 100 posto vrijednosti zajma</w:t>
            </w:r>
          </w:p>
        </w:tc>
      </w:tr>
    </w:tbl>
    <w:p w14:paraId="23A2CE5D" w14:textId="77777777" w:rsidR="00B2708F" w:rsidRPr="0062599F" w:rsidRDefault="00B2708F"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31"/>
      </w:tblGrid>
      <w:tr w:rsidR="00B2708F" w:rsidRPr="0062599F" w14:paraId="49F08DB5" w14:textId="77777777" w:rsidTr="00620DC1">
        <w:tc>
          <w:tcPr>
            <w:tcW w:w="9062" w:type="dxa"/>
            <w:gridSpan w:val="2"/>
            <w:shd w:val="clear" w:color="auto" w:fill="FFFFCC"/>
          </w:tcPr>
          <w:p w14:paraId="37D38DB8" w14:textId="77777777" w:rsidR="00B2708F" w:rsidRPr="0062599F" w:rsidRDefault="00B2708F" w:rsidP="00BE487D">
            <w:pPr>
              <w:contextualSpacing/>
              <w:jc w:val="both"/>
              <w:rPr>
                <w:sz w:val="20"/>
              </w:rPr>
            </w:pPr>
            <w:r w:rsidRPr="0062599F">
              <w:rPr>
                <w:b/>
                <w:sz w:val="20"/>
              </w:rPr>
              <w:t>Skupina D</w:t>
            </w:r>
          </w:p>
        </w:tc>
      </w:tr>
      <w:tr w:rsidR="00B2708F" w:rsidRPr="0062599F" w14:paraId="6D29EF21" w14:textId="77777777" w:rsidTr="00620DC1">
        <w:tc>
          <w:tcPr>
            <w:tcW w:w="2830" w:type="dxa"/>
          </w:tcPr>
          <w:p w14:paraId="2C7925A2" w14:textId="77777777" w:rsidR="00B2708F" w:rsidRPr="0062599F" w:rsidRDefault="00B2708F" w:rsidP="00BE487D">
            <w:pPr>
              <w:contextualSpacing/>
              <w:jc w:val="both"/>
              <w:rPr>
                <w:sz w:val="20"/>
              </w:rPr>
            </w:pPr>
            <w:r w:rsidRPr="0062599F">
              <w:rPr>
                <w:sz w:val="20"/>
              </w:rPr>
              <w:t>Jamstva</w:t>
            </w:r>
          </w:p>
        </w:tc>
        <w:tc>
          <w:tcPr>
            <w:tcW w:w="6232" w:type="dxa"/>
          </w:tcPr>
          <w:p w14:paraId="3EA57944" w14:textId="77777777" w:rsidR="00B2708F" w:rsidRPr="0062599F" w:rsidRDefault="00B2708F" w:rsidP="00BE487D">
            <w:pPr>
              <w:widowControl w:val="0"/>
              <w:autoSpaceDE w:val="0"/>
              <w:autoSpaceDN w:val="0"/>
              <w:adjustRightInd w:val="0"/>
              <w:jc w:val="both"/>
              <w:rPr>
                <w:spacing w:val="-6"/>
                <w:sz w:val="20"/>
              </w:rPr>
            </w:pPr>
            <w:r w:rsidRPr="0062599F">
              <w:rPr>
                <w:spacing w:val="-6"/>
                <w:sz w:val="20"/>
              </w:rPr>
              <w:t>razlika između tržišne cijene jamstva i cijene državnog jamstva koja je niža; za poduzetnike u teškoćama potpora može iznositi i do 100 posto vrijednosti jamstva</w:t>
            </w:r>
          </w:p>
        </w:tc>
      </w:tr>
      <w:tr w:rsidR="00B2708F" w:rsidRPr="0062599F" w14:paraId="18EF14DC" w14:textId="77777777" w:rsidTr="00620DC1">
        <w:tc>
          <w:tcPr>
            <w:tcW w:w="2830" w:type="dxa"/>
          </w:tcPr>
          <w:p w14:paraId="7CC7C57D" w14:textId="77777777" w:rsidR="00B2708F" w:rsidRPr="0062599F" w:rsidRDefault="00B2708F" w:rsidP="00BE487D">
            <w:pPr>
              <w:contextualSpacing/>
              <w:jc w:val="both"/>
              <w:rPr>
                <w:sz w:val="20"/>
              </w:rPr>
            </w:pPr>
            <w:r w:rsidRPr="0062599F">
              <w:rPr>
                <w:sz w:val="20"/>
              </w:rPr>
              <w:t>Opozvana jamstva</w:t>
            </w:r>
          </w:p>
        </w:tc>
        <w:tc>
          <w:tcPr>
            <w:tcW w:w="6232" w:type="dxa"/>
          </w:tcPr>
          <w:p w14:paraId="16F03A08" w14:textId="77777777" w:rsidR="00B2708F" w:rsidRPr="0062599F" w:rsidRDefault="00B2708F" w:rsidP="00BE487D">
            <w:pPr>
              <w:widowControl w:val="0"/>
              <w:autoSpaceDE w:val="0"/>
              <w:autoSpaceDN w:val="0"/>
              <w:adjustRightInd w:val="0"/>
              <w:jc w:val="both"/>
              <w:rPr>
                <w:sz w:val="20"/>
              </w:rPr>
            </w:pPr>
            <w:r w:rsidRPr="0062599F">
              <w:rPr>
                <w:sz w:val="20"/>
              </w:rPr>
              <w:t>iznos opozvanog jamstva</w:t>
            </w:r>
          </w:p>
        </w:tc>
      </w:tr>
    </w:tbl>
    <w:p w14:paraId="26FFE822" w14:textId="77777777" w:rsidR="00B2708F" w:rsidRPr="0062599F" w:rsidRDefault="00B2708F" w:rsidP="00BE487D">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2708F" w:rsidRPr="0062599F" w14:paraId="3AF1B291" w14:textId="77777777" w:rsidTr="00620DC1">
        <w:tc>
          <w:tcPr>
            <w:tcW w:w="9062" w:type="dxa"/>
            <w:shd w:val="clear" w:color="auto" w:fill="FFFFCC"/>
          </w:tcPr>
          <w:p w14:paraId="42791A45" w14:textId="77777777" w:rsidR="00B2708F" w:rsidRPr="0062599F" w:rsidRDefault="00B2708F" w:rsidP="00BE487D">
            <w:pPr>
              <w:contextualSpacing/>
              <w:jc w:val="both"/>
              <w:rPr>
                <w:sz w:val="20"/>
              </w:rPr>
            </w:pPr>
            <w:r w:rsidRPr="0062599F">
              <w:rPr>
                <w:b/>
                <w:sz w:val="20"/>
              </w:rPr>
              <w:t>Skupina E1</w:t>
            </w:r>
          </w:p>
        </w:tc>
      </w:tr>
      <w:tr w:rsidR="00B2708F" w:rsidRPr="008149B5" w14:paraId="1D67302E" w14:textId="77777777" w:rsidTr="00620DC1">
        <w:tc>
          <w:tcPr>
            <w:tcW w:w="9062" w:type="dxa"/>
          </w:tcPr>
          <w:p w14:paraId="655C34EC" w14:textId="77777777" w:rsidR="00B2708F" w:rsidRPr="008149B5" w:rsidRDefault="00B2708F" w:rsidP="00BE487D">
            <w:pPr>
              <w:contextualSpacing/>
              <w:jc w:val="both"/>
              <w:rPr>
                <w:sz w:val="20"/>
              </w:rPr>
            </w:pPr>
            <w:r w:rsidRPr="0062599F">
              <w:rPr>
                <w:sz w:val="20"/>
              </w:rPr>
              <w:t>Ostalo</w:t>
            </w:r>
          </w:p>
        </w:tc>
      </w:tr>
    </w:tbl>
    <w:p w14:paraId="1AB02483" w14:textId="77777777" w:rsidR="00995EF4" w:rsidRPr="008149B5" w:rsidRDefault="00995EF4" w:rsidP="00BE487D">
      <w:pPr>
        <w:jc w:val="both"/>
        <w:rPr>
          <w:b/>
        </w:rPr>
      </w:pPr>
    </w:p>
    <w:sectPr w:rsidR="00995EF4" w:rsidRPr="008149B5" w:rsidSect="00AE408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FBAC" w14:textId="77777777" w:rsidR="005C7874" w:rsidRDefault="005C7874" w:rsidP="00857D5E">
      <w:r>
        <w:separator/>
      </w:r>
    </w:p>
  </w:endnote>
  <w:endnote w:type="continuationSeparator" w:id="0">
    <w:p w14:paraId="438C9304" w14:textId="77777777" w:rsidR="005C7874" w:rsidRDefault="005C7874" w:rsidP="0085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2296" w14:textId="77777777" w:rsidR="00C67167" w:rsidRPr="00366E3B" w:rsidRDefault="00C67167">
    <w:pPr>
      <w:pStyle w:val="Footer"/>
      <w:jc w:val="right"/>
    </w:pPr>
  </w:p>
  <w:p w14:paraId="22B0C5B6" w14:textId="77777777" w:rsidR="00C67167" w:rsidRDefault="00C6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4A0B" w14:textId="77777777" w:rsidR="005C7874" w:rsidRDefault="005C7874" w:rsidP="00857D5E">
      <w:r>
        <w:separator/>
      </w:r>
    </w:p>
  </w:footnote>
  <w:footnote w:type="continuationSeparator" w:id="0">
    <w:p w14:paraId="16CBDC05" w14:textId="77777777" w:rsidR="005C7874" w:rsidRDefault="005C7874" w:rsidP="00857D5E">
      <w:r>
        <w:continuationSeparator/>
      </w:r>
    </w:p>
  </w:footnote>
  <w:footnote w:id="1">
    <w:p w14:paraId="4B8F7185" w14:textId="113653E2" w:rsidR="00C67167" w:rsidRPr="003E642B" w:rsidRDefault="00C67167">
      <w:pPr>
        <w:pStyle w:val="FootnoteText"/>
        <w:rPr>
          <w:rFonts w:ascii="Times New Roman" w:hAnsi="Times New Roman" w:cs="Times New Roman"/>
          <w:b w:val="0"/>
        </w:rPr>
      </w:pPr>
      <w:r w:rsidRPr="00E17276">
        <w:rPr>
          <w:rStyle w:val="FootnoteReference"/>
          <w:rFonts w:ascii="Times New Roman" w:hAnsi="Times New Roman" w:cs="Times New Roman"/>
          <w:b w:val="0"/>
          <w:i/>
        </w:rPr>
        <w:footnoteRef/>
      </w:r>
      <w:r w:rsidRPr="003E642B">
        <w:rPr>
          <w:rFonts w:ascii="Times New Roman" w:hAnsi="Times New Roman" w:cs="Times New Roman"/>
          <w:b w:val="0"/>
        </w:rPr>
        <w:t xml:space="preserve"> </w:t>
      </w:r>
      <w:r w:rsidRPr="003E642B">
        <w:rPr>
          <w:rFonts w:ascii="Times New Roman" w:hAnsi="Times New Roman" w:cs="Times New Roman"/>
          <w:b w:val="0"/>
          <w:i/>
        </w:rPr>
        <w:t>Ministarstvo financija u Izvješću prikazuje sve podatke o dodijeljenim državnim potporama i potporama male vrijednosti u razdoblju od 2021. do 2023. godine, a koje su davatelji državnih potpora i potpora male vrijednosni unijeli u Registar do 8. listopada 2024. za sva navedena razdoblja.</w:t>
      </w:r>
    </w:p>
  </w:footnote>
  <w:footnote w:id="2">
    <w:p w14:paraId="06EE6BBA" w14:textId="77223B42" w:rsidR="00C67167" w:rsidRPr="00452278" w:rsidRDefault="00C67167" w:rsidP="00452278">
      <w:pPr>
        <w:jc w:val="both"/>
        <w:rPr>
          <w:i/>
          <w:sz w:val="20"/>
          <w:szCs w:val="20"/>
          <w:highlight w:val="red"/>
        </w:rPr>
      </w:pPr>
      <w:r w:rsidRPr="00452278">
        <w:rPr>
          <w:rStyle w:val="FootnoteReference"/>
          <w:i/>
          <w:sz w:val="20"/>
          <w:szCs w:val="20"/>
        </w:rPr>
        <w:footnoteRef/>
      </w:r>
      <w:r w:rsidRPr="00452278">
        <w:rPr>
          <w:i/>
          <w:sz w:val="20"/>
          <w:szCs w:val="20"/>
        </w:rPr>
        <w:t xml:space="preserve"> </w:t>
      </w:r>
      <w:hyperlink r:id="rId1" w:history="1">
        <w:r w:rsidRPr="00452278">
          <w:rPr>
            <w:rStyle w:val="Hyperlink"/>
            <w:i/>
            <w:sz w:val="20"/>
            <w:szCs w:val="20"/>
          </w:rPr>
          <w:t>https://mfin.gov.hr/istaknute-teme/koncesije-i-drzavne-potpore/drzavne-potpore/transparentnost-potpora/465</w:t>
        </w:r>
      </w:hyperlink>
      <w:r w:rsidRPr="00452278">
        <w:rPr>
          <w:i/>
          <w:sz w:val="20"/>
          <w:szCs w:val="20"/>
        </w:rPr>
        <w:t xml:space="preserve"> </w:t>
      </w:r>
    </w:p>
  </w:footnote>
  <w:footnote w:id="3">
    <w:p w14:paraId="506323F9" w14:textId="36A34E6B" w:rsidR="00C67167" w:rsidRPr="00634A37" w:rsidRDefault="00C67167" w:rsidP="00634A37">
      <w:pPr>
        <w:jc w:val="both"/>
        <w:rPr>
          <w:i/>
          <w:highlight w:val="red"/>
        </w:rPr>
      </w:pPr>
      <w:r w:rsidRPr="00634A37">
        <w:rPr>
          <w:i/>
          <w:sz w:val="20"/>
        </w:rPr>
        <w:footnoteRef/>
      </w:r>
      <w:hyperlink r:id="rId2" w:history="1">
        <w:r w:rsidRPr="00634A37">
          <w:rPr>
            <w:rStyle w:val="Hyperlink"/>
            <w:i/>
            <w:sz w:val="20"/>
          </w:rPr>
          <w:t>https://mfin.gov.hr/istaknute-teme/koncesije-i-drzavne-potpore/drzavne-potpore/objava-podataka-o-dodijeljenim-drzavnim-potporama-i-potporama-male-vrijednosti/3555</w:t>
        </w:r>
      </w:hyperlink>
      <w:r w:rsidRPr="00634A37">
        <w:rPr>
          <w:i/>
        </w:rPr>
        <w:t xml:space="preserve"> </w:t>
      </w:r>
    </w:p>
  </w:footnote>
  <w:footnote w:id="4">
    <w:p w14:paraId="02710F48" w14:textId="77777777" w:rsidR="00C67167" w:rsidRPr="00634A37" w:rsidRDefault="00C67167" w:rsidP="005F5A47">
      <w:pPr>
        <w:jc w:val="both"/>
        <w:rPr>
          <w:i/>
          <w:sz w:val="20"/>
          <w:szCs w:val="20"/>
        </w:rPr>
      </w:pPr>
      <w:r w:rsidRPr="00634A37">
        <w:rPr>
          <w:i/>
          <w:sz w:val="20"/>
          <w:szCs w:val="20"/>
          <w:vertAlign w:val="superscript"/>
        </w:rPr>
        <w:footnoteRef/>
      </w:r>
      <w:r w:rsidRPr="00634A37">
        <w:rPr>
          <w:i/>
          <w:sz w:val="20"/>
          <w:szCs w:val="20"/>
        </w:rPr>
        <w:t xml:space="preserve"> Vijeće Europske unije je 12. srpnja 2022. donijelo Odluku o prihvaćanju eura u Republici Hrvatskoj od 1. siječnja 2023., dopunu uredbe prema kojoj Republika Hrvatska postaje dvadeseta članica </w:t>
      </w:r>
      <w:proofErr w:type="spellStart"/>
      <w:r w:rsidRPr="00634A37">
        <w:rPr>
          <w:i/>
          <w:sz w:val="20"/>
          <w:szCs w:val="20"/>
        </w:rPr>
        <w:t>europodručja</w:t>
      </w:r>
      <w:proofErr w:type="spellEnd"/>
      <w:r w:rsidRPr="00634A37">
        <w:rPr>
          <w:i/>
          <w:sz w:val="20"/>
          <w:szCs w:val="20"/>
        </w:rPr>
        <w:t xml:space="preserve"> te uredbu kojom se utvrđuje fiksni tečaj konverzije kune u euro: 1 euro = 7,53450 kuna.</w:t>
      </w:r>
    </w:p>
  </w:footnote>
  <w:footnote w:id="5">
    <w:p w14:paraId="328BE0BF" w14:textId="1A1436D2" w:rsidR="00C67167" w:rsidRPr="00634A37" w:rsidRDefault="00C67167" w:rsidP="00151CD6">
      <w:pPr>
        <w:jc w:val="both"/>
        <w:rPr>
          <w:i/>
          <w:spacing w:val="-4"/>
          <w:sz w:val="20"/>
          <w:szCs w:val="20"/>
          <w:highlight w:val="green"/>
        </w:rPr>
      </w:pPr>
      <w:r w:rsidRPr="00634A37">
        <w:rPr>
          <w:i/>
          <w:spacing w:val="-4"/>
          <w:sz w:val="20"/>
          <w:szCs w:val="20"/>
          <w:vertAlign w:val="superscript"/>
        </w:rPr>
        <w:footnoteRef/>
      </w:r>
      <w:r w:rsidRPr="00634A37">
        <w:rPr>
          <w:i/>
          <w:spacing w:val="-4"/>
          <w:sz w:val="20"/>
          <w:szCs w:val="20"/>
        </w:rPr>
        <w:t xml:space="preserve"> </w:t>
      </w:r>
      <w:hyperlink r:id="rId3" w:history="1">
        <w:r w:rsidRPr="00634A37">
          <w:rPr>
            <w:rStyle w:val="Hyperlink"/>
            <w:i/>
            <w:spacing w:val="-4"/>
            <w:sz w:val="20"/>
            <w:szCs w:val="20"/>
          </w:rPr>
          <w:t>https://mfin.gov.hr/istaknute-teme/koncesije-i-drzavne-potpore/drzavne-potpore/pravila-o-drzavnim-potporama/461</w:t>
        </w:r>
      </w:hyperlink>
      <w:r w:rsidRPr="00634A37">
        <w:rPr>
          <w:i/>
          <w:spacing w:val="-4"/>
          <w:sz w:val="20"/>
          <w:szCs w:val="20"/>
        </w:rPr>
        <w:t xml:space="preserve"> </w:t>
      </w:r>
    </w:p>
  </w:footnote>
  <w:footnote w:id="6">
    <w:p w14:paraId="2726FB4C" w14:textId="4FDA5F7B" w:rsidR="00C67167" w:rsidRPr="00634A37" w:rsidRDefault="00C67167" w:rsidP="0013108C">
      <w:pPr>
        <w:rPr>
          <w:i/>
          <w:sz w:val="20"/>
          <w:szCs w:val="20"/>
        </w:rPr>
      </w:pPr>
      <w:r w:rsidRPr="00634A37">
        <w:rPr>
          <w:i/>
          <w:sz w:val="20"/>
          <w:szCs w:val="20"/>
          <w:vertAlign w:val="superscript"/>
        </w:rPr>
        <w:footnoteRef/>
      </w:r>
      <w:r w:rsidRPr="00634A37">
        <w:rPr>
          <w:i/>
          <w:sz w:val="20"/>
          <w:szCs w:val="20"/>
        </w:rPr>
        <w:t xml:space="preserve"> </w:t>
      </w:r>
      <w:hyperlink r:id="rId4" w:history="1">
        <w:r w:rsidRPr="00634A37">
          <w:rPr>
            <w:rStyle w:val="Hyperlink"/>
            <w:i/>
            <w:sz w:val="20"/>
            <w:szCs w:val="20"/>
          </w:rPr>
          <w:t>https://competition-policy.ec.europa.eu/state-aid/legislation_en</w:t>
        </w:r>
      </w:hyperlink>
    </w:p>
  </w:footnote>
  <w:footnote w:id="7">
    <w:p w14:paraId="6CEA539C" w14:textId="7C4861E9" w:rsidR="00C67167" w:rsidRPr="00634A37" w:rsidRDefault="00C67167" w:rsidP="00634A37">
      <w:pPr>
        <w:jc w:val="both"/>
        <w:rPr>
          <w:i/>
          <w:spacing w:val="-2"/>
          <w:sz w:val="20"/>
          <w:szCs w:val="20"/>
        </w:rPr>
      </w:pPr>
      <w:r w:rsidRPr="00634A37">
        <w:rPr>
          <w:rStyle w:val="FootnoteReference"/>
          <w:b/>
          <w:i/>
          <w:spacing w:val="-2"/>
          <w:sz w:val="20"/>
          <w:szCs w:val="20"/>
        </w:rPr>
        <w:footnoteRef/>
      </w:r>
      <w:r w:rsidRPr="00634A37">
        <w:rPr>
          <w:b/>
          <w:i/>
          <w:spacing w:val="-2"/>
          <w:sz w:val="20"/>
          <w:szCs w:val="20"/>
        </w:rPr>
        <w:t xml:space="preserve"> </w:t>
      </w:r>
      <w:r w:rsidRPr="00634A37">
        <w:rPr>
          <w:i/>
          <w:spacing w:val="-2"/>
          <w:sz w:val="20"/>
          <w:szCs w:val="20"/>
        </w:rPr>
        <w:t>Uredbu o općem skupnom izuzeću do 1. srpnja 2023., odnosno do stupanja na snagu njene dopune sadržane u Uredbi Komisije 2023/1315, činila je</w:t>
      </w:r>
      <w:r w:rsidRPr="00634A37">
        <w:rPr>
          <w:b/>
          <w:i/>
          <w:spacing w:val="-2"/>
          <w:sz w:val="20"/>
          <w:szCs w:val="20"/>
        </w:rPr>
        <w:t xml:space="preserve"> </w:t>
      </w:r>
      <w:r w:rsidRPr="00634A37">
        <w:rPr>
          <w:i/>
          <w:spacing w:val="-2"/>
          <w:sz w:val="20"/>
          <w:szCs w:val="20"/>
        </w:rPr>
        <w:t>Uredba Komisije (EU) br. 651/2014 od 17. lipnja 2014. o ocjenjivanju određenih kategorija potpora spojivima s unutarnjim tržištem u primjeni članaka 107. i 108. Ugovora (Službeni list Europske unije,</w:t>
      </w:r>
      <w:r w:rsidRPr="00634A37">
        <w:rPr>
          <w:rFonts w:eastAsiaTheme="minorEastAsia"/>
          <w:i/>
          <w:spacing w:val="-2"/>
          <w:sz w:val="20"/>
          <w:szCs w:val="20"/>
          <w:lang w:eastAsia="zh-CN"/>
        </w:rPr>
        <w:t xml:space="preserve"> L 187, od 26. lipnja 2014.</w:t>
      </w:r>
      <w:r w:rsidR="00303007">
        <w:rPr>
          <w:rFonts w:eastAsiaTheme="minorEastAsia"/>
          <w:i/>
          <w:spacing w:val="-2"/>
          <w:sz w:val="20"/>
          <w:szCs w:val="20"/>
          <w:lang w:eastAsia="zh-CN"/>
        </w:rPr>
        <w:t>; u daljnjem tekstu: Uredba 651/2014</w:t>
      </w:r>
      <w:r w:rsidRPr="00634A37">
        <w:rPr>
          <w:i/>
          <w:spacing w:val="-2"/>
          <w:sz w:val="20"/>
          <w:szCs w:val="20"/>
        </w:rPr>
        <w:t>), Uredba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(Službeni list Europske unije, L 156/1, od 20. lipnja 2017.), Uredba Komisije (EU) br. 2020/972 od 2. srpnja 2020. o izmjeni Uredbe (EU) o izmjeni Uredbe (EU) br. 1407/2013 u pogledu njezina produljenja i o izmjeni Uredbe (EU) br. 651/2014 u pogledu njezina produljenja i odgovarajućih prilagodbi (Službeni list Europske unije, L 215, od 7. srpnja 2020.) i Uredba Komisije (EU) br. 2021/1237 od 23. srpnja 2021. o izmjeni Uredbe (EU) br. 651/2014 o ocjenjivanju određenih kategorija potpora spojivima s unutarnjim tržištem u primjeni članaka 107. i 108. Ugovora (Službeni list Europske unije, L 270, od 29. srpnja 2021.</w:t>
      </w:r>
      <w:r>
        <w:rPr>
          <w:i/>
          <w:spacing w:val="-2"/>
          <w:sz w:val="20"/>
          <w:szCs w:val="20"/>
        </w:rPr>
        <w:t>).</w:t>
      </w:r>
    </w:p>
  </w:footnote>
  <w:footnote w:id="8">
    <w:p w14:paraId="6F789EF0" w14:textId="77777777" w:rsidR="00C67167" w:rsidRPr="0025390C" w:rsidRDefault="00C67167" w:rsidP="00227188">
      <w:pPr>
        <w:pStyle w:val="FootnoteText"/>
        <w:rPr>
          <w:rFonts w:ascii="Times New Roman" w:hAnsi="Times New Roman" w:cs="Times New Roman"/>
          <w:b w:val="0"/>
          <w:i/>
        </w:rPr>
      </w:pPr>
      <w:r w:rsidRPr="0025390C">
        <w:rPr>
          <w:rStyle w:val="FootnoteReference"/>
          <w:rFonts w:ascii="Times New Roman" w:eastAsiaTheme="majorEastAsia" w:hAnsi="Times New Roman" w:cs="Times New Roman"/>
          <w:b w:val="0"/>
          <w:i/>
        </w:rPr>
        <w:footnoteRef/>
      </w:r>
      <w:r w:rsidRPr="0025390C">
        <w:rPr>
          <w:rFonts w:ascii="Times New Roman" w:hAnsi="Times New Roman" w:cs="Times New Roman"/>
          <w:b w:val="0"/>
          <w:i/>
        </w:rPr>
        <w:t xml:space="preserve"> Poglavlje 3. Obavijesti Komisije o provedbi pravila o državnim potporama od strane nacionalnih sudova (Službeni list Europske unije, C 305, od 30. srpnja 2021.).</w:t>
      </w:r>
    </w:p>
  </w:footnote>
  <w:footnote w:id="9">
    <w:p w14:paraId="01764CE9" w14:textId="77777777" w:rsidR="00C67167" w:rsidRPr="00EE68DF" w:rsidRDefault="00C67167" w:rsidP="00227188">
      <w:pPr>
        <w:pStyle w:val="FootnoteText"/>
        <w:rPr>
          <w:rFonts w:ascii="Times New Roman" w:hAnsi="Times New Roman" w:cs="Times New Roman"/>
          <w:b w:val="0"/>
          <w:i/>
        </w:rPr>
      </w:pPr>
      <w:r w:rsidRPr="00EE68DF">
        <w:rPr>
          <w:rStyle w:val="FootnoteReference"/>
          <w:rFonts w:ascii="Times New Roman" w:eastAsiaTheme="majorEastAsia" w:hAnsi="Times New Roman" w:cs="Times New Roman"/>
          <w:b w:val="0"/>
          <w:i/>
        </w:rPr>
        <w:footnoteRef/>
      </w:r>
      <w:r w:rsidRPr="00EE68DF">
        <w:rPr>
          <w:rFonts w:ascii="Times New Roman" w:hAnsi="Times New Roman" w:cs="Times New Roman"/>
          <w:b w:val="0"/>
          <w:i/>
        </w:rPr>
        <w:t xml:space="preserve"> Točka 17. Obavijesti Komisije o pojmu državne potpore iz članka 107. stavka 1. Ugovora o funkcioniranju Europske unije (Službeni list Europske unije, C 262, od 9. srpnja 2016.).</w:t>
      </w:r>
    </w:p>
  </w:footnote>
  <w:footnote w:id="10">
    <w:p w14:paraId="3BD29451" w14:textId="3602E621" w:rsidR="00C67167" w:rsidRPr="00133401" w:rsidRDefault="00C67167" w:rsidP="00227188">
      <w:pPr>
        <w:autoSpaceDE w:val="0"/>
        <w:autoSpaceDN w:val="0"/>
        <w:adjustRightInd w:val="0"/>
        <w:jc w:val="both"/>
        <w:rPr>
          <w:i/>
          <w:sz w:val="20"/>
          <w:szCs w:val="20"/>
        </w:rPr>
      </w:pPr>
      <w:r w:rsidRPr="00133401">
        <w:rPr>
          <w:rStyle w:val="FootnoteReference"/>
          <w:i/>
          <w:sz w:val="20"/>
          <w:szCs w:val="20"/>
        </w:rPr>
        <w:footnoteRef/>
      </w:r>
      <w:r w:rsidRPr="00133401">
        <w:rPr>
          <w:i/>
          <w:sz w:val="20"/>
          <w:szCs w:val="20"/>
        </w:rPr>
        <w:t xml:space="preserve"> </w:t>
      </w:r>
      <w:r w:rsidRPr="00133401">
        <w:rPr>
          <w:i/>
          <w:color w:val="000000"/>
          <w:sz w:val="20"/>
          <w:szCs w:val="20"/>
        </w:rPr>
        <w:t xml:space="preserve">Izvor: </w:t>
      </w:r>
      <w:r w:rsidR="00D93481">
        <w:rPr>
          <w:i/>
          <w:color w:val="000000"/>
          <w:sz w:val="20"/>
          <w:szCs w:val="20"/>
        </w:rPr>
        <w:t>mrežna</w:t>
      </w:r>
      <w:r w:rsidRPr="00133401">
        <w:rPr>
          <w:i/>
          <w:color w:val="000000"/>
          <w:sz w:val="20"/>
          <w:szCs w:val="20"/>
        </w:rPr>
        <w:t xml:space="preserve"> stranica Europske komisije: </w:t>
      </w:r>
      <w:hyperlink r:id="rId5" w:history="1">
        <w:r w:rsidRPr="00133401">
          <w:rPr>
            <w:rStyle w:val="Hyperlink"/>
            <w:i/>
            <w:sz w:val="20"/>
          </w:rPr>
          <w:t>https://competition-policy.ec.europa.eu/state-aid/scoreboard_en</w:t>
        </w:r>
      </w:hyperlink>
    </w:p>
  </w:footnote>
  <w:footnote w:id="11">
    <w:p w14:paraId="1890B757" w14:textId="77777777" w:rsidR="00C67167" w:rsidRPr="00D91753" w:rsidRDefault="00C67167" w:rsidP="003B3627">
      <w:pPr>
        <w:pStyle w:val="FootnoteText"/>
        <w:rPr>
          <w:rFonts w:ascii="Times New Roman" w:hAnsi="Times New Roman" w:cs="Times New Roman"/>
          <w:b w:val="0"/>
          <w:i/>
        </w:rPr>
      </w:pPr>
      <w:r w:rsidRPr="00D91753">
        <w:rPr>
          <w:rStyle w:val="FootnoteReference"/>
          <w:rFonts w:ascii="Times New Roman" w:hAnsi="Times New Roman" w:cs="Times New Roman"/>
          <w:b w:val="0"/>
          <w:i/>
        </w:rPr>
        <w:footnoteRef/>
      </w:r>
      <w:r w:rsidRPr="00D91753">
        <w:rPr>
          <w:rFonts w:ascii="Times New Roman" w:hAnsi="Times New Roman" w:cs="Times New Roman"/>
          <w:b w:val="0"/>
          <w:i/>
        </w:rPr>
        <w:t xml:space="preserve"> Potpore za: istraživanje i razvoj i inovacije, male i srednje poduzetnike, usavršavanje, zapošljavanje i kulturu. </w:t>
      </w:r>
    </w:p>
  </w:footnote>
  <w:footnote w:id="12">
    <w:p w14:paraId="02D6408D" w14:textId="77777777" w:rsidR="00C67167" w:rsidRPr="00D91753" w:rsidRDefault="00C67167" w:rsidP="00227188">
      <w:pPr>
        <w:pStyle w:val="FootnoteText"/>
        <w:rPr>
          <w:rFonts w:ascii="Times New Roman" w:hAnsi="Times New Roman" w:cs="Times New Roman"/>
          <w:b w:val="0"/>
          <w:i/>
        </w:rPr>
      </w:pPr>
      <w:r w:rsidRPr="00D91753">
        <w:rPr>
          <w:rStyle w:val="FootnoteReference"/>
          <w:rFonts w:ascii="Times New Roman" w:eastAsiaTheme="majorEastAsia" w:hAnsi="Times New Roman" w:cs="Times New Roman"/>
          <w:b w:val="0"/>
          <w:i/>
        </w:rPr>
        <w:footnoteRef/>
      </w:r>
      <w:r w:rsidRPr="00D91753">
        <w:rPr>
          <w:rFonts w:ascii="Times New Roman" w:hAnsi="Times New Roman" w:cs="Times New Roman"/>
          <w:b w:val="0"/>
          <w:i/>
        </w:rPr>
        <w:t xml:space="preserve"> Potpore za: istraživanje i razvoj i inovacije, male i srednje poduzetnike, usavršavanje, zapošljavanje i kulturu.</w:t>
      </w:r>
    </w:p>
  </w:footnote>
  <w:footnote w:id="13">
    <w:p w14:paraId="7607D71D" w14:textId="2B3F109F" w:rsidR="00C67167" w:rsidRPr="005C6E69" w:rsidRDefault="00C67167" w:rsidP="006466D6">
      <w:pPr>
        <w:pStyle w:val="FootnoteText"/>
        <w:rPr>
          <w:rFonts w:ascii="Times New Roman" w:hAnsi="Times New Roman" w:cs="Times New Roman"/>
          <w:b w:val="0"/>
          <w:i/>
        </w:rPr>
      </w:pPr>
      <w:r w:rsidRPr="005C6E69">
        <w:rPr>
          <w:rStyle w:val="FootnoteReference"/>
          <w:rFonts w:ascii="Times New Roman" w:eastAsiaTheme="majorEastAsia" w:hAnsi="Times New Roman" w:cs="Times New Roman"/>
          <w:b w:val="0"/>
          <w:i/>
        </w:rPr>
        <w:footnoteRef/>
      </w:r>
      <w:r w:rsidRPr="005C6E69">
        <w:rPr>
          <w:rFonts w:ascii="Times New Roman" w:hAnsi="Times New Roman" w:cs="Times New Roman"/>
          <w:b w:val="0"/>
          <w:i/>
        </w:rPr>
        <w:t xml:space="preserve"> </w:t>
      </w:r>
      <w:r w:rsidRPr="005C6E69">
        <w:rPr>
          <w:rFonts w:ascii="Times New Roman" w:hAnsi="Times New Roman" w:cs="Times New Roman"/>
          <w:b w:val="0"/>
          <w:i/>
          <w:iCs/>
          <w:szCs w:val="24"/>
          <w:lang w:eastAsia="hr-HR"/>
        </w:rPr>
        <w:t xml:space="preserve">Fiksni tečaj konverzije kune u euro </w:t>
      </w:r>
      <w:r w:rsidRPr="005C6E69">
        <w:rPr>
          <w:rFonts w:ascii="Times New Roman" w:hAnsi="Times New Roman" w:cs="Times New Roman"/>
          <w:b w:val="0"/>
          <w:i/>
        </w:rPr>
        <w:t>iznosi 7,53450 kuna, izvor podataka: Hrvatska narodna banka.</w:t>
      </w:r>
    </w:p>
  </w:footnote>
  <w:footnote w:id="14">
    <w:p w14:paraId="7CDAEF2C" w14:textId="77777777" w:rsidR="00C67167" w:rsidRPr="00B26CC6" w:rsidRDefault="00C67167" w:rsidP="006466D6">
      <w:pPr>
        <w:pStyle w:val="FootnoteText"/>
        <w:rPr>
          <w:rFonts w:ascii="Times New Roman" w:hAnsi="Times New Roman" w:cs="Times New Roman"/>
          <w:b w:val="0"/>
          <w:i/>
        </w:rPr>
      </w:pPr>
      <w:r w:rsidRPr="00B26CC6">
        <w:rPr>
          <w:rStyle w:val="FootnoteReference"/>
          <w:rFonts w:ascii="Times New Roman" w:eastAsiaTheme="majorEastAsia" w:hAnsi="Times New Roman" w:cs="Times New Roman"/>
          <w:b w:val="0"/>
          <w:i/>
        </w:rPr>
        <w:footnoteRef/>
      </w:r>
      <w:r w:rsidRPr="00B26CC6">
        <w:rPr>
          <w:rFonts w:ascii="Times New Roman" w:hAnsi="Times New Roman" w:cs="Times New Roman"/>
          <w:b w:val="0"/>
          <w:i/>
        </w:rPr>
        <w:t xml:space="preserve"> BDP u tekućim cijenama, izvor podataka o BDP-u: Državni zavod za statistiku, Hrvatska narodna banka i Ministarstvo financija.</w:t>
      </w:r>
    </w:p>
  </w:footnote>
  <w:footnote w:id="15">
    <w:p w14:paraId="6A2B3A00" w14:textId="77777777" w:rsidR="00C67167" w:rsidRPr="00B26CC6" w:rsidRDefault="00C67167" w:rsidP="00227188">
      <w:pPr>
        <w:pStyle w:val="FootnoteText"/>
        <w:rPr>
          <w:rFonts w:ascii="Times New Roman" w:hAnsi="Times New Roman" w:cs="Times New Roman"/>
          <w:b w:val="0"/>
          <w:i/>
        </w:rPr>
      </w:pPr>
      <w:r w:rsidRPr="00B26CC6">
        <w:rPr>
          <w:rStyle w:val="FootnoteReference"/>
          <w:rFonts w:ascii="Times New Roman" w:hAnsi="Times New Roman" w:cs="Times New Roman"/>
          <w:b w:val="0"/>
          <w:i/>
        </w:rPr>
        <w:footnoteRef/>
      </w:r>
      <w:r w:rsidRPr="00B26CC6">
        <w:rPr>
          <w:rFonts w:ascii="Times New Roman" w:hAnsi="Times New Roman" w:cs="Times New Roman"/>
          <w:b w:val="0"/>
          <w:i/>
        </w:rPr>
        <w:t xml:space="preserve"> Broj zaposlenih, izvor podataka o zaposlenima: Državni zavod za statistiku.</w:t>
      </w:r>
    </w:p>
  </w:footnote>
  <w:footnote w:id="16">
    <w:p w14:paraId="0C085F2D" w14:textId="77777777" w:rsidR="00C67167" w:rsidRPr="00B26CC6" w:rsidRDefault="00C67167" w:rsidP="006466D6">
      <w:pPr>
        <w:pStyle w:val="FootnoteText"/>
        <w:rPr>
          <w:rFonts w:ascii="Times New Roman" w:hAnsi="Times New Roman" w:cs="Times New Roman"/>
          <w:b w:val="0"/>
          <w:i/>
        </w:rPr>
      </w:pPr>
      <w:r w:rsidRPr="00B26CC6">
        <w:rPr>
          <w:rStyle w:val="FootnoteReference"/>
          <w:rFonts w:ascii="Times New Roman" w:eastAsiaTheme="majorEastAsia" w:hAnsi="Times New Roman" w:cs="Times New Roman"/>
          <w:b w:val="0"/>
          <w:i/>
        </w:rPr>
        <w:footnoteRef/>
      </w:r>
      <w:r w:rsidRPr="00B26CC6">
        <w:rPr>
          <w:rFonts w:ascii="Times New Roman" w:hAnsi="Times New Roman" w:cs="Times New Roman"/>
          <w:b w:val="0"/>
          <w:i/>
        </w:rPr>
        <w:t xml:space="preserve"> Broj stanovnika, izvor podataka o broju stanovnika: Državni zavod za statistiku.</w:t>
      </w:r>
    </w:p>
  </w:footnote>
  <w:footnote w:id="17">
    <w:p w14:paraId="63FE3B32" w14:textId="77777777" w:rsidR="00C67167" w:rsidRPr="00B3287A" w:rsidRDefault="00C67167" w:rsidP="000E0349">
      <w:pPr>
        <w:contextualSpacing/>
        <w:jc w:val="both"/>
        <w:rPr>
          <w:i/>
          <w:sz w:val="20"/>
          <w:szCs w:val="20"/>
        </w:rPr>
      </w:pPr>
      <w:r w:rsidRPr="00B3287A">
        <w:rPr>
          <w:rStyle w:val="FootnoteReference"/>
          <w:i/>
          <w:sz w:val="20"/>
          <w:szCs w:val="20"/>
        </w:rPr>
        <w:footnoteRef/>
      </w:r>
      <w:r w:rsidRPr="00B3287A">
        <w:rPr>
          <w:i/>
          <w:sz w:val="20"/>
          <w:szCs w:val="20"/>
        </w:rPr>
        <w:t xml:space="preserve"> U Prilogu 3. nalazi se popis instrumenata dodjele potpora, kao i metodologija izračuna elementa potpore kod pojedinog instrumenta.</w:t>
      </w:r>
    </w:p>
  </w:footnote>
  <w:footnote w:id="18">
    <w:p w14:paraId="2B31E234" w14:textId="77777777" w:rsidR="00C67167" w:rsidRPr="006227D2" w:rsidRDefault="00C67167" w:rsidP="002E1CBE">
      <w:pPr>
        <w:contextualSpacing/>
        <w:jc w:val="both"/>
        <w:rPr>
          <w:i/>
          <w:sz w:val="20"/>
          <w:szCs w:val="20"/>
        </w:rPr>
      </w:pPr>
      <w:r w:rsidRPr="006227D2">
        <w:rPr>
          <w:rStyle w:val="FootnoteReference"/>
          <w:i/>
          <w:sz w:val="20"/>
          <w:szCs w:val="20"/>
        </w:rPr>
        <w:footnoteRef/>
      </w:r>
      <w:r w:rsidRPr="006227D2">
        <w:rPr>
          <w:i/>
          <w:sz w:val="20"/>
          <w:szCs w:val="20"/>
        </w:rPr>
        <w:t xml:space="preserve"> A1 subvencije i neposredne subvencije kamata; A2 porezna oslobođenja, izuzeća, oprost poreza i doprinosa i olakšice; B kapitalna ulaganja; C1 povoljni zajmovi; D potpore u jamstvima.</w:t>
      </w:r>
    </w:p>
  </w:footnote>
  <w:footnote w:id="19">
    <w:p w14:paraId="33BFB417" w14:textId="77777777" w:rsidR="00C67167" w:rsidRPr="00FB7E5B" w:rsidRDefault="00C67167" w:rsidP="00227188">
      <w:pPr>
        <w:pStyle w:val="FootnoteText"/>
        <w:rPr>
          <w:rFonts w:ascii="Times New Roman" w:hAnsi="Times New Roman" w:cs="Times New Roman"/>
          <w:b w:val="0"/>
          <w:i/>
        </w:rPr>
      </w:pPr>
      <w:r w:rsidRPr="00FB7E5B">
        <w:rPr>
          <w:rStyle w:val="FootnoteReference"/>
          <w:rFonts w:ascii="Times New Roman" w:hAnsi="Times New Roman" w:cs="Times New Roman"/>
          <w:b w:val="0"/>
          <w:i/>
        </w:rPr>
        <w:footnoteRef/>
      </w:r>
      <w:r w:rsidRPr="00FB7E5B">
        <w:rPr>
          <w:rFonts w:ascii="Times New Roman" w:hAnsi="Times New Roman" w:cs="Times New Roman"/>
          <w:b w:val="0"/>
          <w:i/>
        </w:rPr>
        <w:t xml:space="preserve"> Prilikom odlučivanja o jamstvima u kontekstu potpore, Europska komisija primjenjuje Obavijest Komisije o primjeni članaka 87. i 88. Ugovora o Europskoj zajednici u području državnih potpora u obliku jamstava (52008XC0620(02), Službeni list Europske unije, C 155, od 20. lipnja 2008., str. 10.–22.) i Ispravak Obavijesti Komisije o primjeni članaka 87. i 88. Ugovora o Europskoj zajednici u području državnih potpora u obliku jamstava (52008XC0620(02)R(01), Službeni list Europske unije, C 244, od 25. rujna 2008., str. 32.–32.).</w:t>
      </w:r>
    </w:p>
  </w:footnote>
  <w:footnote w:id="20">
    <w:p w14:paraId="50A7A039" w14:textId="77777777" w:rsidR="00C67167" w:rsidRPr="00D83051" w:rsidRDefault="00C67167" w:rsidP="00227188">
      <w:pPr>
        <w:pStyle w:val="FootnoteText"/>
        <w:rPr>
          <w:rFonts w:ascii="Times New Roman" w:hAnsi="Times New Roman" w:cs="Times New Roman"/>
          <w:b w:val="0"/>
          <w:i/>
        </w:rPr>
      </w:pPr>
      <w:r w:rsidRPr="00D83051">
        <w:rPr>
          <w:rStyle w:val="FootnoteReference"/>
          <w:rFonts w:ascii="Times New Roman" w:hAnsi="Times New Roman" w:cs="Times New Roman"/>
          <w:b w:val="0"/>
          <w:i/>
        </w:rPr>
        <w:footnoteRef/>
      </w:r>
      <w:r w:rsidRPr="00D83051">
        <w:rPr>
          <w:rFonts w:ascii="Times New Roman" w:hAnsi="Times New Roman" w:cs="Times New Roman"/>
          <w:b w:val="0"/>
          <w:i/>
        </w:rPr>
        <w:t xml:space="preserve"> Potpore za: istraživanje i razvoj i inovacije, male i srednje poduzetnike, usavršavanje, zapošljavanje i kulturu.</w:t>
      </w:r>
    </w:p>
  </w:footnote>
  <w:footnote w:id="21">
    <w:p w14:paraId="6AA46FB2" w14:textId="2960681E" w:rsidR="00C67167" w:rsidRPr="00BE069D" w:rsidRDefault="00C67167">
      <w:pPr>
        <w:pStyle w:val="FootnoteText"/>
        <w:rPr>
          <w:rFonts w:ascii="Times New Roman" w:hAnsi="Times New Roman" w:cs="Times New Roman"/>
          <w:b w:val="0"/>
          <w:i/>
        </w:rPr>
      </w:pPr>
      <w:r w:rsidRPr="00BE069D">
        <w:rPr>
          <w:rStyle w:val="FootnoteReference"/>
          <w:rFonts w:ascii="Times New Roman" w:hAnsi="Times New Roman" w:cs="Times New Roman"/>
          <w:b w:val="0"/>
          <w:i/>
        </w:rPr>
        <w:footnoteRef/>
      </w:r>
      <w:r w:rsidRPr="00BE069D">
        <w:rPr>
          <w:rFonts w:ascii="Times New Roman" w:hAnsi="Times New Roman" w:cs="Times New Roman"/>
          <w:b w:val="0"/>
          <w:i/>
        </w:rPr>
        <w:t xml:space="preserve"> Potpore za: istraživanje i razvoj i inovacije, male i srednje poduzetnike, usavršavanje, zapošljavanje i kulturu.</w:t>
      </w:r>
    </w:p>
  </w:footnote>
  <w:footnote w:id="22">
    <w:p w14:paraId="49BA9076" w14:textId="77777777" w:rsidR="00C67167" w:rsidRPr="00BE069D" w:rsidRDefault="00C67167" w:rsidP="00F8458D">
      <w:pPr>
        <w:pStyle w:val="FootnoteText"/>
        <w:rPr>
          <w:rFonts w:ascii="Times New Roman" w:hAnsi="Times New Roman" w:cs="Times New Roman"/>
          <w:b w:val="0"/>
          <w:i/>
        </w:rPr>
      </w:pPr>
      <w:r w:rsidRPr="00BE069D">
        <w:rPr>
          <w:rStyle w:val="FootnoteReference"/>
          <w:rFonts w:ascii="Times New Roman" w:hAnsi="Times New Roman" w:cs="Times New Roman"/>
          <w:b w:val="0"/>
          <w:i/>
        </w:rPr>
        <w:footnoteRef/>
      </w:r>
      <w:r w:rsidRPr="00BE069D">
        <w:rPr>
          <w:rFonts w:ascii="Times New Roman" w:hAnsi="Times New Roman" w:cs="Times New Roman"/>
          <w:b w:val="0"/>
          <w:i/>
        </w:rPr>
        <w:t xml:space="preserve"> Potpore za: istraživanje i razvoj i inovacije, male i srednje poduzetnike, usavršavanje, zapošljavanje i kulturu. </w:t>
      </w:r>
    </w:p>
  </w:footnote>
  <w:footnote w:id="23">
    <w:p w14:paraId="1544CBF9" w14:textId="77777777" w:rsidR="00C67167" w:rsidRPr="00015717" w:rsidRDefault="00C67167" w:rsidP="00227188">
      <w:pPr>
        <w:contextualSpacing/>
        <w:jc w:val="both"/>
        <w:rPr>
          <w:i/>
          <w:sz w:val="20"/>
          <w:szCs w:val="20"/>
        </w:rPr>
      </w:pPr>
      <w:r w:rsidRPr="00015717">
        <w:rPr>
          <w:rStyle w:val="FootnoteReference"/>
          <w:i/>
          <w:sz w:val="20"/>
          <w:szCs w:val="20"/>
        </w:rPr>
        <w:footnoteRef/>
      </w:r>
      <w:r w:rsidRPr="00015717">
        <w:rPr>
          <w:i/>
          <w:sz w:val="20"/>
          <w:szCs w:val="20"/>
        </w:rPr>
        <w:t xml:space="preserve"> A1 subvencije i neposredne subvencije kamata, A2 porezna oslobođenja, izuzeća, oprost poreza i doprinosa i olakšice, B kapitalna ulaganja, C1 povoljni zajmovi, D jamstva.</w:t>
      </w:r>
    </w:p>
  </w:footnote>
  <w:footnote w:id="24">
    <w:p w14:paraId="0B51BF6A" w14:textId="7C69893C" w:rsidR="00C67167" w:rsidRPr="00937A35" w:rsidRDefault="00C67167" w:rsidP="00227188">
      <w:pPr>
        <w:pStyle w:val="FootnoteText"/>
        <w:rPr>
          <w:rFonts w:ascii="Times New Roman" w:eastAsiaTheme="minorEastAsia" w:hAnsi="Times New Roman" w:cs="Times New Roman"/>
          <w:b w:val="0"/>
          <w:i/>
          <w:kern w:val="0"/>
          <w:lang w:eastAsia="zh-CN"/>
        </w:rPr>
      </w:pPr>
      <w:r w:rsidRPr="00937A35">
        <w:rPr>
          <w:rStyle w:val="FootnoteReference"/>
          <w:rFonts w:ascii="Times New Roman" w:hAnsi="Times New Roman" w:cs="Times New Roman"/>
          <w:b w:val="0"/>
          <w:i/>
        </w:rPr>
        <w:footnoteRef/>
      </w:r>
      <w:r w:rsidRPr="00937A35">
        <w:rPr>
          <w:rFonts w:ascii="Times New Roman" w:hAnsi="Times New Roman" w:cs="Times New Roman"/>
          <w:b w:val="0"/>
          <w:i/>
        </w:rPr>
        <w:t xml:space="preserve"> P</w:t>
      </w:r>
      <w:r w:rsidRPr="00937A35">
        <w:rPr>
          <w:rFonts w:ascii="Times New Roman" w:hAnsi="Times New Roman" w:cs="Times New Roman"/>
          <w:b w:val="0"/>
          <w:i/>
          <w:iCs/>
        </w:rPr>
        <w:t xml:space="preserve">otpore </w:t>
      </w:r>
      <w:r w:rsidRPr="00937A35">
        <w:rPr>
          <w:rFonts w:ascii="Times New Roman" w:hAnsi="Times New Roman" w:cs="Times New Roman"/>
          <w:b w:val="0"/>
          <w:bCs w:val="0"/>
          <w:i/>
          <w:lang w:eastAsia="hr-HR"/>
        </w:rPr>
        <w:t>za istraživanje i razvoj i inovacije</w:t>
      </w:r>
      <w:r w:rsidRPr="00937A35">
        <w:rPr>
          <w:rFonts w:ascii="Times New Roman" w:hAnsi="Times New Roman" w:cs="Times New Roman"/>
          <w:b w:val="0"/>
          <w:i/>
        </w:rPr>
        <w:t xml:space="preserve">, </w:t>
      </w:r>
      <w:r w:rsidRPr="00937A35">
        <w:rPr>
          <w:rFonts w:ascii="Times New Roman" w:hAnsi="Times New Roman" w:cs="Times New Roman"/>
          <w:b w:val="0"/>
          <w:bCs w:val="0"/>
          <w:i/>
          <w:lang w:eastAsia="hr-HR"/>
        </w:rPr>
        <w:t>dodjeljuju se</w:t>
      </w:r>
      <w:r w:rsidRPr="00937A35">
        <w:rPr>
          <w:rFonts w:ascii="Times New Roman" w:hAnsi="Times New Roman" w:cs="Times New Roman"/>
          <w:b w:val="0"/>
          <w:i/>
        </w:rPr>
        <w:t xml:space="preserve"> temeljem pravila sadržanih u </w:t>
      </w:r>
      <w:r w:rsidRPr="00937A35">
        <w:rPr>
          <w:rFonts w:ascii="Times New Roman" w:eastAsiaTheme="minorEastAsia" w:hAnsi="Times New Roman" w:cs="Times New Roman"/>
          <w:b w:val="0"/>
          <w:i/>
          <w:kern w:val="0"/>
          <w:lang w:eastAsia="zh-CN"/>
        </w:rPr>
        <w:t>Uredb</w:t>
      </w:r>
      <w:r w:rsidRPr="00937A35">
        <w:rPr>
          <w:rFonts w:ascii="Times New Roman" w:eastAsiaTheme="minorEastAsia" w:hAnsi="Times New Roman" w:cs="Times New Roman"/>
          <w:b w:val="0"/>
          <w:i/>
          <w:lang w:eastAsia="zh-CN"/>
        </w:rPr>
        <w:t>i</w:t>
      </w:r>
      <w:r w:rsidRPr="00937A35">
        <w:rPr>
          <w:rFonts w:ascii="Times New Roman" w:eastAsiaTheme="minorEastAsia" w:hAnsi="Times New Roman" w:cs="Times New Roman"/>
          <w:b w:val="0"/>
          <w:i/>
          <w:kern w:val="0"/>
          <w:lang w:eastAsia="zh-CN"/>
        </w:rPr>
        <w:t xml:space="preserve"> 651/2014 i njenih izmjena i dopuna te </w:t>
      </w:r>
      <w:r w:rsidRPr="00937A35">
        <w:rPr>
          <w:rFonts w:ascii="Times New Roman" w:hAnsi="Times New Roman" w:cs="Times New Roman"/>
          <w:b w:val="0"/>
          <w:i/>
        </w:rPr>
        <w:t>temeljem pravila sadržanih u Uredbi 2023/1315</w:t>
      </w:r>
      <w:r w:rsidRPr="00937A35">
        <w:rPr>
          <w:rFonts w:ascii="Times New Roman" w:eastAsiaTheme="minorEastAsia" w:hAnsi="Times New Roman" w:cs="Times New Roman"/>
          <w:b w:val="0"/>
          <w:i/>
          <w:kern w:val="0"/>
          <w:lang w:eastAsia="zh-CN"/>
        </w:rPr>
        <w:t>.</w:t>
      </w:r>
    </w:p>
  </w:footnote>
  <w:footnote w:id="25">
    <w:p w14:paraId="5A290293" w14:textId="4895CAF5" w:rsidR="00C67167" w:rsidRPr="00937A35" w:rsidRDefault="00C67167" w:rsidP="00227188">
      <w:pPr>
        <w:pStyle w:val="FootnoteText"/>
        <w:rPr>
          <w:rFonts w:ascii="Times New Roman" w:hAnsi="Times New Roman" w:cs="Times New Roman"/>
          <w:b w:val="0"/>
          <w:i/>
        </w:rPr>
      </w:pPr>
      <w:r w:rsidRPr="00937A35">
        <w:rPr>
          <w:rStyle w:val="FootnoteReference"/>
          <w:rFonts w:ascii="Times New Roman" w:hAnsi="Times New Roman" w:cs="Times New Roman"/>
          <w:b w:val="0"/>
          <w:i/>
        </w:rPr>
        <w:footnoteRef/>
      </w:r>
      <w:r w:rsidRPr="00937A35">
        <w:rPr>
          <w:rFonts w:ascii="Times New Roman" w:hAnsi="Times New Roman" w:cs="Times New Roman"/>
          <w:b w:val="0"/>
          <w:i/>
        </w:rPr>
        <w:t xml:space="preserve"> P</w:t>
      </w:r>
      <w:r w:rsidRPr="00937A35">
        <w:rPr>
          <w:rFonts w:ascii="Times New Roman" w:hAnsi="Times New Roman" w:cs="Times New Roman"/>
          <w:b w:val="0"/>
          <w:i/>
          <w:iCs/>
        </w:rPr>
        <w:t xml:space="preserve">otpore </w:t>
      </w:r>
      <w:r w:rsidRPr="00937A35">
        <w:rPr>
          <w:rFonts w:ascii="Times New Roman" w:hAnsi="Times New Roman" w:cs="Times New Roman"/>
          <w:b w:val="0"/>
          <w:bCs w:val="0"/>
          <w:i/>
          <w:lang w:eastAsia="hr-HR"/>
        </w:rPr>
        <w:t>za zapošljavanje dodjeljuju se</w:t>
      </w:r>
      <w:r w:rsidRPr="00937A35">
        <w:rPr>
          <w:rFonts w:ascii="Times New Roman" w:hAnsi="Times New Roman" w:cs="Times New Roman"/>
          <w:b w:val="0"/>
          <w:i/>
        </w:rPr>
        <w:t xml:space="preserve"> temeljem pravila sadržanih u </w:t>
      </w:r>
      <w:r w:rsidRPr="00937A35">
        <w:rPr>
          <w:rFonts w:ascii="Times New Roman" w:eastAsiaTheme="minorEastAsia" w:hAnsi="Times New Roman" w:cs="Times New Roman"/>
          <w:b w:val="0"/>
          <w:i/>
          <w:kern w:val="0"/>
          <w:lang w:eastAsia="zh-CN"/>
        </w:rPr>
        <w:t>Uredb</w:t>
      </w:r>
      <w:r w:rsidRPr="00937A35">
        <w:rPr>
          <w:rFonts w:ascii="Times New Roman" w:eastAsiaTheme="minorEastAsia" w:hAnsi="Times New Roman" w:cs="Times New Roman"/>
          <w:b w:val="0"/>
          <w:i/>
          <w:lang w:eastAsia="zh-CN"/>
        </w:rPr>
        <w:t>i</w:t>
      </w:r>
      <w:r w:rsidRPr="00937A35">
        <w:rPr>
          <w:rFonts w:ascii="Times New Roman" w:eastAsiaTheme="minorEastAsia" w:hAnsi="Times New Roman" w:cs="Times New Roman"/>
          <w:b w:val="0"/>
          <w:i/>
          <w:kern w:val="0"/>
          <w:lang w:eastAsia="zh-CN"/>
        </w:rPr>
        <w:t xml:space="preserve"> 651/2014 i njenih izmjena i dopuna te </w:t>
      </w:r>
      <w:r w:rsidRPr="00937A35">
        <w:rPr>
          <w:rFonts w:ascii="Times New Roman" w:hAnsi="Times New Roman" w:cs="Times New Roman"/>
          <w:b w:val="0"/>
          <w:i/>
        </w:rPr>
        <w:t>temeljem pravila sadržanih u Uredbi 2023/1315</w:t>
      </w:r>
      <w:r w:rsidRPr="00937A35">
        <w:rPr>
          <w:rFonts w:ascii="Times New Roman" w:eastAsiaTheme="minorEastAsia" w:hAnsi="Times New Roman" w:cs="Times New Roman"/>
          <w:b w:val="0"/>
          <w:i/>
          <w:kern w:val="0"/>
          <w:lang w:eastAsia="zh-CN"/>
        </w:rPr>
        <w:t>.</w:t>
      </w:r>
    </w:p>
  </w:footnote>
  <w:footnote w:id="26">
    <w:p w14:paraId="72549CAA" w14:textId="199DDE59" w:rsidR="00C67167" w:rsidRPr="00937A35" w:rsidRDefault="00C67167" w:rsidP="00227188">
      <w:pPr>
        <w:pStyle w:val="FootnoteText"/>
        <w:rPr>
          <w:rFonts w:ascii="Times New Roman" w:hAnsi="Times New Roman" w:cs="Times New Roman"/>
          <w:b w:val="0"/>
          <w:i/>
        </w:rPr>
      </w:pPr>
      <w:r w:rsidRPr="00937A35">
        <w:rPr>
          <w:rStyle w:val="FootnoteReference"/>
          <w:rFonts w:ascii="Times New Roman" w:hAnsi="Times New Roman" w:cs="Times New Roman"/>
          <w:b w:val="0"/>
          <w:i/>
        </w:rPr>
        <w:footnoteRef/>
      </w:r>
      <w:r w:rsidRPr="00937A35">
        <w:rPr>
          <w:rFonts w:ascii="Times New Roman" w:hAnsi="Times New Roman" w:cs="Times New Roman"/>
          <w:b w:val="0"/>
          <w:i/>
        </w:rPr>
        <w:t xml:space="preserve"> P</w:t>
      </w:r>
      <w:r w:rsidRPr="00937A35">
        <w:rPr>
          <w:rFonts w:ascii="Times New Roman" w:hAnsi="Times New Roman" w:cs="Times New Roman"/>
          <w:b w:val="0"/>
          <w:i/>
          <w:iCs/>
        </w:rPr>
        <w:t xml:space="preserve">otpore </w:t>
      </w:r>
      <w:r w:rsidRPr="00937A35">
        <w:rPr>
          <w:rFonts w:ascii="Times New Roman" w:hAnsi="Times New Roman" w:cs="Times New Roman"/>
          <w:b w:val="0"/>
          <w:bCs w:val="0"/>
          <w:i/>
          <w:lang w:eastAsia="hr-HR"/>
        </w:rPr>
        <w:t>za usavršavanje dodjeljuju se</w:t>
      </w:r>
      <w:r w:rsidRPr="00937A35">
        <w:rPr>
          <w:rFonts w:ascii="Times New Roman" w:hAnsi="Times New Roman" w:cs="Times New Roman"/>
          <w:b w:val="0"/>
          <w:i/>
        </w:rPr>
        <w:t xml:space="preserve"> temeljem pravila sadržanih u </w:t>
      </w:r>
      <w:r w:rsidRPr="00937A35">
        <w:rPr>
          <w:rFonts w:ascii="Times New Roman" w:eastAsiaTheme="minorEastAsia" w:hAnsi="Times New Roman" w:cs="Times New Roman"/>
          <w:b w:val="0"/>
          <w:i/>
          <w:kern w:val="0"/>
          <w:lang w:eastAsia="zh-CN"/>
        </w:rPr>
        <w:t>Uredb</w:t>
      </w:r>
      <w:r w:rsidRPr="00937A35">
        <w:rPr>
          <w:rFonts w:ascii="Times New Roman" w:eastAsiaTheme="minorEastAsia" w:hAnsi="Times New Roman" w:cs="Times New Roman"/>
          <w:b w:val="0"/>
          <w:i/>
          <w:lang w:eastAsia="zh-CN"/>
        </w:rPr>
        <w:t>i</w:t>
      </w:r>
      <w:r w:rsidRPr="00937A35">
        <w:rPr>
          <w:rFonts w:ascii="Times New Roman" w:eastAsiaTheme="minorEastAsia" w:hAnsi="Times New Roman" w:cs="Times New Roman"/>
          <w:b w:val="0"/>
          <w:i/>
          <w:kern w:val="0"/>
          <w:lang w:eastAsia="zh-CN"/>
        </w:rPr>
        <w:t xml:space="preserve"> 651/2014 i njenih izmjena i dopuna te </w:t>
      </w:r>
      <w:r w:rsidRPr="00937A35">
        <w:rPr>
          <w:rFonts w:ascii="Times New Roman" w:hAnsi="Times New Roman" w:cs="Times New Roman"/>
          <w:b w:val="0"/>
          <w:i/>
        </w:rPr>
        <w:t>temeljem pravila sadržanih u Uredbi 2023/1315</w:t>
      </w:r>
      <w:r w:rsidRPr="00937A35">
        <w:rPr>
          <w:rFonts w:ascii="Times New Roman" w:eastAsiaTheme="minorEastAsia" w:hAnsi="Times New Roman" w:cs="Times New Roman"/>
          <w:b w:val="0"/>
          <w:i/>
          <w:kern w:val="0"/>
          <w:lang w:eastAsia="zh-CN"/>
        </w:rPr>
        <w:t>.</w:t>
      </w:r>
    </w:p>
  </w:footnote>
  <w:footnote w:id="27">
    <w:p w14:paraId="330B08BD" w14:textId="0B2C3458" w:rsidR="00C67167" w:rsidRPr="00937A35" w:rsidRDefault="00C67167" w:rsidP="00227188">
      <w:pPr>
        <w:pStyle w:val="FootnoteText"/>
        <w:rPr>
          <w:rFonts w:ascii="Times New Roman" w:hAnsi="Times New Roman" w:cs="Times New Roman"/>
          <w:b w:val="0"/>
          <w:i/>
        </w:rPr>
      </w:pPr>
      <w:r w:rsidRPr="00937A35">
        <w:rPr>
          <w:rStyle w:val="FootnoteReference"/>
          <w:rFonts w:ascii="Times New Roman" w:hAnsi="Times New Roman" w:cs="Times New Roman"/>
          <w:b w:val="0"/>
          <w:i/>
        </w:rPr>
        <w:footnoteRef/>
      </w:r>
      <w:r w:rsidRPr="00937A35">
        <w:rPr>
          <w:rFonts w:ascii="Times New Roman" w:hAnsi="Times New Roman" w:cs="Times New Roman"/>
          <w:b w:val="0"/>
          <w:i/>
        </w:rPr>
        <w:t xml:space="preserve"> P</w:t>
      </w:r>
      <w:r w:rsidRPr="00937A35">
        <w:rPr>
          <w:rFonts w:ascii="Times New Roman" w:hAnsi="Times New Roman" w:cs="Times New Roman"/>
          <w:b w:val="0"/>
          <w:i/>
          <w:iCs/>
        </w:rPr>
        <w:t xml:space="preserve">otpore </w:t>
      </w:r>
      <w:r w:rsidRPr="00937A35">
        <w:rPr>
          <w:rFonts w:ascii="Times New Roman" w:hAnsi="Times New Roman" w:cs="Times New Roman"/>
          <w:b w:val="0"/>
          <w:bCs w:val="0"/>
          <w:i/>
          <w:lang w:eastAsia="hr-HR"/>
        </w:rPr>
        <w:t>malim i srednjim poduzetnicima dodjeljuju se</w:t>
      </w:r>
      <w:r w:rsidRPr="00937A35">
        <w:rPr>
          <w:rFonts w:ascii="Times New Roman" w:hAnsi="Times New Roman" w:cs="Times New Roman"/>
          <w:b w:val="0"/>
          <w:i/>
        </w:rPr>
        <w:t xml:space="preserve"> temeljem pravila sadržanih u </w:t>
      </w:r>
      <w:r w:rsidRPr="00937A35">
        <w:rPr>
          <w:rFonts w:ascii="Times New Roman" w:eastAsiaTheme="minorEastAsia" w:hAnsi="Times New Roman" w:cs="Times New Roman"/>
          <w:b w:val="0"/>
          <w:i/>
          <w:kern w:val="0"/>
          <w:lang w:eastAsia="zh-CN"/>
        </w:rPr>
        <w:t>Uredb</w:t>
      </w:r>
      <w:r w:rsidRPr="00937A35">
        <w:rPr>
          <w:rFonts w:ascii="Times New Roman" w:eastAsiaTheme="minorEastAsia" w:hAnsi="Times New Roman" w:cs="Times New Roman"/>
          <w:b w:val="0"/>
          <w:i/>
          <w:lang w:eastAsia="zh-CN"/>
        </w:rPr>
        <w:t>i</w:t>
      </w:r>
      <w:r w:rsidRPr="00937A35">
        <w:rPr>
          <w:rFonts w:ascii="Times New Roman" w:eastAsiaTheme="minorEastAsia" w:hAnsi="Times New Roman" w:cs="Times New Roman"/>
          <w:b w:val="0"/>
          <w:i/>
          <w:kern w:val="0"/>
          <w:lang w:eastAsia="zh-CN"/>
        </w:rPr>
        <w:t xml:space="preserve"> 651/2014 i njenih izmjena i dopuna te </w:t>
      </w:r>
      <w:r w:rsidRPr="00937A35">
        <w:rPr>
          <w:rFonts w:ascii="Times New Roman" w:hAnsi="Times New Roman" w:cs="Times New Roman"/>
          <w:b w:val="0"/>
          <w:i/>
        </w:rPr>
        <w:t>temeljem pravila sadržanih u Uredbi 2023/1315</w:t>
      </w:r>
      <w:r w:rsidRPr="00937A35">
        <w:rPr>
          <w:rFonts w:ascii="Times New Roman" w:eastAsiaTheme="minorEastAsia" w:hAnsi="Times New Roman" w:cs="Times New Roman"/>
          <w:b w:val="0"/>
          <w:i/>
          <w:kern w:val="0"/>
          <w:lang w:eastAsia="zh-CN"/>
        </w:rPr>
        <w:t>.</w:t>
      </w:r>
    </w:p>
  </w:footnote>
  <w:footnote w:id="28">
    <w:p w14:paraId="495B128D" w14:textId="6236A2F9" w:rsidR="00C67167" w:rsidRPr="00AF6B8D" w:rsidRDefault="00C67167" w:rsidP="00CE41AA">
      <w:pPr>
        <w:jc w:val="both"/>
        <w:rPr>
          <w:sz w:val="20"/>
        </w:rPr>
      </w:pPr>
      <w:r w:rsidRPr="00AF6B8D">
        <w:rPr>
          <w:rStyle w:val="FootnoteReference"/>
          <w:i/>
          <w:sz w:val="20"/>
          <w:szCs w:val="20"/>
        </w:rPr>
        <w:footnoteRef/>
      </w:r>
      <w:r w:rsidRPr="00AF6B8D">
        <w:rPr>
          <w:i/>
          <w:sz w:val="20"/>
          <w:szCs w:val="20"/>
        </w:rPr>
        <w:t xml:space="preserve"> Regionalne p</w:t>
      </w:r>
      <w:r w:rsidRPr="00AF6B8D">
        <w:rPr>
          <w:i/>
          <w:iCs/>
          <w:sz w:val="20"/>
          <w:szCs w:val="20"/>
        </w:rPr>
        <w:t xml:space="preserve">otpore </w:t>
      </w:r>
      <w:r w:rsidRPr="00AF6B8D">
        <w:rPr>
          <w:bCs/>
          <w:i/>
          <w:sz w:val="20"/>
          <w:szCs w:val="20"/>
          <w:lang w:eastAsia="hr-HR"/>
        </w:rPr>
        <w:t>dodjeljuju se</w:t>
      </w:r>
      <w:r w:rsidRPr="00AF6B8D">
        <w:rPr>
          <w:i/>
          <w:sz w:val="20"/>
          <w:szCs w:val="20"/>
        </w:rPr>
        <w:t xml:space="preserve"> temeljem pravila sadržanih u </w:t>
      </w:r>
      <w:r w:rsidRPr="00AF6B8D">
        <w:rPr>
          <w:rFonts w:eastAsiaTheme="minorEastAsia"/>
          <w:i/>
          <w:sz w:val="20"/>
          <w:szCs w:val="20"/>
          <w:lang w:eastAsia="zh-CN"/>
        </w:rPr>
        <w:t xml:space="preserve">Uredbi 651/2014 i njenih izmjena i dopuna te </w:t>
      </w:r>
      <w:r w:rsidRPr="00AF6B8D">
        <w:rPr>
          <w:i/>
          <w:sz w:val="20"/>
          <w:szCs w:val="20"/>
        </w:rPr>
        <w:t>temeljem pravila sadržanih u Uredbi 2023/1315</w:t>
      </w:r>
      <w:r w:rsidRPr="00AF6B8D">
        <w:rPr>
          <w:rFonts w:eastAsiaTheme="minorEastAsia"/>
          <w:i/>
          <w:sz w:val="20"/>
          <w:szCs w:val="20"/>
          <w:lang w:eastAsia="zh-CN"/>
        </w:rPr>
        <w:t xml:space="preserve">. Intenziteti dodjele regionalne potpore propisani su Kartom regionalnih potpora Republike Hrvatske za razdoblje 2022. – 2027., temeljem odluke Europske komisije SA.64581 od 23. studenog 2021. </w:t>
      </w:r>
      <w:r w:rsidRPr="00AF6B8D">
        <w:rPr>
          <w:bCs/>
          <w:i/>
          <w:sz w:val="20"/>
          <w:szCs w:val="20"/>
          <w:lang w:eastAsia="hr-HR"/>
        </w:rPr>
        <w:t xml:space="preserve">Karta regionalnih potpora temelji se na </w:t>
      </w:r>
      <w:r w:rsidRPr="00AF6B8D">
        <w:rPr>
          <w:i/>
          <w:sz w:val="20"/>
          <w:szCs w:val="20"/>
        </w:rPr>
        <w:t>Smjernicama za</w:t>
      </w:r>
      <w:r w:rsidRPr="00AF6B8D">
        <w:rPr>
          <w:bCs/>
          <w:i/>
          <w:sz w:val="20"/>
          <w:szCs w:val="20"/>
          <w:lang w:eastAsia="hr-HR"/>
        </w:rPr>
        <w:t xml:space="preserve"> regionalne državne potpore (</w:t>
      </w:r>
      <w:r w:rsidRPr="00AF6B8D">
        <w:rPr>
          <w:i/>
          <w:sz w:val="20"/>
          <w:szCs w:val="20"/>
          <w:lang w:eastAsia="hr-HR"/>
        </w:rPr>
        <w:t>Službeni list Europske unije, Službeni list Europske unije C 153, od 29. travnja 2021.).</w:t>
      </w:r>
    </w:p>
  </w:footnote>
  <w:footnote w:id="29">
    <w:p w14:paraId="45E38789" w14:textId="77777777" w:rsidR="00C67167" w:rsidRPr="009A27FC" w:rsidRDefault="00C67167" w:rsidP="00227188">
      <w:pPr>
        <w:pStyle w:val="FootnoteText"/>
        <w:rPr>
          <w:rFonts w:ascii="Times New Roman" w:hAnsi="Times New Roman" w:cs="Times New Roman"/>
          <w:b w:val="0"/>
          <w:i/>
        </w:rPr>
      </w:pPr>
      <w:r w:rsidRPr="009A27FC">
        <w:rPr>
          <w:rStyle w:val="FootnoteReference"/>
          <w:rFonts w:ascii="Times New Roman" w:eastAsiaTheme="majorEastAsia" w:hAnsi="Times New Roman" w:cs="Times New Roman"/>
          <w:b w:val="0"/>
          <w:i/>
        </w:rPr>
        <w:footnoteRef/>
      </w:r>
      <w:r w:rsidRPr="009A27FC">
        <w:rPr>
          <w:rFonts w:ascii="Times New Roman" w:hAnsi="Times New Roman" w:cs="Times New Roman"/>
          <w:b w:val="0"/>
          <w:i/>
        </w:rPr>
        <w:t xml:space="preserve"> Službeni list Europske unije, L 7, od 11. siječnja 2012.</w:t>
      </w:r>
    </w:p>
  </w:footnote>
  <w:footnote w:id="30">
    <w:p w14:paraId="44D36437" w14:textId="77777777" w:rsidR="00C67167" w:rsidRPr="009A27FC" w:rsidRDefault="00C67167" w:rsidP="00DE4B92">
      <w:pPr>
        <w:pStyle w:val="FootnoteText"/>
        <w:rPr>
          <w:rFonts w:ascii="Times New Roman" w:hAnsi="Times New Roman" w:cs="Times New Roman"/>
          <w:b w:val="0"/>
          <w:i/>
        </w:rPr>
      </w:pPr>
      <w:r w:rsidRPr="009A27FC">
        <w:rPr>
          <w:rStyle w:val="FootnoteReference"/>
          <w:rFonts w:ascii="Times New Roman" w:hAnsi="Times New Roman" w:cs="Times New Roman"/>
          <w:b w:val="0"/>
          <w:i/>
        </w:rPr>
        <w:footnoteRef/>
      </w:r>
      <w:r w:rsidRPr="009A27FC">
        <w:rPr>
          <w:rFonts w:ascii="Times New Roman" w:hAnsi="Times New Roman" w:cs="Times New Roman"/>
          <w:b w:val="0"/>
          <w:i/>
        </w:rPr>
        <w:t xml:space="preserve"> Službeni list Europske unije, C 8, od 11. siječnja 2012.</w:t>
      </w:r>
    </w:p>
  </w:footnote>
  <w:footnote w:id="31">
    <w:p w14:paraId="7CB87CD3" w14:textId="1712AF61" w:rsidR="00C67167" w:rsidRPr="00FB4B31" w:rsidRDefault="00C67167" w:rsidP="00227188">
      <w:pPr>
        <w:pStyle w:val="FootnoteText"/>
        <w:rPr>
          <w:rFonts w:ascii="Times New Roman" w:hAnsi="Times New Roman" w:cs="Times New Roman"/>
          <w:b w:val="0"/>
          <w:i/>
        </w:rPr>
      </w:pPr>
      <w:r w:rsidRPr="00FB4B31">
        <w:rPr>
          <w:rStyle w:val="FootnoteReference"/>
          <w:rFonts w:ascii="Times New Roman" w:hAnsi="Times New Roman" w:cs="Times New Roman"/>
          <w:b w:val="0"/>
          <w:i/>
        </w:rPr>
        <w:footnoteRef/>
      </w:r>
      <w:r w:rsidRPr="00FB4B31">
        <w:rPr>
          <w:rFonts w:ascii="Times New Roman" w:hAnsi="Times New Roman" w:cs="Times New Roman"/>
          <w:b w:val="0"/>
          <w:i/>
        </w:rPr>
        <w:t xml:space="preserve"> P</w:t>
      </w:r>
      <w:r w:rsidRPr="00FB4B31">
        <w:rPr>
          <w:rFonts w:ascii="Times New Roman" w:hAnsi="Times New Roman" w:cs="Times New Roman"/>
          <w:b w:val="0"/>
          <w:i/>
          <w:iCs/>
        </w:rPr>
        <w:t xml:space="preserve">otpore </w:t>
      </w:r>
      <w:r w:rsidRPr="00FB4B31">
        <w:rPr>
          <w:rFonts w:ascii="Times New Roman" w:hAnsi="Times New Roman" w:cs="Times New Roman"/>
          <w:b w:val="0"/>
          <w:bCs w:val="0"/>
          <w:i/>
          <w:lang w:eastAsia="hr-HR"/>
        </w:rPr>
        <w:t xml:space="preserve">za </w:t>
      </w:r>
      <w:r w:rsidRPr="00FB4B31">
        <w:rPr>
          <w:rFonts w:ascii="Times New Roman" w:hAnsi="Times New Roman" w:cs="Times New Roman"/>
          <w:b w:val="0"/>
          <w:i/>
          <w:lang w:eastAsia="hr-HR"/>
        </w:rPr>
        <w:t xml:space="preserve">zaštitu okoliša i uštedu energije </w:t>
      </w:r>
      <w:r w:rsidRPr="00FB4B31">
        <w:rPr>
          <w:rFonts w:ascii="Times New Roman" w:hAnsi="Times New Roman" w:cs="Times New Roman"/>
          <w:b w:val="0"/>
          <w:bCs w:val="0"/>
          <w:i/>
          <w:lang w:eastAsia="hr-HR"/>
        </w:rPr>
        <w:t>dodjeljuju se</w:t>
      </w:r>
      <w:r w:rsidRPr="00FB4B31">
        <w:rPr>
          <w:rFonts w:ascii="Times New Roman" w:hAnsi="Times New Roman" w:cs="Times New Roman"/>
          <w:b w:val="0"/>
          <w:i/>
        </w:rPr>
        <w:t xml:space="preserve"> temeljem pravila sadržanih u </w:t>
      </w:r>
      <w:r w:rsidRPr="00FB4B31">
        <w:rPr>
          <w:rFonts w:ascii="Times New Roman" w:eastAsiaTheme="minorEastAsia" w:hAnsi="Times New Roman" w:cs="Times New Roman"/>
          <w:b w:val="0"/>
          <w:i/>
          <w:kern w:val="0"/>
          <w:lang w:eastAsia="zh-CN"/>
        </w:rPr>
        <w:t>Uredb</w:t>
      </w:r>
      <w:r w:rsidRPr="00FB4B31">
        <w:rPr>
          <w:rFonts w:ascii="Times New Roman" w:eastAsiaTheme="minorEastAsia" w:hAnsi="Times New Roman" w:cs="Times New Roman"/>
          <w:b w:val="0"/>
          <w:i/>
          <w:lang w:eastAsia="zh-CN"/>
        </w:rPr>
        <w:t>i</w:t>
      </w:r>
      <w:r w:rsidRPr="00FB4B31">
        <w:rPr>
          <w:rFonts w:ascii="Times New Roman" w:eastAsiaTheme="minorEastAsia" w:hAnsi="Times New Roman" w:cs="Times New Roman"/>
          <w:b w:val="0"/>
          <w:i/>
          <w:kern w:val="0"/>
          <w:lang w:eastAsia="zh-CN"/>
        </w:rPr>
        <w:t xml:space="preserve"> 651/2014 i njenih izmjena i dopuna te </w:t>
      </w:r>
      <w:r w:rsidRPr="00FB4B31">
        <w:rPr>
          <w:rFonts w:ascii="Times New Roman" w:hAnsi="Times New Roman" w:cs="Times New Roman"/>
          <w:b w:val="0"/>
          <w:i/>
        </w:rPr>
        <w:t>temeljem pravila sadržanih u Uredbi 2023/1315</w:t>
      </w:r>
      <w:r w:rsidRPr="00FB4B31">
        <w:rPr>
          <w:rFonts w:ascii="Times New Roman" w:eastAsiaTheme="minorEastAsia" w:hAnsi="Times New Roman" w:cs="Times New Roman"/>
          <w:b w:val="0"/>
          <w:i/>
          <w:kern w:val="0"/>
          <w:lang w:eastAsia="zh-CN"/>
        </w:rPr>
        <w:t>.</w:t>
      </w:r>
    </w:p>
  </w:footnote>
  <w:footnote w:id="32">
    <w:p w14:paraId="6E11D133" w14:textId="459D6BAF" w:rsidR="00C67167" w:rsidRPr="00A31F50" w:rsidRDefault="00C67167" w:rsidP="005D6B00">
      <w:pPr>
        <w:pStyle w:val="FootnoteText"/>
        <w:rPr>
          <w:rFonts w:ascii="Times New Roman" w:hAnsi="Times New Roman" w:cs="Times New Roman"/>
          <w:b w:val="0"/>
          <w:i/>
        </w:rPr>
      </w:pPr>
      <w:r w:rsidRPr="006D126D">
        <w:rPr>
          <w:rStyle w:val="FootnoteReference"/>
          <w:rFonts w:ascii="Times New Roman" w:hAnsi="Times New Roman" w:cs="Times New Roman"/>
          <w:b w:val="0"/>
          <w:i/>
        </w:rPr>
        <w:footnoteRef/>
      </w:r>
      <w:r w:rsidRPr="006D126D">
        <w:rPr>
          <w:rFonts w:ascii="Times New Roman" w:hAnsi="Times New Roman" w:cs="Times New Roman"/>
          <w:b w:val="0"/>
          <w:i/>
        </w:rPr>
        <w:t xml:space="preserve"> P</w:t>
      </w:r>
      <w:r w:rsidRPr="006D126D">
        <w:rPr>
          <w:rFonts w:ascii="Times New Roman" w:hAnsi="Times New Roman" w:cs="Times New Roman"/>
          <w:b w:val="0"/>
          <w:i/>
          <w:iCs/>
        </w:rPr>
        <w:t xml:space="preserve">otpore </w:t>
      </w:r>
      <w:r w:rsidRPr="006D126D">
        <w:rPr>
          <w:rFonts w:ascii="Times New Roman" w:hAnsi="Times New Roman" w:cs="Times New Roman"/>
          <w:b w:val="0"/>
          <w:i/>
          <w:lang w:eastAsia="hr-HR"/>
        </w:rPr>
        <w:t xml:space="preserve">za </w:t>
      </w:r>
      <w:r w:rsidRPr="006D126D">
        <w:rPr>
          <w:rFonts w:ascii="Times New Roman" w:hAnsi="Times New Roman" w:cs="Times New Roman"/>
          <w:b w:val="0"/>
          <w:i/>
        </w:rPr>
        <w:t xml:space="preserve">sanaciju i restrukturiranje poduzetnika u teškoćama </w:t>
      </w:r>
      <w:r w:rsidRPr="006D126D">
        <w:rPr>
          <w:rFonts w:ascii="Times New Roman" w:hAnsi="Times New Roman" w:cs="Times New Roman"/>
          <w:b w:val="0"/>
          <w:i/>
          <w:lang w:eastAsia="hr-HR"/>
        </w:rPr>
        <w:t>mogu se dodijeliti</w:t>
      </w:r>
      <w:r w:rsidRPr="006D126D">
        <w:rPr>
          <w:rFonts w:ascii="Times New Roman" w:hAnsi="Times New Roman" w:cs="Times New Roman"/>
          <w:b w:val="0"/>
          <w:i/>
        </w:rPr>
        <w:t xml:space="preserve"> prema Smjernicama o državnim potporama za sanaciju i restrukturiranje nefinancijskih poduzetnika u teškoćama (Službeni list Europske unije, C 249, od 31. srpnja 2014.), koje se primjenjuju od 1. kolovoza 2014. do 31. prosinca 2023. t</w:t>
      </w:r>
      <w:r w:rsidRPr="006D126D">
        <w:rPr>
          <w:rFonts w:ascii="Times New Roman" w:hAnsi="Times New Roman" w:cs="Times New Roman"/>
          <w:b w:val="0"/>
          <w:i/>
          <w:lang w:eastAsia="hr-HR"/>
        </w:rPr>
        <w:t xml:space="preserve">emeljem </w:t>
      </w:r>
      <w:r w:rsidRPr="00A31F50">
        <w:rPr>
          <w:rFonts w:ascii="Times New Roman" w:hAnsi="Times New Roman" w:cs="Times New Roman"/>
          <w:b w:val="0"/>
          <w:i/>
          <w:lang w:eastAsia="hr-HR"/>
        </w:rPr>
        <w:t>Komunikacije Komisije o njenim izmjenama i produljenju</w:t>
      </w:r>
      <w:r w:rsidRPr="00A31F50">
        <w:rPr>
          <w:rFonts w:ascii="Times New Roman" w:eastAsiaTheme="minorEastAsia" w:hAnsi="Times New Roman" w:cs="Times New Roman"/>
          <w:b w:val="0"/>
          <w:i/>
          <w:kern w:val="0"/>
          <w:lang w:eastAsia="zh-CN"/>
        </w:rPr>
        <w:t xml:space="preserve"> (</w:t>
      </w:r>
      <w:r w:rsidRPr="00A31F50">
        <w:rPr>
          <w:rFonts w:ascii="Times New Roman" w:hAnsi="Times New Roman" w:cs="Times New Roman"/>
          <w:b w:val="0"/>
          <w:i/>
          <w:lang w:eastAsia="hr-HR"/>
        </w:rPr>
        <w:t xml:space="preserve">Službeni list Europske unije, </w:t>
      </w:r>
      <w:r w:rsidRPr="00A31F50">
        <w:rPr>
          <w:rFonts w:ascii="Times New Roman" w:hAnsi="Times New Roman" w:cs="Times New Roman"/>
          <w:b w:val="0"/>
          <w:i/>
        </w:rPr>
        <w:t>C 224, od 8. srpnja 2020.</w:t>
      </w:r>
      <w:r w:rsidRPr="00A31F50">
        <w:rPr>
          <w:rFonts w:ascii="Times New Roman" w:eastAsiaTheme="minorEastAsia" w:hAnsi="Times New Roman" w:cs="Times New Roman"/>
          <w:b w:val="0"/>
          <w:i/>
          <w:kern w:val="0"/>
          <w:lang w:eastAsia="zh-CN"/>
        </w:rPr>
        <w:t>)</w:t>
      </w:r>
      <w:r w:rsidRPr="00A31F50">
        <w:rPr>
          <w:rFonts w:ascii="Times New Roman" w:hAnsi="Times New Roman" w:cs="Times New Roman"/>
          <w:b w:val="0"/>
          <w:i/>
          <w:lang w:eastAsia="hr-HR"/>
        </w:rPr>
        <w:t>.</w:t>
      </w:r>
    </w:p>
  </w:footnote>
  <w:footnote w:id="33">
    <w:p w14:paraId="3E592403" w14:textId="4515C1A2" w:rsidR="00C67167" w:rsidRPr="00A31F50" w:rsidRDefault="00C67167" w:rsidP="00227188">
      <w:pPr>
        <w:pStyle w:val="FootnoteText"/>
        <w:rPr>
          <w:rFonts w:ascii="Times New Roman" w:hAnsi="Times New Roman" w:cs="Times New Roman"/>
          <w:b w:val="0"/>
          <w:i/>
        </w:rPr>
      </w:pPr>
      <w:r w:rsidRPr="00A31F50">
        <w:rPr>
          <w:rStyle w:val="FootnoteReference"/>
          <w:rFonts w:ascii="Times New Roman" w:hAnsi="Times New Roman" w:cs="Times New Roman"/>
          <w:b w:val="0"/>
          <w:i/>
        </w:rPr>
        <w:footnoteRef/>
      </w:r>
      <w:r w:rsidRPr="00A31F50">
        <w:rPr>
          <w:rFonts w:ascii="Times New Roman" w:hAnsi="Times New Roman" w:cs="Times New Roman"/>
          <w:b w:val="0"/>
          <w:i/>
        </w:rPr>
        <w:t xml:space="preserve"> P</w:t>
      </w:r>
      <w:r w:rsidRPr="00A31F50">
        <w:rPr>
          <w:rFonts w:ascii="Times New Roman" w:hAnsi="Times New Roman" w:cs="Times New Roman"/>
          <w:b w:val="0"/>
          <w:i/>
          <w:iCs/>
        </w:rPr>
        <w:t xml:space="preserve">otpore </w:t>
      </w:r>
      <w:r w:rsidRPr="00A31F50">
        <w:rPr>
          <w:rFonts w:ascii="Times New Roman" w:hAnsi="Times New Roman" w:cs="Times New Roman"/>
          <w:b w:val="0"/>
          <w:bCs w:val="0"/>
          <w:i/>
          <w:lang w:eastAsia="hr-HR"/>
        </w:rPr>
        <w:t xml:space="preserve">za </w:t>
      </w:r>
      <w:r w:rsidRPr="00A31F50">
        <w:rPr>
          <w:rFonts w:ascii="Times New Roman" w:hAnsi="Times New Roman" w:cs="Times New Roman"/>
          <w:b w:val="0"/>
          <w:i/>
        </w:rPr>
        <w:t xml:space="preserve">javno radiotelevizijsko emitiranje </w:t>
      </w:r>
      <w:r w:rsidRPr="00A31F50">
        <w:rPr>
          <w:rFonts w:ascii="Times New Roman" w:hAnsi="Times New Roman" w:cs="Times New Roman"/>
          <w:b w:val="0"/>
          <w:bCs w:val="0"/>
          <w:i/>
          <w:lang w:eastAsia="hr-HR"/>
        </w:rPr>
        <w:t>mogu se dodijeliti</w:t>
      </w:r>
      <w:r w:rsidRPr="00A31F50">
        <w:rPr>
          <w:rFonts w:ascii="Times New Roman" w:hAnsi="Times New Roman" w:cs="Times New Roman"/>
          <w:b w:val="0"/>
          <w:i/>
        </w:rPr>
        <w:t xml:space="preserve"> temeljem Priopćenja Komisije o primjeni pravila o državnim potporama za javne radiodifuzijske usluge (Službeni list Europske unije, C 257, od 27. listopada 2009.).</w:t>
      </w:r>
    </w:p>
  </w:footnote>
  <w:footnote w:id="34">
    <w:p w14:paraId="7CC76499" w14:textId="4DB2D68F" w:rsidR="00C67167" w:rsidRPr="00AF6B8D" w:rsidRDefault="00C67167" w:rsidP="00227188">
      <w:pPr>
        <w:pStyle w:val="FootnoteText"/>
        <w:rPr>
          <w:rFonts w:ascii="Times New Roman" w:hAnsi="Times New Roman" w:cs="Times New Roman"/>
          <w:b w:val="0"/>
          <w:i/>
        </w:rPr>
      </w:pPr>
      <w:r w:rsidRPr="00AF6B8D">
        <w:rPr>
          <w:rStyle w:val="FootnoteReference"/>
          <w:rFonts w:ascii="Times New Roman" w:hAnsi="Times New Roman" w:cs="Times New Roman"/>
          <w:b w:val="0"/>
          <w:i/>
        </w:rPr>
        <w:footnoteRef/>
      </w:r>
      <w:r w:rsidRPr="00AF6B8D">
        <w:rPr>
          <w:rFonts w:ascii="Times New Roman" w:hAnsi="Times New Roman" w:cs="Times New Roman"/>
          <w:b w:val="0"/>
          <w:i/>
        </w:rPr>
        <w:t xml:space="preserve"> P</w:t>
      </w:r>
      <w:r w:rsidRPr="00AF6B8D">
        <w:rPr>
          <w:rFonts w:ascii="Times New Roman" w:hAnsi="Times New Roman" w:cs="Times New Roman"/>
          <w:b w:val="0"/>
          <w:i/>
          <w:iCs/>
        </w:rPr>
        <w:t xml:space="preserve">otpore </w:t>
      </w:r>
      <w:r w:rsidRPr="00AF6B8D">
        <w:rPr>
          <w:rFonts w:ascii="Times New Roman" w:hAnsi="Times New Roman" w:cs="Times New Roman"/>
          <w:b w:val="0"/>
          <w:bCs w:val="0"/>
          <w:i/>
          <w:lang w:eastAsia="hr-HR"/>
        </w:rPr>
        <w:t xml:space="preserve">za </w:t>
      </w:r>
      <w:r w:rsidRPr="00AF6B8D">
        <w:rPr>
          <w:rFonts w:ascii="Times New Roman" w:hAnsi="Times New Roman" w:cs="Times New Roman"/>
          <w:b w:val="0"/>
          <w:i/>
        </w:rPr>
        <w:t xml:space="preserve">razvoj širokopojasnih mreža </w:t>
      </w:r>
      <w:r w:rsidRPr="00AF6B8D">
        <w:rPr>
          <w:rFonts w:ascii="Times New Roman" w:hAnsi="Times New Roman" w:cs="Times New Roman"/>
          <w:b w:val="0"/>
          <w:bCs w:val="0"/>
          <w:i/>
          <w:lang w:eastAsia="hr-HR"/>
        </w:rPr>
        <w:t>mogle su se dodijeliti</w:t>
      </w:r>
      <w:r w:rsidRPr="00AF6B8D">
        <w:rPr>
          <w:rFonts w:ascii="Times New Roman" w:hAnsi="Times New Roman" w:cs="Times New Roman"/>
          <w:b w:val="0"/>
          <w:i/>
        </w:rPr>
        <w:t xml:space="preserve"> temeljem pravila sadržanih u Priopćenju Komisije – Smjernica EU o primjeni pravila o državnim potporama u odnosu na brzi razvoj širokopojasnih mreža (Službeni list Europske unije, C 25, od 26. siječnja 2013.) koje su na snazi od 27. siječnja 2013., te novih Smjernica o državnim potporama za širokopojasne mreže (Službeni list Europske unije, C 36, od 31. siječnja 2023.).</w:t>
      </w:r>
    </w:p>
  </w:footnote>
  <w:footnote w:id="35">
    <w:p w14:paraId="086B35CD" w14:textId="7896B832" w:rsidR="00C67167" w:rsidRPr="00EE0D95" w:rsidRDefault="00C67167" w:rsidP="00384B3C">
      <w:pPr>
        <w:pStyle w:val="FootnoteText"/>
        <w:rPr>
          <w:rFonts w:ascii="Times New Roman" w:hAnsi="Times New Roman" w:cs="Times New Roman"/>
          <w:b w:val="0"/>
          <w:i/>
        </w:rPr>
      </w:pPr>
      <w:r w:rsidRPr="00EE0D95">
        <w:rPr>
          <w:rStyle w:val="FootnoteReference"/>
          <w:rFonts w:ascii="Times New Roman" w:hAnsi="Times New Roman" w:cs="Times New Roman"/>
          <w:b w:val="0"/>
          <w:i/>
        </w:rPr>
        <w:footnoteRef/>
      </w:r>
      <w:r w:rsidRPr="00EE0D95">
        <w:rPr>
          <w:rFonts w:ascii="Times New Roman" w:hAnsi="Times New Roman" w:cs="Times New Roman"/>
          <w:b w:val="0"/>
          <w:i/>
        </w:rPr>
        <w:t xml:space="preserve"> </w:t>
      </w:r>
      <w:hyperlink r:id="rId6" w:history="1">
        <w:r w:rsidRPr="001B5016">
          <w:rPr>
            <w:rStyle w:val="Hyperlink"/>
            <w:rFonts w:ascii="Times New Roman" w:hAnsi="Times New Roman" w:cs="Times New Roman"/>
            <w:b w:val="0"/>
            <w:i/>
          </w:rPr>
          <w:t>https://competition-policy.ec.europa.eu/state-aid/coronavirus_en</w:t>
        </w:r>
      </w:hyperlink>
      <w:r>
        <w:rPr>
          <w:rFonts w:ascii="Times New Roman" w:hAnsi="Times New Roman" w:cs="Times New Roman"/>
          <w:b w:val="0"/>
          <w:i/>
        </w:rPr>
        <w:t xml:space="preserve"> </w:t>
      </w:r>
    </w:p>
  </w:footnote>
  <w:footnote w:id="36">
    <w:p w14:paraId="13FBA276" w14:textId="695BAF7F" w:rsidR="00C67167" w:rsidRPr="00EE0D95" w:rsidRDefault="00C67167" w:rsidP="00384B3C">
      <w:pPr>
        <w:pStyle w:val="FootnoteText"/>
        <w:rPr>
          <w:rFonts w:ascii="Times New Roman" w:hAnsi="Times New Roman" w:cs="Times New Roman"/>
          <w:b w:val="0"/>
          <w:i/>
        </w:rPr>
      </w:pPr>
      <w:r w:rsidRPr="00EE0D95">
        <w:rPr>
          <w:rStyle w:val="FootnoteReference"/>
          <w:rFonts w:ascii="Times New Roman" w:hAnsi="Times New Roman" w:cs="Times New Roman"/>
          <w:b w:val="0"/>
          <w:i/>
        </w:rPr>
        <w:footnoteRef/>
      </w:r>
      <w:r w:rsidRPr="00EE0D95">
        <w:rPr>
          <w:rFonts w:ascii="Times New Roman" w:hAnsi="Times New Roman" w:cs="Times New Roman"/>
          <w:b w:val="0"/>
          <w:i/>
        </w:rPr>
        <w:t xml:space="preserve"> </w:t>
      </w:r>
      <w:hyperlink r:id="rId7" w:history="1">
        <w:r w:rsidRPr="001B5016">
          <w:rPr>
            <w:rStyle w:val="Hyperlink"/>
            <w:rFonts w:ascii="Times New Roman" w:hAnsi="Times New Roman" w:cs="Times New Roman"/>
            <w:b w:val="0"/>
            <w:i/>
          </w:rPr>
          <w:t>https://mfin.gov.hr/istaknute-teme/koncesije-i-drzavne-potpore/drzavne-potpore/drzavne-potpore-za-podrsku-gospodarstvu-tijekom-pandemije-covid-a-19/3044</w:t>
        </w:r>
      </w:hyperlink>
      <w:r>
        <w:rPr>
          <w:rFonts w:ascii="Times New Roman" w:hAnsi="Times New Roman" w:cs="Times New Roman"/>
          <w:b w:val="0"/>
          <w:i/>
        </w:rPr>
        <w:t xml:space="preserve"> </w:t>
      </w:r>
    </w:p>
  </w:footnote>
  <w:footnote w:id="37">
    <w:p w14:paraId="2C1BC471" w14:textId="7DCB512A" w:rsidR="00C67167" w:rsidRPr="00DB31A6" w:rsidRDefault="00C67167" w:rsidP="00384B3C">
      <w:pPr>
        <w:pStyle w:val="FootnoteText"/>
        <w:rPr>
          <w:rFonts w:ascii="Times New Roman" w:hAnsi="Times New Roman" w:cs="Times New Roman"/>
          <w:b w:val="0"/>
          <w:i/>
        </w:rPr>
      </w:pPr>
      <w:r w:rsidRPr="00DB31A6">
        <w:rPr>
          <w:rStyle w:val="FootnoteReference"/>
          <w:rFonts w:ascii="Times New Roman" w:hAnsi="Times New Roman" w:cs="Times New Roman"/>
          <w:b w:val="0"/>
          <w:i/>
        </w:rPr>
        <w:footnoteRef/>
      </w:r>
      <w:r w:rsidRPr="00DB31A6">
        <w:rPr>
          <w:rFonts w:ascii="Times New Roman" w:hAnsi="Times New Roman" w:cs="Times New Roman"/>
          <w:b w:val="0"/>
          <w:i/>
        </w:rPr>
        <w:t xml:space="preserve"> Službeni list Europske unije, C 131, od 14. ožujka 2023. i 21. srpnja 2022. </w:t>
      </w:r>
    </w:p>
  </w:footnote>
  <w:footnote w:id="38">
    <w:p w14:paraId="2E592CBB" w14:textId="21C0DA47" w:rsidR="00C67167" w:rsidRPr="00DB31A6" w:rsidRDefault="00C67167">
      <w:pPr>
        <w:pStyle w:val="FootnoteText"/>
        <w:rPr>
          <w:rFonts w:ascii="Times New Roman" w:hAnsi="Times New Roman" w:cs="Times New Roman"/>
          <w:b w:val="0"/>
          <w:i/>
        </w:rPr>
      </w:pPr>
      <w:r w:rsidRPr="00DB31A6">
        <w:rPr>
          <w:rStyle w:val="FootnoteReference"/>
          <w:rFonts w:ascii="Times New Roman" w:hAnsi="Times New Roman" w:cs="Times New Roman"/>
          <w:b w:val="0"/>
          <w:i/>
        </w:rPr>
        <w:footnoteRef/>
      </w:r>
      <w:r w:rsidRPr="00DB31A6">
        <w:rPr>
          <w:rFonts w:ascii="Times New Roman" w:hAnsi="Times New Roman" w:cs="Times New Roman"/>
          <w:b w:val="0"/>
          <w:i/>
        </w:rPr>
        <w:t xml:space="preserve"> Službeni list Europske unije, C 101/03, od 17. ožujka 2023.</w:t>
      </w:r>
    </w:p>
  </w:footnote>
  <w:footnote w:id="39">
    <w:p w14:paraId="0AD2E0EC" w14:textId="4168B08E" w:rsidR="00C67167" w:rsidRPr="00755F7E" w:rsidRDefault="00C67167" w:rsidP="00755F7E">
      <w:pPr>
        <w:contextualSpacing/>
        <w:jc w:val="both"/>
        <w:rPr>
          <w:i/>
          <w:sz w:val="20"/>
          <w:szCs w:val="20"/>
        </w:rPr>
      </w:pPr>
      <w:r w:rsidRPr="00DB31A6">
        <w:rPr>
          <w:rStyle w:val="FootnoteReference"/>
          <w:i/>
          <w:sz w:val="20"/>
          <w:szCs w:val="20"/>
        </w:rPr>
        <w:footnoteRef/>
      </w:r>
      <w:r w:rsidRPr="00DB31A6">
        <w:rPr>
          <w:i/>
          <w:sz w:val="20"/>
          <w:szCs w:val="20"/>
        </w:rPr>
        <w:t xml:space="preserve"> Priopćenje Europske komisije o usvajanju Privremenog okvira objavljeno je na </w:t>
      </w:r>
      <w:r w:rsidR="00A943A1">
        <w:rPr>
          <w:i/>
          <w:sz w:val="20"/>
          <w:szCs w:val="20"/>
        </w:rPr>
        <w:t>mrežnim</w:t>
      </w:r>
      <w:r>
        <w:rPr>
          <w:i/>
          <w:sz w:val="20"/>
          <w:szCs w:val="20"/>
        </w:rPr>
        <w:t xml:space="preserve"> stranicama Europske komisije: </w:t>
      </w:r>
      <w:hyperlink r:id="rId8" w:history="1">
        <w:r w:rsidRPr="00DB31A6">
          <w:rPr>
            <w:rStyle w:val="Hyperlink"/>
            <w:i/>
            <w:sz w:val="20"/>
            <w:szCs w:val="20"/>
          </w:rPr>
          <w:t>https://ec.europa.eu/commission/presscorner/detail/en/ip_23_1563</w:t>
        </w:r>
      </w:hyperlink>
      <w:r>
        <w:rPr>
          <w:i/>
          <w:sz w:val="20"/>
          <w:szCs w:val="20"/>
        </w:rPr>
        <w:t>.</w:t>
      </w:r>
    </w:p>
  </w:footnote>
  <w:footnote w:id="40">
    <w:p w14:paraId="4F43B926" w14:textId="70E11112" w:rsidR="00C67167" w:rsidRPr="00755F7E" w:rsidRDefault="00C67167">
      <w:pPr>
        <w:pStyle w:val="FootnoteText"/>
        <w:rPr>
          <w:rFonts w:ascii="Times New Roman" w:hAnsi="Times New Roman" w:cs="Times New Roman"/>
          <w:b w:val="0"/>
          <w:spacing w:val="-6"/>
        </w:rPr>
      </w:pPr>
      <w:r w:rsidRPr="00755F7E">
        <w:rPr>
          <w:rStyle w:val="FootnoteReference"/>
          <w:rFonts w:ascii="Times New Roman" w:hAnsi="Times New Roman" w:cs="Times New Roman"/>
          <w:b w:val="0"/>
          <w:spacing w:val="-6"/>
        </w:rPr>
        <w:footnoteRef/>
      </w:r>
      <w:r w:rsidRPr="00755F7E">
        <w:rPr>
          <w:rFonts w:ascii="Times New Roman" w:hAnsi="Times New Roman" w:cs="Times New Roman"/>
          <w:b w:val="0"/>
          <w:spacing w:val="-6"/>
        </w:rPr>
        <w:t xml:space="preserve"> </w:t>
      </w:r>
      <w:hyperlink r:id="rId9" w:history="1">
        <w:r w:rsidRPr="00755F7E">
          <w:rPr>
            <w:rStyle w:val="Hyperlink"/>
            <w:rFonts w:ascii="Times New Roman" w:hAnsi="Times New Roman" w:cs="Times New Roman"/>
            <w:b w:val="0"/>
            <w:i/>
            <w:spacing w:val="-6"/>
          </w:rPr>
          <w:t>https://mfin.gov.hr/istaknute-teme/koncesije-i-drzavne-potpore/drzavne-potpore/drzavne-potpore-gospodarstvu-nakon-ruske-agresije-na-ukrajinu/3268</w:t>
        </w:r>
      </w:hyperlink>
    </w:p>
  </w:footnote>
  <w:footnote w:id="41">
    <w:p w14:paraId="37944A0E" w14:textId="555CC043" w:rsidR="00C67167" w:rsidRPr="00A943A1" w:rsidRDefault="00C67167" w:rsidP="009A2122">
      <w:pPr>
        <w:shd w:val="clear" w:color="auto" w:fill="FFFFFF"/>
        <w:jc w:val="both"/>
        <w:rPr>
          <w:i/>
          <w:sz w:val="20"/>
          <w:szCs w:val="20"/>
          <w:highlight w:val="green"/>
        </w:rPr>
      </w:pPr>
      <w:r w:rsidRPr="00A943A1">
        <w:rPr>
          <w:rStyle w:val="FootnoteReference"/>
          <w:i/>
          <w:sz w:val="20"/>
          <w:szCs w:val="20"/>
        </w:rPr>
        <w:footnoteRef/>
      </w:r>
      <w:r w:rsidRPr="00A943A1">
        <w:rPr>
          <w:i/>
          <w:sz w:val="20"/>
          <w:szCs w:val="20"/>
        </w:rPr>
        <w:t xml:space="preserve"> P</w:t>
      </w:r>
      <w:r w:rsidRPr="00A943A1">
        <w:rPr>
          <w:i/>
          <w:iCs/>
          <w:sz w:val="20"/>
          <w:szCs w:val="20"/>
        </w:rPr>
        <w:t xml:space="preserve">otpore </w:t>
      </w:r>
      <w:r w:rsidRPr="00A943A1">
        <w:rPr>
          <w:bCs/>
          <w:i/>
          <w:sz w:val="20"/>
          <w:szCs w:val="20"/>
        </w:rPr>
        <w:t xml:space="preserve">male vrijednosti ili de minimis potpore </w:t>
      </w:r>
      <w:r w:rsidRPr="00A943A1">
        <w:rPr>
          <w:bCs/>
          <w:i/>
          <w:sz w:val="20"/>
          <w:szCs w:val="20"/>
          <w:lang w:eastAsia="hr-HR"/>
        </w:rPr>
        <w:t>dodjeljivane su</w:t>
      </w:r>
      <w:r w:rsidRPr="00A943A1">
        <w:rPr>
          <w:i/>
          <w:sz w:val="20"/>
          <w:szCs w:val="20"/>
        </w:rPr>
        <w:t xml:space="preserve"> temeljem pravila </w:t>
      </w:r>
      <w:r w:rsidRPr="00A943A1">
        <w:rPr>
          <w:bCs/>
          <w:i/>
          <w:sz w:val="20"/>
          <w:szCs w:val="20"/>
          <w:lang w:eastAsia="hr-HR"/>
        </w:rPr>
        <w:t xml:space="preserve">propisanih Uredbom 1407/2013 </w:t>
      </w:r>
      <w:r w:rsidRPr="00A943A1">
        <w:rPr>
          <w:i/>
          <w:sz w:val="20"/>
          <w:szCs w:val="20"/>
        </w:rPr>
        <w:t>i Uredbom 2020/972. Navedena Uredba 1407/2013 je stoga važila do 31. prosinca 2023.</w:t>
      </w:r>
      <w:r w:rsidR="00A943A1" w:rsidRPr="00A943A1">
        <w:rPr>
          <w:i/>
          <w:sz w:val="20"/>
          <w:szCs w:val="20"/>
        </w:rPr>
        <w:t>, a n</w:t>
      </w:r>
      <w:r w:rsidRPr="00A943A1">
        <w:rPr>
          <w:i/>
          <w:sz w:val="20"/>
          <w:szCs w:val="20"/>
        </w:rPr>
        <w:t xml:space="preserve">akon 1. siječnja 2024. potpore male vrijednosti se dodjeljuju temeljem novih pravila propisanih </w:t>
      </w:r>
      <w:r w:rsidRPr="00A943A1">
        <w:rPr>
          <w:rFonts w:eastAsia="Times New Roman"/>
          <w:i/>
          <w:sz w:val="20"/>
          <w:lang w:eastAsia="hr-HR"/>
        </w:rPr>
        <w:t>Uredbom 2023/2831.</w:t>
      </w:r>
    </w:p>
  </w:footnote>
  <w:footnote w:id="42">
    <w:p w14:paraId="3C99AC4B" w14:textId="66957131" w:rsidR="00C67167" w:rsidRPr="00801D22" w:rsidRDefault="00C67167">
      <w:pPr>
        <w:pStyle w:val="FootnoteText"/>
        <w:rPr>
          <w:rFonts w:ascii="Times New Roman" w:hAnsi="Times New Roman" w:cs="Times New Roman"/>
          <w:b w:val="0"/>
          <w:i/>
        </w:rPr>
      </w:pPr>
      <w:r w:rsidRPr="00801D22">
        <w:rPr>
          <w:rStyle w:val="FootnoteReference"/>
          <w:rFonts w:ascii="Times New Roman" w:hAnsi="Times New Roman" w:cs="Times New Roman"/>
          <w:b w:val="0"/>
          <w:i/>
        </w:rPr>
        <w:footnoteRef/>
      </w:r>
      <w:r w:rsidRPr="00801D22">
        <w:rPr>
          <w:rFonts w:ascii="Times New Roman" w:hAnsi="Times New Roman" w:cs="Times New Roman"/>
          <w:b w:val="0"/>
          <w:i/>
        </w:rPr>
        <w:t xml:space="preserve"> </w:t>
      </w:r>
      <w:hyperlink r:id="rId10" w:history="1">
        <w:r w:rsidRPr="00801D22">
          <w:rPr>
            <w:rStyle w:val="Hyperlink"/>
            <w:rFonts w:ascii="Times New Roman" w:hAnsi="Times New Roman" w:cs="Times New Roman"/>
            <w:b w:val="0"/>
            <w:i/>
          </w:rPr>
          <w:t>https://mfin.gov.hr/istaknute-teme/koncesije-i-drzavne-potpore/drzavne-potpore/transparentnost-potpora/465</w:t>
        </w:r>
      </w:hyperlink>
      <w:r w:rsidRPr="00801D22">
        <w:rPr>
          <w:rFonts w:ascii="Times New Roman" w:hAnsi="Times New Roman" w:cs="Times New Roman"/>
          <w:b w:val="0"/>
          <w:i/>
        </w:rPr>
        <w:t>.</w:t>
      </w:r>
    </w:p>
  </w:footnote>
  <w:footnote w:id="43">
    <w:p w14:paraId="4EE9D5F9" w14:textId="77777777" w:rsidR="00C67167" w:rsidRPr="00B26CC6" w:rsidRDefault="00C67167" w:rsidP="00DF33C6">
      <w:pPr>
        <w:pStyle w:val="FootnoteText"/>
        <w:rPr>
          <w:rFonts w:ascii="Times New Roman" w:hAnsi="Times New Roman" w:cs="Times New Roman"/>
          <w:b w:val="0"/>
          <w:i/>
        </w:rPr>
      </w:pPr>
      <w:r w:rsidRPr="00CA6CF8">
        <w:rPr>
          <w:rStyle w:val="FootnoteReference"/>
          <w:rFonts w:ascii="Times New Roman" w:hAnsi="Times New Roman" w:cs="Times New Roman"/>
          <w:b w:val="0"/>
          <w:i/>
        </w:rPr>
        <w:footnoteRef/>
      </w:r>
      <w:r w:rsidRPr="00CA6CF8">
        <w:rPr>
          <w:rFonts w:ascii="Times New Roman" w:hAnsi="Times New Roman" w:cs="Times New Roman"/>
          <w:b w:val="0"/>
          <w:i/>
        </w:rPr>
        <w:t xml:space="preserve"> Potpore za: istraživanje i razvoj i inovacije, male i srednje poduzetnike, usavršavanje, zapošljavanje i kulturu.</w:t>
      </w:r>
    </w:p>
  </w:footnote>
  <w:footnote w:id="44">
    <w:p w14:paraId="27A8D3B8" w14:textId="2AD9DBFD" w:rsidR="00C67167" w:rsidRPr="009E652B" w:rsidRDefault="00C67167">
      <w:pPr>
        <w:pStyle w:val="FootnoteText"/>
        <w:rPr>
          <w:rFonts w:ascii="Times New Roman" w:hAnsi="Times New Roman" w:cs="Times New Roman"/>
          <w:b w:val="0"/>
          <w:i/>
          <w:spacing w:val="-4"/>
        </w:rPr>
      </w:pPr>
      <w:r w:rsidRPr="009E652B">
        <w:rPr>
          <w:rStyle w:val="FootnoteReference"/>
          <w:rFonts w:ascii="Times New Roman" w:hAnsi="Times New Roman" w:cs="Times New Roman"/>
          <w:b w:val="0"/>
          <w:i/>
          <w:spacing w:val="-4"/>
        </w:rPr>
        <w:footnoteRef/>
      </w:r>
      <w:r w:rsidRPr="009E652B">
        <w:rPr>
          <w:rFonts w:ascii="Times New Roman" w:hAnsi="Times New Roman" w:cs="Times New Roman"/>
          <w:b w:val="0"/>
          <w:i/>
          <w:spacing w:val="-4"/>
        </w:rPr>
        <w:t xml:space="preserve"> </w:t>
      </w:r>
      <w:hyperlink r:id="rId11" w:history="1">
        <w:r w:rsidRPr="009E652B">
          <w:rPr>
            <w:rStyle w:val="Hyperlink"/>
            <w:rFonts w:ascii="Times New Roman" w:hAnsi="Times New Roman" w:cs="Times New Roman"/>
            <w:b w:val="0"/>
            <w:i/>
            <w:spacing w:val="-4"/>
          </w:rPr>
          <w:t>https://commission.europa.eu/topics/strengthening-european-competitiveness/eu-competitiveness-looking-ahead_en</w:t>
        </w:r>
      </w:hyperlink>
      <w:r w:rsidRPr="009E652B">
        <w:rPr>
          <w:rFonts w:ascii="Times New Roman" w:hAnsi="Times New Roman" w:cs="Times New Roman"/>
          <w:b w:val="0"/>
          <w:i/>
          <w:spacing w:val="-4"/>
        </w:rPr>
        <w:t>.</w:t>
      </w:r>
    </w:p>
  </w:footnote>
  <w:footnote w:id="45">
    <w:p w14:paraId="7E5023B1" w14:textId="13D82BDD" w:rsidR="00C67167" w:rsidRPr="009E652B" w:rsidRDefault="00C67167" w:rsidP="009E652B">
      <w:pPr>
        <w:jc w:val="both"/>
        <w:rPr>
          <w:i/>
          <w:sz w:val="20"/>
          <w:szCs w:val="20"/>
        </w:rPr>
      </w:pPr>
      <w:r w:rsidRPr="009E652B">
        <w:rPr>
          <w:rStyle w:val="FootnoteReference"/>
          <w:i/>
          <w:sz w:val="20"/>
          <w:szCs w:val="20"/>
        </w:rPr>
        <w:footnoteRef/>
      </w:r>
      <w:r w:rsidRPr="009E652B">
        <w:rPr>
          <w:i/>
          <w:sz w:val="20"/>
          <w:szCs w:val="20"/>
        </w:rPr>
        <w:t xml:space="preserve"> </w:t>
      </w:r>
      <w:hyperlink r:id="rId12" w:history="1">
        <w:r w:rsidRPr="009E652B">
          <w:rPr>
            <w:rStyle w:val="Hyperlink"/>
            <w:i/>
            <w:sz w:val="20"/>
            <w:szCs w:val="20"/>
          </w:rPr>
          <w:t>https://www.consilium.europa.eu/media/ny3j24sm/much-more-than-a-market-report-by-enrico-letta.pdf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8551"/>
      <w:docPartObj>
        <w:docPartGallery w:val="Page Numbers (Top of Page)"/>
        <w:docPartUnique/>
      </w:docPartObj>
    </w:sdtPr>
    <w:sdtEndPr/>
    <w:sdtContent>
      <w:p w14:paraId="1F3521FD" w14:textId="3CAB7B86" w:rsidR="00C67167" w:rsidRDefault="00C67167">
        <w:pPr>
          <w:pStyle w:val="Header"/>
          <w:jc w:val="center"/>
        </w:pPr>
        <w:r>
          <w:fldChar w:fldCharType="begin"/>
        </w:r>
        <w:r>
          <w:instrText>PAGE   \* MERGEFORMAT</w:instrText>
        </w:r>
        <w:r>
          <w:fldChar w:fldCharType="separate"/>
        </w:r>
        <w:r w:rsidR="00181B51">
          <w:rPr>
            <w:noProof/>
          </w:rPr>
          <w:t>71</w:t>
        </w:r>
        <w:r>
          <w:fldChar w:fldCharType="end"/>
        </w:r>
      </w:p>
    </w:sdtContent>
  </w:sdt>
  <w:p w14:paraId="546599B6" w14:textId="77777777" w:rsidR="00C67167" w:rsidRDefault="00C67167">
    <w:pPr>
      <w:pStyle w:val="Header"/>
    </w:pPr>
  </w:p>
  <w:p w14:paraId="37D88153" w14:textId="77777777" w:rsidR="00C67167" w:rsidRDefault="00C671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3C80" w14:textId="77777777" w:rsidR="00C67167" w:rsidRDefault="00C67167">
    <w:pPr>
      <w:pStyle w:val="Header"/>
      <w:jc w:val="center"/>
    </w:pPr>
  </w:p>
  <w:p w14:paraId="3CE3CA99" w14:textId="77777777" w:rsidR="00C67167" w:rsidRDefault="00C6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9C9"/>
    <w:multiLevelType w:val="hybridMultilevel"/>
    <w:tmpl w:val="9E384ED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0BE375F"/>
    <w:multiLevelType w:val="multilevel"/>
    <w:tmpl w:val="0696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3040C"/>
    <w:multiLevelType w:val="hybridMultilevel"/>
    <w:tmpl w:val="E0B05E1C"/>
    <w:lvl w:ilvl="0" w:tplc="B35A10BA">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392C73"/>
    <w:multiLevelType w:val="multilevel"/>
    <w:tmpl w:val="0444EBD4"/>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73175C"/>
    <w:multiLevelType w:val="hybridMultilevel"/>
    <w:tmpl w:val="710E8B80"/>
    <w:lvl w:ilvl="0" w:tplc="C86C4EDA">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ED2707"/>
    <w:multiLevelType w:val="hybridMultilevel"/>
    <w:tmpl w:val="A25C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1236E7"/>
    <w:multiLevelType w:val="hybridMultilevel"/>
    <w:tmpl w:val="0868BD62"/>
    <w:lvl w:ilvl="0" w:tplc="CD62D31C">
      <w:start w:val="1"/>
      <w:numFmt w:val="bullet"/>
      <w:lvlText w:val="─"/>
      <w:lvlJc w:val="left"/>
      <w:pPr>
        <w:tabs>
          <w:tab w:val="num" w:pos="341"/>
        </w:tabs>
        <w:ind w:left="341" w:hanging="341"/>
      </w:pPr>
      <w:rPr>
        <w:rFonts w:ascii="Arial" w:hAnsi="Arial"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9193089"/>
    <w:multiLevelType w:val="hybridMultilevel"/>
    <w:tmpl w:val="0D8E6682"/>
    <w:lvl w:ilvl="0" w:tplc="80C8E0DC">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E67ED2"/>
    <w:multiLevelType w:val="multilevel"/>
    <w:tmpl w:val="13C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572A8"/>
    <w:multiLevelType w:val="hybridMultilevel"/>
    <w:tmpl w:val="B8D69B50"/>
    <w:lvl w:ilvl="0" w:tplc="B9C89E2E">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4E3888"/>
    <w:multiLevelType w:val="hybridMultilevel"/>
    <w:tmpl w:val="07A6CB3E"/>
    <w:lvl w:ilvl="0" w:tplc="908A9E5E">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B15548"/>
    <w:multiLevelType w:val="hybridMultilevel"/>
    <w:tmpl w:val="DB969604"/>
    <w:lvl w:ilvl="0" w:tplc="E7C281B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814478"/>
    <w:multiLevelType w:val="hybridMultilevel"/>
    <w:tmpl w:val="047A3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003A8D"/>
    <w:multiLevelType w:val="multilevel"/>
    <w:tmpl w:val="F9E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B7D56"/>
    <w:multiLevelType w:val="hybridMultilevel"/>
    <w:tmpl w:val="65503A54"/>
    <w:lvl w:ilvl="0" w:tplc="BAEA579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8166E7"/>
    <w:multiLevelType w:val="hybridMultilevel"/>
    <w:tmpl w:val="F6EA3586"/>
    <w:lvl w:ilvl="0" w:tplc="BAEA579C">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B1800B6"/>
    <w:multiLevelType w:val="hybridMultilevel"/>
    <w:tmpl w:val="05C0D988"/>
    <w:lvl w:ilvl="0" w:tplc="BAEA579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B575AC"/>
    <w:multiLevelType w:val="hybridMultilevel"/>
    <w:tmpl w:val="4E72DC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C04953"/>
    <w:multiLevelType w:val="multilevel"/>
    <w:tmpl w:val="819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067B1"/>
    <w:multiLevelType w:val="hybridMultilevel"/>
    <w:tmpl w:val="D7A8D1BC"/>
    <w:lvl w:ilvl="0" w:tplc="605E794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053139"/>
    <w:multiLevelType w:val="hybridMultilevel"/>
    <w:tmpl w:val="40EA9C3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FB6D8D"/>
    <w:multiLevelType w:val="hybridMultilevel"/>
    <w:tmpl w:val="2208D1DC"/>
    <w:lvl w:ilvl="0" w:tplc="92C06E22">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F8A62A3"/>
    <w:multiLevelType w:val="multilevel"/>
    <w:tmpl w:val="8310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3490F"/>
    <w:multiLevelType w:val="multilevel"/>
    <w:tmpl w:val="008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A664C"/>
    <w:multiLevelType w:val="hybridMultilevel"/>
    <w:tmpl w:val="930477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6A0D6A"/>
    <w:multiLevelType w:val="hybridMultilevel"/>
    <w:tmpl w:val="8056ED74"/>
    <w:lvl w:ilvl="0" w:tplc="2BFE3458">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DB08C8"/>
    <w:multiLevelType w:val="hybridMultilevel"/>
    <w:tmpl w:val="0D200868"/>
    <w:lvl w:ilvl="0" w:tplc="BAEA579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E76571A"/>
    <w:multiLevelType w:val="hybridMultilevel"/>
    <w:tmpl w:val="78548B86"/>
    <w:lvl w:ilvl="0" w:tplc="558EC274">
      <w:start w:val="1"/>
      <w:numFmt w:val="bullet"/>
      <w:lvlText w:val="─"/>
      <w:lvlJc w:val="left"/>
      <w:pPr>
        <w:ind w:left="360" w:hanging="360"/>
      </w:pPr>
      <w:rPr>
        <w:rFonts w:ascii="Arial" w:hAnsi="Aria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51AF7703"/>
    <w:multiLevelType w:val="multilevel"/>
    <w:tmpl w:val="245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E4E77"/>
    <w:multiLevelType w:val="hybridMultilevel"/>
    <w:tmpl w:val="D10C3C92"/>
    <w:lvl w:ilvl="0" w:tplc="92C06E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56E2E91"/>
    <w:multiLevelType w:val="multilevel"/>
    <w:tmpl w:val="992231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BD3540"/>
    <w:multiLevelType w:val="multilevel"/>
    <w:tmpl w:val="19A6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D6792"/>
    <w:multiLevelType w:val="hybridMultilevel"/>
    <w:tmpl w:val="F494819C"/>
    <w:lvl w:ilvl="0" w:tplc="5A94361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981D6D"/>
    <w:multiLevelType w:val="hybridMultilevel"/>
    <w:tmpl w:val="592683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1404CD"/>
    <w:multiLevelType w:val="hybridMultilevel"/>
    <w:tmpl w:val="43C2F182"/>
    <w:lvl w:ilvl="0" w:tplc="C6E0178A">
      <w:start w:val="1"/>
      <w:numFmt w:val="decimal"/>
      <w:lvlText w:val="1.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C73CD1"/>
    <w:multiLevelType w:val="multilevel"/>
    <w:tmpl w:val="C194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5691C"/>
    <w:multiLevelType w:val="hybridMultilevel"/>
    <w:tmpl w:val="63C05256"/>
    <w:lvl w:ilvl="0" w:tplc="BAEA579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4400F14"/>
    <w:multiLevelType w:val="multilevel"/>
    <w:tmpl w:val="5EC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65D41"/>
    <w:multiLevelType w:val="hybridMultilevel"/>
    <w:tmpl w:val="7FBCCB62"/>
    <w:lvl w:ilvl="0" w:tplc="951017B4">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7276A03"/>
    <w:multiLevelType w:val="hybridMultilevel"/>
    <w:tmpl w:val="A23687F8"/>
    <w:lvl w:ilvl="0" w:tplc="A402810C">
      <w:start w:val="1"/>
      <w:numFmt w:val="bullet"/>
      <w:lvlText w:val=""/>
      <w:lvlJc w:val="left"/>
      <w:pPr>
        <w:ind w:left="357" w:hanging="357"/>
      </w:pPr>
      <w:rPr>
        <w:rFonts w:ascii="Symbol" w:hAnsi="Symbol" w:hint="default"/>
      </w:rPr>
    </w:lvl>
    <w:lvl w:ilvl="1" w:tplc="B3AC4344">
      <w:numFmt w:val="bullet"/>
      <w:lvlText w:val="–"/>
      <w:lvlJc w:val="left"/>
      <w:pPr>
        <w:ind w:left="357" w:hanging="357"/>
      </w:pPr>
      <w:rPr>
        <w:rFonts w:ascii="Times New Roman" w:eastAsiaTheme="minorHAns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AC4CF7"/>
    <w:multiLevelType w:val="multilevel"/>
    <w:tmpl w:val="3B8E3DFA"/>
    <w:lvl w:ilvl="0">
      <w:start w:val="1"/>
      <w:numFmt w:val="decimal"/>
      <w:lvlText w:val="%1."/>
      <w:lvlJc w:val="left"/>
      <w:pPr>
        <w:ind w:left="720" w:hanging="360"/>
      </w:pPr>
      <w:rPr>
        <w:rFonts w:hint="default"/>
      </w:rPr>
    </w:lvl>
    <w:lvl w:ilvl="1">
      <w:start w:val="1"/>
      <w:numFmt w:val="decimal"/>
      <w:pStyle w:val="Heading2"/>
      <w:isLgl/>
      <w:lvlText w:val="%1.%2."/>
      <w:lvlJc w:val="left"/>
      <w:pPr>
        <w:ind w:left="2487"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7D178F"/>
    <w:multiLevelType w:val="hybridMultilevel"/>
    <w:tmpl w:val="FA20236A"/>
    <w:lvl w:ilvl="0" w:tplc="197ACB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846AD0"/>
    <w:multiLevelType w:val="hybridMultilevel"/>
    <w:tmpl w:val="9E8CC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A266A4"/>
    <w:multiLevelType w:val="hybridMultilevel"/>
    <w:tmpl w:val="BA96B03C"/>
    <w:lvl w:ilvl="0" w:tplc="A402810C">
      <w:start w:val="1"/>
      <w:numFmt w:val="bullet"/>
      <w:lvlText w:val=""/>
      <w:lvlJc w:val="left"/>
      <w:pPr>
        <w:ind w:left="357" w:hanging="357"/>
      </w:pPr>
      <w:rPr>
        <w:rFonts w:ascii="Symbol" w:hAnsi="Symbol" w:hint="default"/>
      </w:rPr>
    </w:lvl>
    <w:lvl w:ilvl="1" w:tplc="6DD4DD7C">
      <w:numFmt w:val="bullet"/>
      <w:lvlText w:val="–"/>
      <w:lvlJc w:val="left"/>
      <w:pPr>
        <w:ind w:left="1440" w:hanging="360"/>
      </w:pPr>
      <w:rPr>
        <w:rFonts w:ascii="Times New Roman" w:eastAsiaTheme="minorHAns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133FA8"/>
    <w:multiLevelType w:val="multilevel"/>
    <w:tmpl w:val="A2E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4"/>
  </w:num>
  <w:num w:numId="3">
    <w:abstractNumId w:val="0"/>
  </w:num>
  <w:num w:numId="4">
    <w:abstractNumId w:val="20"/>
  </w:num>
  <w:num w:numId="5">
    <w:abstractNumId w:val="15"/>
  </w:num>
  <w:num w:numId="6">
    <w:abstractNumId w:val="3"/>
  </w:num>
  <w:num w:numId="7">
    <w:abstractNumId w:val="26"/>
  </w:num>
  <w:num w:numId="8">
    <w:abstractNumId w:val="5"/>
  </w:num>
  <w:num w:numId="9">
    <w:abstractNumId w:val="6"/>
  </w:num>
  <w:num w:numId="10">
    <w:abstractNumId w:val="27"/>
  </w:num>
  <w:num w:numId="11">
    <w:abstractNumId w:val="41"/>
  </w:num>
  <w:num w:numId="12">
    <w:abstractNumId w:val="21"/>
  </w:num>
  <w:num w:numId="13">
    <w:abstractNumId w:val="29"/>
  </w:num>
  <w:num w:numId="14">
    <w:abstractNumId w:val="25"/>
  </w:num>
  <w:num w:numId="15">
    <w:abstractNumId w:val="32"/>
  </w:num>
  <w:num w:numId="16">
    <w:abstractNumId w:val="19"/>
  </w:num>
  <w:num w:numId="17">
    <w:abstractNumId w:val="14"/>
  </w:num>
  <w:num w:numId="18">
    <w:abstractNumId w:val="1"/>
  </w:num>
  <w:num w:numId="19">
    <w:abstractNumId w:val="37"/>
  </w:num>
  <w:num w:numId="20">
    <w:abstractNumId w:val="8"/>
  </w:num>
  <w:num w:numId="21">
    <w:abstractNumId w:val="44"/>
  </w:num>
  <w:num w:numId="22">
    <w:abstractNumId w:val="2"/>
  </w:num>
  <w:num w:numId="23">
    <w:abstractNumId w:val="16"/>
  </w:num>
  <w:num w:numId="24">
    <w:abstractNumId w:val="11"/>
  </w:num>
  <w:num w:numId="25">
    <w:abstractNumId w:val="36"/>
  </w:num>
  <w:num w:numId="26">
    <w:abstractNumId w:val="38"/>
  </w:num>
  <w:num w:numId="27">
    <w:abstractNumId w:val="43"/>
  </w:num>
  <w:num w:numId="28">
    <w:abstractNumId w:val="39"/>
  </w:num>
  <w:num w:numId="29">
    <w:abstractNumId w:val="7"/>
  </w:num>
  <w:num w:numId="30">
    <w:abstractNumId w:val="9"/>
  </w:num>
  <w:num w:numId="31">
    <w:abstractNumId w:val="10"/>
  </w:num>
  <w:num w:numId="32">
    <w:abstractNumId w:val="4"/>
  </w:num>
  <w:num w:numId="33">
    <w:abstractNumId w:val="17"/>
  </w:num>
  <w:num w:numId="34">
    <w:abstractNumId w:val="12"/>
  </w:num>
  <w:num w:numId="35">
    <w:abstractNumId w:val="30"/>
  </w:num>
  <w:num w:numId="36">
    <w:abstractNumId w:val="33"/>
  </w:num>
  <w:num w:numId="37">
    <w:abstractNumId w:val="24"/>
  </w:num>
  <w:num w:numId="38">
    <w:abstractNumId w:val="35"/>
  </w:num>
  <w:num w:numId="39">
    <w:abstractNumId w:val="28"/>
  </w:num>
  <w:num w:numId="40">
    <w:abstractNumId w:val="23"/>
  </w:num>
  <w:num w:numId="41">
    <w:abstractNumId w:val="13"/>
  </w:num>
  <w:num w:numId="42">
    <w:abstractNumId w:val="22"/>
  </w:num>
  <w:num w:numId="43">
    <w:abstractNumId w:val="18"/>
  </w:num>
  <w:num w:numId="44">
    <w:abstractNumId w:val="3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E6"/>
    <w:rsid w:val="0000032D"/>
    <w:rsid w:val="000026E5"/>
    <w:rsid w:val="00004299"/>
    <w:rsid w:val="0000477C"/>
    <w:rsid w:val="000047A5"/>
    <w:rsid w:val="00005410"/>
    <w:rsid w:val="00005F54"/>
    <w:rsid w:val="00006F34"/>
    <w:rsid w:val="00007B88"/>
    <w:rsid w:val="000112E4"/>
    <w:rsid w:val="000113D5"/>
    <w:rsid w:val="000131FE"/>
    <w:rsid w:val="000148AC"/>
    <w:rsid w:val="00015717"/>
    <w:rsid w:val="00017EE8"/>
    <w:rsid w:val="000203A2"/>
    <w:rsid w:val="0002071A"/>
    <w:rsid w:val="00021159"/>
    <w:rsid w:val="00024C59"/>
    <w:rsid w:val="00024D75"/>
    <w:rsid w:val="0002539A"/>
    <w:rsid w:val="00025431"/>
    <w:rsid w:val="00030B80"/>
    <w:rsid w:val="00030D8D"/>
    <w:rsid w:val="00031B30"/>
    <w:rsid w:val="00031BC3"/>
    <w:rsid w:val="00032790"/>
    <w:rsid w:val="00032C9A"/>
    <w:rsid w:val="00033E0E"/>
    <w:rsid w:val="000340E3"/>
    <w:rsid w:val="0003495D"/>
    <w:rsid w:val="00034B0E"/>
    <w:rsid w:val="000364DE"/>
    <w:rsid w:val="0003667F"/>
    <w:rsid w:val="00040AF4"/>
    <w:rsid w:val="00041017"/>
    <w:rsid w:val="0004129C"/>
    <w:rsid w:val="00041842"/>
    <w:rsid w:val="00041EDD"/>
    <w:rsid w:val="000426FD"/>
    <w:rsid w:val="00042E8C"/>
    <w:rsid w:val="0004455E"/>
    <w:rsid w:val="000445F2"/>
    <w:rsid w:val="0004500A"/>
    <w:rsid w:val="000457E9"/>
    <w:rsid w:val="000473DA"/>
    <w:rsid w:val="00050585"/>
    <w:rsid w:val="00051354"/>
    <w:rsid w:val="00051FC8"/>
    <w:rsid w:val="00056C22"/>
    <w:rsid w:val="00060583"/>
    <w:rsid w:val="000612AA"/>
    <w:rsid w:val="0006134A"/>
    <w:rsid w:val="0006181D"/>
    <w:rsid w:val="0006199E"/>
    <w:rsid w:val="00063A51"/>
    <w:rsid w:val="0006406A"/>
    <w:rsid w:val="0006632B"/>
    <w:rsid w:val="00066A40"/>
    <w:rsid w:val="00067369"/>
    <w:rsid w:val="0006770A"/>
    <w:rsid w:val="000679AA"/>
    <w:rsid w:val="0007029C"/>
    <w:rsid w:val="00070D2E"/>
    <w:rsid w:val="00071039"/>
    <w:rsid w:val="00071C3D"/>
    <w:rsid w:val="00073214"/>
    <w:rsid w:val="00073A9F"/>
    <w:rsid w:val="000740B7"/>
    <w:rsid w:val="000754C6"/>
    <w:rsid w:val="00075630"/>
    <w:rsid w:val="000763C6"/>
    <w:rsid w:val="00076891"/>
    <w:rsid w:val="00076E4A"/>
    <w:rsid w:val="00077E9C"/>
    <w:rsid w:val="0008126D"/>
    <w:rsid w:val="0008191A"/>
    <w:rsid w:val="00082E7C"/>
    <w:rsid w:val="00083295"/>
    <w:rsid w:val="00085515"/>
    <w:rsid w:val="000857FF"/>
    <w:rsid w:val="00086470"/>
    <w:rsid w:val="00086784"/>
    <w:rsid w:val="000873FF"/>
    <w:rsid w:val="000914F3"/>
    <w:rsid w:val="000939F4"/>
    <w:rsid w:val="00093A16"/>
    <w:rsid w:val="00094CFC"/>
    <w:rsid w:val="000979DE"/>
    <w:rsid w:val="000A0BAD"/>
    <w:rsid w:val="000A0D14"/>
    <w:rsid w:val="000A14AC"/>
    <w:rsid w:val="000A3565"/>
    <w:rsid w:val="000A51B9"/>
    <w:rsid w:val="000A5B27"/>
    <w:rsid w:val="000A6542"/>
    <w:rsid w:val="000A66CC"/>
    <w:rsid w:val="000A6C9E"/>
    <w:rsid w:val="000A7251"/>
    <w:rsid w:val="000A7F4A"/>
    <w:rsid w:val="000B02D4"/>
    <w:rsid w:val="000B090D"/>
    <w:rsid w:val="000B289E"/>
    <w:rsid w:val="000B2EB1"/>
    <w:rsid w:val="000B32D7"/>
    <w:rsid w:val="000B345D"/>
    <w:rsid w:val="000B778F"/>
    <w:rsid w:val="000B7E7C"/>
    <w:rsid w:val="000C0AC9"/>
    <w:rsid w:val="000C1B2B"/>
    <w:rsid w:val="000C2D13"/>
    <w:rsid w:val="000C31DD"/>
    <w:rsid w:val="000C3B9B"/>
    <w:rsid w:val="000C6B44"/>
    <w:rsid w:val="000D06B7"/>
    <w:rsid w:val="000D0A4E"/>
    <w:rsid w:val="000D2FCC"/>
    <w:rsid w:val="000D3A99"/>
    <w:rsid w:val="000D4465"/>
    <w:rsid w:val="000D5145"/>
    <w:rsid w:val="000D6853"/>
    <w:rsid w:val="000D6856"/>
    <w:rsid w:val="000D7650"/>
    <w:rsid w:val="000E0180"/>
    <w:rsid w:val="000E0349"/>
    <w:rsid w:val="000E2C7A"/>
    <w:rsid w:val="000E3F47"/>
    <w:rsid w:val="000F0844"/>
    <w:rsid w:val="000F126D"/>
    <w:rsid w:val="000F15D0"/>
    <w:rsid w:val="000F2CBA"/>
    <w:rsid w:val="000F45EC"/>
    <w:rsid w:val="000F637E"/>
    <w:rsid w:val="000F6828"/>
    <w:rsid w:val="00100624"/>
    <w:rsid w:val="00101847"/>
    <w:rsid w:val="00102626"/>
    <w:rsid w:val="001038BF"/>
    <w:rsid w:val="0010498F"/>
    <w:rsid w:val="001054B3"/>
    <w:rsid w:val="0010577E"/>
    <w:rsid w:val="0010631C"/>
    <w:rsid w:val="001066F3"/>
    <w:rsid w:val="00106DF8"/>
    <w:rsid w:val="001079A6"/>
    <w:rsid w:val="001100C7"/>
    <w:rsid w:val="00110887"/>
    <w:rsid w:val="001111C0"/>
    <w:rsid w:val="00111949"/>
    <w:rsid w:val="00111DAF"/>
    <w:rsid w:val="00111F89"/>
    <w:rsid w:val="00112B85"/>
    <w:rsid w:val="00113B63"/>
    <w:rsid w:val="00114078"/>
    <w:rsid w:val="00114892"/>
    <w:rsid w:val="00114F8F"/>
    <w:rsid w:val="001154A0"/>
    <w:rsid w:val="00116360"/>
    <w:rsid w:val="0011751D"/>
    <w:rsid w:val="00117DD1"/>
    <w:rsid w:val="0012037E"/>
    <w:rsid w:val="001241FA"/>
    <w:rsid w:val="00124E49"/>
    <w:rsid w:val="00124E4C"/>
    <w:rsid w:val="00130504"/>
    <w:rsid w:val="0013108C"/>
    <w:rsid w:val="00131557"/>
    <w:rsid w:val="00131CE8"/>
    <w:rsid w:val="00133049"/>
    <w:rsid w:val="00133401"/>
    <w:rsid w:val="0013342D"/>
    <w:rsid w:val="00133AF3"/>
    <w:rsid w:val="0013665B"/>
    <w:rsid w:val="001372D2"/>
    <w:rsid w:val="00140086"/>
    <w:rsid w:val="00140E33"/>
    <w:rsid w:val="00142158"/>
    <w:rsid w:val="0014260D"/>
    <w:rsid w:val="001445B7"/>
    <w:rsid w:val="00144A20"/>
    <w:rsid w:val="00144B55"/>
    <w:rsid w:val="00145D62"/>
    <w:rsid w:val="00145D90"/>
    <w:rsid w:val="00147A8D"/>
    <w:rsid w:val="00147EA1"/>
    <w:rsid w:val="00150184"/>
    <w:rsid w:val="0015086C"/>
    <w:rsid w:val="00150EBA"/>
    <w:rsid w:val="00151CD6"/>
    <w:rsid w:val="00152869"/>
    <w:rsid w:val="0015309E"/>
    <w:rsid w:val="001539F4"/>
    <w:rsid w:val="00155083"/>
    <w:rsid w:val="001566DB"/>
    <w:rsid w:val="001567BB"/>
    <w:rsid w:val="001578A4"/>
    <w:rsid w:val="00160F9C"/>
    <w:rsid w:val="0016103B"/>
    <w:rsid w:val="0016253B"/>
    <w:rsid w:val="00163732"/>
    <w:rsid w:val="00163D7B"/>
    <w:rsid w:val="001649AA"/>
    <w:rsid w:val="00164DEE"/>
    <w:rsid w:val="001651FB"/>
    <w:rsid w:val="00165D4F"/>
    <w:rsid w:val="00166E76"/>
    <w:rsid w:val="001704C3"/>
    <w:rsid w:val="0017262D"/>
    <w:rsid w:val="0017349D"/>
    <w:rsid w:val="00175E52"/>
    <w:rsid w:val="001776F6"/>
    <w:rsid w:val="00180B8C"/>
    <w:rsid w:val="00181B51"/>
    <w:rsid w:val="001821D2"/>
    <w:rsid w:val="00182458"/>
    <w:rsid w:val="00183C79"/>
    <w:rsid w:val="00184A8C"/>
    <w:rsid w:val="00184E5B"/>
    <w:rsid w:val="001858DE"/>
    <w:rsid w:val="00192687"/>
    <w:rsid w:val="00193787"/>
    <w:rsid w:val="00195445"/>
    <w:rsid w:val="00196B3D"/>
    <w:rsid w:val="0019723B"/>
    <w:rsid w:val="001972F6"/>
    <w:rsid w:val="00197C5E"/>
    <w:rsid w:val="001A065F"/>
    <w:rsid w:val="001A16E5"/>
    <w:rsid w:val="001A223C"/>
    <w:rsid w:val="001A4728"/>
    <w:rsid w:val="001A5263"/>
    <w:rsid w:val="001B17AE"/>
    <w:rsid w:val="001B2AC7"/>
    <w:rsid w:val="001B2C8C"/>
    <w:rsid w:val="001B2DBD"/>
    <w:rsid w:val="001B4535"/>
    <w:rsid w:val="001B49CC"/>
    <w:rsid w:val="001B5011"/>
    <w:rsid w:val="001B5A96"/>
    <w:rsid w:val="001B5AC7"/>
    <w:rsid w:val="001C00B4"/>
    <w:rsid w:val="001C0E8B"/>
    <w:rsid w:val="001C1B71"/>
    <w:rsid w:val="001C303E"/>
    <w:rsid w:val="001C312B"/>
    <w:rsid w:val="001C4DCE"/>
    <w:rsid w:val="001C5E29"/>
    <w:rsid w:val="001C6220"/>
    <w:rsid w:val="001C7CCF"/>
    <w:rsid w:val="001C7F40"/>
    <w:rsid w:val="001D0097"/>
    <w:rsid w:val="001D1859"/>
    <w:rsid w:val="001D1F79"/>
    <w:rsid w:val="001D2029"/>
    <w:rsid w:val="001D2333"/>
    <w:rsid w:val="001D3B75"/>
    <w:rsid w:val="001D3D9F"/>
    <w:rsid w:val="001D4800"/>
    <w:rsid w:val="001D50DA"/>
    <w:rsid w:val="001D565F"/>
    <w:rsid w:val="001D70B2"/>
    <w:rsid w:val="001D7986"/>
    <w:rsid w:val="001E0936"/>
    <w:rsid w:val="001E1E97"/>
    <w:rsid w:val="001E20FB"/>
    <w:rsid w:val="001E2F86"/>
    <w:rsid w:val="001E38B5"/>
    <w:rsid w:val="001E3CE6"/>
    <w:rsid w:val="001E4382"/>
    <w:rsid w:val="001E4F2E"/>
    <w:rsid w:val="001E60A3"/>
    <w:rsid w:val="001E7609"/>
    <w:rsid w:val="001E7AE2"/>
    <w:rsid w:val="001E7DFA"/>
    <w:rsid w:val="001F2020"/>
    <w:rsid w:val="001F2858"/>
    <w:rsid w:val="001F2AC4"/>
    <w:rsid w:val="001F2D9F"/>
    <w:rsid w:val="001F411B"/>
    <w:rsid w:val="001F4D8C"/>
    <w:rsid w:val="00200C04"/>
    <w:rsid w:val="00200C1E"/>
    <w:rsid w:val="0020185B"/>
    <w:rsid w:val="00201B3E"/>
    <w:rsid w:val="00202461"/>
    <w:rsid w:val="00202651"/>
    <w:rsid w:val="00203092"/>
    <w:rsid w:val="002036DB"/>
    <w:rsid w:val="0020396D"/>
    <w:rsid w:val="002048BC"/>
    <w:rsid w:val="0020535F"/>
    <w:rsid w:val="0021108A"/>
    <w:rsid w:val="002115EF"/>
    <w:rsid w:val="0021240A"/>
    <w:rsid w:val="0021338C"/>
    <w:rsid w:val="00214A0F"/>
    <w:rsid w:val="00214BDD"/>
    <w:rsid w:val="00215926"/>
    <w:rsid w:val="00216031"/>
    <w:rsid w:val="0021654A"/>
    <w:rsid w:val="002172A6"/>
    <w:rsid w:val="00217ECC"/>
    <w:rsid w:val="00221664"/>
    <w:rsid w:val="0022217D"/>
    <w:rsid w:val="0022274C"/>
    <w:rsid w:val="00223F3D"/>
    <w:rsid w:val="0022608B"/>
    <w:rsid w:val="0022659A"/>
    <w:rsid w:val="002267E8"/>
    <w:rsid w:val="00226A36"/>
    <w:rsid w:val="00227188"/>
    <w:rsid w:val="002300F3"/>
    <w:rsid w:val="00231149"/>
    <w:rsid w:val="002314F7"/>
    <w:rsid w:val="00233064"/>
    <w:rsid w:val="0023321A"/>
    <w:rsid w:val="0023348E"/>
    <w:rsid w:val="00234458"/>
    <w:rsid w:val="0023464C"/>
    <w:rsid w:val="002358AF"/>
    <w:rsid w:val="00236EB0"/>
    <w:rsid w:val="00237278"/>
    <w:rsid w:val="0023776F"/>
    <w:rsid w:val="002410B3"/>
    <w:rsid w:val="002424AE"/>
    <w:rsid w:val="0024274D"/>
    <w:rsid w:val="002429A4"/>
    <w:rsid w:val="00242C23"/>
    <w:rsid w:val="00243641"/>
    <w:rsid w:val="002441F2"/>
    <w:rsid w:val="002444D6"/>
    <w:rsid w:val="00245F1C"/>
    <w:rsid w:val="0024696D"/>
    <w:rsid w:val="00250242"/>
    <w:rsid w:val="0025054A"/>
    <w:rsid w:val="00252D9C"/>
    <w:rsid w:val="00253715"/>
    <w:rsid w:val="0025390C"/>
    <w:rsid w:val="0025689F"/>
    <w:rsid w:val="00256CA8"/>
    <w:rsid w:val="00260B66"/>
    <w:rsid w:val="00260F61"/>
    <w:rsid w:val="0026105E"/>
    <w:rsid w:val="00261062"/>
    <w:rsid w:val="002611AD"/>
    <w:rsid w:val="00263243"/>
    <w:rsid w:val="00263D4D"/>
    <w:rsid w:val="00264C24"/>
    <w:rsid w:val="00264FB3"/>
    <w:rsid w:val="00265543"/>
    <w:rsid w:val="0026636B"/>
    <w:rsid w:val="002672B5"/>
    <w:rsid w:val="00267D6D"/>
    <w:rsid w:val="00270640"/>
    <w:rsid w:val="00270AC3"/>
    <w:rsid w:val="0027298F"/>
    <w:rsid w:val="00274C38"/>
    <w:rsid w:val="00274C4B"/>
    <w:rsid w:val="00275730"/>
    <w:rsid w:val="00277463"/>
    <w:rsid w:val="00277F62"/>
    <w:rsid w:val="0028092D"/>
    <w:rsid w:val="00280D82"/>
    <w:rsid w:val="0028517A"/>
    <w:rsid w:val="002859CC"/>
    <w:rsid w:val="002869D6"/>
    <w:rsid w:val="00287CC3"/>
    <w:rsid w:val="00287CE3"/>
    <w:rsid w:val="0029219A"/>
    <w:rsid w:val="00295948"/>
    <w:rsid w:val="0029606D"/>
    <w:rsid w:val="0029616F"/>
    <w:rsid w:val="002962AD"/>
    <w:rsid w:val="0029648E"/>
    <w:rsid w:val="002970FE"/>
    <w:rsid w:val="00297838"/>
    <w:rsid w:val="002A10C8"/>
    <w:rsid w:val="002A209A"/>
    <w:rsid w:val="002A2C69"/>
    <w:rsid w:val="002A3597"/>
    <w:rsid w:val="002A4F3E"/>
    <w:rsid w:val="002A6A45"/>
    <w:rsid w:val="002B0C5A"/>
    <w:rsid w:val="002B2A99"/>
    <w:rsid w:val="002B2AAF"/>
    <w:rsid w:val="002B3E74"/>
    <w:rsid w:val="002B47AD"/>
    <w:rsid w:val="002B6C8A"/>
    <w:rsid w:val="002C0E05"/>
    <w:rsid w:val="002C1268"/>
    <w:rsid w:val="002C250D"/>
    <w:rsid w:val="002C2979"/>
    <w:rsid w:val="002C300F"/>
    <w:rsid w:val="002C5185"/>
    <w:rsid w:val="002C5324"/>
    <w:rsid w:val="002C56BF"/>
    <w:rsid w:val="002C5ADC"/>
    <w:rsid w:val="002C7455"/>
    <w:rsid w:val="002C7F47"/>
    <w:rsid w:val="002D0934"/>
    <w:rsid w:val="002D0AB1"/>
    <w:rsid w:val="002D0BE0"/>
    <w:rsid w:val="002D1E37"/>
    <w:rsid w:val="002D23CA"/>
    <w:rsid w:val="002D2FBF"/>
    <w:rsid w:val="002D787C"/>
    <w:rsid w:val="002E1CBE"/>
    <w:rsid w:val="002E22BD"/>
    <w:rsid w:val="002E26BD"/>
    <w:rsid w:val="002E4F84"/>
    <w:rsid w:val="002E6DF8"/>
    <w:rsid w:val="002F05BF"/>
    <w:rsid w:val="002F0721"/>
    <w:rsid w:val="002F12FA"/>
    <w:rsid w:val="002F1754"/>
    <w:rsid w:val="002F183A"/>
    <w:rsid w:val="002F3432"/>
    <w:rsid w:val="002F3DCE"/>
    <w:rsid w:val="002F450B"/>
    <w:rsid w:val="002F4530"/>
    <w:rsid w:val="002F5134"/>
    <w:rsid w:val="002F5D0F"/>
    <w:rsid w:val="002F612B"/>
    <w:rsid w:val="002F63E1"/>
    <w:rsid w:val="002F6449"/>
    <w:rsid w:val="003000F7"/>
    <w:rsid w:val="003002AB"/>
    <w:rsid w:val="0030056B"/>
    <w:rsid w:val="0030218B"/>
    <w:rsid w:val="0030219C"/>
    <w:rsid w:val="00302FA8"/>
    <w:rsid w:val="00303007"/>
    <w:rsid w:val="00303CF0"/>
    <w:rsid w:val="003040E1"/>
    <w:rsid w:val="003040E7"/>
    <w:rsid w:val="00304434"/>
    <w:rsid w:val="003046AB"/>
    <w:rsid w:val="0030508F"/>
    <w:rsid w:val="00306A8C"/>
    <w:rsid w:val="00307255"/>
    <w:rsid w:val="003075F4"/>
    <w:rsid w:val="00310365"/>
    <w:rsid w:val="003111A6"/>
    <w:rsid w:val="00312675"/>
    <w:rsid w:val="00312A79"/>
    <w:rsid w:val="00312D49"/>
    <w:rsid w:val="003131F9"/>
    <w:rsid w:val="00314B0C"/>
    <w:rsid w:val="0031532C"/>
    <w:rsid w:val="00316051"/>
    <w:rsid w:val="00316791"/>
    <w:rsid w:val="00321137"/>
    <w:rsid w:val="00321D42"/>
    <w:rsid w:val="00322566"/>
    <w:rsid w:val="00324B99"/>
    <w:rsid w:val="00325625"/>
    <w:rsid w:val="003272FB"/>
    <w:rsid w:val="00331020"/>
    <w:rsid w:val="003322AB"/>
    <w:rsid w:val="00332EF0"/>
    <w:rsid w:val="00333214"/>
    <w:rsid w:val="0033481F"/>
    <w:rsid w:val="0033578C"/>
    <w:rsid w:val="00335E92"/>
    <w:rsid w:val="00336EEC"/>
    <w:rsid w:val="00337F85"/>
    <w:rsid w:val="00342A35"/>
    <w:rsid w:val="00342FEF"/>
    <w:rsid w:val="003430E7"/>
    <w:rsid w:val="00343797"/>
    <w:rsid w:val="00343ABC"/>
    <w:rsid w:val="00343D65"/>
    <w:rsid w:val="003452E1"/>
    <w:rsid w:val="00351CC1"/>
    <w:rsid w:val="00351FA2"/>
    <w:rsid w:val="00356EFF"/>
    <w:rsid w:val="00363484"/>
    <w:rsid w:val="003634C1"/>
    <w:rsid w:val="00366853"/>
    <w:rsid w:val="00370E02"/>
    <w:rsid w:val="00372075"/>
    <w:rsid w:val="00372969"/>
    <w:rsid w:val="00372AC7"/>
    <w:rsid w:val="003732C1"/>
    <w:rsid w:val="003739CE"/>
    <w:rsid w:val="003749BB"/>
    <w:rsid w:val="00374A47"/>
    <w:rsid w:val="00375488"/>
    <w:rsid w:val="00375DBC"/>
    <w:rsid w:val="0037799D"/>
    <w:rsid w:val="003807C4"/>
    <w:rsid w:val="00380AD4"/>
    <w:rsid w:val="00381995"/>
    <w:rsid w:val="00382DD2"/>
    <w:rsid w:val="00383AC1"/>
    <w:rsid w:val="00384B3C"/>
    <w:rsid w:val="00384E0E"/>
    <w:rsid w:val="00384F75"/>
    <w:rsid w:val="003854CC"/>
    <w:rsid w:val="0038758B"/>
    <w:rsid w:val="00390245"/>
    <w:rsid w:val="003909FB"/>
    <w:rsid w:val="00391313"/>
    <w:rsid w:val="003922CD"/>
    <w:rsid w:val="00392E31"/>
    <w:rsid w:val="003934FA"/>
    <w:rsid w:val="003940FA"/>
    <w:rsid w:val="00395BB6"/>
    <w:rsid w:val="00397045"/>
    <w:rsid w:val="003A0725"/>
    <w:rsid w:val="003A1C6B"/>
    <w:rsid w:val="003A4332"/>
    <w:rsid w:val="003B05B3"/>
    <w:rsid w:val="003B216D"/>
    <w:rsid w:val="003B3627"/>
    <w:rsid w:val="003B4856"/>
    <w:rsid w:val="003B6070"/>
    <w:rsid w:val="003B6724"/>
    <w:rsid w:val="003C02A3"/>
    <w:rsid w:val="003C09FD"/>
    <w:rsid w:val="003C0BE6"/>
    <w:rsid w:val="003C1135"/>
    <w:rsid w:val="003C155E"/>
    <w:rsid w:val="003C27EE"/>
    <w:rsid w:val="003C4DAB"/>
    <w:rsid w:val="003C6434"/>
    <w:rsid w:val="003C69D8"/>
    <w:rsid w:val="003C7980"/>
    <w:rsid w:val="003C7E0C"/>
    <w:rsid w:val="003C7EDE"/>
    <w:rsid w:val="003D0084"/>
    <w:rsid w:val="003D0335"/>
    <w:rsid w:val="003D0462"/>
    <w:rsid w:val="003D1370"/>
    <w:rsid w:val="003D1DBF"/>
    <w:rsid w:val="003D1F4D"/>
    <w:rsid w:val="003D432C"/>
    <w:rsid w:val="003D5516"/>
    <w:rsid w:val="003D6C3B"/>
    <w:rsid w:val="003D7D15"/>
    <w:rsid w:val="003D7F03"/>
    <w:rsid w:val="003E032E"/>
    <w:rsid w:val="003E05C3"/>
    <w:rsid w:val="003E0DD2"/>
    <w:rsid w:val="003E12D4"/>
    <w:rsid w:val="003E16E6"/>
    <w:rsid w:val="003E1B34"/>
    <w:rsid w:val="003E3F81"/>
    <w:rsid w:val="003E41A6"/>
    <w:rsid w:val="003E452F"/>
    <w:rsid w:val="003E4E58"/>
    <w:rsid w:val="003E642B"/>
    <w:rsid w:val="003E65FC"/>
    <w:rsid w:val="003E7D36"/>
    <w:rsid w:val="003F0350"/>
    <w:rsid w:val="003F0669"/>
    <w:rsid w:val="003F168C"/>
    <w:rsid w:val="003F2634"/>
    <w:rsid w:val="003F30BB"/>
    <w:rsid w:val="003F4996"/>
    <w:rsid w:val="003F55ED"/>
    <w:rsid w:val="003F5FEE"/>
    <w:rsid w:val="004008A5"/>
    <w:rsid w:val="004009E5"/>
    <w:rsid w:val="004013D5"/>
    <w:rsid w:val="00401DF4"/>
    <w:rsid w:val="004022F0"/>
    <w:rsid w:val="004024C3"/>
    <w:rsid w:val="00402DD2"/>
    <w:rsid w:val="0040301A"/>
    <w:rsid w:val="004038ED"/>
    <w:rsid w:val="0040411A"/>
    <w:rsid w:val="004041C6"/>
    <w:rsid w:val="0040621D"/>
    <w:rsid w:val="00411AF1"/>
    <w:rsid w:val="00411CF1"/>
    <w:rsid w:val="00411D06"/>
    <w:rsid w:val="00413107"/>
    <w:rsid w:val="0041435D"/>
    <w:rsid w:val="004150AE"/>
    <w:rsid w:val="00415F10"/>
    <w:rsid w:val="0041723F"/>
    <w:rsid w:val="00417339"/>
    <w:rsid w:val="004208EA"/>
    <w:rsid w:val="0042269A"/>
    <w:rsid w:val="0042331F"/>
    <w:rsid w:val="00424E1F"/>
    <w:rsid w:val="004266BB"/>
    <w:rsid w:val="00426C8F"/>
    <w:rsid w:val="00426D82"/>
    <w:rsid w:val="0043282E"/>
    <w:rsid w:val="00434F02"/>
    <w:rsid w:val="00435032"/>
    <w:rsid w:val="004351DC"/>
    <w:rsid w:val="00437A41"/>
    <w:rsid w:val="0044201C"/>
    <w:rsid w:val="004427F6"/>
    <w:rsid w:val="0044468B"/>
    <w:rsid w:val="0044515A"/>
    <w:rsid w:val="00445B06"/>
    <w:rsid w:val="004466AA"/>
    <w:rsid w:val="004466E2"/>
    <w:rsid w:val="004466EE"/>
    <w:rsid w:val="00447824"/>
    <w:rsid w:val="00451B90"/>
    <w:rsid w:val="00452278"/>
    <w:rsid w:val="00452559"/>
    <w:rsid w:val="00452A4E"/>
    <w:rsid w:val="00452BF2"/>
    <w:rsid w:val="004533E4"/>
    <w:rsid w:val="00453F68"/>
    <w:rsid w:val="0045499B"/>
    <w:rsid w:val="004578AB"/>
    <w:rsid w:val="00460925"/>
    <w:rsid w:val="00461550"/>
    <w:rsid w:val="00464AB4"/>
    <w:rsid w:val="004657CD"/>
    <w:rsid w:val="00465D8D"/>
    <w:rsid w:val="0046674E"/>
    <w:rsid w:val="00466857"/>
    <w:rsid w:val="00466B5A"/>
    <w:rsid w:val="004671B0"/>
    <w:rsid w:val="004672EA"/>
    <w:rsid w:val="00467660"/>
    <w:rsid w:val="004701B4"/>
    <w:rsid w:val="0047113C"/>
    <w:rsid w:val="00472291"/>
    <w:rsid w:val="0047332C"/>
    <w:rsid w:val="004733C0"/>
    <w:rsid w:val="00473541"/>
    <w:rsid w:val="004747DB"/>
    <w:rsid w:val="004750C8"/>
    <w:rsid w:val="00475935"/>
    <w:rsid w:val="00476EB2"/>
    <w:rsid w:val="00480665"/>
    <w:rsid w:val="00481E2F"/>
    <w:rsid w:val="004824D4"/>
    <w:rsid w:val="00484657"/>
    <w:rsid w:val="00485957"/>
    <w:rsid w:val="00490742"/>
    <w:rsid w:val="00490AB9"/>
    <w:rsid w:val="00491A78"/>
    <w:rsid w:val="004936F0"/>
    <w:rsid w:val="0049485E"/>
    <w:rsid w:val="00496BAB"/>
    <w:rsid w:val="00497182"/>
    <w:rsid w:val="004972DA"/>
    <w:rsid w:val="004979EC"/>
    <w:rsid w:val="004A08F5"/>
    <w:rsid w:val="004A2B3C"/>
    <w:rsid w:val="004A39DF"/>
    <w:rsid w:val="004A4972"/>
    <w:rsid w:val="004A64F4"/>
    <w:rsid w:val="004A6A61"/>
    <w:rsid w:val="004A706B"/>
    <w:rsid w:val="004A71E0"/>
    <w:rsid w:val="004A7FC7"/>
    <w:rsid w:val="004B0417"/>
    <w:rsid w:val="004B0B0B"/>
    <w:rsid w:val="004B0DE4"/>
    <w:rsid w:val="004B18C6"/>
    <w:rsid w:val="004B3800"/>
    <w:rsid w:val="004B49D3"/>
    <w:rsid w:val="004C01E6"/>
    <w:rsid w:val="004C26FE"/>
    <w:rsid w:val="004C3637"/>
    <w:rsid w:val="004C39FF"/>
    <w:rsid w:val="004C3AEF"/>
    <w:rsid w:val="004C70E1"/>
    <w:rsid w:val="004D038B"/>
    <w:rsid w:val="004D0561"/>
    <w:rsid w:val="004D0E2D"/>
    <w:rsid w:val="004D27E7"/>
    <w:rsid w:val="004D2988"/>
    <w:rsid w:val="004D348B"/>
    <w:rsid w:val="004D3787"/>
    <w:rsid w:val="004D48D0"/>
    <w:rsid w:val="004E06CA"/>
    <w:rsid w:val="004E1347"/>
    <w:rsid w:val="004E27B9"/>
    <w:rsid w:val="004E28A7"/>
    <w:rsid w:val="004E30CD"/>
    <w:rsid w:val="004E3341"/>
    <w:rsid w:val="004E7739"/>
    <w:rsid w:val="004E7F84"/>
    <w:rsid w:val="004F0128"/>
    <w:rsid w:val="004F0BE7"/>
    <w:rsid w:val="004F0E3B"/>
    <w:rsid w:val="004F0F48"/>
    <w:rsid w:val="004F1692"/>
    <w:rsid w:val="004F1734"/>
    <w:rsid w:val="004F3496"/>
    <w:rsid w:val="004F3BC5"/>
    <w:rsid w:val="004F3FDC"/>
    <w:rsid w:val="004F4DDF"/>
    <w:rsid w:val="004F59DA"/>
    <w:rsid w:val="004F5D60"/>
    <w:rsid w:val="004F6476"/>
    <w:rsid w:val="004F657F"/>
    <w:rsid w:val="00500A8E"/>
    <w:rsid w:val="00502B96"/>
    <w:rsid w:val="00503778"/>
    <w:rsid w:val="00503932"/>
    <w:rsid w:val="00503A8D"/>
    <w:rsid w:val="00503FDB"/>
    <w:rsid w:val="00504777"/>
    <w:rsid w:val="00505DE9"/>
    <w:rsid w:val="00506CF8"/>
    <w:rsid w:val="005070F5"/>
    <w:rsid w:val="00507BA3"/>
    <w:rsid w:val="00507F70"/>
    <w:rsid w:val="005103B4"/>
    <w:rsid w:val="005126F8"/>
    <w:rsid w:val="0051514E"/>
    <w:rsid w:val="00515985"/>
    <w:rsid w:val="00521616"/>
    <w:rsid w:val="0052274E"/>
    <w:rsid w:val="0052366F"/>
    <w:rsid w:val="00524A7C"/>
    <w:rsid w:val="00525D80"/>
    <w:rsid w:val="00526FF3"/>
    <w:rsid w:val="00531A96"/>
    <w:rsid w:val="005324DC"/>
    <w:rsid w:val="00533183"/>
    <w:rsid w:val="0053450E"/>
    <w:rsid w:val="005358CC"/>
    <w:rsid w:val="005358DF"/>
    <w:rsid w:val="00535AE0"/>
    <w:rsid w:val="00541170"/>
    <w:rsid w:val="00541CA2"/>
    <w:rsid w:val="00541DA1"/>
    <w:rsid w:val="005437E8"/>
    <w:rsid w:val="00543F17"/>
    <w:rsid w:val="00544F88"/>
    <w:rsid w:val="005455CF"/>
    <w:rsid w:val="005476A0"/>
    <w:rsid w:val="0055017E"/>
    <w:rsid w:val="00550C54"/>
    <w:rsid w:val="00551BEF"/>
    <w:rsid w:val="00552B4E"/>
    <w:rsid w:val="00553583"/>
    <w:rsid w:val="00553B1A"/>
    <w:rsid w:val="00556E82"/>
    <w:rsid w:val="0055745B"/>
    <w:rsid w:val="00557806"/>
    <w:rsid w:val="0056109B"/>
    <w:rsid w:val="00563D55"/>
    <w:rsid w:val="00565954"/>
    <w:rsid w:val="0056719B"/>
    <w:rsid w:val="00567656"/>
    <w:rsid w:val="005709D2"/>
    <w:rsid w:val="00570B3C"/>
    <w:rsid w:val="00571081"/>
    <w:rsid w:val="00574FF2"/>
    <w:rsid w:val="005864FA"/>
    <w:rsid w:val="00592D98"/>
    <w:rsid w:val="00592EA0"/>
    <w:rsid w:val="00592F1B"/>
    <w:rsid w:val="00597134"/>
    <w:rsid w:val="005A0471"/>
    <w:rsid w:val="005A1256"/>
    <w:rsid w:val="005A24C2"/>
    <w:rsid w:val="005A4576"/>
    <w:rsid w:val="005A4839"/>
    <w:rsid w:val="005A4F1C"/>
    <w:rsid w:val="005A6002"/>
    <w:rsid w:val="005B0EE6"/>
    <w:rsid w:val="005B1F00"/>
    <w:rsid w:val="005B2180"/>
    <w:rsid w:val="005B21E3"/>
    <w:rsid w:val="005B2B0C"/>
    <w:rsid w:val="005B3CF0"/>
    <w:rsid w:val="005B4A29"/>
    <w:rsid w:val="005B5D48"/>
    <w:rsid w:val="005B5DD9"/>
    <w:rsid w:val="005B5F28"/>
    <w:rsid w:val="005B7944"/>
    <w:rsid w:val="005C0303"/>
    <w:rsid w:val="005C0AFD"/>
    <w:rsid w:val="005C16DA"/>
    <w:rsid w:val="005C31F4"/>
    <w:rsid w:val="005C4F86"/>
    <w:rsid w:val="005C59F2"/>
    <w:rsid w:val="005C62D5"/>
    <w:rsid w:val="005C6E69"/>
    <w:rsid w:val="005C73CB"/>
    <w:rsid w:val="005C7400"/>
    <w:rsid w:val="005C7874"/>
    <w:rsid w:val="005D102F"/>
    <w:rsid w:val="005D11CE"/>
    <w:rsid w:val="005D15C8"/>
    <w:rsid w:val="005D22DF"/>
    <w:rsid w:val="005D3C50"/>
    <w:rsid w:val="005D6086"/>
    <w:rsid w:val="005D6B00"/>
    <w:rsid w:val="005D7C92"/>
    <w:rsid w:val="005E085A"/>
    <w:rsid w:val="005E0F23"/>
    <w:rsid w:val="005E2883"/>
    <w:rsid w:val="005E58C4"/>
    <w:rsid w:val="005E5FB2"/>
    <w:rsid w:val="005E6C31"/>
    <w:rsid w:val="005E6E7A"/>
    <w:rsid w:val="005E76BD"/>
    <w:rsid w:val="005E794B"/>
    <w:rsid w:val="005E7D63"/>
    <w:rsid w:val="005F0B77"/>
    <w:rsid w:val="005F1DB3"/>
    <w:rsid w:val="005F5A47"/>
    <w:rsid w:val="00600A62"/>
    <w:rsid w:val="00601494"/>
    <w:rsid w:val="00601FE8"/>
    <w:rsid w:val="006039A1"/>
    <w:rsid w:val="006042DB"/>
    <w:rsid w:val="00606051"/>
    <w:rsid w:val="0060630B"/>
    <w:rsid w:val="006070B7"/>
    <w:rsid w:val="006075F4"/>
    <w:rsid w:val="0060794D"/>
    <w:rsid w:val="00610264"/>
    <w:rsid w:val="00610D16"/>
    <w:rsid w:val="00611E2C"/>
    <w:rsid w:val="00611F8C"/>
    <w:rsid w:val="0061256D"/>
    <w:rsid w:val="006129EF"/>
    <w:rsid w:val="0061323B"/>
    <w:rsid w:val="00615593"/>
    <w:rsid w:val="006175AF"/>
    <w:rsid w:val="006176ED"/>
    <w:rsid w:val="00620C08"/>
    <w:rsid w:val="00620DC1"/>
    <w:rsid w:val="006211E3"/>
    <w:rsid w:val="006227D2"/>
    <w:rsid w:val="00622C88"/>
    <w:rsid w:val="0062599F"/>
    <w:rsid w:val="006261B9"/>
    <w:rsid w:val="00626879"/>
    <w:rsid w:val="00626894"/>
    <w:rsid w:val="006268BF"/>
    <w:rsid w:val="00626B98"/>
    <w:rsid w:val="00630D24"/>
    <w:rsid w:val="006316E3"/>
    <w:rsid w:val="00631A16"/>
    <w:rsid w:val="0063417E"/>
    <w:rsid w:val="006344ED"/>
    <w:rsid w:val="0063452C"/>
    <w:rsid w:val="00634A20"/>
    <w:rsid w:val="00634A37"/>
    <w:rsid w:val="00636860"/>
    <w:rsid w:val="0063713A"/>
    <w:rsid w:val="00642EC9"/>
    <w:rsid w:val="00643078"/>
    <w:rsid w:val="00643B00"/>
    <w:rsid w:val="00645B98"/>
    <w:rsid w:val="00645D8E"/>
    <w:rsid w:val="006460EF"/>
    <w:rsid w:val="006466D6"/>
    <w:rsid w:val="00647964"/>
    <w:rsid w:val="00650076"/>
    <w:rsid w:val="00650D43"/>
    <w:rsid w:val="006528AB"/>
    <w:rsid w:val="006541E6"/>
    <w:rsid w:val="006545E8"/>
    <w:rsid w:val="00655A9C"/>
    <w:rsid w:val="00656F05"/>
    <w:rsid w:val="006605BA"/>
    <w:rsid w:val="00661092"/>
    <w:rsid w:val="00661909"/>
    <w:rsid w:val="00661E7F"/>
    <w:rsid w:val="006645F0"/>
    <w:rsid w:val="00666499"/>
    <w:rsid w:val="00666E79"/>
    <w:rsid w:val="0066706B"/>
    <w:rsid w:val="0066724E"/>
    <w:rsid w:val="006712CC"/>
    <w:rsid w:val="006713A8"/>
    <w:rsid w:val="006719BF"/>
    <w:rsid w:val="00671B70"/>
    <w:rsid w:val="0067229A"/>
    <w:rsid w:val="006749ED"/>
    <w:rsid w:val="006751B5"/>
    <w:rsid w:val="00676369"/>
    <w:rsid w:val="00676C76"/>
    <w:rsid w:val="00677E2D"/>
    <w:rsid w:val="00681D9B"/>
    <w:rsid w:val="00683BF5"/>
    <w:rsid w:val="006842B8"/>
    <w:rsid w:val="00692E39"/>
    <w:rsid w:val="00693657"/>
    <w:rsid w:val="006949CE"/>
    <w:rsid w:val="00696114"/>
    <w:rsid w:val="00696F52"/>
    <w:rsid w:val="006A0AB0"/>
    <w:rsid w:val="006A2133"/>
    <w:rsid w:val="006A24A6"/>
    <w:rsid w:val="006A3248"/>
    <w:rsid w:val="006A3A62"/>
    <w:rsid w:val="006A3C97"/>
    <w:rsid w:val="006A460E"/>
    <w:rsid w:val="006A4D4E"/>
    <w:rsid w:val="006A58DD"/>
    <w:rsid w:val="006A6253"/>
    <w:rsid w:val="006A6F4B"/>
    <w:rsid w:val="006B1ADA"/>
    <w:rsid w:val="006B51C2"/>
    <w:rsid w:val="006B725D"/>
    <w:rsid w:val="006B792F"/>
    <w:rsid w:val="006C2323"/>
    <w:rsid w:val="006C2358"/>
    <w:rsid w:val="006C2BFA"/>
    <w:rsid w:val="006C560A"/>
    <w:rsid w:val="006C6B2E"/>
    <w:rsid w:val="006C7C84"/>
    <w:rsid w:val="006D011F"/>
    <w:rsid w:val="006D126D"/>
    <w:rsid w:val="006D12F2"/>
    <w:rsid w:val="006D4598"/>
    <w:rsid w:val="006D4706"/>
    <w:rsid w:val="006D5345"/>
    <w:rsid w:val="006D5695"/>
    <w:rsid w:val="006D58C7"/>
    <w:rsid w:val="006D5AC6"/>
    <w:rsid w:val="006D7BBD"/>
    <w:rsid w:val="006E21B9"/>
    <w:rsid w:val="006E3056"/>
    <w:rsid w:val="006E49A5"/>
    <w:rsid w:val="006E4D90"/>
    <w:rsid w:val="006E4E2E"/>
    <w:rsid w:val="006E5144"/>
    <w:rsid w:val="006E5A01"/>
    <w:rsid w:val="006E5CEB"/>
    <w:rsid w:val="006E619F"/>
    <w:rsid w:val="006E6B56"/>
    <w:rsid w:val="006F00EA"/>
    <w:rsid w:val="006F06AC"/>
    <w:rsid w:val="006F1013"/>
    <w:rsid w:val="006F2040"/>
    <w:rsid w:val="006F2071"/>
    <w:rsid w:val="006F2A3C"/>
    <w:rsid w:val="006F56CA"/>
    <w:rsid w:val="006F699D"/>
    <w:rsid w:val="006F6F43"/>
    <w:rsid w:val="00700E3A"/>
    <w:rsid w:val="0070139A"/>
    <w:rsid w:val="00702A00"/>
    <w:rsid w:val="00702F08"/>
    <w:rsid w:val="007030D8"/>
    <w:rsid w:val="00703F70"/>
    <w:rsid w:val="007044DF"/>
    <w:rsid w:val="007062EB"/>
    <w:rsid w:val="00706A5C"/>
    <w:rsid w:val="007102EA"/>
    <w:rsid w:val="00711C06"/>
    <w:rsid w:val="00712138"/>
    <w:rsid w:val="007122B8"/>
    <w:rsid w:val="00712AFF"/>
    <w:rsid w:val="00712C2C"/>
    <w:rsid w:val="00713D7A"/>
    <w:rsid w:val="0071431B"/>
    <w:rsid w:val="00715BA2"/>
    <w:rsid w:val="00715FDA"/>
    <w:rsid w:val="00716E2A"/>
    <w:rsid w:val="007174A7"/>
    <w:rsid w:val="0072138E"/>
    <w:rsid w:val="007214A4"/>
    <w:rsid w:val="00721983"/>
    <w:rsid w:val="00722E07"/>
    <w:rsid w:val="0072389B"/>
    <w:rsid w:val="007255C0"/>
    <w:rsid w:val="00725AFD"/>
    <w:rsid w:val="00725CDC"/>
    <w:rsid w:val="00725FC6"/>
    <w:rsid w:val="00727AB3"/>
    <w:rsid w:val="007340CF"/>
    <w:rsid w:val="00734B23"/>
    <w:rsid w:val="007352C0"/>
    <w:rsid w:val="00735B62"/>
    <w:rsid w:val="007366DE"/>
    <w:rsid w:val="00737FE1"/>
    <w:rsid w:val="0074083B"/>
    <w:rsid w:val="007410C6"/>
    <w:rsid w:val="00742C83"/>
    <w:rsid w:val="007430EB"/>
    <w:rsid w:val="007441A8"/>
    <w:rsid w:val="00744665"/>
    <w:rsid w:val="00744922"/>
    <w:rsid w:val="007453F7"/>
    <w:rsid w:val="0074548D"/>
    <w:rsid w:val="00745FFE"/>
    <w:rsid w:val="00746187"/>
    <w:rsid w:val="00746B81"/>
    <w:rsid w:val="00746CB1"/>
    <w:rsid w:val="0074784C"/>
    <w:rsid w:val="007502C8"/>
    <w:rsid w:val="00750794"/>
    <w:rsid w:val="007509FC"/>
    <w:rsid w:val="00751F98"/>
    <w:rsid w:val="00753439"/>
    <w:rsid w:val="007549EC"/>
    <w:rsid w:val="00755D48"/>
    <w:rsid w:val="00755F7E"/>
    <w:rsid w:val="00756DEC"/>
    <w:rsid w:val="00757498"/>
    <w:rsid w:val="007577B7"/>
    <w:rsid w:val="00757CA2"/>
    <w:rsid w:val="00761B90"/>
    <w:rsid w:val="00762092"/>
    <w:rsid w:val="007627C3"/>
    <w:rsid w:val="0076310A"/>
    <w:rsid w:val="00764E04"/>
    <w:rsid w:val="00765CF4"/>
    <w:rsid w:val="007668ED"/>
    <w:rsid w:val="007669AE"/>
    <w:rsid w:val="00770F60"/>
    <w:rsid w:val="00770FAE"/>
    <w:rsid w:val="007727E0"/>
    <w:rsid w:val="00772EDC"/>
    <w:rsid w:val="007765BA"/>
    <w:rsid w:val="00782277"/>
    <w:rsid w:val="00782B05"/>
    <w:rsid w:val="00782E68"/>
    <w:rsid w:val="0078410C"/>
    <w:rsid w:val="00784684"/>
    <w:rsid w:val="00784B7A"/>
    <w:rsid w:val="0078777E"/>
    <w:rsid w:val="0079146A"/>
    <w:rsid w:val="00791EC6"/>
    <w:rsid w:val="00792283"/>
    <w:rsid w:val="007941CA"/>
    <w:rsid w:val="00794D78"/>
    <w:rsid w:val="00794F40"/>
    <w:rsid w:val="007957FD"/>
    <w:rsid w:val="0079588A"/>
    <w:rsid w:val="00795E34"/>
    <w:rsid w:val="00795FD3"/>
    <w:rsid w:val="007976CB"/>
    <w:rsid w:val="007A21F3"/>
    <w:rsid w:val="007A2266"/>
    <w:rsid w:val="007A22E1"/>
    <w:rsid w:val="007A2652"/>
    <w:rsid w:val="007A2FC7"/>
    <w:rsid w:val="007A38A7"/>
    <w:rsid w:val="007A4040"/>
    <w:rsid w:val="007A4810"/>
    <w:rsid w:val="007A4FAB"/>
    <w:rsid w:val="007A505B"/>
    <w:rsid w:val="007A507D"/>
    <w:rsid w:val="007A5257"/>
    <w:rsid w:val="007A5E3F"/>
    <w:rsid w:val="007A7C7C"/>
    <w:rsid w:val="007B0182"/>
    <w:rsid w:val="007B1A62"/>
    <w:rsid w:val="007B46DE"/>
    <w:rsid w:val="007B5EF9"/>
    <w:rsid w:val="007B6750"/>
    <w:rsid w:val="007B789D"/>
    <w:rsid w:val="007B7AE5"/>
    <w:rsid w:val="007C0C20"/>
    <w:rsid w:val="007C1855"/>
    <w:rsid w:val="007C318A"/>
    <w:rsid w:val="007C3555"/>
    <w:rsid w:val="007C38D2"/>
    <w:rsid w:val="007C3FD2"/>
    <w:rsid w:val="007C412D"/>
    <w:rsid w:val="007C4C38"/>
    <w:rsid w:val="007C603B"/>
    <w:rsid w:val="007C6368"/>
    <w:rsid w:val="007C6E32"/>
    <w:rsid w:val="007C756F"/>
    <w:rsid w:val="007D08B6"/>
    <w:rsid w:val="007D3063"/>
    <w:rsid w:val="007D46D3"/>
    <w:rsid w:val="007D4C11"/>
    <w:rsid w:val="007D59C5"/>
    <w:rsid w:val="007D617C"/>
    <w:rsid w:val="007D6C04"/>
    <w:rsid w:val="007E0295"/>
    <w:rsid w:val="007E0A2C"/>
    <w:rsid w:val="007E1E6F"/>
    <w:rsid w:val="007E3997"/>
    <w:rsid w:val="007E3C55"/>
    <w:rsid w:val="007E6274"/>
    <w:rsid w:val="007E6FCC"/>
    <w:rsid w:val="007E7241"/>
    <w:rsid w:val="007F0325"/>
    <w:rsid w:val="007F0704"/>
    <w:rsid w:val="007F0817"/>
    <w:rsid w:val="007F1123"/>
    <w:rsid w:val="007F2488"/>
    <w:rsid w:val="007F281E"/>
    <w:rsid w:val="007F2D8C"/>
    <w:rsid w:val="007F6CEF"/>
    <w:rsid w:val="007F7517"/>
    <w:rsid w:val="007F794C"/>
    <w:rsid w:val="0080077B"/>
    <w:rsid w:val="0080085B"/>
    <w:rsid w:val="00801D22"/>
    <w:rsid w:val="008036B5"/>
    <w:rsid w:val="00803D06"/>
    <w:rsid w:val="00805B93"/>
    <w:rsid w:val="00805BAA"/>
    <w:rsid w:val="00806F81"/>
    <w:rsid w:val="00807536"/>
    <w:rsid w:val="00810E00"/>
    <w:rsid w:val="00811099"/>
    <w:rsid w:val="00812D56"/>
    <w:rsid w:val="0081441F"/>
    <w:rsid w:val="0081459E"/>
    <w:rsid w:val="008149B5"/>
    <w:rsid w:val="00815649"/>
    <w:rsid w:val="008157CA"/>
    <w:rsid w:val="008165ED"/>
    <w:rsid w:val="00817713"/>
    <w:rsid w:val="00817746"/>
    <w:rsid w:val="00817C08"/>
    <w:rsid w:val="00822C89"/>
    <w:rsid w:val="00822E54"/>
    <w:rsid w:val="00822F9E"/>
    <w:rsid w:val="00823C8C"/>
    <w:rsid w:val="00824E96"/>
    <w:rsid w:val="0082568B"/>
    <w:rsid w:val="008268EB"/>
    <w:rsid w:val="00826C27"/>
    <w:rsid w:val="0082734E"/>
    <w:rsid w:val="008275CB"/>
    <w:rsid w:val="008275F0"/>
    <w:rsid w:val="0083083D"/>
    <w:rsid w:val="00831A3A"/>
    <w:rsid w:val="00831D13"/>
    <w:rsid w:val="008320D4"/>
    <w:rsid w:val="00833644"/>
    <w:rsid w:val="00833D45"/>
    <w:rsid w:val="00841F27"/>
    <w:rsid w:val="008420E1"/>
    <w:rsid w:val="00842357"/>
    <w:rsid w:val="00844B2D"/>
    <w:rsid w:val="00845470"/>
    <w:rsid w:val="00845C1E"/>
    <w:rsid w:val="00846566"/>
    <w:rsid w:val="00846C7C"/>
    <w:rsid w:val="00846E3C"/>
    <w:rsid w:val="00847F54"/>
    <w:rsid w:val="0085182C"/>
    <w:rsid w:val="0085281F"/>
    <w:rsid w:val="00852994"/>
    <w:rsid w:val="008540FF"/>
    <w:rsid w:val="00854461"/>
    <w:rsid w:val="00855217"/>
    <w:rsid w:val="00855DF1"/>
    <w:rsid w:val="00856A81"/>
    <w:rsid w:val="00857D5E"/>
    <w:rsid w:val="0086041F"/>
    <w:rsid w:val="00860C21"/>
    <w:rsid w:val="00861CC4"/>
    <w:rsid w:val="00862227"/>
    <w:rsid w:val="00863E6F"/>
    <w:rsid w:val="00863EE5"/>
    <w:rsid w:val="00864D6D"/>
    <w:rsid w:val="0087112A"/>
    <w:rsid w:val="008724AB"/>
    <w:rsid w:val="0087255B"/>
    <w:rsid w:val="00873670"/>
    <w:rsid w:val="00873718"/>
    <w:rsid w:val="00873AD9"/>
    <w:rsid w:val="008753C0"/>
    <w:rsid w:val="008757D6"/>
    <w:rsid w:val="00877355"/>
    <w:rsid w:val="0087793D"/>
    <w:rsid w:val="00877CEA"/>
    <w:rsid w:val="00880C8D"/>
    <w:rsid w:val="00883BB6"/>
    <w:rsid w:val="0088692A"/>
    <w:rsid w:val="00886D03"/>
    <w:rsid w:val="00887E39"/>
    <w:rsid w:val="00891D3A"/>
    <w:rsid w:val="00891E8E"/>
    <w:rsid w:val="008921C1"/>
    <w:rsid w:val="008924F0"/>
    <w:rsid w:val="00893968"/>
    <w:rsid w:val="00893E7E"/>
    <w:rsid w:val="008944D1"/>
    <w:rsid w:val="00896E7E"/>
    <w:rsid w:val="00896EB7"/>
    <w:rsid w:val="008A1BD1"/>
    <w:rsid w:val="008A346C"/>
    <w:rsid w:val="008A3EBB"/>
    <w:rsid w:val="008A4BE8"/>
    <w:rsid w:val="008A4EE2"/>
    <w:rsid w:val="008A50FC"/>
    <w:rsid w:val="008A5191"/>
    <w:rsid w:val="008A58C4"/>
    <w:rsid w:val="008A7D87"/>
    <w:rsid w:val="008A7E7D"/>
    <w:rsid w:val="008B019C"/>
    <w:rsid w:val="008B0401"/>
    <w:rsid w:val="008B24DF"/>
    <w:rsid w:val="008B26D4"/>
    <w:rsid w:val="008B4758"/>
    <w:rsid w:val="008B5068"/>
    <w:rsid w:val="008B710E"/>
    <w:rsid w:val="008B7CC4"/>
    <w:rsid w:val="008B7DAD"/>
    <w:rsid w:val="008C045F"/>
    <w:rsid w:val="008C0718"/>
    <w:rsid w:val="008C0A8E"/>
    <w:rsid w:val="008C1BD3"/>
    <w:rsid w:val="008C2A5F"/>
    <w:rsid w:val="008C2D7C"/>
    <w:rsid w:val="008C3352"/>
    <w:rsid w:val="008C3E3D"/>
    <w:rsid w:val="008C4593"/>
    <w:rsid w:val="008C4724"/>
    <w:rsid w:val="008C4DB4"/>
    <w:rsid w:val="008C5C74"/>
    <w:rsid w:val="008C7636"/>
    <w:rsid w:val="008C7E44"/>
    <w:rsid w:val="008D004E"/>
    <w:rsid w:val="008D0960"/>
    <w:rsid w:val="008D251F"/>
    <w:rsid w:val="008D3035"/>
    <w:rsid w:val="008D3110"/>
    <w:rsid w:val="008D515A"/>
    <w:rsid w:val="008D7C1C"/>
    <w:rsid w:val="008E0396"/>
    <w:rsid w:val="008E0952"/>
    <w:rsid w:val="008E1E03"/>
    <w:rsid w:val="008E269C"/>
    <w:rsid w:val="008E3172"/>
    <w:rsid w:val="008E3256"/>
    <w:rsid w:val="008E4069"/>
    <w:rsid w:val="008E5A15"/>
    <w:rsid w:val="008E65B5"/>
    <w:rsid w:val="008E65C2"/>
    <w:rsid w:val="008E7284"/>
    <w:rsid w:val="008F011F"/>
    <w:rsid w:val="008F04D5"/>
    <w:rsid w:val="008F221A"/>
    <w:rsid w:val="008F2DA0"/>
    <w:rsid w:val="008F3C5B"/>
    <w:rsid w:val="008F4C9F"/>
    <w:rsid w:val="008F4FFD"/>
    <w:rsid w:val="008F69D7"/>
    <w:rsid w:val="008F789D"/>
    <w:rsid w:val="009004AA"/>
    <w:rsid w:val="00900826"/>
    <w:rsid w:val="009011E3"/>
    <w:rsid w:val="0090216D"/>
    <w:rsid w:val="00903279"/>
    <w:rsid w:val="009040C6"/>
    <w:rsid w:val="009060E7"/>
    <w:rsid w:val="00906B40"/>
    <w:rsid w:val="00910013"/>
    <w:rsid w:val="0091399E"/>
    <w:rsid w:val="009151FD"/>
    <w:rsid w:val="00921AE2"/>
    <w:rsid w:val="0092285D"/>
    <w:rsid w:val="00923AED"/>
    <w:rsid w:val="00923DD1"/>
    <w:rsid w:val="00924A3B"/>
    <w:rsid w:val="00931317"/>
    <w:rsid w:val="00933154"/>
    <w:rsid w:val="009341E8"/>
    <w:rsid w:val="00934567"/>
    <w:rsid w:val="00935143"/>
    <w:rsid w:val="00936071"/>
    <w:rsid w:val="0093611E"/>
    <w:rsid w:val="009366E2"/>
    <w:rsid w:val="0093783C"/>
    <w:rsid w:val="00937A35"/>
    <w:rsid w:val="0094072A"/>
    <w:rsid w:val="009415AB"/>
    <w:rsid w:val="0094202D"/>
    <w:rsid w:val="00943866"/>
    <w:rsid w:val="00945FD1"/>
    <w:rsid w:val="009516A9"/>
    <w:rsid w:val="00951AFC"/>
    <w:rsid w:val="0095531A"/>
    <w:rsid w:val="00960465"/>
    <w:rsid w:val="00960DCD"/>
    <w:rsid w:val="00961D82"/>
    <w:rsid w:val="00961E9A"/>
    <w:rsid w:val="00961FF7"/>
    <w:rsid w:val="0096290C"/>
    <w:rsid w:val="00962D55"/>
    <w:rsid w:val="00965432"/>
    <w:rsid w:val="009666C0"/>
    <w:rsid w:val="00971E64"/>
    <w:rsid w:val="0097248E"/>
    <w:rsid w:val="00974C17"/>
    <w:rsid w:val="00976C42"/>
    <w:rsid w:val="00977488"/>
    <w:rsid w:val="00981801"/>
    <w:rsid w:val="00981E51"/>
    <w:rsid w:val="00985402"/>
    <w:rsid w:val="00985780"/>
    <w:rsid w:val="0098667F"/>
    <w:rsid w:val="00986745"/>
    <w:rsid w:val="00990155"/>
    <w:rsid w:val="00992396"/>
    <w:rsid w:val="00992461"/>
    <w:rsid w:val="00994032"/>
    <w:rsid w:val="009943ED"/>
    <w:rsid w:val="00995EF4"/>
    <w:rsid w:val="00996C82"/>
    <w:rsid w:val="00997E97"/>
    <w:rsid w:val="009A1A95"/>
    <w:rsid w:val="009A2122"/>
    <w:rsid w:val="009A27FC"/>
    <w:rsid w:val="009A3621"/>
    <w:rsid w:val="009A4399"/>
    <w:rsid w:val="009A6E91"/>
    <w:rsid w:val="009A6F74"/>
    <w:rsid w:val="009A778E"/>
    <w:rsid w:val="009A7BB3"/>
    <w:rsid w:val="009B02E6"/>
    <w:rsid w:val="009B0308"/>
    <w:rsid w:val="009B1026"/>
    <w:rsid w:val="009B35F8"/>
    <w:rsid w:val="009B49E8"/>
    <w:rsid w:val="009B5376"/>
    <w:rsid w:val="009B5AA9"/>
    <w:rsid w:val="009B7A58"/>
    <w:rsid w:val="009C11F7"/>
    <w:rsid w:val="009C23A0"/>
    <w:rsid w:val="009C27C5"/>
    <w:rsid w:val="009C393C"/>
    <w:rsid w:val="009C3BB2"/>
    <w:rsid w:val="009C3C60"/>
    <w:rsid w:val="009C7A38"/>
    <w:rsid w:val="009C7D80"/>
    <w:rsid w:val="009D0803"/>
    <w:rsid w:val="009D0AC7"/>
    <w:rsid w:val="009D1622"/>
    <w:rsid w:val="009D4AF4"/>
    <w:rsid w:val="009D6F7A"/>
    <w:rsid w:val="009D7298"/>
    <w:rsid w:val="009D7505"/>
    <w:rsid w:val="009D791C"/>
    <w:rsid w:val="009D795D"/>
    <w:rsid w:val="009D7A13"/>
    <w:rsid w:val="009E0344"/>
    <w:rsid w:val="009E2C37"/>
    <w:rsid w:val="009E2C6E"/>
    <w:rsid w:val="009E4819"/>
    <w:rsid w:val="009E4ECA"/>
    <w:rsid w:val="009E5A25"/>
    <w:rsid w:val="009E5C8B"/>
    <w:rsid w:val="009E61F0"/>
    <w:rsid w:val="009E652B"/>
    <w:rsid w:val="009F11CF"/>
    <w:rsid w:val="009F1616"/>
    <w:rsid w:val="009F24FE"/>
    <w:rsid w:val="009F2F9D"/>
    <w:rsid w:val="009F32AF"/>
    <w:rsid w:val="009F405B"/>
    <w:rsid w:val="009F56CA"/>
    <w:rsid w:val="009F5ADF"/>
    <w:rsid w:val="009F74DA"/>
    <w:rsid w:val="00A00853"/>
    <w:rsid w:val="00A0249A"/>
    <w:rsid w:val="00A0394A"/>
    <w:rsid w:val="00A03AFF"/>
    <w:rsid w:val="00A04C49"/>
    <w:rsid w:val="00A06A90"/>
    <w:rsid w:val="00A06CD1"/>
    <w:rsid w:val="00A10C5C"/>
    <w:rsid w:val="00A10F81"/>
    <w:rsid w:val="00A113FF"/>
    <w:rsid w:val="00A1201A"/>
    <w:rsid w:val="00A124FA"/>
    <w:rsid w:val="00A12560"/>
    <w:rsid w:val="00A1319A"/>
    <w:rsid w:val="00A1324F"/>
    <w:rsid w:val="00A15A07"/>
    <w:rsid w:val="00A16075"/>
    <w:rsid w:val="00A16DBC"/>
    <w:rsid w:val="00A17C88"/>
    <w:rsid w:val="00A2034F"/>
    <w:rsid w:val="00A205BA"/>
    <w:rsid w:val="00A20831"/>
    <w:rsid w:val="00A2112D"/>
    <w:rsid w:val="00A277F9"/>
    <w:rsid w:val="00A27A80"/>
    <w:rsid w:val="00A27F01"/>
    <w:rsid w:val="00A316FE"/>
    <w:rsid w:val="00A31EA7"/>
    <w:rsid w:val="00A31F50"/>
    <w:rsid w:val="00A3381D"/>
    <w:rsid w:val="00A348C1"/>
    <w:rsid w:val="00A362DF"/>
    <w:rsid w:val="00A368AA"/>
    <w:rsid w:val="00A401D2"/>
    <w:rsid w:val="00A414BD"/>
    <w:rsid w:val="00A43040"/>
    <w:rsid w:val="00A43E36"/>
    <w:rsid w:val="00A43EAC"/>
    <w:rsid w:val="00A43FCD"/>
    <w:rsid w:val="00A4403A"/>
    <w:rsid w:val="00A44240"/>
    <w:rsid w:val="00A44661"/>
    <w:rsid w:val="00A44C81"/>
    <w:rsid w:val="00A457CD"/>
    <w:rsid w:val="00A46B32"/>
    <w:rsid w:val="00A500C6"/>
    <w:rsid w:val="00A50449"/>
    <w:rsid w:val="00A51F20"/>
    <w:rsid w:val="00A5297F"/>
    <w:rsid w:val="00A53D39"/>
    <w:rsid w:val="00A551C2"/>
    <w:rsid w:val="00A55D7F"/>
    <w:rsid w:val="00A56245"/>
    <w:rsid w:val="00A56E1F"/>
    <w:rsid w:val="00A56E67"/>
    <w:rsid w:val="00A5752E"/>
    <w:rsid w:val="00A600CE"/>
    <w:rsid w:val="00A61D1D"/>
    <w:rsid w:val="00A6392E"/>
    <w:rsid w:val="00A64E3B"/>
    <w:rsid w:val="00A64EBE"/>
    <w:rsid w:val="00A67720"/>
    <w:rsid w:val="00A70952"/>
    <w:rsid w:val="00A718EB"/>
    <w:rsid w:val="00A72386"/>
    <w:rsid w:val="00A733CB"/>
    <w:rsid w:val="00A73DC2"/>
    <w:rsid w:val="00A74681"/>
    <w:rsid w:val="00A748BE"/>
    <w:rsid w:val="00A74F22"/>
    <w:rsid w:val="00A74F3C"/>
    <w:rsid w:val="00A75551"/>
    <w:rsid w:val="00A806C6"/>
    <w:rsid w:val="00A8153D"/>
    <w:rsid w:val="00A822EC"/>
    <w:rsid w:val="00A82E29"/>
    <w:rsid w:val="00A84276"/>
    <w:rsid w:val="00A84D70"/>
    <w:rsid w:val="00A84FE8"/>
    <w:rsid w:val="00A8612C"/>
    <w:rsid w:val="00A91BC5"/>
    <w:rsid w:val="00A92C03"/>
    <w:rsid w:val="00A93199"/>
    <w:rsid w:val="00A93951"/>
    <w:rsid w:val="00A93ABD"/>
    <w:rsid w:val="00A943A1"/>
    <w:rsid w:val="00A953EB"/>
    <w:rsid w:val="00A95B40"/>
    <w:rsid w:val="00A96F01"/>
    <w:rsid w:val="00A9760D"/>
    <w:rsid w:val="00A97F44"/>
    <w:rsid w:val="00AA2694"/>
    <w:rsid w:val="00AA2FB0"/>
    <w:rsid w:val="00AA32FE"/>
    <w:rsid w:val="00AA3685"/>
    <w:rsid w:val="00AA478F"/>
    <w:rsid w:val="00AA50C4"/>
    <w:rsid w:val="00AA5C34"/>
    <w:rsid w:val="00AA6830"/>
    <w:rsid w:val="00AA73BC"/>
    <w:rsid w:val="00AB080D"/>
    <w:rsid w:val="00AB1015"/>
    <w:rsid w:val="00AB2060"/>
    <w:rsid w:val="00AB2953"/>
    <w:rsid w:val="00AB4C5B"/>
    <w:rsid w:val="00AB4DD6"/>
    <w:rsid w:val="00AB5346"/>
    <w:rsid w:val="00AB6D5C"/>
    <w:rsid w:val="00AB7B86"/>
    <w:rsid w:val="00AC1ECC"/>
    <w:rsid w:val="00AC20BC"/>
    <w:rsid w:val="00AC2DCC"/>
    <w:rsid w:val="00AC352A"/>
    <w:rsid w:val="00AC3972"/>
    <w:rsid w:val="00AC3DB8"/>
    <w:rsid w:val="00AC4139"/>
    <w:rsid w:val="00AC539A"/>
    <w:rsid w:val="00AC6471"/>
    <w:rsid w:val="00AC7524"/>
    <w:rsid w:val="00AC79B4"/>
    <w:rsid w:val="00AD10CD"/>
    <w:rsid w:val="00AD2B55"/>
    <w:rsid w:val="00AD3090"/>
    <w:rsid w:val="00AD3F4E"/>
    <w:rsid w:val="00AD4B3C"/>
    <w:rsid w:val="00AD5DA1"/>
    <w:rsid w:val="00AD6FF6"/>
    <w:rsid w:val="00AE0163"/>
    <w:rsid w:val="00AE112B"/>
    <w:rsid w:val="00AE15F0"/>
    <w:rsid w:val="00AE1CF1"/>
    <w:rsid w:val="00AE2A49"/>
    <w:rsid w:val="00AE2EB5"/>
    <w:rsid w:val="00AE408F"/>
    <w:rsid w:val="00AE482B"/>
    <w:rsid w:val="00AE4AD8"/>
    <w:rsid w:val="00AE50F8"/>
    <w:rsid w:val="00AE60DC"/>
    <w:rsid w:val="00AE6847"/>
    <w:rsid w:val="00AE6A90"/>
    <w:rsid w:val="00AE7DE8"/>
    <w:rsid w:val="00AF356C"/>
    <w:rsid w:val="00AF4688"/>
    <w:rsid w:val="00AF5287"/>
    <w:rsid w:val="00AF6B8D"/>
    <w:rsid w:val="00B00A1A"/>
    <w:rsid w:val="00B0128D"/>
    <w:rsid w:val="00B019FA"/>
    <w:rsid w:val="00B05053"/>
    <w:rsid w:val="00B101F6"/>
    <w:rsid w:val="00B12766"/>
    <w:rsid w:val="00B161D2"/>
    <w:rsid w:val="00B20C9B"/>
    <w:rsid w:val="00B22A18"/>
    <w:rsid w:val="00B22E63"/>
    <w:rsid w:val="00B2364F"/>
    <w:rsid w:val="00B24ED4"/>
    <w:rsid w:val="00B25832"/>
    <w:rsid w:val="00B26CC6"/>
    <w:rsid w:val="00B2708F"/>
    <w:rsid w:val="00B311AD"/>
    <w:rsid w:val="00B317E0"/>
    <w:rsid w:val="00B31E4B"/>
    <w:rsid w:val="00B31F39"/>
    <w:rsid w:val="00B3287A"/>
    <w:rsid w:val="00B34315"/>
    <w:rsid w:val="00B3563C"/>
    <w:rsid w:val="00B35DB4"/>
    <w:rsid w:val="00B37536"/>
    <w:rsid w:val="00B37687"/>
    <w:rsid w:val="00B37728"/>
    <w:rsid w:val="00B40C67"/>
    <w:rsid w:val="00B4380B"/>
    <w:rsid w:val="00B43F61"/>
    <w:rsid w:val="00B45071"/>
    <w:rsid w:val="00B45293"/>
    <w:rsid w:val="00B45D33"/>
    <w:rsid w:val="00B5045D"/>
    <w:rsid w:val="00B51824"/>
    <w:rsid w:val="00B5221A"/>
    <w:rsid w:val="00B52ED5"/>
    <w:rsid w:val="00B53058"/>
    <w:rsid w:val="00B53624"/>
    <w:rsid w:val="00B53AD9"/>
    <w:rsid w:val="00B53B7A"/>
    <w:rsid w:val="00B56210"/>
    <w:rsid w:val="00B57912"/>
    <w:rsid w:val="00B57CE0"/>
    <w:rsid w:val="00B606C9"/>
    <w:rsid w:val="00B60D14"/>
    <w:rsid w:val="00B62857"/>
    <w:rsid w:val="00B635B4"/>
    <w:rsid w:val="00B636FE"/>
    <w:rsid w:val="00B65D1B"/>
    <w:rsid w:val="00B6647A"/>
    <w:rsid w:val="00B67E98"/>
    <w:rsid w:val="00B70CEF"/>
    <w:rsid w:val="00B71D98"/>
    <w:rsid w:val="00B73231"/>
    <w:rsid w:val="00B74636"/>
    <w:rsid w:val="00B7483D"/>
    <w:rsid w:val="00B74DAD"/>
    <w:rsid w:val="00B74E20"/>
    <w:rsid w:val="00B758DA"/>
    <w:rsid w:val="00B75A66"/>
    <w:rsid w:val="00B76937"/>
    <w:rsid w:val="00B76D8B"/>
    <w:rsid w:val="00B770FA"/>
    <w:rsid w:val="00B772C7"/>
    <w:rsid w:val="00B80499"/>
    <w:rsid w:val="00B827F5"/>
    <w:rsid w:val="00B83238"/>
    <w:rsid w:val="00B8500E"/>
    <w:rsid w:val="00B8613D"/>
    <w:rsid w:val="00B87C45"/>
    <w:rsid w:val="00B91450"/>
    <w:rsid w:val="00B915B2"/>
    <w:rsid w:val="00B92C11"/>
    <w:rsid w:val="00B93B4D"/>
    <w:rsid w:val="00B95896"/>
    <w:rsid w:val="00B96626"/>
    <w:rsid w:val="00B96CFE"/>
    <w:rsid w:val="00B9741D"/>
    <w:rsid w:val="00B97518"/>
    <w:rsid w:val="00BA2C87"/>
    <w:rsid w:val="00BA34D5"/>
    <w:rsid w:val="00BA6A91"/>
    <w:rsid w:val="00BA6F95"/>
    <w:rsid w:val="00BA7066"/>
    <w:rsid w:val="00BB0CB3"/>
    <w:rsid w:val="00BB1325"/>
    <w:rsid w:val="00BB1765"/>
    <w:rsid w:val="00BB3857"/>
    <w:rsid w:val="00BB390F"/>
    <w:rsid w:val="00BB5E2F"/>
    <w:rsid w:val="00BB6350"/>
    <w:rsid w:val="00BB6808"/>
    <w:rsid w:val="00BB6B58"/>
    <w:rsid w:val="00BB7A45"/>
    <w:rsid w:val="00BC161B"/>
    <w:rsid w:val="00BC2E92"/>
    <w:rsid w:val="00BC3981"/>
    <w:rsid w:val="00BC417F"/>
    <w:rsid w:val="00BC4E7E"/>
    <w:rsid w:val="00BC573D"/>
    <w:rsid w:val="00BC5B83"/>
    <w:rsid w:val="00BC66CE"/>
    <w:rsid w:val="00BC67AA"/>
    <w:rsid w:val="00BD1011"/>
    <w:rsid w:val="00BD1054"/>
    <w:rsid w:val="00BD2AC5"/>
    <w:rsid w:val="00BD3FA8"/>
    <w:rsid w:val="00BD47D0"/>
    <w:rsid w:val="00BD4EEB"/>
    <w:rsid w:val="00BD4F7D"/>
    <w:rsid w:val="00BD5661"/>
    <w:rsid w:val="00BD5995"/>
    <w:rsid w:val="00BD6053"/>
    <w:rsid w:val="00BD6332"/>
    <w:rsid w:val="00BD6881"/>
    <w:rsid w:val="00BD6D8B"/>
    <w:rsid w:val="00BD76AB"/>
    <w:rsid w:val="00BD772D"/>
    <w:rsid w:val="00BD786C"/>
    <w:rsid w:val="00BE069D"/>
    <w:rsid w:val="00BE0817"/>
    <w:rsid w:val="00BE1A0A"/>
    <w:rsid w:val="00BE22C8"/>
    <w:rsid w:val="00BE34C9"/>
    <w:rsid w:val="00BE3A5A"/>
    <w:rsid w:val="00BE3F31"/>
    <w:rsid w:val="00BE42CE"/>
    <w:rsid w:val="00BE4737"/>
    <w:rsid w:val="00BE487D"/>
    <w:rsid w:val="00BE54E8"/>
    <w:rsid w:val="00BF051C"/>
    <w:rsid w:val="00BF1772"/>
    <w:rsid w:val="00BF242B"/>
    <w:rsid w:val="00BF264A"/>
    <w:rsid w:val="00BF2A09"/>
    <w:rsid w:val="00BF2AD6"/>
    <w:rsid w:val="00BF5291"/>
    <w:rsid w:val="00BF6BFB"/>
    <w:rsid w:val="00BF7C61"/>
    <w:rsid w:val="00C008DE"/>
    <w:rsid w:val="00C00C7E"/>
    <w:rsid w:val="00C01831"/>
    <w:rsid w:val="00C018D1"/>
    <w:rsid w:val="00C01B6B"/>
    <w:rsid w:val="00C01BC3"/>
    <w:rsid w:val="00C029D4"/>
    <w:rsid w:val="00C03442"/>
    <w:rsid w:val="00C038AF"/>
    <w:rsid w:val="00C04D37"/>
    <w:rsid w:val="00C05303"/>
    <w:rsid w:val="00C06264"/>
    <w:rsid w:val="00C068C5"/>
    <w:rsid w:val="00C06B88"/>
    <w:rsid w:val="00C06C59"/>
    <w:rsid w:val="00C07042"/>
    <w:rsid w:val="00C1162C"/>
    <w:rsid w:val="00C11D10"/>
    <w:rsid w:val="00C12460"/>
    <w:rsid w:val="00C126E5"/>
    <w:rsid w:val="00C13236"/>
    <w:rsid w:val="00C13BE0"/>
    <w:rsid w:val="00C169B5"/>
    <w:rsid w:val="00C21067"/>
    <w:rsid w:val="00C21411"/>
    <w:rsid w:val="00C21CB4"/>
    <w:rsid w:val="00C23BD1"/>
    <w:rsid w:val="00C246E2"/>
    <w:rsid w:val="00C2497C"/>
    <w:rsid w:val="00C26447"/>
    <w:rsid w:val="00C31392"/>
    <w:rsid w:val="00C329D8"/>
    <w:rsid w:val="00C332D6"/>
    <w:rsid w:val="00C3399F"/>
    <w:rsid w:val="00C33BEF"/>
    <w:rsid w:val="00C33F5F"/>
    <w:rsid w:val="00C3418E"/>
    <w:rsid w:val="00C351A5"/>
    <w:rsid w:val="00C35612"/>
    <w:rsid w:val="00C3768A"/>
    <w:rsid w:val="00C400D9"/>
    <w:rsid w:val="00C40306"/>
    <w:rsid w:val="00C40C49"/>
    <w:rsid w:val="00C42A2B"/>
    <w:rsid w:val="00C435FF"/>
    <w:rsid w:val="00C44AD1"/>
    <w:rsid w:val="00C45035"/>
    <w:rsid w:val="00C4512D"/>
    <w:rsid w:val="00C45715"/>
    <w:rsid w:val="00C45D8A"/>
    <w:rsid w:val="00C4615C"/>
    <w:rsid w:val="00C46BE9"/>
    <w:rsid w:val="00C51DF3"/>
    <w:rsid w:val="00C51F59"/>
    <w:rsid w:val="00C527C6"/>
    <w:rsid w:val="00C52856"/>
    <w:rsid w:val="00C52E8C"/>
    <w:rsid w:val="00C53039"/>
    <w:rsid w:val="00C5336B"/>
    <w:rsid w:val="00C53C8B"/>
    <w:rsid w:val="00C53E97"/>
    <w:rsid w:val="00C57814"/>
    <w:rsid w:val="00C62E75"/>
    <w:rsid w:val="00C63FE5"/>
    <w:rsid w:val="00C64928"/>
    <w:rsid w:val="00C64DEF"/>
    <w:rsid w:val="00C64E06"/>
    <w:rsid w:val="00C6503A"/>
    <w:rsid w:val="00C66040"/>
    <w:rsid w:val="00C668E0"/>
    <w:rsid w:val="00C66A10"/>
    <w:rsid w:val="00C67167"/>
    <w:rsid w:val="00C71DA7"/>
    <w:rsid w:val="00C732B5"/>
    <w:rsid w:val="00C73F0D"/>
    <w:rsid w:val="00C749A6"/>
    <w:rsid w:val="00C75F53"/>
    <w:rsid w:val="00C76CE4"/>
    <w:rsid w:val="00C770A3"/>
    <w:rsid w:val="00C775FB"/>
    <w:rsid w:val="00C80EA0"/>
    <w:rsid w:val="00C8200A"/>
    <w:rsid w:val="00C82B2A"/>
    <w:rsid w:val="00C8333C"/>
    <w:rsid w:val="00C83591"/>
    <w:rsid w:val="00C83E8C"/>
    <w:rsid w:val="00C850D3"/>
    <w:rsid w:val="00C86A01"/>
    <w:rsid w:val="00C86BE8"/>
    <w:rsid w:val="00C86C46"/>
    <w:rsid w:val="00C87303"/>
    <w:rsid w:val="00C87A8B"/>
    <w:rsid w:val="00C90872"/>
    <w:rsid w:val="00C908E5"/>
    <w:rsid w:val="00C92009"/>
    <w:rsid w:val="00C93ADE"/>
    <w:rsid w:val="00C950CE"/>
    <w:rsid w:val="00C96F86"/>
    <w:rsid w:val="00CA0870"/>
    <w:rsid w:val="00CA1CBB"/>
    <w:rsid w:val="00CA2BFF"/>
    <w:rsid w:val="00CA31A6"/>
    <w:rsid w:val="00CA329E"/>
    <w:rsid w:val="00CA42A1"/>
    <w:rsid w:val="00CA4FDD"/>
    <w:rsid w:val="00CA58E7"/>
    <w:rsid w:val="00CA6CF8"/>
    <w:rsid w:val="00CA72DE"/>
    <w:rsid w:val="00CB0052"/>
    <w:rsid w:val="00CB00FC"/>
    <w:rsid w:val="00CB0DC6"/>
    <w:rsid w:val="00CB0E99"/>
    <w:rsid w:val="00CB20E5"/>
    <w:rsid w:val="00CB36A6"/>
    <w:rsid w:val="00CB3EEA"/>
    <w:rsid w:val="00CB60DB"/>
    <w:rsid w:val="00CC1887"/>
    <w:rsid w:val="00CC2841"/>
    <w:rsid w:val="00CC2BA6"/>
    <w:rsid w:val="00CC3633"/>
    <w:rsid w:val="00CC384D"/>
    <w:rsid w:val="00CC3A15"/>
    <w:rsid w:val="00CC416E"/>
    <w:rsid w:val="00CC4B31"/>
    <w:rsid w:val="00CC4DFA"/>
    <w:rsid w:val="00CC5893"/>
    <w:rsid w:val="00CC5E5C"/>
    <w:rsid w:val="00CC71A4"/>
    <w:rsid w:val="00CC7EAC"/>
    <w:rsid w:val="00CD1928"/>
    <w:rsid w:val="00CD2702"/>
    <w:rsid w:val="00CD2DD2"/>
    <w:rsid w:val="00CD4843"/>
    <w:rsid w:val="00CD4D0E"/>
    <w:rsid w:val="00CD5750"/>
    <w:rsid w:val="00CE0DC4"/>
    <w:rsid w:val="00CE25C1"/>
    <w:rsid w:val="00CE3FA7"/>
    <w:rsid w:val="00CE40C1"/>
    <w:rsid w:val="00CE4133"/>
    <w:rsid w:val="00CE41AA"/>
    <w:rsid w:val="00CE5303"/>
    <w:rsid w:val="00CE5537"/>
    <w:rsid w:val="00CE56CC"/>
    <w:rsid w:val="00CE6589"/>
    <w:rsid w:val="00CE6D70"/>
    <w:rsid w:val="00CF0529"/>
    <w:rsid w:val="00CF1D98"/>
    <w:rsid w:val="00CF222B"/>
    <w:rsid w:val="00CF288B"/>
    <w:rsid w:val="00CF4FD0"/>
    <w:rsid w:val="00CF5370"/>
    <w:rsid w:val="00CF5902"/>
    <w:rsid w:val="00CF64B3"/>
    <w:rsid w:val="00CF7BFC"/>
    <w:rsid w:val="00D00528"/>
    <w:rsid w:val="00D01280"/>
    <w:rsid w:val="00D02227"/>
    <w:rsid w:val="00D05152"/>
    <w:rsid w:val="00D059F5"/>
    <w:rsid w:val="00D06629"/>
    <w:rsid w:val="00D105B1"/>
    <w:rsid w:val="00D11A70"/>
    <w:rsid w:val="00D11C54"/>
    <w:rsid w:val="00D1256C"/>
    <w:rsid w:val="00D12BEC"/>
    <w:rsid w:val="00D12C7B"/>
    <w:rsid w:val="00D13522"/>
    <w:rsid w:val="00D148B9"/>
    <w:rsid w:val="00D16664"/>
    <w:rsid w:val="00D16731"/>
    <w:rsid w:val="00D204A7"/>
    <w:rsid w:val="00D21C0D"/>
    <w:rsid w:val="00D22F44"/>
    <w:rsid w:val="00D242A4"/>
    <w:rsid w:val="00D26803"/>
    <w:rsid w:val="00D268B5"/>
    <w:rsid w:val="00D27C89"/>
    <w:rsid w:val="00D305BF"/>
    <w:rsid w:val="00D3093D"/>
    <w:rsid w:val="00D3355F"/>
    <w:rsid w:val="00D33979"/>
    <w:rsid w:val="00D3445F"/>
    <w:rsid w:val="00D34461"/>
    <w:rsid w:val="00D34C1D"/>
    <w:rsid w:val="00D35146"/>
    <w:rsid w:val="00D3532E"/>
    <w:rsid w:val="00D37857"/>
    <w:rsid w:val="00D37E72"/>
    <w:rsid w:val="00D4001D"/>
    <w:rsid w:val="00D40A86"/>
    <w:rsid w:val="00D424F2"/>
    <w:rsid w:val="00D42B13"/>
    <w:rsid w:val="00D42E01"/>
    <w:rsid w:val="00D43B49"/>
    <w:rsid w:val="00D4454E"/>
    <w:rsid w:val="00D469C1"/>
    <w:rsid w:val="00D4720F"/>
    <w:rsid w:val="00D50EB6"/>
    <w:rsid w:val="00D5302D"/>
    <w:rsid w:val="00D53F3A"/>
    <w:rsid w:val="00D54074"/>
    <w:rsid w:val="00D5421F"/>
    <w:rsid w:val="00D54ACB"/>
    <w:rsid w:val="00D54EF4"/>
    <w:rsid w:val="00D55195"/>
    <w:rsid w:val="00D551DE"/>
    <w:rsid w:val="00D60437"/>
    <w:rsid w:val="00D60D46"/>
    <w:rsid w:val="00D6183D"/>
    <w:rsid w:val="00D61D73"/>
    <w:rsid w:val="00D61E48"/>
    <w:rsid w:val="00D621C3"/>
    <w:rsid w:val="00D625B8"/>
    <w:rsid w:val="00D6279C"/>
    <w:rsid w:val="00D62EB6"/>
    <w:rsid w:val="00D63CC6"/>
    <w:rsid w:val="00D63D92"/>
    <w:rsid w:val="00D64718"/>
    <w:rsid w:val="00D64923"/>
    <w:rsid w:val="00D65C02"/>
    <w:rsid w:val="00D6688E"/>
    <w:rsid w:val="00D66C10"/>
    <w:rsid w:val="00D66D28"/>
    <w:rsid w:val="00D74A6D"/>
    <w:rsid w:val="00D759C9"/>
    <w:rsid w:val="00D7620A"/>
    <w:rsid w:val="00D76344"/>
    <w:rsid w:val="00D76CF2"/>
    <w:rsid w:val="00D77BA2"/>
    <w:rsid w:val="00D8040E"/>
    <w:rsid w:val="00D8046B"/>
    <w:rsid w:val="00D80B7D"/>
    <w:rsid w:val="00D80CD6"/>
    <w:rsid w:val="00D80E3F"/>
    <w:rsid w:val="00D80E96"/>
    <w:rsid w:val="00D818D2"/>
    <w:rsid w:val="00D82A6B"/>
    <w:rsid w:val="00D83051"/>
    <w:rsid w:val="00D83CDA"/>
    <w:rsid w:val="00D84321"/>
    <w:rsid w:val="00D84D7B"/>
    <w:rsid w:val="00D85402"/>
    <w:rsid w:val="00D869A3"/>
    <w:rsid w:val="00D86F35"/>
    <w:rsid w:val="00D90001"/>
    <w:rsid w:val="00D90D82"/>
    <w:rsid w:val="00D91753"/>
    <w:rsid w:val="00D93481"/>
    <w:rsid w:val="00D93E0D"/>
    <w:rsid w:val="00DA0216"/>
    <w:rsid w:val="00DA0C65"/>
    <w:rsid w:val="00DA18B5"/>
    <w:rsid w:val="00DA1A18"/>
    <w:rsid w:val="00DA33C1"/>
    <w:rsid w:val="00DA4EAA"/>
    <w:rsid w:val="00DA5408"/>
    <w:rsid w:val="00DA57BD"/>
    <w:rsid w:val="00DA6C07"/>
    <w:rsid w:val="00DB0C30"/>
    <w:rsid w:val="00DB1ECE"/>
    <w:rsid w:val="00DB31A6"/>
    <w:rsid w:val="00DB495E"/>
    <w:rsid w:val="00DB6EF9"/>
    <w:rsid w:val="00DB77E9"/>
    <w:rsid w:val="00DC1EC0"/>
    <w:rsid w:val="00DC2D12"/>
    <w:rsid w:val="00DC4EEF"/>
    <w:rsid w:val="00DC5CCB"/>
    <w:rsid w:val="00DC6C76"/>
    <w:rsid w:val="00DC70C7"/>
    <w:rsid w:val="00DC79E7"/>
    <w:rsid w:val="00DD1437"/>
    <w:rsid w:val="00DD4D94"/>
    <w:rsid w:val="00DD505E"/>
    <w:rsid w:val="00DD5728"/>
    <w:rsid w:val="00DD7E77"/>
    <w:rsid w:val="00DE02BD"/>
    <w:rsid w:val="00DE152A"/>
    <w:rsid w:val="00DE1AE2"/>
    <w:rsid w:val="00DE1E32"/>
    <w:rsid w:val="00DE1F73"/>
    <w:rsid w:val="00DE1FFA"/>
    <w:rsid w:val="00DE2B6E"/>
    <w:rsid w:val="00DE2CC0"/>
    <w:rsid w:val="00DE3A18"/>
    <w:rsid w:val="00DE3F6A"/>
    <w:rsid w:val="00DE3FBF"/>
    <w:rsid w:val="00DE4B92"/>
    <w:rsid w:val="00DE5997"/>
    <w:rsid w:val="00DE69CB"/>
    <w:rsid w:val="00DE6B22"/>
    <w:rsid w:val="00DE7C2A"/>
    <w:rsid w:val="00DF0232"/>
    <w:rsid w:val="00DF067C"/>
    <w:rsid w:val="00DF1CF8"/>
    <w:rsid w:val="00DF2393"/>
    <w:rsid w:val="00DF2FF9"/>
    <w:rsid w:val="00DF33C6"/>
    <w:rsid w:val="00DF38A5"/>
    <w:rsid w:val="00DF3F03"/>
    <w:rsid w:val="00DF44C6"/>
    <w:rsid w:val="00DF47EB"/>
    <w:rsid w:val="00DF4E45"/>
    <w:rsid w:val="00E011E8"/>
    <w:rsid w:val="00E0194C"/>
    <w:rsid w:val="00E01FC1"/>
    <w:rsid w:val="00E0203A"/>
    <w:rsid w:val="00E0223D"/>
    <w:rsid w:val="00E0274E"/>
    <w:rsid w:val="00E02752"/>
    <w:rsid w:val="00E032A9"/>
    <w:rsid w:val="00E03447"/>
    <w:rsid w:val="00E044C1"/>
    <w:rsid w:val="00E04D4F"/>
    <w:rsid w:val="00E05176"/>
    <w:rsid w:val="00E054BE"/>
    <w:rsid w:val="00E0672B"/>
    <w:rsid w:val="00E07735"/>
    <w:rsid w:val="00E10B22"/>
    <w:rsid w:val="00E10DA2"/>
    <w:rsid w:val="00E14743"/>
    <w:rsid w:val="00E14D50"/>
    <w:rsid w:val="00E157F7"/>
    <w:rsid w:val="00E16105"/>
    <w:rsid w:val="00E16206"/>
    <w:rsid w:val="00E16874"/>
    <w:rsid w:val="00E17276"/>
    <w:rsid w:val="00E201FE"/>
    <w:rsid w:val="00E2118E"/>
    <w:rsid w:val="00E21B45"/>
    <w:rsid w:val="00E21F0C"/>
    <w:rsid w:val="00E2427D"/>
    <w:rsid w:val="00E2567A"/>
    <w:rsid w:val="00E263EB"/>
    <w:rsid w:val="00E266A5"/>
    <w:rsid w:val="00E32E0E"/>
    <w:rsid w:val="00E32F59"/>
    <w:rsid w:val="00E369FC"/>
    <w:rsid w:val="00E3783F"/>
    <w:rsid w:val="00E378C7"/>
    <w:rsid w:val="00E403C3"/>
    <w:rsid w:val="00E40715"/>
    <w:rsid w:val="00E40E9E"/>
    <w:rsid w:val="00E40EC0"/>
    <w:rsid w:val="00E41541"/>
    <w:rsid w:val="00E45043"/>
    <w:rsid w:val="00E46916"/>
    <w:rsid w:val="00E47E25"/>
    <w:rsid w:val="00E50653"/>
    <w:rsid w:val="00E50983"/>
    <w:rsid w:val="00E51AD8"/>
    <w:rsid w:val="00E5271E"/>
    <w:rsid w:val="00E530A0"/>
    <w:rsid w:val="00E54C1A"/>
    <w:rsid w:val="00E54C8B"/>
    <w:rsid w:val="00E56F1F"/>
    <w:rsid w:val="00E627B3"/>
    <w:rsid w:val="00E63A28"/>
    <w:rsid w:val="00E63E3A"/>
    <w:rsid w:val="00E63ED3"/>
    <w:rsid w:val="00E642FF"/>
    <w:rsid w:val="00E652F4"/>
    <w:rsid w:val="00E65398"/>
    <w:rsid w:val="00E668F9"/>
    <w:rsid w:val="00E66D53"/>
    <w:rsid w:val="00E71A91"/>
    <w:rsid w:val="00E73CF8"/>
    <w:rsid w:val="00E73D74"/>
    <w:rsid w:val="00E7447C"/>
    <w:rsid w:val="00E74783"/>
    <w:rsid w:val="00E74DCC"/>
    <w:rsid w:val="00E75468"/>
    <w:rsid w:val="00E75EDA"/>
    <w:rsid w:val="00E76A8A"/>
    <w:rsid w:val="00E8179A"/>
    <w:rsid w:val="00E82B65"/>
    <w:rsid w:val="00E8421B"/>
    <w:rsid w:val="00E85E8F"/>
    <w:rsid w:val="00E904E7"/>
    <w:rsid w:val="00E909D2"/>
    <w:rsid w:val="00E91513"/>
    <w:rsid w:val="00E92809"/>
    <w:rsid w:val="00E92A05"/>
    <w:rsid w:val="00E92BF1"/>
    <w:rsid w:val="00E94CEF"/>
    <w:rsid w:val="00E95F84"/>
    <w:rsid w:val="00E96C93"/>
    <w:rsid w:val="00EA1E91"/>
    <w:rsid w:val="00EA26CD"/>
    <w:rsid w:val="00EA2809"/>
    <w:rsid w:val="00EA2E18"/>
    <w:rsid w:val="00EA52A3"/>
    <w:rsid w:val="00EA6CC8"/>
    <w:rsid w:val="00EA70F3"/>
    <w:rsid w:val="00EA7678"/>
    <w:rsid w:val="00EA76AF"/>
    <w:rsid w:val="00EA777F"/>
    <w:rsid w:val="00EA7969"/>
    <w:rsid w:val="00EB0789"/>
    <w:rsid w:val="00EB0832"/>
    <w:rsid w:val="00EB2AE6"/>
    <w:rsid w:val="00EB4F85"/>
    <w:rsid w:val="00EB57D5"/>
    <w:rsid w:val="00EB5847"/>
    <w:rsid w:val="00EB644C"/>
    <w:rsid w:val="00EB66F6"/>
    <w:rsid w:val="00EB762F"/>
    <w:rsid w:val="00EC0000"/>
    <w:rsid w:val="00EC283D"/>
    <w:rsid w:val="00EC56EF"/>
    <w:rsid w:val="00EC5AF0"/>
    <w:rsid w:val="00EC6C3E"/>
    <w:rsid w:val="00ED05FB"/>
    <w:rsid w:val="00ED082F"/>
    <w:rsid w:val="00ED1900"/>
    <w:rsid w:val="00ED2D3D"/>
    <w:rsid w:val="00ED3785"/>
    <w:rsid w:val="00ED39A3"/>
    <w:rsid w:val="00ED3BD6"/>
    <w:rsid w:val="00ED4642"/>
    <w:rsid w:val="00ED5F0C"/>
    <w:rsid w:val="00ED678C"/>
    <w:rsid w:val="00EE0D95"/>
    <w:rsid w:val="00EE0E2C"/>
    <w:rsid w:val="00EE0FD6"/>
    <w:rsid w:val="00EE33DF"/>
    <w:rsid w:val="00EE4304"/>
    <w:rsid w:val="00EE5842"/>
    <w:rsid w:val="00EE68DF"/>
    <w:rsid w:val="00EE7159"/>
    <w:rsid w:val="00EE76FE"/>
    <w:rsid w:val="00EE774D"/>
    <w:rsid w:val="00EE7B14"/>
    <w:rsid w:val="00EF04B4"/>
    <w:rsid w:val="00EF0F3E"/>
    <w:rsid w:val="00EF23F8"/>
    <w:rsid w:val="00EF3A1B"/>
    <w:rsid w:val="00EF48B1"/>
    <w:rsid w:val="00EF4F98"/>
    <w:rsid w:val="00EF71E1"/>
    <w:rsid w:val="00F001EE"/>
    <w:rsid w:val="00F00501"/>
    <w:rsid w:val="00F013D8"/>
    <w:rsid w:val="00F0148E"/>
    <w:rsid w:val="00F0680E"/>
    <w:rsid w:val="00F07135"/>
    <w:rsid w:val="00F07158"/>
    <w:rsid w:val="00F0765C"/>
    <w:rsid w:val="00F07739"/>
    <w:rsid w:val="00F10333"/>
    <w:rsid w:val="00F11A17"/>
    <w:rsid w:val="00F11E8F"/>
    <w:rsid w:val="00F1328A"/>
    <w:rsid w:val="00F13FE5"/>
    <w:rsid w:val="00F142A4"/>
    <w:rsid w:val="00F14527"/>
    <w:rsid w:val="00F1588A"/>
    <w:rsid w:val="00F1674A"/>
    <w:rsid w:val="00F167CF"/>
    <w:rsid w:val="00F215EB"/>
    <w:rsid w:val="00F249F4"/>
    <w:rsid w:val="00F30F6E"/>
    <w:rsid w:val="00F31304"/>
    <w:rsid w:val="00F31595"/>
    <w:rsid w:val="00F31E30"/>
    <w:rsid w:val="00F33933"/>
    <w:rsid w:val="00F33E19"/>
    <w:rsid w:val="00F348FB"/>
    <w:rsid w:val="00F353DF"/>
    <w:rsid w:val="00F355D6"/>
    <w:rsid w:val="00F361B2"/>
    <w:rsid w:val="00F40008"/>
    <w:rsid w:val="00F417A9"/>
    <w:rsid w:val="00F41DC6"/>
    <w:rsid w:val="00F42549"/>
    <w:rsid w:val="00F42FF6"/>
    <w:rsid w:val="00F4354C"/>
    <w:rsid w:val="00F43A0B"/>
    <w:rsid w:val="00F43C1E"/>
    <w:rsid w:val="00F4498F"/>
    <w:rsid w:val="00F4656D"/>
    <w:rsid w:val="00F46FA6"/>
    <w:rsid w:val="00F47762"/>
    <w:rsid w:val="00F50440"/>
    <w:rsid w:val="00F510AE"/>
    <w:rsid w:val="00F53098"/>
    <w:rsid w:val="00F53A51"/>
    <w:rsid w:val="00F53F57"/>
    <w:rsid w:val="00F5662D"/>
    <w:rsid w:val="00F573F3"/>
    <w:rsid w:val="00F603E5"/>
    <w:rsid w:val="00F604F3"/>
    <w:rsid w:val="00F61427"/>
    <w:rsid w:val="00F6171F"/>
    <w:rsid w:val="00F621BC"/>
    <w:rsid w:val="00F64306"/>
    <w:rsid w:val="00F64327"/>
    <w:rsid w:val="00F6456E"/>
    <w:rsid w:val="00F66065"/>
    <w:rsid w:val="00F6654C"/>
    <w:rsid w:val="00F66D81"/>
    <w:rsid w:val="00F6727B"/>
    <w:rsid w:val="00F67846"/>
    <w:rsid w:val="00F70418"/>
    <w:rsid w:val="00F70D95"/>
    <w:rsid w:val="00F70E77"/>
    <w:rsid w:val="00F71912"/>
    <w:rsid w:val="00F72898"/>
    <w:rsid w:val="00F7652E"/>
    <w:rsid w:val="00F77B9F"/>
    <w:rsid w:val="00F80C16"/>
    <w:rsid w:val="00F80E83"/>
    <w:rsid w:val="00F80F9A"/>
    <w:rsid w:val="00F83D0E"/>
    <w:rsid w:val="00F8458D"/>
    <w:rsid w:val="00F84B75"/>
    <w:rsid w:val="00F84D31"/>
    <w:rsid w:val="00F85166"/>
    <w:rsid w:val="00F8524F"/>
    <w:rsid w:val="00F854AD"/>
    <w:rsid w:val="00F866AD"/>
    <w:rsid w:val="00F872C6"/>
    <w:rsid w:val="00F91245"/>
    <w:rsid w:val="00F9186A"/>
    <w:rsid w:val="00F92FA1"/>
    <w:rsid w:val="00F948E5"/>
    <w:rsid w:val="00F94EEE"/>
    <w:rsid w:val="00F9565B"/>
    <w:rsid w:val="00FA2983"/>
    <w:rsid w:val="00FA2A4C"/>
    <w:rsid w:val="00FA32FA"/>
    <w:rsid w:val="00FA3752"/>
    <w:rsid w:val="00FA53A8"/>
    <w:rsid w:val="00FA5483"/>
    <w:rsid w:val="00FA7B97"/>
    <w:rsid w:val="00FB0B5B"/>
    <w:rsid w:val="00FB1A17"/>
    <w:rsid w:val="00FB1A84"/>
    <w:rsid w:val="00FB2546"/>
    <w:rsid w:val="00FB447F"/>
    <w:rsid w:val="00FB4B31"/>
    <w:rsid w:val="00FB4D68"/>
    <w:rsid w:val="00FB6521"/>
    <w:rsid w:val="00FB6D64"/>
    <w:rsid w:val="00FB73D8"/>
    <w:rsid w:val="00FB7E5B"/>
    <w:rsid w:val="00FC0040"/>
    <w:rsid w:val="00FC044B"/>
    <w:rsid w:val="00FC1617"/>
    <w:rsid w:val="00FC2063"/>
    <w:rsid w:val="00FC298A"/>
    <w:rsid w:val="00FC3DEC"/>
    <w:rsid w:val="00FC4C20"/>
    <w:rsid w:val="00FC6CCC"/>
    <w:rsid w:val="00FC755A"/>
    <w:rsid w:val="00FC78EE"/>
    <w:rsid w:val="00FD245B"/>
    <w:rsid w:val="00FD574B"/>
    <w:rsid w:val="00FE0491"/>
    <w:rsid w:val="00FE104F"/>
    <w:rsid w:val="00FE2D9A"/>
    <w:rsid w:val="00FE461D"/>
    <w:rsid w:val="00FE6DC4"/>
    <w:rsid w:val="00FF0554"/>
    <w:rsid w:val="00FF05E2"/>
    <w:rsid w:val="00FF1904"/>
    <w:rsid w:val="00FF2559"/>
    <w:rsid w:val="00FF311E"/>
    <w:rsid w:val="00FF55E0"/>
    <w:rsid w:val="00FF5626"/>
    <w:rsid w:val="00FF5938"/>
    <w:rsid w:val="00FF68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D688"/>
  <w15:docId w15:val="{FCB3D899-A3B7-48CC-8B53-81D3C43A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08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512D"/>
    <w:pPr>
      <w:keepNext/>
      <w:keepLines/>
      <w:numPr>
        <w:ilvl w:val="1"/>
        <w:numId w:val="1"/>
      </w:numPr>
      <w:jc w:val="both"/>
      <w:outlineLvl w:val="1"/>
    </w:pPr>
    <w:rPr>
      <w:rFonts w:eastAsiaTheme="majorEastAsia"/>
      <w:b/>
    </w:rPr>
  </w:style>
  <w:style w:type="paragraph" w:styleId="Heading3">
    <w:name w:val="heading 3"/>
    <w:basedOn w:val="Normal"/>
    <w:next w:val="Normal"/>
    <w:link w:val="Heading3Char"/>
    <w:uiPriority w:val="9"/>
    <w:unhideWhenUsed/>
    <w:qFormat/>
    <w:rsid w:val="007E3C5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57D5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B0C3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8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512D"/>
    <w:rPr>
      <w:rFonts w:eastAsiaTheme="majorEastAsia"/>
      <w:b/>
    </w:rPr>
  </w:style>
  <w:style w:type="character" w:customStyle="1" w:styleId="Heading3Char">
    <w:name w:val="Heading 3 Char"/>
    <w:basedOn w:val="DefaultParagraphFont"/>
    <w:link w:val="Heading3"/>
    <w:uiPriority w:val="9"/>
    <w:rsid w:val="007E3C55"/>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857D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B0C3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E0817"/>
    <w:pPr>
      <w:ind w:left="720"/>
      <w:contextualSpacing/>
    </w:pPr>
  </w:style>
  <w:style w:type="paragraph" w:styleId="TOCHeading">
    <w:name w:val="TOC Heading"/>
    <w:basedOn w:val="Heading1"/>
    <w:next w:val="Normal"/>
    <w:uiPriority w:val="39"/>
    <w:unhideWhenUsed/>
    <w:qFormat/>
    <w:rsid w:val="00BE0817"/>
    <w:pPr>
      <w:spacing w:line="259" w:lineRule="auto"/>
      <w:outlineLvl w:val="9"/>
    </w:pPr>
    <w:rPr>
      <w:lang w:eastAsia="hr-HR"/>
    </w:rPr>
  </w:style>
  <w:style w:type="paragraph" w:styleId="TOC2">
    <w:name w:val="toc 2"/>
    <w:basedOn w:val="Normal"/>
    <w:next w:val="Normal"/>
    <w:autoRedefine/>
    <w:uiPriority w:val="39"/>
    <w:unhideWhenUsed/>
    <w:rsid w:val="00761B90"/>
    <w:pPr>
      <w:tabs>
        <w:tab w:val="left" w:pos="880"/>
        <w:tab w:val="right" w:leader="dot" w:pos="9060"/>
      </w:tabs>
      <w:ind w:left="901" w:hanging="680"/>
    </w:pPr>
    <w:rPr>
      <w:rFonts w:asciiTheme="minorHAnsi" w:eastAsiaTheme="minorEastAsia" w:hAnsiTheme="minorHAnsi"/>
      <w:sz w:val="22"/>
      <w:szCs w:val="22"/>
      <w:lang w:eastAsia="hr-HR"/>
    </w:rPr>
  </w:style>
  <w:style w:type="paragraph" w:styleId="TOC1">
    <w:name w:val="toc 1"/>
    <w:basedOn w:val="Normal"/>
    <w:next w:val="Normal"/>
    <w:autoRedefine/>
    <w:uiPriority w:val="39"/>
    <w:unhideWhenUsed/>
    <w:rsid w:val="00BE0817"/>
    <w:pPr>
      <w:spacing w:after="100" w:line="259" w:lineRule="auto"/>
    </w:pPr>
    <w:rPr>
      <w:rFonts w:asciiTheme="minorHAnsi" w:eastAsiaTheme="minorEastAsia" w:hAnsiTheme="minorHAnsi"/>
      <w:sz w:val="22"/>
      <w:szCs w:val="22"/>
      <w:lang w:eastAsia="hr-HR"/>
    </w:rPr>
  </w:style>
  <w:style w:type="paragraph" w:styleId="TOC3">
    <w:name w:val="toc 3"/>
    <w:basedOn w:val="Normal"/>
    <w:next w:val="Normal"/>
    <w:autoRedefine/>
    <w:uiPriority w:val="39"/>
    <w:unhideWhenUsed/>
    <w:rsid w:val="00BE0817"/>
    <w:pPr>
      <w:spacing w:after="100" w:line="259" w:lineRule="auto"/>
      <w:ind w:left="440"/>
    </w:pPr>
    <w:rPr>
      <w:rFonts w:asciiTheme="minorHAnsi" w:eastAsiaTheme="minorEastAsia" w:hAnsiTheme="minorHAnsi"/>
      <w:sz w:val="22"/>
      <w:szCs w:val="22"/>
      <w:lang w:eastAsia="hr-HR"/>
    </w:rPr>
  </w:style>
  <w:style w:type="character" w:styleId="Hyperlink">
    <w:name w:val="Hyperlink"/>
    <w:basedOn w:val="DefaultParagraphFont"/>
    <w:uiPriority w:val="99"/>
    <w:unhideWhenUsed/>
    <w:rsid w:val="007E3C55"/>
    <w:rPr>
      <w:color w:val="0563C1" w:themeColor="hyperlink"/>
      <w:u w:val="single"/>
    </w:rPr>
  </w:style>
  <w:style w:type="paragraph" w:styleId="Footer">
    <w:name w:val="footer"/>
    <w:basedOn w:val="Normal"/>
    <w:link w:val="FooterChar"/>
    <w:uiPriority w:val="99"/>
    <w:rsid w:val="002314F7"/>
    <w:pPr>
      <w:tabs>
        <w:tab w:val="center" w:pos="4536"/>
        <w:tab w:val="right" w:pos="9072"/>
      </w:tabs>
      <w:jc w:val="both"/>
    </w:pPr>
    <w:rPr>
      <w:rFonts w:eastAsia="Times New Roman"/>
      <w:color w:val="000000"/>
      <w:lang w:eastAsia="hr-HR"/>
    </w:rPr>
  </w:style>
  <w:style w:type="character" w:customStyle="1" w:styleId="FooterChar">
    <w:name w:val="Footer Char"/>
    <w:basedOn w:val="DefaultParagraphFont"/>
    <w:link w:val="Footer"/>
    <w:uiPriority w:val="99"/>
    <w:rsid w:val="002314F7"/>
    <w:rPr>
      <w:rFonts w:eastAsia="Times New Roman"/>
      <w:color w:val="000000"/>
      <w:lang w:eastAsia="hr-HR"/>
    </w:rPr>
  </w:style>
  <w:style w:type="paragraph" w:styleId="Header">
    <w:name w:val="header"/>
    <w:basedOn w:val="Normal"/>
    <w:link w:val="HeaderChar"/>
    <w:uiPriority w:val="99"/>
    <w:rsid w:val="002314F7"/>
    <w:pPr>
      <w:tabs>
        <w:tab w:val="center" w:pos="4703"/>
        <w:tab w:val="right" w:pos="9406"/>
      </w:tabs>
      <w:jc w:val="both"/>
    </w:pPr>
    <w:rPr>
      <w:rFonts w:eastAsia="Times New Roman"/>
    </w:rPr>
  </w:style>
  <w:style w:type="character" w:customStyle="1" w:styleId="HeaderChar">
    <w:name w:val="Header Char"/>
    <w:basedOn w:val="DefaultParagraphFont"/>
    <w:link w:val="Header"/>
    <w:uiPriority w:val="99"/>
    <w:rsid w:val="002314F7"/>
    <w:rPr>
      <w:rFonts w:eastAsia="Times New Roman"/>
    </w:rPr>
  </w:style>
  <w:style w:type="paragraph" w:customStyle="1" w:styleId="t-10-9-kurz-s">
    <w:name w:val="t-10-9-kurz-s"/>
    <w:basedOn w:val="Normal"/>
    <w:rsid w:val="00857D5E"/>
    <w:pPr>
      <w:spacing w:before="100" w:beforeAutospacing="1" w:after="100" w:afterAutospacing="1"/>
      <w:jc w:val="center"/>
    </w:pPr>
    <w:rPr>
      <w:rFonts w:eastAsia="Times New Roman"/>
      <w:i/>
      <w:iCs/>
      <w:sz w:val="26"/>
      <w:szCs w:val="26"/>
      <w:lang w:eastAsia="hr-HR"/>
    </w:rPr>
  </w:style>
  <w:style w:type="paragraph" w:styleId="FootnoteText">
    <w:name w:val="footnote text"/>
    <w:basedOn w:val="Normal"/>
    <w:link w:val="FootnoteTextChar"/>
    <w:uiPriority w:val="99"/>
    <w:rsid w:val="00857D5E"/>
    <w:pPr>
      <w:jc w:val="both"/>
    </w:pPr>
    <w:rPr>
      <w:rFonts w:ascii="Arial" w:eastAsia="Times New Roman" w:hAnsi="Arial" w:cs="Arial"/>
      <w:b/>
      <w:bCs/>
      <w:kern w:val="32"/>
      <w:sz w:val="20"/>
      <w:szCs w:val="20"/>
    </w:rPr>
  </w:style>
  <w:style w:type="character" w:customStyle="1" w:styleId="FootnoteTextChar">
    <w:name w:val="Footnote Text Char"/>
    <w:basedOn w:val="DefaultParagraphFont"/>
    <w:link w:val="FootnoteText"/>
    <w:uiPriority w:val="99"/>
    <w:rsid w:val="00857D5E"/>
    <w:rPr>
      <w:rFonts w:ascii="Arial" w:eastAsia="Times New Roman" w:hAnsi="Arial" w:cs="Arial"/>
      <w:b/>
      <w:bCs/>
      <w:kern w:val="32"/>
      <w:sz w:val="20"/>
      <w:szCs w:val="20"/>
    </w:rPr>
  </w:style>
  <w:style w:type="character" w:styleId="FootnoteReference">
    <w:name w:val="footnote reference"/>
    <w:uiPriority w:val="99"/>
    <w:semiHidden/>
    <w:rsid w:val="00857D5E"/>
    <w:rPr>
      <w:vertAlign w:val="superscript"/>
    </w:rPr>
  </w:style>
  <w:style w:type="paragraph" w:customStyle="1" w:styleId="t-9-8">
    <w:name w:val="t-9-8"/>
    <w:basedOn w:val="Normal"/>
    <w:rsid w:val="00857D5E"/>
    <w:pPr>
      <w:spacing w:before="100" w:beforeAutospacing="1" w:after="100" w:afterAutospacing="1"/>
      <w:jc w:val="both"/>
    </w:pPr>
    <w:rPr>
      <w:rFonts w:eastAsia="Times New Roman"/>
      <w:lang w:val="en-US"/>
    </w:rPr>
  </w:style>
  <w:style w:type="character" w:customStyle="1" w:styleId="kurziv">
    <w:name w:val="kurziv"/>
    <w:basedOn w:val="DefaultParagraphFont"/>
    <w:rsid w:val="00857D5E"/>
    <w:rPr>
      <w:rFonts w:cs="Times New Roman"/>
    </w:rPr>
  </w:style>
  <w:style w:type="paragraph" w:styleId="BodyText3">
    <w:name w:val="Body Text 3"/>
    <w:basedOn w:val="Normal"/>
    <w:link w:val="BodyText3Char"/>
    <w:rsid w:val="00CC2841"/>
    <w:pPr>
      <w:spacing w:after="120"/>
      <w:jc w:val="both"/>
    </w:pPr>
    <w:rPr>
      <w:rFonts w:eastAsia="Times New Roman"/>
      <w:sz w:val="16"/>
      <w:szCs w:val="16"/>
    </w:rPr>
  </w:style>
  <w:style w:type="character" w:customStyle="1" w:styleId="BodyText3Char">
    <w:name w:val="Body Text 3 Char"/>
    <w:basedOn w:val="DefaultParagraphFont"/>
    <w:link w:val="BodyText3"/>
    <w:rsid w:val="00CC2841"/>
    <w:rPr>
      <w:rFonts w:eastAsia="Times New Roman"/>
      <w:sz w:val="16"/>
      <w:szCs w:val="16"/>
    </w:rPr>
  </w:style>
  <w:style w:type="paragraph" w:customStyle="1" w:styleId="Default">
    <w:name w:val="Default"/>
    <w:basedOn w:val="Normal"/>
    <w:rsid w:val="00CC2841"/>
    <w:pPr>
      <w:autoSpaceDE w:val="0"/>
      <w:autoSpaceDN w:val="0"/>
      <w:jc w:val="both"/>
    </w:pPr>
    <w:rPr>
      <w:rFonts w:eastAsia="Times New Roman"/>
      <w:color w:val="000000"/>
      <w:lang w:val="en-US"/>
    </w:rPr>
  </w:style>
  <w:style w:type="paragraph" w:styleId="Title">
    <w:name w:val="Title"/>
    <w:basedOn w:val="Normal"/>
    <w:next w:val="Normal"/>
    <w:link w:val="TitleChar"/>
    <w:qFormat/>
    <w:rsid w:val="00CC2841"/>
    <w:pPr>
      <w:pBdr>
        <w:bottom w:val="single" w:sz="8" w:space="4" w:color="5B9BD5"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CC2841"/>
    <w:rPr>
      <w:rFonts w:asciiTheme="majorHAnsi" w:eastAsiaTheme="majorEastAsia" w:hAnsiTheme="majorHAnsi" w:cstheme="majorBidi"/>
      <w:color w:val="323E4F" w:themeColor="text2" w:themeShade="BF"/>
      <w:spacing w:val="5"/>
      <w:kern w:val="28"/>
      <w:sz w:val="52"/>
      <w:szCs w:val="52"/>
    </w:rPr>
  </w:style>
  <w:style w:type="paragraph" w:customStyle="1" w:styleId="T-98-2">
    <w:name w:val="T-9/8-2"/>
    <w:rsid w:val="00BC66CE"/>
    <w:pPr>
      <w:widowControl w:val="0"/>
      <w:tabs>
        <w:tab w:val="left" w:pos="2153"/>
      </w:tabs>
      <w:adjustRightInd w:val="0"/>
      <w:spacing w:after="43"/>
      <w:ind w:firstLine="342"/>
      <w:jc w:val="both"/>
    </w:pPr>
    <w:rPr>
      <w:rFonts w:ascii="Times-NewRoman" w:eastAsia="Times New Roman" w:hAnsi="Times-NewRoman"/>
      <w:sz w:val="19"/>
      <w:szCs w:val="19"/>
      <w:lang w:val="en-US"/>
    </w:rPr>
  </w:style>
  <w:style w:type="paragraph" w:customStyle="1" w:styleId="T-109sred">
    <w:name w:val="T-10/9 sred"/>
    <w:rsid w:val="00BC66CE"/>
    <w:pPr>
      <w:widowControl w:val="0"/>
      <w:autoSpaceDE w:val="0"/>
      <w:autoSpaceDN w:val="0"/>
      <w:adjustRightInd w:val="0"/>
      <w:spacing w:before="85" w:after="43"/>
      <w:jc w:val="center"/>
    </w:pPr>
    <w:rPr>
      <w:rFonts w:ascii="Times-NewRoman" w:eastAsia="Times New Roman" w:hAnsi="Times-NewRoman"/>
      <w:sz w:val="21"/>
      <w:szCs w:val="21"/>
      <w:lang w:val="en-GB"/>
    </w:rPr>
  </w:style>
  <w:style w:type="character" w:styleId="Strong">
    <w:name w:val="Strong"/>
    <w:uiPriority w:val="22"/>
    <w:qFormat/>
    <w:rsid w:val="00995EF4"/>
    <w:rPr>
      <w:b/>
      <w:bCs/>
    </w:rPr>
  </w:style>
  <w:style w:type="paragraph" w:customStyle="1" w:styleId="T-129sred">
    <w:name w:val="T-12/9 sred"/>
    <w:rsid w:val="00995EF4"/>
    <w:pPr>
      <w:widowControl w:val="0"/>
      <w:autoSpaceDE w:val="0"/>
      <w:autoSpaceDN w:val="0"/>
      <w:adjustRightInd w:val="0"/>
      <w:spacing w:before="128" w:after="43"/>
      <w:jc w:val="center"/>
    </w:pPr>
    <w:rPr>
      <w:rFonts w:ascii="Times-NewRoman" w:eastAsia="Times New Roman" w:hAnsi="Times-NewRoman"/>
      <w:sz w:val="25"/>
      <w:szCs w:val="25"/>
      <w:lang w:val="en-US"/>
    </w:rPr>
  </w:style>
  <w:style w:type="paragraph" w:styleId="BalloonText">
    <w:name w:val="Balloon Text"/>
    <w:basedOn w:val="Normal"/>
    <w:link w:val="BalloonTextChar"/>
    <w:uiPriority w:val="99"/>
    <w:semiHidden/>
    <w:unhideWhenUsed/>
    <w:rsid w:val="00EF0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3E"/>
    <w:rPr>
      <w:rFonts w:ascii="Segoe UI" w:hAnsi="Segoe UI" w:cs="Segoe UI"/>
      <w:sz w:val="18"/>
      <w:szCs w:val="18"/>
    </w:rPr>
  </w:style>
  <w:style w:type="table" w:styleId="TableGrid">
    <w:name w:val="Table Grid"/>
    <w:basedOn w:val="TableNormal"/>
    <w:rsid w:val="00B2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20BC"/>
    <w:rPr>
      <w:color w:val="954F72" w:themeColor="followedHyperlink"/>
      <w:u w:val="single"/>
    </w:rPr>
  </w:style>
  <w:style w:type="paragraph" w:customStyle="1" w:styleId="CM4">
    <w:name w:val="CM4"/>
    <w:basedOn w:val="Normal"/>
    <w:next w:val="Normal"/>
    <w:uiPriority w:val="99"/>
    <w:rsid w:val="008A1BD1"/>
    <w:pPr>
      <w:autoSpaceDE w:val="0"/>
      <w:autoSpaceDN w:val="0"/>
      <w:adjustRightInd w:val="0"/>
    </w:pPr>
    <w:rPr>
      <w:rFonts w:ascii="EUAlbertina" w:eastAsia="Times New Roman" w:hAnsi="EUAlbertina"/>
      <w:lang w:eastAsia="hr-HR"/>
    </w:rPr>
  </w:style>
  <w:style w:type="character" w:styleId="CommentReference">
    <w:name w:val="annotation reference"/>
    <w:basedOn w:val="DefaultParagraphFont"/>
    <w:uiPriority w:val="99"/>
    <w:semiHidden/>
    <w:unhideWhenUsed/>
    <w:rsid w:val="003B05B3"/>
    <w:rPr>
      <w:sz w:val="16"/>
      <w:szCs w:val="16"/>
    </w:rPr>
  </w:style>
  <w:style w:type="paragraph" w:styleId="CommentText">
    <w:name w:val="annotation text"/>
    <w:basedOn w:val="Normal"/>
    <w:link w:val="CommentTextChar"/>
    <w:uiPriority w:val="99"/>
    <w:semiHidden/>
    <w:unhideWhenUsed/>
    <w:rsid w:val="003B05B3"/>
    <w:rPr>
      <w:sz w:val="20"/>
      <w:szCs w:val="20"/>
    </w:rPr>
  </w:style>
  <w:style w:type="character" w:customStyle="1" w:styleId="CommentTextChar">
    <w:name w:val="Comment Text Char"/>
    <w:basedOn w:val="DefaultParagraphFont"/>
    <w:link w:val="CommentText"/>
    <w:uiPriority w:val="99"/>
    <w:semiHidden/>
    <w:rsid w:val="003B05B3"/>
    <w:rPr>
      <w:sz w:val="20"/>
      <w:szCs w:val="20"/>
    </w:rPr>
  </w:style>
  <w:style w:type="paragraph" w:styleId="CommentSubject">
    <w:name w:val="annotation subject"/>
    <w:basedOn w:val="CommentText"/>
    <w:next w:val="CommentText"/>
    <w:link w:val="CommentSubjectChar"/>
    <w:uiPriority w:val="99"/>
    <w:semiHidden/>
    <w:unhideWhenUsed/>
    <w:rsid w:val="003B05B3"/>
    <w:rPr>
      <w:b/>
      <w:bCs/>
    </w:rPr>
  </w:style>
  <w:style w:type="character" w:customStyle="1" w:styleId="CommentSubjectChar">
    <w:name w:val="Comment Subject Char"/>
    <w:basedOn w:val="CommentTextChar"/>
    <w:link w:val="CommentSubject"/>
    <w:uiPriority w:val="99"/>
    <w:semiHidden/>
    <w:rsid w:val="003B05B3"/>
    <w:rPr>
      <w:b/>
      <w:bCs/>
      <w:sz w:val="20"/>
      <w:szCs w:val="20"/>
    </w:rPr>
  </w:style>
  <w:style w:type="paragraph" w:styleId="Revision">
    <w:name w:val="Revision"/>
    <w:hidden/>
    <w:uiPriority w:val="99"/>
    <w:semiHidden/>
    <w:rsid w:val="007765BA"/>
  </w:style>
  <w:style w:type="character" w:customStyle="1" w:styleId="wtoffscreen">
    <w:name w:val="wtoffscreen"/>
    <w:basedOn w:val="DefaultParagraphFont"/>
    <w:rsid w:val="00F9186A"/>
  </w:style>
  <w:style w:type="character" w:customStyle="1" w:styleId="allowtextselection">
    <w:name w:val="allowtextselection"/>
    <w:basedOn w:val="DefaultParagraphFont"/>
    <w:rsid w:val="007D59C5"/>
  </w:style>
  <w:style w:type="character" w:customStyle="1" w:styleId="pel">
    <w:name w:val="_pe_l"/>
    <w:basedOn w:val="DefaultParagraphFont"/>
    <w:rsid w:val="007D59C5"/>
  </w:style>
  <w:style w:type="character" w:customStyle="1" w:styleId="dbq">
    <w:name w:val="_db_q"/>
    <w:basedOn w:val="DefaultParagraphFont"/>
    <w:rsid w:val="007D59C5"/>
  </w:style>
  <w:style w:type="character" w:customStyle="1" w:styleId="summary-info-middle">
    <w:name w:val="summary-info-middle"/>
    <w:basedOn w:val="DefaultParagraphFont"/>
    <w:rsid w:val="00DE1E32"/>
  </w:style>
  <w:style w:type="paragraph" w:customStyle="1" w:styleId="NumPar2">
    <w:name w:val="NumPar 2"/>
    <w:basedOn w:val="Normal"/>
    <w:next w:val="Normal"/>
    <w:rsid w:val="008165ED"/>
    <w:pPr>
      <w:tabs>
        <w:tab w:val="num" w:pos="360"/>
      </w:tabs>
      <w:spacing w:before="120" w:after="120"/>
      <w:ind w:left="360" w:hanging="360"/>
      <w:jc w:val="both"/>
    </w:pPr>
    <w:rPr>
      <w:rFonts w:eastAsia="Times New Roman"/>
      <w:lang w:val="en-GB" w:eastAsia="en-GB"/>
    </w:rPr>
  </w:style>
  <w:style w:type="paragraph" w:styleId="NormalWeb">
    <w:name w:val="Normal (Web)"/>
    <w:basedOn w:val="Normal"/>
    <w:uiPriority w:val="99"/>
    <w:semiHidden/>
    <w:unhideWhenUsed/>
    <w:rsid w:val="0023464C"/>
    <w:pPr>
      <w:spacing w:before="100" w:beforeAutospacing="1" w:after="100" w:afterAutospacing="1"/>
    </w:pPr>
    <w:rPr>
      <w:rFonts w:eastAsia="Times New Roman"/>
      <w:lang w:eastAsia="hr-HR"/>
    </w:rPr>
  </w:style>
  <w:style w:type="character" w:customStyle="1" w:styleId="oj-italic">
    <w:name w:val="oj-italic"/>
    <w:basedOn w:val="DefaultParagraphFont"/>
    <w:rsid w:val="0057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462">
      <w:bodyDiv w:val="1"/>
      <w:marLeft w:val="0"/>
      <w:marRight w:val="0"/>
      <w:marTop w:val="0"/>
      <w:marBottom w:val="0"/>
      <w:divBdr>
        <w:top w:val="none" w:sz="0" w:space="0" w:color="auto"/>
        <w:left w:val="none" w:sz="0" w:space="0" w:color="auto"/>
        <w:bottom w:val="none" w:sz="0" w:space="0" w:color="auto"/>
        <w:right w:val="none" w:sz="0" w:space="0" w:color="auto"/>
      </w:divBdr>
    </w:div>
    <w:div w:id="4985103">
      <w:bodyDiv w:val="1"/>
      <w:marLeft w:val="0"/>
      <w:marRight w:val="0"/>
      <w:marTop w:val="0"/>
      <w:marBottom w:val="0"/>
      <w:divBdr>
        <w:top w:val="none" w:sz="0" w:space="0" w:color="auto"/>
        <w:left w:val="none" w:sz="0" w:space="0" w:color="auto"/>
        <w:bottom w:val="none" w:sz="0" w:space="0" w:color="auto"/>
        <w:right w:val="none" w:sz="0" w:space="0" w:color="auto"/>
      </w:divBdr>
    </w:div>
    <w:div w:id="8918368">
      <w:bodyDiv w:val="1"/>
      <w:marLeft w:val="0"/>
      <w:marRight w:val="0"/>
      <w:marTop w:val="0"/>
      <w:marBottom w:val="0"/>
      <w:divBdr>
        <w:top w:val="none" w:sz="0" w:space="0" w:color="auto"/>
        <w:left w:val="none" w:sz="0" w:space="0" w:color="auto"/>
        <w:bottom w:val="none" w:sz="0" w:space="0" w:color="auto"/>
        <w:right w:val="none" w:sz="0" w:space="0" w:color="auto"/>
      </w:divBdr>
    </w:div>
    <w:div w:id="9455853">
      <w:bodyDiv w:val="1"/>
      <w:marLeft w:val="0"/>
      <w:marRight w:val="0"/>
      <w:marTop w:val="0"/>
      <w:marBottom w:val="0"/>
      <w:divBdr>
        <w:top w:val="none" w:sz="0" w:space="0" w:color="auto"/>
        <w:left w:val="none" w:sz="0" w:space="0" w:color="auto"/>
        <w:bottom w:val="none" w:sz="0" w:space="0" w:color="auto"/>
        <w:right w:val="none" w:sz="0" w:space="0" w:color="auto"/>
      </w:divBdr>
    </w:div>
    <w:div w:id="15664260">
      <w:bodyDiv w:val="1"/>
      <w:marLeft w:val="0"/>
      <w:marRight w:val="0"/>
      <w:marTop w:val="0"/>
      <w:marBottom w:val="0"/>
      <w:divBdr>
        <w:top w:val="none" w:sz="0" w:space="0" w:color="auto"/>
        <w:left w:val="none" w:sz="0" w:space="0" w:color="auto"/>
        <w:bottom w:val="none" w:sz="0" w:space="0" w:color="auto"/>
        <w:right w:val="none" w:sz="0" w:space="0" w:color="auto"/>
      </w:divBdr>
    </w:div>
    <w:div w:id="17005644">
      <w:bodyDiv w:val="1"/>
      <w:marLeft w:val="0"/>
      <w:marRight w:val="0"/>
      <w:marTop w:val="0"/>
      <w:marBottom w:val="0"/>
      <w:divBdr>
        <w:top w:val="none" w:sz="0" w:space="0" w:color="auto"/>
        <w:left w:val="none" w:sz="0" w:space="0" w:color="auto"/>
        <w:bottom w:val="none" w:sz="0" w:space="0" w:color="auto"/>
        <w:right w:val="none" w:sz="0" w:space="0" w:color="auto"/>
      </w:divBdr>
    </w:div>
    <w:div w:id="17121494">
      <w:bodyDiv w:val="1"/>
      <w:marLeft w:val="0"/>
      <w:marRight w:val="0"/>
      <w:marTop w:val="0"/>
      <w:marBottom w:val="0"/>
      <w:divBdr>
        <w:top w:val="none" w:sz="0" w:space="0" w:color="auto"/>
        <w:left w:val="none" w:sz="0" w:space="0" w:color="auto"/>
        <w:bottom w:val="none" w:sz="0" w:space="0" w:color="auto"/>
        <w:right w:val="none" w:sz="0" w:space="0" w:color="auto"/>
      </w:divBdr>
    </w:div>
    <w:div w:id="19362249">
      <w:bodyDiv w:val="1"/>
      <w:marLeft w:val="0"/>
      <w:marRight w:val="0"/>
      <w:marTop w:val="0"/>
      <w:marBottom w:val="0"/>
      <w:divBdr>
        <w:top w:val="none" w:sz="0" w:space="0" w:color="auto"/>
        <w:left w:val="none" w:sz="0" w:space="0" w:color="auto"/>
        <w:bottom w:val="none" w:sz="0" w:space="0" w:color="auto"/>
        <w:right w:val="none" w:sz="0" w:space="0" w:color="auto"/>
      </w:divBdr>
    </w:div>
    <w:div w:id="20324388">
      <w:bodyDiv w:val="1"/>
      <w:marLeft w:val="0"/>
      <w:marRight w:val="0"/>
      <w:marTop w:val="0"/>
      <w:marBottom w:val="0"/>
      <w:divBdr>
        <w:top w:val="none" w:sz="0" w:space="0" w:color="auto"/>
        <w:left w:val="none" w:sz="0" w:space="0" w:color="auto"/>
        <w:bottom w:val="none" w:sz="0" w:space="0" w:color="auto"/>
        <w:right w:val="none" w:sz="0" w:space="0" w:color="auto"/>
      </w:divBdr>
    </w:div>
    <w:div w:id="24405716">
      <w:bodyDiv w:val="1"/>
      <w:marLeft w:val="0"/>
      <w:marRight w:val="0"/>
      <w:marTop w:val="0"/>
      <w:marBottom w:val="0"/>
      <w:divBdr>
        <w:top w:val="none" w:sz="0" w:space="0" w:color="auto"/>
        <w:left w:val="none" w:sz="0" w:space="0" w:color="auto"/>
        <w:bottom w:val="none" w:sz="0" w:space="0" w:color="auto"/>
        <w:right w:val="none" w:sz="0" w:space="0" w:color="auto"/>
      </w:divBdr>
    </w:div>
    <w:div w:id="28454890">
      <w:bodyDiv w:val="1"/>
      <w:marLeft w:val="0"/>
      <w:marRight w:val="0"/>
      <w:marTop w:val="0"/>
      <w:marBottom w:val="0"/>
      <w:divBdr>
        <w:top w:val="none" w:sz="0" w:space="0" w:color="auto"/>
        <w:left w:val="none" w:sz="0" w:space="0" w:color="auto"/>
        <w:bottom w:val="none" w:sz="0" w:space="0" w:color="auto"/>
        <w:right w:val="none" w:sz="0" w:space="0" w:color="auto"/>
      </w:divBdr>
    </w:div>
    <w:div w:id="29500412">
      <w:bodyDiv w:val="1"/>
      <w:marLeft w:val="0"/>
      <w:marRight w:val="0"/>
      <w:marTop w:val="0"/>
      <w:marBottom w:val="0"/>
      <w:divBdr>
        <w:top w:val="none" w:sz="0" w:space="0" w:color="auto"/>
        <w:left w:val="none" w:sz="0" w:space="0" w:color="auto"/>
        <w:bottom w:val="none" w:sz="0" w:space="0" w:color="auto"/>
        <w:right w:val="none" w:sz="0" w:space="0" w:color="auto"/>
      </w:divBdr>
    </w:div>
    <w:div w:id="30152678">
      <w:bodyDiv w:val="1"/>
      <w:marLeft w:val="0"/>
      <w:marRight w:val="0"/>
      <w:marTop w:val="0"/>
      <w:marBottom w:val="0"/>
      <w:divBdr>
        <w:top w:val="none" w:sz="0" w:space="0" w:color="auto"/>
        <w:left w:val="none" w:sz="0" w:space="0" w:color="auto"/>
        <w:bottom w:val="none" w:sz="0" w:space="0" w:color="auto"/>
        <w:right w:val="none" w:sz="0" w:space="0" w:color="auto"/>
      </w:divBdr>
    </w:div>
    <w:div w:id="33386249">
      <w:bodyDiv w:val="1"/>
      <w:marLeft w:val="0"/>
      <w:marRight w:val="0"/>
      <w:marTop w:val="0"/>
      <w:marBottom w:val="0"/>
      <w:divBdr>
        <w:top w:val="none" w:sz="0" w:space="0" w:color="auto"/>
        <w:left w:val="none" w:sz="0" w:space="0" w:color="auto"/>
        <w:bottom w:val="none" w:sz="0" w:space="0" w:color="auto"/>
        <w:right w:val="none" w:sz="0" w:space="0" w:color="auto"/>
      </w:divBdr>
    </w:div>
    <w:div w:id="34893159">
      <w:bodyDiv w:val="1"/>
      <w:marLeft w:val="0"/>
      <w:marRight w:val="0"/>
      <w:marTop w:val="0"/>
      <w:marBottom w:val="0"/>
      <w:divBdr>
        <w:top w:val="none" w:sz="0" w:space="0" w:color="auto"/>
        <w:left w:val="none" w:sz="0" w:space="0" w:color="auto"/>
        <w:bottom w:val="none" w:sz="0" w:space="0" w:color="auto"/>
        <w:right w:val="none" w:sz="0" w:space="0" w:color="auto"/>
      </w:divBdr>
    </w:div>
    <w:div w:id="35014295">
      <w:bodyDiv w:val="1"/>
      <w:marLeft w:val="0"/>
      <w:marRight w:val="0"/>
      <w:marTop w:val="0"/>
      <w:marBottom w:val="0"/>
      <w:divBdr>
        <w:top w:val="none" w:sz="0" w:space="0" w:color="auto"/>
        <w:left w:val="none" w:sz="0" w:space="0" w:color="auto"/>
        <w:bottom w:val="none" w:sz="0" w:space="0" w:color="auto"/>
        <w:right w:val="none" w:sz="0" w:space="0" w:color="auto"/>
      </w:divBdr>
    </w:div>
    <w:div w:id="36896893">
      <w:bodyDiv w:val="1"/>
      <w:marLeft w:val="0"/>
      <w:marRight w:val="0"/>
      <w:marTop w:val="0"/>
      <w:marBottom w:val="0"/>
      <w:divBdr>
        <w:top w:val="none" w:sz="0" w:space="0" w:color="auto"/>
        <w:left w:val="none" w:sz="0" w:space="0" w:color="auto"/>
        <w:bottom w:val="none" w:sz="0" w:space="0" w:color="auto"/>
        <w:right w:val="none" w:sz="0" w:space="0" w:color="auto"/>
      </w:divBdr>
    </w:div>
    <w:div w:id="38019903">
      <w:bodyDiv w:val="1"/>
      <w:marLeft w:val="0"/>
      <w:marRight w:val="0"/>
      <w:marTop w:val="0"/>
      <w:marBottom w:val="0"/>
      <w:divBdr>
        <w:top w:val="none" w:sz="0" w:space="0" w:color="auto"/>
        <w:left w:val="none" w:sz="0" w:space="0" w:color="auto"/>
        <w:bottom w:val="none" w:sz="0" w:space="0" w:color="auto"/>
        <w:right w:val="none" w:sz="0" w:space="0" w:color="auto"/>
      </w:divBdr>
    </w:div>
    <w:div w:id="39518657">
      <w:bodyDiv w:val="1"/>
      <w:marLeft w:val="0"/>
      <w:marRight w:val="0"/>
      <w:marTop w:val="0"/>
      <w:marBottom w:val="0"/>
      <w:divBdr>
        <w:top w:val="none" w:sz="0" w:space="0" w:color="auto"/>
        <w:left w:val="none" w:sz="0" w:space="0" w:color="auto"/>
        <w:bottom w:val="none" w:sz="0" w:space="0" w:color="auto"/>
        <w:right w:val="none" w:sz="0" w:space="0" w:color="auto"/>
      </w:divBdr>
    </w:div>
    <w:div w:id="39522351">
      <w:bodyDiv w:val="1"/>
      <w:marLeft w:val="0"/>
      <w:marRight w:val="0"/>
      <w:marTop w:val="0"/>
      <w:marBottom w:val="0"/>
      <w:divBdr>
        <w:top w:val="none" w:sz="0" w:space="0" w:color="auto"/>
        <w:left w:val="none" w:sz="0" w:space="0" w:color="auto"/>
        <w:bottom w:val="none" w:sz="0" w:space="0" w:color="auto"/>
        <w:right w:val="none" w:sz="0" w:space="0" w:color="auto"/>
      </w:divBdr>
    </w:div>
    <w:div w:id="41905197">
      <w:bodyDiv w:val="1"/>
      <w:marLeft w:val="0"/>
      <w:marRight w:val="0"/>
      <w:marTop w:val="0"/>
      <w:marBottom w:val="0"/>
      <w:divBdr>
        <w:top w:val="none" w:sz="0" w:space="0" w:color="auto"/>
        <w:left w:val="none" w:sz="0" w:space="0" w:color="auto"/>
        <w:bottom w:val="none" w:sz="0" w:space="0" w:color="auto"/>
        <w:right w:val="none" w:sz="0" w:space="0" w:color="auto"/>
      </w:divBdr>
    </w:div>
    <w:div w:id="46075329">
      <w:bodyDiv w:val="1"/>
      <w:marLeft w:val="0"/>
      <w:marRight w:val="0"/>
      <w:marTop w:val="0"/>
      <w:marBottom w:val="0"/>
      <w:divBdr>
        <w:top w:val="none" w:sz="0" w:space="0" w:color="auto"/>
        <w:left w:val="none" w:sz="0" w:space="0" w:color="auto"/>
        <w:bottom w:val="none" w:sz="0" w:space="0" w:color="auto"/>
        <w:right w:val="none" w:sz="0" w:space="0" w:color="auto"/>
      </w:divBdr>
    </w:div>
    <w:div w:id="49622998">
      <w:bodyDiv w:val="1"/>
      <w:marLeft w:val="0"/>
      <w:marRight w:val="0"/>
      <w:marTop w:val="0"/>
      <w:marBottom w:val="0"/>
      <w:divBdr>
        <w:top w:val="none" w:sz="0" w:space="0" w:color="auto"/>
        <w:left w:val="none" w:sz="0" w:space="0" w:color="auto"/>
        <w:bottom w:val="none" w:sz="0" w:space="0" w:color="auto"/>
        <w:right w:val="none" w:sz="0" w:space="0" w:color="auto"/>
      </w:divBdr>
    </w:div>
    <w:div w:id="51658880">
      <w:bodyDiv w:val="1"/>
      <w:marLeft w:val="0"/>
      <w:marRight w:val="0"/>
      <w:marTop w:val="0"/>
      <w:marBottom w:val="0"/>
      <w:divBdr>
        <w:top w:val="none" w:sz="0" w:space="0" w:color="auto"/>
        <w:left w:val="none" w:sz="0" w:space="0" w:color="auto"/>
        <w:bottom w:val="none" w:sz="0" w:space="0" w:color="auto"/>
        <w:right w:val="none" w:sz="0" w:space="0" w:color="auto"/>
      </w:divBdr>
    </w:div>
    <w:div w:id="52774612">
      <w:bodyDiv w:val="1"/>
      <w:marLeft w:val="0"/>
      <w:marRight w:val="0"/>
      <w:marTop w:val="0"/>
      <w:marBottom w:val="0"/>
      <w:divBdr>
        <w:top w:val="none" w:sz="0" w:space="0" w:color="auto"/>
        <w:left w:val="none" w:sz="0" w:space="0" w:color="auto"/>
        <w:bottom w:val="none" w:sz="0" w:space="0" w:color="auto"/>
        <w:right w:val="none" w:sz="0" w:space="0" w:color="auto"/>
      </w:divBdr>
    </w:div>
    <w:div w:id="53165760">
      <w:bodyDiv w:val="1"/>
      <w:marLeft w:val="0"/>
      <w:marRight w:val="0"/>
      <w:marTop w:val="0"/>
      <w:marBottom w:val="0"/>
      <w:divBdr>
        <w:top w:val="none" w:sz="0" w:space="0" w:color="auto"/>
        <w:left w:val="none" w:sz="0" w:space="0" w:color="auto"/>
        <w:bottom w:val="none" w:sz="0" w:space="0" w:color="auto"/>
        <w:right w:val="none" w:sz="0" w:space="0" w:color="auto"/>
      </w:divBdr>
    </w:div>
    <w:div w:id="57828829">
      <w:bodyDiv w:val="1"/>
      <w:marLeft w:val="0"/>
      <w:marRight w:val="0"/>
      <w:marTop w:val="0"/>
      <w:marBottom w:val="0"/>
      <w:divBdr>
        <w:top w:val="none" w:sz="0" w:space="0" w:color="auto"/>
        <w:left w:val="none" w:sz="0" w:space="0" w:color="auto"/>
        <w:bottom w:val="none" w:sz="0" w:space="0" w:color="auto"/>
        <w:right w:val="none" w:sz="0" w:space="0" w:color="auto"/>
      </w:divBdr>
    </w:div>
    <w:div w:id="62340626">
      <w:bodyDiv w:val="1"/>
      <w:marLeft w:val="0"/>
      <w:marRight w:val="0"/>
      <w:marTop w:val="0"/>
      <w:marBottom w:val="0"/>
      <w:divBdr>
        <w:top w:val="none" w:sz="0" w:space="0" w:color="auto"/>
        <w:left w:val="none" w:sz="0" w:space="0" w:color="auto"/>
        <w:bottom w:val="none" w:sz="0" w:space="0" w:color="auto"/>
        <w:right w:val="none" w:sz="0" w:space="0" w:color="auto"/>
      </w:divBdr>
    </w:div>
    <w:div w:id="63993675">
      <w:bodyDiv w:val="1"/>
      <w:marLeft w:val="0"/>
      <w:marRight w:val="0"/>
      <w:marTop w:val="0"/>
      <w:marBottom w:val="0"/>
      <w:divBdr>
        <w:top w:val="none" w:sz="0" w:space="0" w:color="auto"/>
        <w:left w:val="none" w:sz="0" w:space="0" w:color="auto"/>
        <w:bottom w:val="none" w:sz="0" w:space="0" w:color="auto"/>
        <w:right w:val="none" w:sz="0" w:space="0" w:color="auto"/>
      </w:divBdr>
    </w:div>
    <w:div w:id="66653443">
      <w:bodyDiv w:val="1"/>
      <w:marLeft w:val="0"/>
      <w:marRight w:val="0"/>
      <w:marTop w:val="0"/>
      <w:marBottom w:val="0"/>
      <w:divBdr>
        <w:top w:val="none" w:sz="0" w:space="0" w:color="auto"/>
        <w:left w:val="none" w:sz="0" w:space="0" w:color="auto"/>
        <w:bottom w:val="none" w:sz="0" w:space="0" w:color="auto"/>
        <w:right w:val="none" w:sz="0" w:space="0" w:color="auto"/>
      </w:divBdr>
    </w:div>
    <w:div w:id="70277919">
      <w:bodyDiv w:val="1"/>
      <w:marLeft w:val="0"/>
      <w:marRight w:val="0"/>
      <w:marTop w:val="0"/>
      <w:marBottom w:val="0"/>
      <w:divBdr>
        <w:top w:val="none" w:sz="0" w:space="0" w:color="auto"/>
        <w:left w:val="none" w:sz="0" w:space="0" w:color="auto"/>
        <w:bottom w:val="none" w:sz="0" w:space="0" w:color="auto"/>
        <w:right w:val="none" w:sz="0" w:space="0" w:color="auto"/>
      </w:divBdr>
    </w:div>
    <w:div w:id="70470149">
      <w:bodyDiv w:val="1"/>
      <w:marLeft w:val="0"/>
      <w:marRight w:val="0"/>
      <w:marTop w:val="0"/>
      <w:marBottom w:val="0"/>
      <w:divBdr>
        <w:top w:val="none" w:sz="0" w:space="0" w:color="auto"/>
        <w:left w:val="none" w:sz="0" w:space="0" w:color="auto"/>
        <w:bottom w:val="none" w:sz="0" w:space="0" w:color="auto"/>
        <w:right w:val="none" w:sz="0" w:space="0" w:color="auto"/>
      </w:divBdr>
    </w:div>
    <w:div w:id="72749899">
      <w:bodyDiv w:val="1"/>
      <w:marLeft w:val="0"/>
      <w:marRight w:val="0"/>
      <w:marTop w:val="0"/>
      <w:marBottom w:val="0"/>
      <w:divBdr>
        <w:top w:val="none" w:sz="0" w:space="0" w:color="auto"/>
        <w:left w:val="none" w:sz="0" w:space="0" w:color="auto"/>
        <w:bottom w:val="none" w:sz="0" w:space="0" w:color="auto"/>
        <w:right w:val="none" w:sz="0" w:space="0" w:color="auto"/>
      </w:divBdr>
    </w:div>
    <w:div w:id="75324347">
      <w:bodyDiv w:val="1"/>
      <w:marLeft w:val="0"/>
      <w:marRight w:val="0"/>
      <w:marTop w:val="0"/>
      <w:marBottom w:val="0"/>
      <w:divBdr>
        <w:top w:val="none" w:sz="0" w:space="0" w:color="auto"/>
        <w:left w:val="none" w:sz="0" w:space="0" w:color="auto"/>
        <w:bottom w:val="none" w:sz="0" w:space="0" w:color="auto"/>
        <w:right w:val="none" w:sz="0" w:space="0" w:color="auto"/>
      </w:divBdr>
    </w:div>
    <w:div w:id="78068702">
      <w:bodyDiv w:val="1"/>
      <w:marLeft w:val="0"/>
      <w:marRight w:val="0"/>
      <w:marTop w:val="0"/>
      <w:marBottom w:val="0"/>
      <w:divBdr>
        <w:top w:val="none" w:sz="0" w:space="0" w:color="auto"/>
        <w:left w:val="none" w:sz="0" w:space="0" w:color="auto"/>
        <w:bottom w:val="none" w:sz="0" w:space="0" w:color="auto"/>
        <w:right w:val="none" w:sz="0" w:space="0" w:color="auto"/>
      </w:divBdr>
    </w:div>
    <w:div w:id="82068105">
      <w:bodyDiv w:val="1"/>
      <w:marLeft w:val="0"/>
      <w:marRight w:val="0"/>
      <w:marTop w:val="0"/>
      <w:marBottom w:val="0"/>
      <w:divBdr>
        <w:top w:val="none" w:sz="0" w:space="0" w:color="auto"/>
        <w:left w:val="none" w:sz="0" w:space="0" w:color="auto"/>
        <w:bottom w:val="none" w:sz="0" w:space="0" w:color="auto"/>
        <w:right w:val="none" w:sz="0" w:space="0" w:color="auto"/>
      </w:divBdr>
    </w:div>
    <w:div w:id="83649971">
      <w:bodyDiv w:val="1"/>
      <w:marLeft w:val="0"/>
      <w:marRight w:val="0"/>
      <w:marTop w:val="0"/>
      <w:marBottom w:val="0"/>
      <w:divBdr>
        <w:top w:val="none" w:sz="0" w:space="0" w:color="auto"/>
        <w:left w:val="none" w:sz="0" w:space="0" w:color="auto"/>
        <w:bottom w:val="none" w:sz="0" w:space="0" w:color="auto"/>
        <w:right w:val="none" w:sz="0" w:space="0" w:color="auto"/>
      </w:divBdr>
    </w:div>
    <w:div w:id="84229078">
      <w:bodyDiv w:val="1"/>
      <w:marLeft w:val="0"/>
      <w:marRight w:val="0"/>
      <w:marTop w:val="0"/>
      <w:marBottom w:val="0"/>
      <w:divBdr>
        <w:top w:val="none" w:sz="0" w:space="0" w:color="auto"/>
        <w:left w:val="none" w:sz="0" w:space="0" w:color="auto"/>
        <w:bottom w:val="none" w:sz="0" w:space="0" w:color="auto"/>
        <w:right w:val="none" w:sz="0" w:space="0" w:color="auto"/>
      </w:divBdr>
    </w:div>
    <w:div w:id="84545744">
      <w:bodyDiv w:val="1"/>
      <w:marLeft w:val="0"/>
      <w:marRight w:val="0"/>
      <w:marTop w:val="0"/>
      <w:marBottom w:val="0"/>
      <w:divBdr>
        <w:top w:val="none" w:sz="0" w:space="0" w:color="auto"/>
        <w:left w:val="none" w:sz="0" w:space="0" w:color="auto"/>
        <w:bottom w:val="none" w:sz="0" w:space="0" w:color="auto"/>
        <w:right w:val="none" w:sz="0" w:space="0" w:color="auto"/>
      </w:divBdr>
    </w:div>
    <w:div w:id="85805657">
      <w:bodyDiv w:val="1"/>
      <w:marLeft w:val="0"/>
      <w:marRight w:val="0"/>
      <w:marTop w:val="0"/>
      <w:marBottom w:val="0"/>
      <w:divBdr>
        <w:top w:val="none" w:sz="0" w:space="0" w:color="auto"/>
        <w:left w:val="none" w:sz="0" w:space="0" w:color="auto"/>
        <w:bottom w:val="none" w:sz="0" w:space="0" w:color="auto"/>
        <w:right w:val="none" w:sz="0" w:space="0" w:color="auto"/>
      </w:divBdr>
    </w:div>
    <w:div w:id="89277435">
      <w:bodyDiv w:val="1"/>
      <w:marLeft w:val="0"/>
      <w:marRight w:val="0"/>
      <w:marTop w:val="0"/>
      <w:marBottom w:val="0"/>
      <w:divBdr>
        <w:top w:val="none" w:sz="0" w:space="0" w:color="auto"/>
        <w:left w:val="none" w:sz="0" w:space="0" w:color="auto"/>
        <w:bottom w:val="none" w:sz="0" w:space="0" w:color="auto"/>
        <w:right w:val="none" w:sz="0" w:space="0" w:color="auto"/>
      </w:divBdr>
    </w:div>
    <w:div w:id="92438318">
      <w:bodyDiv w:val="1"/>
      <w:marLeft w:val="0"/>
      <w:marRight w:val="0"/>
      <w:marTop w:val="0"/>
      <w:marBottom w:val="0"/>
      <w:divBdr>
        <w:top w:val="none" w:sz="0" w:space="0" w:color="auto"/>
        <w:left w:val="none" w:sz="0" w:space="0" w:color="auto"/>
        <w:bottom w:val="none" w:sz="0" w:space="0" w:color="auto"/>
        <w:right w:val="none" w:sz="0" w:space="0" w:color="auto"/>
      </w:divBdr>
    </w:div>
    <w:div w:id="92869639">
      <w:bodyDiv w:val="1"/>
      <w:marLeft w:val="0"/>
      <w:marRight w:val="0"/>
      <w:marTop w:val="0"/>
      <w:marBottom w:val="0"/>
      <w:divBdr>
        <w:top w:val="none" w:sz="0" w:space="0" w:color="auto"/>
        <w:left w:val="none" w:sz="0" w:space="0" w:color="auto"/>
        <w:bottom w:val="none" w:sz="0" w:space="0" w:color="auto"/>
        <w:right w:val="none" w:sz="0" w:space="0" w:color="auto"/>
      </w:divBdr>
    </w:div>
    <w:div w:id="92870855">
      <w:bodyDiv w:val="1"/>
      <w:marLeft w:val="0"/>
      <w:marRight w:val="0"/>
      <w:marTop w:val="0"/>
      <w:marBottom w:val="0"/>
      <w:divBdr>
        <w:top w:val="none" w:sz="0" w:space="0" w:color="auto"/>
        <w:left w:val="none" w:sz="0" w:space="0" w:color="auto"/>
        <w:bottom w:val="none" w:sz="0" w:space="0" w:color="auto"/>
        <w:right w:val="none" w:sz="0" w:space="0" w:color="auto"/>
      </w:divBdr>
    </w:div>
    <w:div w:id="93988162">
      <w:bodyDiv w:val="1"/>
      <w:marLeft w:val="0"/>
      <w:marRight w:val="0"/>
      <w:marTop w:val="0"/>
      <w:marBottom w:val="0"/>
      <w:divBdr>
        <w:top w:val="none" w:sz="0" w:space="0" w:color="auto"/>
        <w:left w:val="none" w:sz="0" w:space="0" w:color="auto"/>
        <w:bottom w:val="none" w:sz="0" w:space="0" w:color="auto"/>
        <w:right w:val="none" w:sz="0" w:space="0" w:color="auto"/>
      </w:divBdr>
    </w:div>
    <w:div w:id="94329520">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108009900">
      <w:bodyDiv w:val="1"/>
      <w:marLeft w:val="0"/>
      <w:marRight w:val="0"/>
      <w:marTop w:val="0"/>
      <w:marBottom w:val="0"/>
      <w:divBdr>
        <w:top w:val="none" w:sz="0" w:space="0" w:color="auto"/>
        <w:left w:val="none" w:sz="0" w:space="0" w:color="auto"/>
        <w:bottom w:val="none" w:sz="0" w:space="0" w:color="auto"/>
        <w:right w:val="none" w:sz="0" w:space="0" w:color="auto"/>
      </w:divBdr>
    </w:div>
    <w:div w:id="109394933">
      <w:bodyDiv w:val="1"/>
      <w:marLeft w:val="0"/>
      <w:marRight w:val="0"/>
      <w:marTop w:val="0"/>
      <w:marBottom w:val="0"/>
      <w:divBdr>
        <w:top w:val="none" w:sz="0" w:space="0" w:color="auto"/>
        <w:left w:val="none" w:sz="0" w:space="0" w:color="auto"/>
        <w:bottom w:val="none" w:sz="0" w:space="0" w:color="auto"/>
        <w:right w:val="none" w:sz="0" w:space="0" w:color="auto"/>
      </w:divBdr>
    </w:div>
    <w:div w:id="112797603">
      <w:bodyDiv w:val="1"/>
      <w:marLeft w:val="0"/>
      <w:marRight w:val="0"/>
      <w:marTop w:val="0"/>
      <w:marBottom w:val="0"/>
      <w:divBdr>
        <w:top w:val="none" w:sz="0" w:space="0" w:color="auto"/>
        <w:left w:val="none" w:sz="0" w:space="0" w:color="auto"/>
        <w:bottom w:val="none" w:sz="0" w:space="0" w:color="auto"/>
        <w:right w:val="none" w:sz="0" w:space="0" w:color="auto"/>
      </w:divBdr>
    </w:div>
    <w:div w:id="119307026">
      <w:bodyDiv w:val="1"/>
      <w:marLeft w:val="0"/>
      <w:marRight w:val="0"/>
      <w:marTop w:val="0"/>
      <w:marBottom w:val="0"/>
      <w:divBdr>
        <w:top w:val="none" w:sz="0" w:space="0" w:color="auto"/>
        <w:left w:val="none" w:sz="0" w:space="0" w:color="auto"/>
        <w:bottom w:val="none" w:sz="0" w:space="0" w:color="auto"/>
        <w:right w:val="none" w:sz="0" w:space="0" w:color="auto"/>
      </w:divBdr>
    </w:div>
    <w:div w:id="121653159">
      <w:bodyDiv w:val="1"/>
      <w:marLeft w:val="0"/>
      <w:marRight w:val="0"/>
      <w:marTop w:val="0"/>
      <w:marBottom w:val="0"/>
      <w:divBdr>
        <w:top w:val="none" w:sz="0" w:space="0" w:color="auto"/>
        <w:left w:val="none" w:sz="0" w:space="0" w:color="auto"/>
        <w:bottom w:val="none" w:sz="0" w:space="0" w:color="auto"/>
        <w:right w:val="none" w:sz="0" w:space="0" w:color="auto"/>
      </w:divBdr>
    </w:div>
    <w:div w:id="121775567">
      <w:bodyDiv w:val="1"/>
      <w:marLeft w:val="0"/>
      <w:marRight w:val="0"/>
      <w:marTop w:val="0"/>
      <w:marBottom w:val="0"/>
      <w:divBdr>
        <w:top w:val="none" w:sz="0" w:space="0" w:color="auto"/>
        <w:left w:val="none" w:sz="0" w:space="0" w:color="auto"/>
        <w:bottom w:val="none" w:sz="0" w:space="0" w:color="auto"/>
        <w:right w:val="none" w:sz="0" w:space="0" w:color="auto"/>
      </w:divBdr>
    </w:div>
    <w:div w:id="125205660">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137384307">
      <w:bodyDiv w:val="1"/>
      <w:marLeft w:val="0"/>
      <w:marRight w:val="0"/>
      <w:marTop w:val="0"/>
      <w:marBottom w:val="0"/>
      <w:divBdr>
        <w:top w:val="none" w:sz="0" w:space="0" w:color="auto"/>
        <w:left w:val="none" w:sz="0" w:space="0" w:color="auto"/>
        <w:bottom w:val="none" w:sz="0" w:space="0" w:color="auto"/>
        <w:right w:val="none" w:sz="0" w:space="0" w:color="auto"/>
      </w:divBdr>
    </w:div>
    <w:div w:id="143350355">
      <w:bodyDiv w:val="1"/>
      <w:marLeft w:val="0"/>
      <w:marRight w:val="0"/>
      <w:marTop w:val="0"/>
      <w:marBottom w:val="0"/>
      <w:divBdr>
        <w:top w:val="none" w:sz="0" w:space="0" w:color="auto"/>
        <w:left w:val="none" w:sz="0" w:space="0" w:color="auto"/>
        <w:bottom w:val="none" w:sz="0" w:space="0" w:color="auto"/>
        <w:right w:val="none" w:sz="0" w:space="0" w:color="auto"/>
      </w:divBdr>
    </w:div>
    <w:div w:id="145168843">
      <w:bodyDiv w:val="1"/>
      <w:marLeft w:val="0"/>
      <w:marRight w:val="0"/>
      <w:marTop w:val="0"/>
      <w:marBottom w:val="0"/>
      <w:divBdr>
        <w:top w:val="none" w:sz="0" w:space="0" w:color="auto"/>
        <w:left w:val="none" w:sz="0" w:space="0" w:color="auto"/>
        <w:bottom w:val="none" w:sz="0" w:space="0" w:color="auto"/>
        <w:right w:val="none" w:sz="0" w:space="0" w:color="auto"/>
      </w:divBdr>
    </w:div>
    <w:div w:id="145828217">
      <w:bodyDiv w:val="1"/>
      <w:marLeft w:val="0"/>
      <w:marRight w:val="0"/>
      <w:marTop w:val="0"/>
      <w:marBottom w:val="0"/>
      <w:divBdr>
        <w:top w:val="none" w:sz="0" w:space="0" w:color="auto"/>
        <w:left w:val="none" w:sz="0" w:space="0" w:color="auto"/>
        <w:bottom w:val="none" w:sz="0" w:space="0" w:color="auto"/>
        <w:right w:val="none" w:sz="0" w:space="0" w:color="auto"/>
      </w:divBdr>
    </w:div>
    <w:div w:id="147133785">
      <w:bodyDiv w:val="1"/>
      <w:marLeft w:val="0"/>
      <w:marRight w:val="0"/>
      <w:marTop w:val="0"/>
      <w:marBottom w:val="0"/>
      <w:divBdr>
        <w:top w:val="none" w:sz="0" w:space="0" w:color="auto"/>
        <w:left w:val="none" w:sz="0" w:space="0" w:color="auto"/>
        <w:bottom w:val="none" w:sz="0" w:space="0" w:color="auto"/>
        <w:right w:val="none" w:sz="0" w:space="0" w:color="auto"/>
      </w:divBdr>
    </w:div>
    <w:div w:id="147675760">
      <w:bodyDiv w:val="1"/>
      <w:marLeft w:val="0"/>
      <w:marRight w:val="0"/>
      <w:marTop w:val="0"/>
      <w:marBottom w:val="0"/>
      <w:divBdr>
        <w:top w:val="none" w:sz="0" w:space="0" w:color="auto"/>
        <w:left w:val="none" w:sz="0" w:space="0" w:color="auto"/>
        <w:bottom w:val="none" w:sz="0" w:space="0" w:color="auto"/>
        <w:right w:val="none" w:sz="0" w:space="0" w:color="auto"/>
      </w:divBdr>
    </w:div>
    <w:div w:id="154802625">
      <w:bodyDiv w:val="1"/>
      <w:marLeft w:val="0"/>
      <w:marRight w:val="0"/>
      <w:marTop w:val="0"/>
      <w:marBottom w:val="0"/>
      <w:divBdr>
        <w:top w:val="none" w:sz="0" w:space="0" w:color="auto"/>
        <w:left w:val="none" w:sz="0" w:space="0" w:color="auto"/>
        <w:bottom w:val="none" w:sz="0" w:space="0" w:color="auto"/>
        <w:right w:val="none" w:sz="0" w:space="0" w:color="auto"/>
      </w:divBdr>
    </w:div>
    <w:div w:id="162287099">
      <w:bodyDiv w:val="1"/>
      <w:marLeft w:val="0"/>
      <w:marRight w:val="0"/>
      <w:marTop w:val="0"/>
      <w:marBottom w:val="0"/>
      <w:divBdr>
        <w:top w:val="none" w:sz="0" w:space="0" w:color="auto"/>
        <w:left w:val="none" w:sz="0" w:space="0" w:color="auto"/>
        <w:bottom w:val="none" w:sz="0" w:space="0" w:color="auto"/>
        <w:right w:val="none" w:sz="0" w:space="0" w:color="auto"/>
      </w:divBdr>
    </w:div>
    <w:div w:id="164132092">
      <w:bodyDiv w:val="1"/>
      <w:marLeft w:val="0"/>
      <w:marRight w:val="0"/>
      <w:marTop w:val="0"/>
      <w:marBottom w:val="0"/>
      <w:divBdr>
        <w:top w:val="none" w:sz="0" w:space="0" w:color="auto"/>
        <w:left w:val="none" w:sz="0" w:space="0" w:color="auto"/>
        <w:bottom w:val="none" w:sz="0" w:space="0" w:color="auto"/>
        <w:right w:val="none" w:sz="0" w:space="0" w:color="auto"/>
      </w:divBdr>
    </w:div>
    <w:div w:id="176581550">
      <w:bodyDiv w:val="1"/>
      <w:marLeft w:val="0"/>
      <w:marRight w:val="0"/>
      <w:marTop w:val="0"/>
      <w:marBottom w:val="0"/>
      <w:divBdr>
        <w:top w:val="none" w:sz="0" w:space="0" w:color="auto"/>
        <w:left w:val="none" w:sz="0" w:space="0" w:color="auto"/>
        <w:bottom w:val="none" w:sz="0" w:space="0" w:color="auto"/>
        <w:right w:val="none" w:sz="0" w:space="0" w:color="auto"/>
      </w:divBdr>
    </w:div>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0164243">
      <w:bodyDiv w:val="1"/>
      <w:marLeft w:val="0"/>
      <w:marRight w:val="0"/>
      <w:marTop w:val="0"/>
      <w:marBottom w:val="0"/>
      <w:divBdr>
        <w:top w:val="none" w:sz="0" w:space="0" w:color="auto"/>
        <w:left w:val="none" w:sz="0" w:space="0" w:color="auto"/>
        <w:bottom w:val="none" w:sz="0" w:space="0" w:color="auto"/>
        <w:right w:val="none" w:sz="0" w:space="0" w:color="auto"/>
      </w:divBdr>
    </w:div>
    <w:div w:id="181864001">
      <w:bodyDiv w:val="1"/>
      <w:marLeft w:val="0"/>
      <w:marRight w:val="0"/>
      <w:marTop w:val="0"/>
      <w:marBottom w:val="0"/>
      <w:divBdr>
        <w:top w:val="none" w:sz="0" w:space="0" w:color="auto"/>
        <w:left w:val="none" w:sz="0" w:space="0" w:color="auto"/>
        <w:bottom w:val="none" w:sz="0" w:space="0" w:color="auto"/>
        <w:right w:val="none" w:sz="0" w:space="0" w:color="auto"/>
      </w:divBdr>
    </w:div>
    <w:div w:id="184558164">
      <w:bodyDiv w:val="1"/>
      <w:marLeft w:val="0"/>
      <w:marRight w:val="0"/>
      <w:marTop w:val="0"/>
      <w:marBottom w:val="0"/>
      <w:divBdr>
        <w:top w:val="none" w:sz="0" w:space="0" w:color="auto"/>
        <w:left w:val="none" w:sz="0" w:space="0" w:color="auto"/>
        <w:bottom w:val="none" w:sz="0" w:space="0" w:color="auto"/>
        <w:right w:val="none" w:sz="0" w:space="0" w:color="auto"/>
      </w:divBdr>
    </w:div>
    <w:div w:id="185408987">
      <w:bodyDiv w:val="1"/>
      <w:marLeft w:val="0"/>
      <w:marRight w:val="0"/>
      <w:marTop w:val="0"/>
      <w:marBottom w:val="0"/>
      <w:divBdr>
        <w:top w:val="none" w:sz="0" w:space="0" w:color="auto"/>
        <w:left w:val="none" w:sz="0" w:space="0" w:color="auto"/>
        <w:bottom w:val="none" w:sz="0" w:space="0" w:color="auto"/>
        <w:right w:val="none" w:sz="0" w:space="0" w:color="auto"/>
      </w:divBdr>
    </w:div>
    <w:div w:id="191236089">
      <w:bodyDiv w:val="1"/>
      <w:marLeft w:val="0"/>
      <w:marRight w:val="0"/>
      <w:marTop w:val="0"/>
      <w:marBottom w:val="0"/>
      <w:divBdr>
        <w:top w:val="none" w:sz="0" w:space="0" w:color="auto"/>
        <w:left w:val="none" w:sz="0" w:space="0" w:color="auto"/>
        <w:bottom w:val="none" w:sz="0" w:space="0" w:color="auto"/>
        <w:right w:val="none" w:sz="0" w:space="0" w:color="auto"/>
      </w:divBdr>
    </w:div>
    <w:div w:id="192694810">
      <w:bodyDiv w:val="1"/>
      <w:marLeft w:val="0"/>
      <w:marRight w:val="0"/>
      <w:marTop w:val="0"/>
      <w:marBottom w:val="0"/>
      <w:divBdr>
        <w:top w:val="none" w:sz="0" w:space="0" w:color="auto"/>
        <w:left w:val="none" w:sz="0" w:space="0" w:color="auto"/>
        <w:bottom w:val="none" w:sz="0" w:space="0" w:color="auto"/>
        <w:right w:val="none" w:sz="0" w:space="0" w:color="auto"/>
      </w:divBdr>
    </w:div>
    <w:div w:id="197354877">
      <w:bodyDiv w:val="1"/>
      <w:marLeft w:val="0"/>
      <w:marRight w:val="0"/>
      <w:marTop w:val="0"/>
      <w:marBottom w:val="0"/>
      <w:divBdr>
        <w:top w:val="none" w:sz="0" w:space="0" w:color="auto"/>
        <w:left w:val="none" w:sz="0" w:space="0" w:color="auto"/>
        <w:bottom w:val="none" w:sz="0" w:space="0" w:color="auto"/>
        <w:right w:val="none" w:sz="0" w:space="0" w:color="auto"/>
      </w:divBdr>
    </w:div>
    <w:div w:id="197744606">
      <w:bodyDiv w:val="1"/>
      <w:marLeft w:val="0"/>
      <w:marRight w:val="0"/>
      <w:marTop w:val="0"/>
      <w:marBottom w:val="0"/>
      <w:divBdr>
        <w:top w:val="none" w:sz="0" w:space="0" w:color="auto"/>
        <w:left w:val="none" w:sz="0" w:space="0" w:color="auto"/>
        <w:bottom w:val="none" w:sz="0" w:space="0" w:color="auto"/>
        <w:right w:val="none" w:sz="0" w:space="0" w:color="auto"/>
      </w:divBdr>
    </w:div>
    <w:div w:id="203520488">
      <w:bodyDiv w:val="1"/>
      <w:marLeft w:val="0"/>
      <w:marRight w:val="0"/>
      <w:marTop w:val="0"/>
      <w:marBottom w:val="0"/>
      <w:divBdr>
        <w:top w:val="none" w:sz="0" w:space="0" w:color="auto"/>
        <w:left w:val="none" w:sz="0" w:space="0" w:color="auto"/>
        <w:bottom w:val="none" w:sz="0" w:space="0" w:color="auto"/>
        <w:right w:val="none" w:sz="0" w:space="0" w:color="auto"/>
      </w:divBdr>
    </w:div>
    <w:div w:id="204294263">
      <w:bodyDiv w:val="1"/>
      <w:marLeft w:val="0"/>
      <w:marRight w:val="0"/>
      <w:marTop w:val="0"/>
      <w:marBottom w:val="0"/>
      <w:divBdr>
        <w:top w:val="none" w:sz="0" w:space="0" w:color="auto"/>
        <w:left w:val="none" w:sz="0" w:space="0" w:color="auto"/>
        <w:bottom w:val="none" w:sz="0" w:space="0" w:color="auto"/>
        <w:right w:val="none" w:sz="0" w:space="0" w:color="auto"/>
      </w:divBdr>
    </w:div>
    <w:div w:id="207642921">
      <w:bodyDiv w:val="1"/>
      <w:marLeft w:val="0"/>
      <w:marRight w:val="0"/>
      <w:marTop w:val="0"/>
      <w:marBottom w:val="0"/>
      <w:divBdr>
        <w:top w:val="none" w:sz="0" w:space="0" w:color="auto"/>
        <w:left w:val="none" w:sz="0" w:space="0" w:color="auto"/>
        <w:bottom w:val="none" w:sz="0" w:space="0" w:color="auto"/>
        <w:right w:val="none" w:sz="0" w:space="0" w:color="auto"/>
      </w:divBdr>
    </w:div>
    <w:div w:id="210267705">
      <w:bodyDiv w:val="1"/>
      <w:marLeft w:val="0"/>
      <w:marRight w:val="0"/>
      <w:marTop w:val="0"/>
      <w:marBottom w:val="0"/>
      <w:divBdr>
        <w:top w:val="none" w:sz="0" w:space="0" w:color="auto"/>
        <w:left w:val="none" w:sz="0" w:space="0" w:color="auto"/>
        <w:bottom w:val="none" w:sz="0" w:space="0" w:color="auto"/>
        <w:right w:val="none" w:sz="0" w:space="0" w:color="auto"/>
      </w:divBdr>
    </w:div>
    <w:div w:id="211618243">
      <w:bodyDiv w:val="1"/>
      <w:marLeft w:val="0"/>
      <w:marRight w:val="0"/>
      <w:marTop w:val="0"/>
      <w:marBottom w:val="0"/>
      <w:divBdr>
        <w:top w:val="none" w:sz="0" w:space="0" w:color="auto"/>
        <w:left w:val="none" w:sz="0" w:space="0" w:color="auto"/>
        <w:bottom w:val="none" w:sz="0" w:space="0" w:color="auto"/>
        <w:right w:val="none" w:sz="0" w:space="0" w:color="auto"/>
      </w:divBdr>
    </w:div>
    <w:div w:id="212549925">
      <w:bodyDiv w:val="1"/>
      <w:marLeft w:val="0"/>
      <w:marRight w:val="0"/>
      <w:marTop w:val="0"/>
      <w:marBottom w:val="0"/>
      <w:divBdr>
        <w:top w:val="none" w:sz="0" w:space="0" w:color="auto"/>
        <w:left w:val="none" w:sz="0" w:space="0" w:color="auto"/>
        <w:bottom w:val="none" w:sz="0" w:space="0" w:color="auto"/>
        <w:right w:val="none" w:sz="0" w:space="0" w:color="auto"/>
      </w:divBdr>
    </w:div>
    <w:div w:id="213660695">
      <w:bodyDiv w:val="1"/>
      <w:marLeft w:val="0"/>
      <w:marRight w:val="0"/>
      <w:marTop w:val="0"/>
      <w:marBottom w:val="0"/>
      <w:divBdr>
        <w:top w:val="none" w:sz="0" w:space="0" w:color="auto"/>
        <w:left w:val="none" w:sz="0" w:space="0" w:color="auto"/>
        <w:bottom w:val="none" w:sz="0" w:space="0" w:color="auto"/>
        <w:right w:val="none" w:sz="0" w:space="0" w:color="auto"/>
      </w:divBdr>
    </w:div>
    <w:div w:id="218437712">
      <w:bodyDiv w:val="1"/>
      <w:marLeft w:val="0"/>
      <w:marRight w:val="0"/>
      <w:marTop w:val="0"/>
      <w:marBottom w:val="0"/>
      <w:divBdr>
        <w:top w:val="none" w:sz="0" w:space="0" w:color="auto"/>
        <w:left w:val="none" w:sz="0" w:space="0" w:color="auto"/>
        <w:bottom w:val="none" w:sz="0" w:space="0" w:color="auto"/>
        <w:right w:val="none" w:sz="0" w:space="0" w:color="auto"/>
      </w:divBdr>
    </w:div>
    <w:div w:id="220873221">
      <w:bodyDiv w:val="1"/>
      <w:marLeft w:val="0"/>
      <w:marRight w:val="0"/>
      <w:marTop w:val="0"/>
      <w:marBottom w:val="0"/>
      <w:divBdr>
        <w:top w:val="none" w:sz="0" w:space="0" w:color="auto"/>
        <w:left w:val="none" w:sz="0" w:space="0" w:color="auto"/>
        <w:bottom w:val="none" w:sz="0" w:space="0" w:color="auto"/>
        <w:right w:val="none" w:sz="0" w:space="0" w:color="auto"/>
      </w:divBdr>
    </w:div>
    <w:div w:id="223681260">
      <w:bodyDiv w:val="1"/>
      <w:marLeft w:val="0"/>
      <w:marRight w:val="0"/>
      <w:marTop w:val="0"/>
      <w:marBottom w:val="0"/>
      <w:divBdr>
        <w:top w:val="none" w:sz="0" w:space="0" w:color="auto"/>
        <w:left w:val="none" w:sz="0" w:space="0" w:color="auto"/>
        <w:bottom w:val="none" w:sz="0" w:space="0" w:color="auto"/>
        <w:right w:val="none" w:sz="0" w:space="0" w:color="auto"/>
      </w:divBdr>
    </w:div>
    <w:div w:id="223681583">
      <w:bodyDiv w:val="1"/>
      <w:marLeft w:val="0"/>
      <w:marRight w:val="0"/>
      <w:marTop w:val="0"/>
      <w:marBottom w:val="0"/>
      <w:divBdr>
        <w:top w:val="none" w:sz="0" w:space="0" w:color="auto"/>
        <w:left w:val="none" w:sz="0" w:space="0" w:color="auto"/>
        <w:bottom w:val="none" w:sz="0" w:space="0" w:color="auto"/>
        <w:right w:val="none" w:sz="0" w:space="0" w:color="auto"/>
      </w:divBdr>
    </w:div>
    <w:div w:id="226455045">
      <w:bodyDiv w:val="1"/>
      <w:marLeft w:val="0"/>
      <w:marRight w:val="0"/>
      <w:marTop w:val="0"/>
      <w:marBottom w:val="0"/>
      <w:divBdr>
        <w:top w:val="none" w:sz="0" w:space="0" w:color="auto"/>
        <w:left w:val="none" w:sz="0" w:space="0" w:color="auto"/>
        <w:bottom w:val="none" w:sz="0" w:space="0" w:color="auto"/>
        <w:right w:val="none" w:sz="0" w:space="0" w:color="auto"/>
      </w:divBdr>
    </w:div>
    <w:div w:id="228613549">
      <w:bodyDiv w:val="1"/>
      <w:marLeft w:val="0"/>
      <w:marRight w:val="0"/>
      <w:marTop w:val="0"/>
      <w:marBottom w:val="0"/>
      <w:divBdr>
        <w:top w:val="none" w:sz="0" w:space="0" w:color="auto"/>
        <w:left w:val="none" w:sz="0" w:space="0" w:color="auto"/>
        <w:bottom w:val="none" w:sz="0" w:space="0" w:color="auto"/>
        <w:right w:val="none" w:sz="0" w:space="0" w:color="auto"/>
      </w:divBdr>
    </w:div>
    <w:div w:id="230888949">
      <w:bodyDiv w:val="1"/>
      <w:marLeft w:val="0"/>
      <w:marRight w:val="0"/>
      <w:marTop w:val="0"/>
      <w:marBottom w:val="0"/>
      <w:divBdr>
        <w:top w:val="none" w:sz="0" w:space="0" w:color="auto"/>
        <w:left w:val="none" w:sz="0" w:space="0" w:color="auto"/>
        <w:bottom w:val="none" w:sz="0" w:space="0" w:color="auto"/>
        <w:right w:val="none" w:sz="0" w:space="0" w:color="auto"/>
      </w:divBdr>
    </w:div>
    <w:div w:id="232205921">
      <w:bodyDiv w:val="1"/>
      <w:marLeft w:val="0"/>
      <w:marRight w:val="0"/>
      <w:marTop w:val="0"/>
      <w:marBottom w:val="0"/>
      <w:divBdr>
        <w:top w:val="none" w:sz="0" w:space="0" w:color="auto"/>
        <w:left w:val="none" w:sz="0" w:space="0" w:color="auto"/>
        <w:bottom w:val="none" w:sz="0" w:space="0" w:color="auto"/>
        <w:right w:val="none" w:sz="0" w:space="0" w:color="auto"/>
      </w:divBdr>
    </w:div>
    <w:div w:id="234246078">
      <w:bodyDiv w:val="1"/>
      <w:marLeft w:val="0"/>
      <w:marRight w:val="0"/>
      <w:marTop w:val="0"/>
      <w:marBottom w:val="0"/>
      <w:divBdr>
        <w:top w:val="none" w:sz="0" w:space="0" w:color="auto"/>
        <w:left w:val="none" w:sz="0" w:space="0" w:color="auto"/>
        <w:bottom w:val="none" w:sz="0" w:space="0" w:color="auto"/>
        <w:right w:val="none" w:sz="0" w:space="0" w:color="auto"/>
      </w:divBdr>
    </w:div>
    <w:div w:id="234704108">
      <w:bodyDiv w:val="1"/>
      <w:marLeft w:val="0"/>
      <w:marRight w:val="0"/>
      <w:marTop w:val="0"/>
      <w:marBottom w:val="0"/>
      <w:divBdr>
        <w:top w:val="none" w:sz="0" w:space="0" w:color="auto"/>
        <w:left w:val="none" w:sz="0" w:space="0" w:color="auto"/>
        <w:bottom w:val="none" w:sz="0" w:space="0" w:color="auto"/>
        <w:right w:val="none" w:sz="0" w:space="0" w:color="auto"/>
      </w:divBdr>
    </w:div>
    <w:div w:id="236016248">
      <w:bodyDiv w:val="1"/>
      <w:marLeft w:val="0"/>
      <w:marRight w:val="0"/>
      <w:marTop w:val="0"/>
      <w:marBottom w:val="0"/>
      <w:divBdr>
        <w:top w:val="none" w:sz="0" w:space="0" w:color="auto"/>
        <w:left w:val="none" w:sz="0" w:space="0" w:color="auto"/>
        <w:bottom w:val="none" w:sz="0" w:space="0" w:color="auto"/>
        <w:right w:val="none" w:sz="0" w:space="0" w:color="auto"/>
      </w:divBdr>
    </w:div>
    <w:div w:id="237256487">
      <w:bodyDiv w:val="1"/>
      <w:marLeft w:val="0"/>
      <w:marRight w:val="0"/>
      <w:marTop w:val="0"/>
      <w:marBottom w:val="0"/>
      <w:divBdr>
        <w:top w:val="none" w:sz="0" w:space="0" w:color="auto"/>
        <w:left w:val="none" w:sz="0" w:space="0" w:color="auto"/>
        <w:bottom w:val="none" w:sz="0" w:space="0" w:color="auto"/>
        <w:right w:val="none" w:sz="0" w:space="0" w:color="auto"/>
      </w:divBdr>
    </w:div>
    <w:div w:id="237517694">
      <w:bodyDiv w:val="1"/>
      <w:marLeft w:val="0"/>
      <w:marRight w:val="0"/>
      <w:marTop w:val="0"/>
      <w:marBottom w:val="0"/>
      <w:divBdr>
        <w:top w:val="none" w:sz="0" w:space="0" w:color="auto"/>
        <w:left w:val="none" w:sz="0" w:space="0" w:color="auto"/>
        <w:bottom w:val="none" w:sz="0" w:space="0" w:color="auto"/>
        <w:right w:val="none" w:sz="0" w:space="0" w:color="auto"/>
      </w:divBdr>
    </w:div>
    <w:div w:id="239758033">
      <w:bodyDiv w:val="1"/>
      <w:marLeft w:val="0"/>
      <w:marRight w:val="0"/>
      <w:marTop w:val="0"/>
      <w:marBottom w:val="0"/>
      <w:divBdr>
        <w:top w:val="none" w:sz="0" w:space="0" w:color="auto"/>
        <w:left w:val="none" w:sz="0" w:space="0" w:color="auto"/>
        <w:bottom w:val="none" w:sz="0" w:space="0" w:color="auto"/>
        <w:right w:val="none" w:sz="0" w:space="0" w:color="auto"/>
      </w:divBdr>
    </w:div>
    <w:div w:id="240213772">
      <w:bodyDiv w:val="1"/>
      <w:marLeft w:val="0"/>
      <w:marRight w:val="0"/>
      <w:marTop w:val="0"/>
      <w:marBottom w:val="0"/>
      <w:divBdr>
        <w:top w:val="none" w:sz="0" w:space="0" w:color="auto"/>
        <w:left w:val="none" w:sz="0" w:space="0" w:color="auto"/>
        <w:bottom w:val="none" w:sz="0" w:space="0" w:color="auto"/>
        <w:right w:val="none" w:sz="0" w:space="0" w:color="auto"/>
      </w:divBdr>
    </w:div>
    <w:div w:id="241376450">
      <w:bodyDiv w:val="1"/>
      <w:marLeft w:val="0"/>
      <w:marRight w:val="0"/>
      <w:marTop w:val="0"/>
      <w:marBottom w:val="0"/>
      <w:divBdr>
        <w:top w:val="none" w:sz="0" w:space="0" w:color="auto"/>
        <w:left w:val="none" w:sz="0" w:space="0" w:color="auto"/>
        <w:bottom w:val="none" w:sz="0" w:space="0" w:color="auto"/>
        <w:right w:val="none" w:sz="0" w:space="0" w:color="auto"/>
      </w:divBdr>
    </w:div>
    <w:div w:id="242571649">
      <w:bodyDiv w:val="1"/>
      <w:marLeft w:val="0"/>
      <w:marRight w:val="0"/>
      <w:marTop w:val="0"/>
      <w:marBottom w:val="0"/>
      <w:divBdr>
        <w:top w:val="none" w:sz="0" w:space="0" w:color="auto"/>
        <w:left w:val="none" w:sz="0" w:space="0" w:color="auto"/>
        <w:bottom w:val="none" w:sz="0" w:space="0" w:color="auto"/>
        <w:right w:val="none" w:sz="0" w:space="0" w:color="auto"/>
      </w:divBdr>
    </w:div>
    <w:div w:id="248926776">
      <w:bodyDiv w:val="1"/>
      <w:marLeft w:val="0"/>
      <w:marRight w:val="0"/>
      <w:marTop w:val="0"/>
      <w:marBottom w:val="0"/>
      <w:divBdr>
        <w:top w:val="none" w:sz="0" w:space="0" w:color="auto"/>
        <w:left w:val="none" w:sz="0" w:space="0" w:color="auto"/>
        <w:bottom w:val="none" w:sz="0" w:space="0" w:color="auto"/>
        <w:right w:val="none" w:sz="0" w:space="0" w:color="auto"/>
      </w:divBdr>
    </w:div>
    <w:div w:id="249200238">
      <w:bodyDiv w:val="1"/>
      <w:marLeft w:val="0"/>
      <w:marRight w:val="0"/>
      <w:marTop w:val="0"/>
      <w:marBottom w:val="0"/>
      <w:divBdr>
        <w:top w:val="none" w:sz="0" w:space="0" w:color="auto"/>
        <w:left w:val="none" w:sz="0" w:space="0" w:color="auto"/>
        <w:bottom w:val="none" w:sz="0" w:space="0" w:color="auto"/>
        <w:right w:val="none" w:sz="0" w:space="0" w:color="auto"/>
      </w:divBdr>
    </w:div>
    <w:div w:id="249431653">
      <w:bodyDiv w:val="1"/>
      <w:marLeft w:val="0"/>
      <w:marRight w:val="0"/>
      <w:marTop w:val="0"/>
      <w:marBottom w:val="0"/>
      <w:divBdr>
        <w:top w:val="none" w:sz="0" w:space="0" w:color="auto"/>
        <w:left w:val="none" w:sz="0" w:space="0" w:color="auto"/>
        <w:bottom w:val="none" w:sz="0" w:space="0" w:color="auto"/>
        <w:right w:val="none" w:sz="0" w:space="0" w:color="auto"/>
      </w:divBdr>
    </w:div>
    <w:div w:id="250816624">
      <w:bodyDiv w:val="1"/>
      <w:marLeft w:val="0"/>
      <w:marRight w:val="0"/>
      <w:marTop w:val="0"/>
      <w:marBottom w:val="0"/>
      <w:divBdr>
        <w:top w:val="none" w:sz="0" w:space="0" w:color="auto"/>
        <w:left w:val="none" w:sz="0" w:space="0" w:color="auto"/>
        <w:bottom w:val="none" w:sz="0" w:space="0" w:color="auto"/>
        <w:right w:val="none" w:sz="0" w:space="0" w:color="auto"/>
      </w:divBdr>
    </w:div>
    <w:div w:id="251285825">
      <w:bodyDiv w:val="1"/>
      <w:marLeft w:val="0"/>
      <w:marRight w:val="0"/>
      <w:marTop w:val="0"/>
      <w:marBottom w:val="0"/>
      <w:divBdr>
        <w:top w:val="none" w:sz="0" w:space="0" w:color="auto"/>
        <w:left w:val="none" w:sz="0" w:space="0" w:color="auto"/>
        <w:bottom w:val="none" w:sz="0" w:space="0" w:color="auto"/>
        <w:right w:val="none" w:sz="0" w:space="0" w:color="auto"/>
      </w:divBdr>
    </w:div>
    <w:div w:id="253829611">
      <w:bodyDiv w:val="1"/>
      <w:marLeft w:val="0"/>
      <w:marRight w:val="0"/>
      <w:marTop w:val="0"/>
      <w:marBottom w:val="0"/>
      <w:divBdr>
        <w:top w:val="none" w:sz="0" w:space="0" w:color="auto"/>
        <w:left w:val="none" w:sz="0" w:space="0" w:color="auto"/>
        <w:bottom w:val="none" w:sz="0" w:space="0" w:color="auto"/>
        <w:right w:val="none" w:sz="0" w:space="0" w:color="auto"/>
      </w:divBdr>
    </w:div>
    <w:div w:id="253976670">
      <w:bodyDiv w:val="1"/>
      <w:marLeft w:val="0"/>
      <w:marRight w:val="0"/>
      <w:marTop w:val="0"/>
      <w:marBottom w:val="0"/>
      <w:divBdr>
        <w:top w:val="none" w:sz="0" w:space="0" w:color="auto"/>
        <w:left w:val="none" w:sz="0" w:space="0" w:color="auto"/>
        <w:bottom w:val="none" w:sz="0" w:space="0" w:color="auto"/>
        <w:right w:val="none" w:sz="0" w:space="0" w:color="auto"/>
      </w:divBdr>
    </w:div>
    <w:div w:id="256325960">
      <w:bodyDiv w:val="1"/>
      <w:marLeft w:val="0"/>
      <w:marRight w:val="0"/>
      <w:marTop w:val="0"/>
      <w:marBottom w:val="0"/>
      <w:divBdr>
        <w:top w:val="none" w:sz="0" w:space="0" w:color="auto"/>
        <w:left w:val="none" w:sz="0" w:space="0" w:color="auto"/>
        <w:bottom w:val="none" w:sz="0" w:space="0" w:color="auto"/>
        <w:right w:val="none" w:sz="0" w:space="0" w:color="auto"/>
      </w:divBdr>
    </w:div>
    <w:div w:id="260532324">
      <w:bodyDiv w:val="1"/>
      <w:marLeft w:val="0"/>
      <w:marRight w:val="0"/>
      <w:marTop w:val="0"/>
      <w:marBottom w:val="0"/>
      <w:divBdr>
        <w:top w:val="none" w:sz="0" w:space="0" w:color="auto"/>
        <w:left w:val="none" w:sz="0" w:space="0" w:color="auto"/>
        <w:bottom w:val="none" w:sz="0" w:space="0" w:color="auto"/>
        <w:right w:val="none" w:sz="0" w:space="0" w:color="auto"/>
      </w:divBdr>
    </w:div>
    <w:div w:id="264504321">
      <w:bodyDiv w:val="1"/>
      <w:marLeft w:val="0"/>
      <w:marRight w:val="0"/>
      <w:marTop w:val="0"/>
      <w:marBottom w:val="0"/>
      <w:divBdr>
        <w:top w:val="none" w:sz="0" w:space="0" w:color="auto"/>
        <w:left w:val="none" w:sz="0" w:space="0" w:color="auto"/>
        <w:bottom w:val="none" w:sz="0" w:space="0" w:color="auto"/>
        <w:right w:val="none" w:sz="0" w:space="0" w:color="auto"/>
      </w:divBdr>
    </w:div>
    <w:div w:id="265429752">
      <w:bodyDiv w:val="1"/>
      <w:marLeft w:val="0"/>
      <w:marRight w:val="0"/>
      <w:marTop w:val="0"/>
      <w:marBottom w:val="0"/>
      <w:divBdr>
        <w:top w:val="none" w:sz="0" w:space="0" w:color="auto"/>
        <w:left w:val="none" w:sz="0" w:space="0" w:color="auto"/>
        <w:bottom w:val="none" w:sz="0" w:space="0" w:color="auto"/>
        <w:right w:val="none" w:sz="0" w:space="0" w:color="auto"/>
      </w:divBdr>
    </w:div>
    <w:div w:id="266036730">
      <w:bodyDiv w:val="1"/>
      <w:marLeft w:val="0"/>
      <w:marRight w:val="0"/>
      <w:marTop w:val="0"/>
      <w:marBottom w:val="0"/>
      <w:divBdr>
        <w:top w:val="none" w:sz="0" w:space="0" w:color="auto"/>
        <w:left w:val="none" w:sz="0" w:space="0" w:color="auto"/>
        <w:bottom w:val="none" w:sz="0" w:space="0" w:color="auto"/>
        <w:right w:val="none" w:sz="0" w:space="0" w:color="auto"/>
      </w:divBdr>
    </w:div>
    <w:div w:id="266237326">
      <w:bodyDiv w:val="1"/>
      <w:marLeft w:val="0"/>
      <w:marRight w:val="0"/>
      <w:marTop w:val="0"/>
      <w:marBottom w:val="0"/>
      <w:divBdr>
        <w:top w:val="none" w:sz="0" w:space="0" w:color="auto"/>
        <w:left w:val="none" w:sz="0" w:space="0" w:color="auto"/>
        <w:bottom w:val="none" w:sz="0" w:space="0" w:color="auto"/>
        <w:right w:val="none" w:sz="0" w:space="0" w:color="auto"/>
      </w:divBdr>
    </w:div>
    <w:div w:id="268053985">
      <w:bodyDiv w:val="1"/>
      <w:marLeft w:val="0"/>
      <w:marRight w:val="0"/>
      <w:marTop w:val="0"/>
      <w:marBottom w:val="0"/>
      <w:divBdr>
        <w:top w:val="none" w:sz="0" w:space="0" w:color="auto"/>
        <w:left w:val="none" w:sz="0" w:space="0" w:color="auto"/>
        <w:bottom w:val="none" w:sz="0" w:space="0" w:color="auto"/>
        <w:right w:val="none" w:sz="0" w:space="0" w:color="auto"/>
      </w:divBdr>
    </w:div>
    <w:div w:id="271517256">
      <w:bodyDiv w:val="1"/>
      <w:marLeft w:val="0"/>
      <w:marRight w:val="0"/>
      <w:marTop w:val="0"/>
      <w:marBottom w:val="0"/>
      <w:divBdr>
        <w:top w:val="none" w:sz="0" w:space="0" w:color="auto"/>
        <w:left w:val="none" w:sz="0" w:space="0" w:color="auto"/>
        <w:bottom w:val="none" w:sz="0" w:space="0" w:color="auto"/>
        <w:right w:val="none" w:sz="0" w:space="0" w:color="auto"/>
      </w:divBdr>
    </w:div>
    <w:div w:id="272984488">
      <w:bodyDiv w:val="1"/>
      <w:marLeft w:val="0"/>
      <w:marRight w:val="0"/>
      <w:marTop w:val="0"/>
      <w:marBottom w:val="0"/>
      <w:divBdr>
        <w:top w:val="none" w:sz="0" w:space="0" w:color="auto"/>
        <w:left w:val="none" w:sz="0" w:space="0" w:color="auto"/>
        <w:bottom w:val="none" w:sz="0" w:space="0" w:color="auto"/>
        <w:right w:val="none" w:sz="0" w:space="0" w:color="auto"/>
      </w:divBdr>
    </w:div>
    <w:div w:id="276916667">
      <w:bodyDiv w:val="1"/>
      <w:marLeft w:val="0"/>
      <w:marRight w:val="0"/>
      <w:marTop w:val="0"/>
      <w:marBottom w:val="0"/>
      <w:divBdr>
        <w:top w:val="none" w:sz="0" w:space="0" w:color="auto"/>
        <w:left w:val="none" w:sz="0" w:space="0" w:color="auto"/>
        <w:bottom w:val="none" w:sz="0" w:space="0" w:color="auto"/>
        <w:right w:val="none" w:sz="0" w:space="0" w:color="auto"/>
      </w:divBdr>
    </w:div>
    <w:div w:id="277303445">
      <w:bodyDiv w:val="1"/>
      <w:marLeft w:val="0"/>
      <w:marRight w:val="0"/>
      <w:marTop w:val="0"/>
      <w:marBottom w:val="0"/>
      <w:divBdr>
        <w:top w:val="none" w:sz="0" w:space="0" w:color="auto"/>
        <w:left w:val="none" w:sz="0" w:space="0" w:color="auto"/>
        <w:bottom w:val="none" w:sz="0" w:space="0" w:color="auto"/>
        <w:right w:val="none" w:sz="0" w:space="0" w:color="auto"/>
      </w:divBdr>
    </w:div>
    <w:div w:id="278149172">
      <w:bodyDiv w:val="1"/>
      <w:marLeft w:val="0"/>
      <w:marRight w:val="0"/>
      <w:marTop w:val="0"/>
      <w:marBottom w:val="0"/>
      <w:divBdr>
        <w:top w:val="none" w:sz="0" w:space="0" w:color="auto"/>
        <w:left w:val="none" w:sz="0" w:space="0" w:color="auto"/>
        <w:bottom w:val="none" w:sz="0" w:space="0" w:color="auto"/>
        <w:right w:val="none" w:sz="0" w:space="0" w:color="auto"/>
      </w:divBdr>
    </w:div>
    <w:div w:id="281958052">
      <w:bodyDiv w:val="1"/>
      <w:marLeft w:val="0"/>
      <w:marRight w:val="0"/>
      <w:marTop w:val="0"/>
      <w:marBottom w:val="0"/>
      <w:divBdr>
        <w:top w:val="none" w:sz="0" w:space="0" w:color="auto"/>
        <w:left w:val="none" w:sz="0" w:space="0" w:color="auto"/>
        <w:bottom w:val="none" w:sz="0" w:space="0" w:color="auto"/>
        <w:right w:val="none" w:sz="0" w:space="0" w:color="auto"/>
      </w:divBdr>
    </w:div>
    <w:div w:id="283192607">
      <w:bodyDiv w:val="1"/>
      <w:marLeft w:val="0"/>
      <w:marRight w:val="0"/>
      <w:marTop w:val="0"/>
      <w:marBottom w:val="0"/>
      <w:divBdr>
        <w:top w:val="none" w:sz="0" w:space="0" w:color="auto"/>
        <w:left w:val="none" w:sz="0" w:space="0" w:color="auto"/>
        <w:bottom w:val="none" w:sz="0" w:space="0" w:color="auto"/>
        <w:right w:val="none" w:sz="0" w:space="0" w:color="auto"/>
      </w:divBdr>
    </w:div>
    <w:div w:id="290550474">
      <w:bodyDiv w:val="1"/>
      <w:marLeft w:val="0"/>
      <w:marRight w:val="0"/>
      <w:marTop w:val="0"/>
      <w:marBottom w:val="0"/>
      <w:divBdr>
        <w:top w:val="none" w:sz="0" w:space="0" w:color="auto"/>
        <w:left w:val="none" w:sz="0" w:space="0" w:color="auto"/>
        <w:bottom w:val="none" w:sz="0" w:space="0" w:color="auto"/>
        <w:right w:val="none" w:sz="0" w:space="0" w:color="auto"/>
      </w:divBdr>
    </w:div>
    <w:div w:id="292059535">
      <w:bodyDiv w:val="1"/>
      <w:marLeft w:val="0"/>
      <w:marRight w:val="0"/>
      <w:marTop w:val="0"/>
      <w:marBottom w:val="0"/>
      <w:divBdr>
        <w:top w:val="none" w:sz="0" w:space="0" w:color="auto"/>
        <w:left w:val="none" w:sz="0" w:space="0" w:color="auto"/>
        <w:bottom w:val="none" w:sz="0" w:space="0" w:color="auto"/>
        <w:right w:val="none" w:sz="0" w:space="0" w:color="auto"/>
      </w:divBdr>
    </w:div>
    <w:div w:id="292105917">
      <w:bodyDiv w:val="1"/>
      <w:marLeft w:val="0"/>
      <w:marRight w:val="0"/>
      <w:marTop w:val="0"/>
      <w:marBottom w:val="0"/>
      <w:divBdr>
        <w:top w:val="none" w:sz="0" w:space="0" w:color="auto"/>
        <w:left w:val="none" w:sz="0" w:space="0" w:color="auto"/>
        <w:bottom w:val="none" w:sz="0" w:space="0" w:color="auto"/>
        <w:right w:val="none" w:sz="0" w:space="0" w:color="auto"/>
      </w:divBdr>
    </w:div>
    <w:div w:id="293101240">
      <w:bodyDiv w:val="1"/>
      <w:marLeft w:val="0"/>
      <w:marRight w:val="0"/>
      <w:marTop w:val="0"/>
      <w:marBottom w:val="0"/>
      <w:divBdr>
        <w:top w:val="none" w:sz="0" w:space="0" w:color="auto"/>
        <w:left w:val="none" w:sz="0" w:space="0" w:color="auto"/>
        <w:bottom w:val="none" w:sz="0" w:space="0" w:color="auto"/>
        <w:right w:val="none" w:sz="0" w:space="0" w:color="auto"/>
      </w:divBdr>
    </w:div>
    <w:div w:id="294917196">
      <w:bodyDiv w:val="1"/>
      <w:marLeft w:val="0"/>
      <w:marRight w:val="0"/>
      <w:marTop w:val="0"/>
      <w:marBottom w:val="0"/>
      <w:divBdr>
        <w:top w:val="none" w:sz="0" w:space="0" w:color="auto"/>
        <w:left w:val="none" w:sz="0" w:space="0" w:color="auto"/>
        <w:bottom w:val="none" w:sz="0" w:space="0" w:color="auto"/>
        <w:right w:val="none" w:sz="0" w:space="0" w:color="auto"/>
      </w:divBdr>
    </w:div>
    <w:div w:id="297032650">
      <w:bodyDiv w:val="1"/>
      <w:marLeft w:val="0"/>
      <w:marRight w:val="0"/>
      <w:marTop w:val="0"/>
      <w:marBottom w:val="0"/>
      <w:divBdr>
        <w:top w:val="none" w:sz="0" w:space="0" w:color="auto"/>
        <w:left w:val="none" w:sz="0" w:space="0" w:color="auto"/>
        <w:bottom w:val="none" w:sz="0" w:space="0" w:color="auto"/>
        <w:right w:val="none" w:sz="0" w:space="0" w:color="auto"/>
      </w:divBdr>
    </w:div>
    <w:div w:id="297684955">
      <w:bodyDiv w:val="1"/>
      <w:marLeft w:val="0"/>
      <w:marRight w:val="0"/>
      <w:marTop w:val="0"/>
      <w:marBottom w:val="0"/>
      <w:divBdr>
        <w:top w:val="none" w:sz="0" w:space="0" w:color="auto"/>
        <w:left w:val="none" w:sz="0" w:space="0" w:color="auto"/>
        <w:bottom w:val="none" w:sz="0" w:space="0" w:color="auto"/>
        <w:right w:val="none" w:sz="0" w:space="0" w:color="auto"/>
      </w:divBdr>
    </w:div>
    <w:div w:id="298069771">
      <w:bodyDiv w:val="1"/>
      <w:marLeft w:val="0"/>
      <w:marRight w:val="0"/>
      <w:marTop w:val="0"/>
      <w:marBottom w:val="0"/>
      <w:divBdr>
        <w:top w:val="none" w:sz="0" w:space="0" w:color="auto"/>
        <w:left w:val="none" w:sz="0" w:space="0" w:color="auto"/>
        <w:bottom w:val="none" w:sz="0" w:space="0" w:color="auto"/>
        <w:right w:val="none" w:sz="0" w:space="0" w:color="auto"/>
      </w:divBdr>
    </w:div>
    <w:div w:id="298806343">
      <w:bodyDiv w:val="1"/>
      <w:marLeft w:val="0"/>
      <w:marRight w:val="0"/>
      <w:marTop w:val="0"/>
      <w:marBottom w:val="0"/>
      <w:divBdr>
        <w:top w:val="none" w:sz="0" w:space="0" w:color="auto"/>
        <w:left w:val="none" w:sz="0" w:space="0" w:color="auto"/>
        <w:bottom w:val="none" w:sz="0" w:space="0" w:color="auto"/>
        <w:right w:val="none" w:sz="0" w:space="0" w:color="auto"/>
      </w:divBdr>
    </w:div>
    <w:div w:id="300620420">
      <w:bodyDiv w:val="1"/>
      <w:marLeft w:val="0"/>
      <w:marRight w:val="0"/>
      <w:marTop w:val="0"/>
      <w:marBottom w:val="0"/>
      <w:divBdr>
        <w:top w:val="none" w:sz="0" w:space="0" w:color="auto"/>
        <w:left w:val="none" w:sz="0" w:space="0" w:color="auto"/>
        <w:bottom w:val="none" w:sz="0" w:space="0" w:color="auto"/>
        <w:right w:val="none" w:sz="0" w:space="0" w:color="auto"/>
      </w:divBdr>
    </w:div>
    <w:div w:id="303512951">
      <w:bodyDiv w:val="1"/>
      <w:marLeft w:val="0"/>
      <w:marRight w:val="0"/>
      <w:marTop w:val="0"/>
      <w:marBottom w:val="0"/>
      <w:divBdr>
        <w:top w:val="none" w:sz="0" w:space="0" w:color="auto"/>
        <w:left w:val="none" w:sz="0" w:space="0" w:color="auto"/>
        <w:bottom w:val="none" w:sz="0" w:space="0" w:color="auto"/>
        <w:right w:val="none" w:sz="0" w:space="0" w:color="auto"/>
      </w:divBdr>
    </w:div>
    <w:div w:id="306402923">
      <w:bodyDiv w:val="1"/>
      <w:marLeft w:val="0"/>
      <w:marRight w:val="0"/>
      <w:marTop w:val="0"/>
      <w:marBottom w:val="0"/>
      <w:divBdr>
        <w:top w:val="none" w:sz="0" w:space="0" w:color="auto"/>
        <w:left w:val="none" w:sz="0" w:space="0" w:color="auto"/>
        <w:bottom w:val="none" w:sz="0" w:space="0" w:color="auto"/>
        <w:right w:val="none" w:sz="0" w:space="0" w:color="auto"/>
      </w:divBdr>
    </w:div>
    <w:div w:id="308019977">
      <w:bodyDiv w:val="1"/>
      <w:marLeft w:val="0"/>
      <w:marRight w:val="0"/>
      <w:marTop w:val="0"/>
      <w:marBottom w:val="0"/>
      <w:divBdr>
        <w:top w:val="none" w:sz="0" w:space="0" w:color="auto"/>
        <w:left w:val="none" w:sz="0" w:space="0" w:color="auto"/>
        <w:bottom w:val="none" w:sz="0" w:space="0" w:color="auto"/>
        <w:right w:val="none" w:sz="0" w:space="0" w:color="auto"/>
      </w:divBdr>
    </w:div>
    <w:div w:id="310213914">
      <w:bodyDiv w:val="1"/>
      <w:marLeft w:val="0"/>
      <w:marRight w:val="0"/>
      <w:marTop w:val="0"/>
      <w:marBottom w:val="0"/>
      <w:divBdr>
        <w:top w:val="none" w:sz="0" w:space="0" w:color="auto"/>
        <w:left w:val="none" w:sz="0" w:space="0" w:color="auto"/>
        <w:bottom w:val="none" w:sz="0" w:space="0" w:color="auto"/>
        <w:right w:val="none" w:sz="0" w:space="0" w:color="auto"/>
      </w:divBdr>
    </w:div>
    <w:div w:id="310524417">
      <w:bodyDiv w:val="1"/>
      <w:marLeft w:val="0"/>
      <w:marRight w:val="0"/>
      <w:marTop w:val="0"/>
      <w:marBottom w:val="0"/>
      <w:divBdr>
        <w:top w:val="none" w:sz="0" w:space="0" w:color="auto"/>
        <w:left w:val="none" w:sz="0" w:space="0" w:color="auto"/>
        <w:bottom w:val="none" w:sz="0" w:space="0" w:color="auto"/>
        <w:right w:val="none" w:sz="0" w:space="0" w:color="auto"/>
      </w:divBdr>
    </w:div>
    <w:div w:id="311104126">
      <w:bodyDiv w:val="1"/>
      <w:marLeft w:val="0"/>
      <w:marRight w:val="0"/>
      <w:marTop w:val="0"/>
      <w:marBottom w:val="0"/>
      <w:divBdr>
        <w:top w:val="none" w:sz="0" w:space="0" w:color="auto"/>
        <w:left w:val="none" w:sz="0" w:space="0" w:color="auto"/>
        <w:bottom w:val="none" w:sz="0" w:space="0" w:color="auto"/>
        <w:right w:val="none" w:sz="0" w:space="0" w:color="auto"/>
      </w:divBdr>
    </w:div>
    <w:div w:id="318387396">
      <w:bodyDiv w:val="1"/>
      <w:marLeft w:val="0"/>
      <w:marRight w:val="0"/>
      <w:marTop w:val="0"/>
      <w:marBottom w:val="0"/>
      <w:divBdr>
        <w:top w:val="none" w:sz="0" w:space="0" w:color="auto"/>
        <w:left w:val="none" w:sz="0" w:space="0" w:color="auto"/>
        <w:bottom w:val="none" w:sz="0" w:space="0" w:color="auto"/>
        <w:right w:val="none" w:sz="0" w:space="0" w:color="auto"/>
      </w:divBdr>
    </w:div>
    <w:div w:id="322125835">
      <w:bodyDiv w:val="1"/>
      <w:marLeft w:val="0"/>
      <w:marRight w:val="0"/>
      <w:marTop w:val="0"/>
      <w:marBottom w:val="0"/>
      <w:divBdr>
        <w:top w:val="none" w:sz="0" w:space="0" w:color="auto"/>
        <w:left w:val="none" w:sz="0" w:space="0" w:color="auto"/>
        <w:bottom w:val="none" w:sz="0" w:space="0" w:color="auto"/>
        <w:right w:val="none" w:sz="0" w:space="0" w:color="auto"/>
      </w:divBdr>
    </w:div>
    <w:div w:id="324096113">
      <w:bodyDiv w:val="1"/>
      <w:marLeft w:val="0"/>
      <w:marRight w:val="0"/>
      <w:marTop w:val="0"/>
      <w:marBottom w:val="0"/>
      <w:divBdr>
        <w:top w:val="none" w:sz="0" w:space="0" w:color="auto"/>
        <w:left w:val="none" w:sz="0" w:space="0" w:color="auto"/>
        <w:bottom w:val="none" w:sz="0" w:space="0" w:color="auto"/>
        <w:right w:val="none" w:sz="0" w:space="0" w:color="auto"/>
      </w:divBdr>
    </w:div>
    <w:div w:id="327514645">
      <w:bodyDiv w:val="1"/>
      <w:marLeft w:val="0"/>
      <w:marRight w:val="0"/>
      <w:marTop w:val="0"/>
      <w:marBottom w:val="0"/>
      <w:divBdr>
        <w:top w:val="none" w:sz="0" w:space="0" w:color="auto"/>
        <w:left w:val="none" w:sz="0" w:space="0" w:color="auto"/>
        <w:bottom w:val="none" w:sz="0" w:space="0" w:color="auto"/>
        <w:right w:val="none" w:sz="0" w:space="0" w:color="auto"/>
      </w:divBdr>
    </w:div>
    <w:div w:id="329480829">
      <w:bodyDiv w:val="1"/>
      <w:marLeft w:val="0"/>
      <w:marRight w:val="0"/>
      <w:marTop w:val="0"/>
      <w:marBottom w:val="0"/>
      <w:divBdr>
        <w:top w:val="none" w:sz="0" w:space="0" w:color="auto"/>
        <w:left w:val="none" w:sz="0" w:space="0" w:color="auto"/>
        <w:bottom w:val="none" w:sz="0" w:space="0" w:color="auto"/>
        <w:right w:val="none" w:sz="0" w:space="0" w:color="auto"/>
      </w:divBdr>
    </w:div>
    <w:div w:id="330647275">
      <w:bodyDiv w:val="1"/>
      <w:marLeft w:val="0"/>
      <w:marRight w:val="0"/>
      <w:marTop w:val="0"/>
      <w:marBottom w:val="0"/>
      <w:divBdr>
        <w:top w:val="none" w:sz="0" w:space="0" w:color="auto"/>
        <w:left w:val="none" w:sz="0" w:space="0" w:color="auto"/>
        <w:bottom w:val="none" w:sz="0" w:space="0" w:color="auto"/>
        <w:right w:val="none" w:sz="0" w:space="0" w:color="auto"/>
      </w:divBdr>
    </w:div>
    <w:div w:id="330715436">
      <w:bodyDiv w:val="1"/>
      <w:marLeft w:val="0"/>
      <w:marRight w:val="0"/>
      <w:marTop w:val="0"/>
      <w:marBottom w:val="0"/>
      <w:divBdr>
        <w:top w:val="none" w:sz="0" w:space="0" w:color="auto"/>
        <w:left w:val="none" w:sz="0" w:space="0" w:color="auto"/>
        <w:bottom w:val="none" w:sz="0" w:space="0" w:color="auto"/>
        <w:right w:val="none" w:sz="0" w:space="0" w:color="auto"/>
      </w:divBdr>
    </w:div>
    <w:div w:id="331177770">
      <w:bodyDiv w:val="1"/>
      <w:marLeft w:val="0"/>
      <w:marRight w:val="0"/>
      <w:marTop w:val="0"/>
      <w:marBottom w:val="0"/>
      <w:divBdr>
        <w:top w:val="none" w:sz="0" w:space="0" w:color="auto"/>
        <w:left w:val="none" w:sz="0" w:space="0" w:color="auto"/>
        <w:bottom w:val="none" w:sz="0" w:space="0" w:color="auto"/>
        <w:right w:val="none" w:sz="0" w:space="0" w:color="auto"/>
      </w:divBdr>
    </w:div>
    <w:div w:id="335545065">
      <w:bodyDiv w:val="1"/>
      <w:marLeft w:val="0"/>
      <w:marRight w:val="0"/>
      <w:marTop w:val="0"/>
      <w:marBottom w:val="0"/>
      <w:divBdr>
        <w:top w:val="none" w:sz="0" w:space="0" w:color="auto"/>
        <w:left w:val="none" w:sz="0" w:space="0" w:color="auto"/>
        <w:bottom w:val="none" w:sz="0" w:space="0" w:color="auto"/>
        <w:right w:val="none" w:sz="0" w:space="0" w:color="auto"/>
      </w:divBdr>
    </w:div>
    <w:div w:id="336274098">
      <w:bodyDiv w:val="1"/>
      <w:marLeft w:val="0"/>
      <w:marRight w:val="0"/>
      <w:marTop w:val="0"/>
      <w:marBottom w:val="0"/>
      <w:divBdr>
        <w:top w:val="none" w:sz="0" w:space="0" w:color="auto"/>
        <w:left w:val="none" w:sz="0" w:space="0" w:color="auto"/>
        <w:bottom w:val="none" w:sz="0" w:space="0" w:color="auto"/>
        <w:right w:val="none" w:sz="0" w:space="0" w:color="auto"/>
      </w:divBdr>
    </w:div>
    <w:div w:id="337969408">
      <w:bodyDiv w:val="1"/>
      <w:marLeft w:val="0"/>
      <w:marRight w:val="0"/>
      <w:marTop w:val="0"/>
      <w:marBottom w:val="0"/>
      <w:divBdr>
        <w:top w:val="none" w:sz="0" w:space="0" w:color="auto"/>
        <w:left w:val="none" w:sz="0" w:space="0" w:color="auto"/>
        <w:bottom w:val="none" w:sz="0" w:space="0" w:color="auto"/>
        <w:right w:val="none" w:sz="0" w:space="0" w:color="auto"/>
      </w:divBdr>
    </w:div>
    <w:div w:id="338310035">
      <w:bodyDiv w:val="1"/>
      <w:marLeft w:val="0"/>
      <w:marRight w:val="0"/>
      <w:marTop w:val="0"/>
      <w:marBottom w:val="0"/>
      <w:divBdr>
        <w:top w:val="none" w:sz="0" w:space="0" w:color="auto"/>
        <w:left w:val="none" w:sz="0" w:space="0" w:color="auto"/>
        <w:bottom w:val="none" w:sz="0" w:space="0" w:color="auto"/>
        <w:right w:val="none" w:sz="0" w:space="0" w:color="auto"/>
      </w:divBdr>
      <w:divsChild>
        <w:div w:id="671684116">
          <w:marLeft w:val="0"/>
          <w:marRight w:val="0"/>
          <w:marTop w:val="0"/>
          <w:marBottom w:val="0"/>
          <w:divBdr>
            <w:top w:val="single" w:sz="6" w:space="0" w:color="E4E4E6"/>
            <w:left w:val="none" w:sz="0" w:space="0" w:color="auto"/>
            <w:bottom w:val="none" w:sz="0" w:space="0" w:color="auto"/>
            <w:right w:val="none" w:sz="0" w:space="0" w:color="auto"/>
          </w:divBdr>
          <w:divsChild>
            <w:div w:id="426078514">
              <w:marLeft w:val="0"/>
              <w:marRight w:val="0"/>
              <w:marTop w:val="0"/>
              <w:marBottom w:val="0"/>
              <w:divBdr>
                <w:top w:val="none" w:sz="0" w:space="0" w:color="auto"/>
                <w:left w:val="none" w:sz="0" w:space="0" w:color="auto"/>
                <w:bottom w:val="none" w:sz="0" w:space="0" w:color="auto"/>
                <w:right w:val="none" w:sz="0" w:space="0" w:color="auto"/>
              </w:divBdr>
              <w:divsChild>
                <w:div w:id="861239308">
                  <w:marLeft w:val="0"/>
                  <w:marRight w:val="1500"/>
                  <w:marTop w:val="100"/>
                  <w:marBottom w:val="100"/>
                  <w:divBdr>
                    <w:top w:val="none" w:sz="0" w:space="0" w:color="auto"/>
                    <w:left w:val="none" w:sz="0" w:space="0" w:color="auto"/>
                    <w:bottom w:val="none" w:sz="0" w:space="0" w:color="auto"/>
                    <w:right w:val="none" w:sz="0" w:space="0" w:color="auto"/>
                  </w:divBdr>
                  <w:divsChild>
                    <w:div w:id="1388870679">
                      <w:marLeft w:val="0"/>
                      <w:marRight w:val="0"/>
                      <w:marTop w:val="300"/>
                      <w:marBottom w:val="450"/>
                      <w:divBdr>
                        <w:top w:val="none" w:sz="0" w:space="0" w:color="auto"/>
                        <w:left w:val="none" w:sz="0" w:space="0" w:color="auto"/>
                        <w:bottom w:val="none" w:sz="0" w:space="0" w:color="auto"/>
                        <w:right w:val="none" w:sz="0" w:space="0" w:color="auto"/>
                      </w:divBdr>
                      <w:divsChild>
                        <w:div w:id="1188985386">
                          <w:marLeft w:val="0"/>
                          <w:marRight w:val="0"/>
                          <w:marTop w:val="0"/>
                          <w:marBottom w:val="0"/>
                          <w:divBdr>
                            <w:top w:val="none" w:sz="0" w:space="0" w:color="auto"/>
                            <w:left w:val="none" w:sz="0" w:space="0" w:color="auto"/>
                            <w:bottom w:val="none" w:sz="0" w:space="0" w:color="auto"/>
                            <w:right w:val="none" w:sz="0" w:space="0" w:color="auto"/>
                          </w:divBdr>
                          <w:divsChild>
                            <w:div w:id="1033265160">
                              <w:marLeft w:val="0"/>
                              <w:marRight w:val="0"/>
                              <w:marTop w:val="0"/>
                              <w:marBottom w:val="0"/>
                              <w:divBdr>
                                <w:top w:val="none" w:sz="0" w:space="0" w:color="auto"/>
                                <w:left w:val="none" w:sz="0" w:space="0" w:color="auto"/>
                                <w:bottom w:val="none" w:sz="0" w:space="0" w:color="auto"/>
                                <w:right w:val="none" w:sz="0" w:space="0" w:color="auto"/>
                              </w:divBdr>
                              <w:divsChild>
                                <w:div w:id="1822303836">
                                  <w:marLeft w:val="0"/>
                                  <w:marRight w:val="0"/>
                                  <w:marTop w:val="0"/>
                                  <w:marBottom w:val="0"/>
                                  <w:divBdr>
                                    <w:top w:val="none" w:sz="0" w:space="0" w:color="auto"/>
                                    <w:left w:val="none" w:sz="0" w:space="0" w:color="auto"/>
                                    <w:bottom w:val="none" w:sz="0" w:space="0" w:color="auto"/>
                                    <w:right w:val="none" w:sz="0" w:space="0" w:color="auto"/>
                                  </w:divBdr>
                                  <w:divsChild>
                                    <w:div w:id="55346645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505458">
          <w:marLeft w:val="0"/>
          <w:marRight w:val="0"/>
          <w:marTop w:val="0"/>
          <w:marBottom w:val="0"/>
          <w:divBdr>
            <w:top w:val="none" w:sz="0" w:space="0" w:color="auto"/>
            <w:left w:val="none" w:sz="0" w:space="0" w:color="auto"/>
            <w:bottom w:val="none" w:sz="0" w:space="0" w:color="auto"/>
            <w:right w:val="none" w:sz="0" w:space="0" w:color="auto"/>
          </w:divBdr>
          <w:divsChild>
            <w:div w:id="1585266149">
              <w:marLeft w:val="0"/>
              <w:marRight w:val="0"/>
              <w:marTop w:val="0"/>
              <w:marBottom w:val="0"/>
              <w:divBdr>
                <w:top w:val="none" w:sz="0" w:space="0" w:color="auto"/>
                <w:left w:val="none" w:sz="0" w:space="0" w:color="auto"/>
                <w:bottom w:val="none" w:sz="0" w:space="0" w:color="auto"/>
                <w:right w:val="none" w:sz="0" w:space="0" w:color="auto"/>
              </w:divBdr>
              <w:divsChild>
                <w:div w:id="298539383">
                  <w:marLeft w:val="675"/>
                  <w:marRight w:val="0"/>
                  <w:marTop w:val="0"/>
                  <w:marBottom w:val="240"/>
                  <w:divBdr>
                    <w:top w:val="single" w:sz="6" w:space="0" w:color="E4E4E6"/>
                    <w:left w:val="single" w:sz="6" w:space="0" w:color="E4E4E6"/>
                    <w:bottom w:val="single" w:sz="6" w:space="18" w:color="E4E4E6"/>
                    <w:right w:val="single" w:sz="6" w:space="0" w:color="E4E4E6"/>
                  </w:divBdr>
                </w:div>
              </w:divsChild>
            </w:div>
          </w:divsChild>
        </w:div>
      </w:divsChild>
    </w:div>
    <w:div w:id="341013660">
      <w:bodyDiv w:val="1"/>
      <w:marLeft w:val="0"/>
      <w:marRight w:val="0"/>
      <w:marTop w:val="0"/>
      <w:marBottom w:val="0"/>
      <w:divBdr>
        <w:top w:val="none" w:sz="0" w:space="0" w:color="auto"/>
        <w:left w:val="none" w:sz="0" w:space="0" w:color="auto"/>
        <w:bottom w:val="none" w:sz="0" w:space="0" w:color="auto"/>
        <w:right w:val="none" w:sz="0" w:space="0" w:color="auto"/>
      </w:divBdr>
    </w:div>
    <w:div w:id="343094860">
      <w:bodyDiv w:val="1"/>
      <w:marLeft w:val="0"/>
      <w:marRight w:val="0"/>
      <w:marTop w:val="0"/>
      <w:marBottom w:val="0"/>
      <w:divBdr>
        <w:top w:val="none" w:sz="0" w:space="0" w:color="auto"/>
        <w:left w:val="none" w:sz="0" w:space="0" w:color="auto"/>
        <w:bottom w:val="none" w:sz="0" w:space="0" w:color="auto"/>
        <w:right w:val="none" w:sz="0" w:space="0" w:color="auto"/>
      </w:divBdr>
    </w:div>
    <w:div w:id="345668890">
      <w:bodyDiv w:val="1"/>
      <w:marLeft w:val="0"/>
      <w:marRight w:val="0"/>
      <w:marTop w:val="0"/>
      <w:marBottom w:val="0"/>
      <w:divBdr>
        <w:top w:val="none" w:sz="0" w:space="0" w:color="auto"/>
        <w:left w:val="none" w:sz="0" w:space="0" w:color="auto"/>
        <w:bottom w:val="none" w:sz="0" w:space="0" w:color="auto"/>
        <w:right w:val="none" w:sz="0" w:space="0" w:color="auto"/>
      </w:divBdr>
    </w:div>
    <w:div w:id="346368168">
      <w:bodyDiv w:val="1"/>
      <w:marLeft w:val="0"/>
      <w:marRight w:val="0"/>
      <w:marTop w:val="0"/>
      <w:marBottom w:val="0"/>
      <w:divBdr>
        <w:top w:val="none" w:sz="0" w:space="0" w:color="auto"/>
        <w:left w:val="none" w:sz="0" w:space="0" w:color="auto"/>
        <w:bottom w:val="none" w:sz="0" w:space="0" w:color="auto"/>
        <w:right w:val="none" w:sz="0" w:space="0" w:color="auto"/>
      </w:divBdr>
    </w:div>
    <w:div w:id="348289641">
      <w:bodyDiv w:val="1"/>
      <w:marLeft w:val="0"/>
      <w:marRight w:val="0"/>
      <w:marTop w:val="0"/>
      <w:marBottom w:val="0"/>
      <w:divBdr>
        <w:top w:val="none" w:sz="0" w:space="0" w:color="auto"/>
        <w:left w:val="none" w:sz="0" w:space="0" w:color="auto"/>
        <w:bottom w:val="none" w:sz="0" w:space="0" w:color="auto"/>
        <w:right w:val="none" w:sz="0" w:space="0" w:color="auto"/>
      </w:divBdr>
    </w:div>
    <w:div w:id="350301460">
      <w:bodyDiv w:val="1"/>
      <w:marLeft w:val="0"/>
      <w:marRight w:val="0"/>
      <w:marTop w:val="0"/>
      <w:marBottom w:val="0"/>
      <w:divBdr>
        <w:top w:val="none" w:sz="0" w:space="0" w:color="auto"/>
        <w:left w:val="none" w:sz="0" w:space="0" w:color="auto"/>
        <w:bottom w:val="none" w:sz="0" w:space="0" w:color="auto"/>
        <w:right w:val="none" w:sz="0" w:space="0" w:color="auto"/>
      </w:divBdr>
    </w:div>
    <w:div w:id="356734986">
      <w:bodyDiv w:val="1"/>
      <w:marLeft w:val="0"/>
      <w:marRight w:val="0"/>
      <w:marTop w:val="0"/>
      <w:marBottom w:val="0"/>
      <w:divBdr>
        <w:top w:val="none" w:sz="0" w:space="0" w:color="auto"/>
        <w:left w:val="none" w:sz="0" w:space="0" w:color="auto"/>
        <w:bottom w:val="none" w:sz="0" w:space="0" w:color="auto"/>
        <w:right w:val="none" w:sz="0" w:space="0" w:color="auto"/>
      </w:divBdr>
    </w:div>
    <w:div w:id="358747777">
      <w:bodyDiv w:val="1"/>
      <w:marLeft w:val="0"/>
      <w:marRight w:val="0"/>
      <w:marTop w:val="0"/>
      <w:marBottom w:val="0"/>
      <w:divBdr>
        <w:top w:val="none" w:sz="0" w:space="0" w:color="auto"/>
        <w:left w:val="none" w:sz="0" w:space="0" w:color="auto"/>
        <w:bottom w:val="none" w:sz="0" w:space="0" w:color="auto"/>
        <w:right w:val="none" w:sz="0" w:space="0" w:color="auto"/>
      </w:divBdr>
    </w:div>
    <w:div w:id="360058499">
      <w:bodyDiv w:val="1"/>
      <w:marLeft w:val="0"/>
      <w:marRight w:val="0"/>
      <w:marTop w:val="0"/>
      <w:marBottom w:val="0"/>
      <w:divBdr>
        <w:top w:val="none" w:sz="0" w:space="0" w:color="auto"/>
        <w:left w:val="none" w:sz="0" w:space="0" w:color="auto"/>
        <w:bottom w:val="none" w:sz="0" w:space="0" w:color="auto"/>
        <w:right w:val="none" w:sz="0" w:space="0" w:color="auto"/>
      </w:divBdr>
    </w:div>
    <w:div w:id="361246054">
      <w:bodyDiv w:val="1"/>
      <w:marLeft w:val="0"/>
      <w:marRight w:val="0"/>
      <w:marTop w:val="0"/>
      <w:marBottom w:val="0"/>
      <w:divBdr>
        <w:top w:val="none" w:sz="0" w:space="0" w:color="auto"/>
        <w:left w:val="none" w:sz="0" w:space="0" w:color="auto"/>
        <w:bottom w:val="none" w:sz="0" w:space="0" w:color="auto"/>
        <w:right w:val="none" w:sz="0" w:space="0" w:color="auto"/>
      </w:divBdr>
    </w:div>
    <w:div w:id="362904156">
      <w:bodyDiv w:val="1"/>
      <w:marLeft w:val="0"/>
      <w:marRight w:val="0"/>
      <w:marTop w:val="0"/>
      <w:marBottom w:val="0"/>
      <w:divBdr>
        <w:top w:val="none" w:sz="0" w:space="0" w:color="auto"/>
        <w:left w:val="none" w:sz="0" w:space="0" w:color="auto"/>
        <w:bottom w:val="none" w:sz="0" w:space="0" w:color="auto"/>
        <w:right w:val="none" w:sz="0" w:space="0" w:color="auto"/>
      </w:divBdr>
    </w:div>
    <w:div w:id="364403367">
      <w:bodyDiv w:val="1"/>
      <w:marLeft w:val="0"/>
      <w:marRight w:val="0"/>
      <w:marTop w:val="0"/>
      <w:marBottom w:val="0"/>
      <w:divBdr>
        <w:top w:val="none" w:sz="0" w:space="0" w:color="auto"/>
        <w:left w:val="none" w:sz="0" w:space="0" w:color="auto"/>
        <w:bottom w:val="none" w:sz="0" w:space="0" w:color="auto"/>
        <w:right w:val="none" w:sz="0" w:space="0" w:color="auto"/>
      </w:divBdr>
    </w:div>
    <w:div w:id="364674089">
      <w:bodyDiv w:val="1"/>
      <w:marLeft w:val="0"/>
      <w:marRight w:val="0"/>
      <w:marTop w:val="0"/>
      <w:marBottom w:val="0"/>
      <w:divBdr>
        <w:top w:val="none" w:sz="0" w:space="0" w:color="auto"/>
        <w:left w:val="none" w:sz="0" w:space="0" w:color="auto"/>
        <w:bottom w:val="none" w:sz="0" w:space="0" w:color="auto"/>
        <w:right w:val="none" w:sz="0" w:space="0" w:color="auto"/>
      </w:divBdr>
    </w:div>
    <w:div w:id="366175515">
      <w:bodyDiv w:val="1"/>
      <w:marLeft w:val="0"/>
      <w:marRight w:val="0"/>
      <w:marTop w:val="0"/>
      <w:marBottom w:val="0"/>
      <w:divBdr>
        <w:top w:val="none" w:sz="0" w:space="0" w:color="auto"/>
        <w:left w:val="none" w:sz="0" w:space="0" w:color="auto"/>
        <w:bottom w:val="none" w:sz="0" w:space="0" w:color="auto"/>
        <w:right w:val="none" w:sz="0" w:space="0" w:color="auto"/>
      </w:divBdr>
    </w:div>
    <w:div w:id="371805343">
      <w:bodyDiv w:val="1"/>
      <w:marLeft w:val="0"/>
      <w:marRight w:val="0"/>
      <w:marTop w:val="0"/>
      <w:marBottom w:val="0"/>
      <w:divBdr>
        <w:top w:val="none" w:sz="0" w:space="0" w:color="auto"/>
        <w:left w:val="none" w:sz="0" w:space="0" w:color="auto"/>
        <w:bottom w:val="none" w:sz="0" w:space="0" w:color="auto"/>
        <w:right w:val="none" w:sz="0" w:space="0" w:color="auto"/>
      </w:divBdr>
    </w:div>
    <w:div w:id="379935366">
      <w:bodyDiv w:val="1"/>
      <w:marLeft w:val="0"/>
      <w:marRight w:val="0"/>
      <w:marTop w:val="0"/>
      <w:marBottom w:val="0"/>
      <w:divBdr>
        <w:top w:val="none" w:sz="0" w:space="0" w:color="auto"/>
        <w:left w:val="none" w:sz="0" w:space="0" w:color="auto"/>
        <w:bottom w:val="none" w:sz="0" w:space="0" w:color="auto"/>
        <w:right w:val="none" w:sz="0" w:space="0" w:color="auto"/>
      </w:divBdr>
    </w:div>
    <w:div w:id="381638364">
      <w:bodyDiv w:val="1"/>
      <w:marLeft w:val="0"/>
      <w:marRight w:val="0"/>
      <w:marTop w:val="0"/>
      <w:marBottom w:val="0"/>
      <w:divBdr>
        <w:top w:val="none" w:sz="0" w:space="0" w:color="auto"/>
        <w:left w:val="none" w:sz="0" w:space="0" w:color="auto"/>
        <w:bottom w:val="none" w:sz="0" w:space="0" w:color="auto"/>
        <w:right w:val="none" w:sz="0" w:space="0" w:color="auto"/>
      </w:divBdr>
    </w:div>
    <w:div w:id="388070323">
      <w:bodyDiv w:val="1"/>
      <w:marLeft w:val="0"/>
      <w:marRight w:val="0"/>
      <w:marTop w:val="0"/>
      <w:marBottom w:val="0"/>
      <w:divBdr>
        <w:top w:val="none" w:sz="0" w:space="0" w:color="auto"/>
        <w:left w:val="none" w:sz="0" w:space="0" w:color="auto"/>
        <w:bottom w:val="none" w:sz="0" w:space="0" w:color="auto"/>
        <w:right w:val="none" w:sz="0" w:space="0" w:color="auto"/>
      </w:divBdr>
    </w:div>
    <w:div w:id="388920504">
      <w:bodyDiv w:val="1"/>
      <w:marLeft w:val="0"/>
      <w:marRight w:val="0"/>
      <w:marTop w:val="0"/>
      <w:marBottom w:val="0"/>
      <w:divBdr>
        <w:top w:val="none" w:sz="0" w:space="0" w:color="auto"/>
        <w:left w:val="none" w:sz="0" w:space="0" w:color="auto"/>
        <w:bottom w:val="none" w:sz="0" w:space="0" w:color="auto"/>
        <w:right w:val="none" w:sz="0" w:space="0" w:color="auto"/>
      </w:divBdr>
    </w:div>
    <w:div w:id="391001475">
      <w:bodyDiv w:val="1"/>
      <w:marLeft w:val="0"/>
      <w:marRight w:val="0"/>
      <w:marTop w:val="0"/>
      <w:marBottom w:val="0"/>
      <w:divBdr>
        <w:top w:val="none" w:sz="0" w:space="0" w:color="auto"/>
        <w:left w:val="none" w:sz="0" w:space="0" w:color="auto"/>
        <w:bottom w:val="none" w:sz="0" w:space="0" w:color="auto"/>
        <w:right w:val="none" w:sz="0" w:space="0" w:color="auto"/>
      </w:divBdr>
      <w:divsChild>
        <w:div w:id="463238212">
          <w:marLeft w:val="0"/>
          <w:marRight w:val="0"/>
          <w:marTop w:val="0"/>
          <w:marBottom w:val="60"/>
          <w:divBdr>
            <w:top w:val="none" w:sz="0" w:space="0" w:color="auto"/>
            <w:left w:val="none" w:sz="0" w:space="0" w:color="auto"/>
            <w:bottom w:val="none" w:sz="0" w:space="0" w:color="auto"/>
            <w:right w:val="none" w:sz="0" w:space="0" w:color="auto"/>
          </w:divBdr>
          <w:divsChild>
            <w:div w:id="31152488">
              <w:marLeft w:val="0"/>
              <w:marRight w:val="0"/>
              <w:marTop w:val="0"/>
              <w:marBottom w:val="0"/>
              <w:divBdr>
                <w:top w:val="none" w:sz="0" w:space="0" w:color="auto"/>
                <w:left w:val="none" w:sz="0" w:space="0" w:color="auto"/>
                <w:bottom w:val="none" w:sz="0" w:space="0" w:color="auto"/>
                <w:right w:val="none" w:sz="0" w:space="0" w:color="auto"/>
              </w:divBdr>
              <w:divsChild>
                <w:div w:id="1088843152">
                  <w:marLeft w:val="0"/>
                  <w:marRight w:val="0"/>
                  <w:marTop w:val="0"/>
                  <w:marBottom w:val="0"/>
                  <w:divBdr>
                    <w:top w:val="none" w:sz="0" w:space="0" w:color="auto"/>
                    <w:left w:val="none" w:sz="0" w:space="0" w:color="auto"/>
                    <w:bottom w:val="none" w:sz="0" w:space="0" w:color="auto"/>
                    <w:right w:val="none" w:sz="0" w:space="0" w:color="auto"/>
                  </w:divBdr>
                  <w:divsChild>
                    <w:div w:id="1535919330">
                      <w:marLeft w:val="0"/>
                      <w:marRight w:val="0"/>
                      <w:marTop w:val="0"/>
                      <w:marBottom w:val="30"/>
                      <w:divBdr>
                        <w:top w:val="none" w:sz="0" w:space="0" w:color="auto"/>
                        <w:left w:val="none" w:sz="0" w:space="0" w:color="auto"/>
                        <w:bottom w:val="none" w:sz="0" w:space="0" w:color="auto"/>
                        <w:right w:val="none" w:sz="0" w:space="0" w:color="auto"/>
                      </w:divBdr>
                      <w:divsChild>
                        <w:div w:id="1101604662">
                          <w:marLeft w:val="0"/>
                          <w:marRight w:val="0"/>
                          <w:marTop w:val="0"/>
                          <w:marBottom w:val="0"/>
                          <w:divBdr>
                            <w:top w:val="none" w:sz="0" w:space="0" w:color="auto"/>
                            <w:left w:val="none" w:sz="0" w:space="0" w:color="auto"/>
                            <w:bottom w:val="none" w:sz="0" w:space="0" w:color="auto"/>
                            <w:right w:val="none" w:sz="0" w:space="0" w:color="auto"/>
                          </w:divBdr>
                          <w:divsChild>
                            <w:div w:id="1017346455">
                              <w:marLeft w:val="0"/>
                              <w:marRight w:val="0"/>
                              <w:marTop w:val="0"/>
                              <w:marBottom w:val="0"/>
                              <w:divBdr>
                                <w:top w:val="none" w:sz="0" w:space="0" w:color="auto"/>
                                <w:left w:val="none" w:sz="0" w:space="0" w:color="auto"/>
                                <w:bottom w:val="none" w:sz="0" w:space="0" w:color="auto"/>
                                <w:right w:val="none" w:sz="0" w:space="0" w:color="auto"/>
                              </w:divBdr>
                              <w:divsChild>
                                <w:div w:id="822812619">
                                  <w:marLeft w:val="0"/>
                                  <w:marRight w:val="0"/>
                                  <w:marTop w:val="0"/>
                                  <w:marBottom w:val="0"/>
                                  <w:divBdr>
                                    <w:top w:val="none" w:sz="0" w:space="0" w:color="auto"/>
                                    <w:left w:val="none" w:sz="0" w:space="0" w:color="auto"/>
                                    <w:bottom w:val="none" w:sz="0" w:space="0" w:color="auto"/>
                                    <w:right w:val="none" w:sz="0" w:space="0" w:color="auto"/>
                                  </w:divBdr>
                                  <w:divsChild>
                                    <w:div w:id="511377973">
                                      <w:marLeft w:val="0"/>
                                      <w:marRight w:val="0"/>
                                      <w:marTop w:val="0"/>
                                      <w:marBottom w:val="0"/>
                                      <w:divBdr>
                                        <w:top w:val="none" w:sz="0" w:space="0" w:color="auto"/>
                                        <w:left w:val="none" w:sz="0" w:space="0" w:color="auto"/>
                                        <w:bottom w:val="none" w:sz="0" w:space="0" w:color="auto"/>
                                        <w:right w:val="none" w:sz="0" w:space="0" w:color="auto"/>
                                      </w:divBdr>
                                      <w:divsChild>
                                        <w:div w:id="484051792">
                                          <w:marLeft w:val="0"/>
                                          <w:marRight w:val="0"/>
                                          <w:marTop w:val="0"/>
                                          <w:marBottom w:val="0"/>
                                          <w:divBdr>
                                            <w:top w:val="none" w:sz="0" w:space="0" w:color="auto"/>
                                            <w:left w:val="none" w:sz="0" w:space="0" w:color="auto"/>
                                            <w:bottom w:val="none" w:sz="0" w:space="0" w:color="auto"/>
                                            <w:right w:val="none" w:sz="0" w:space="0" w:color="auto"/>
                                          </w:divBdr>
                                          <w:divsChild>
                                            <w:div w:id="1138961548">
                                              <w:marLeft w:val="0"/>
                                              <w:marRight w:val="0"/>
                                              <w:marTop w:val="0"/>
                                              <w:marBottom w:val="0"/>
                                              <w:divBdr>
                                                <w:top w:val="none" w:sz="0" w:space="0" w:color="auto"/>
                                                <w:left w:val="none" w:sz="0" w:space="0" w:color="auto"/>
                                                <w:bottom w:val="none" w:sz="0" w:space="0" w:color="auto"/>
                                                <w:right w:val="none" w:sz="0" w:space="0" w:color="auto"/>
                                              </w:divBdr>
                                            </w:div>
                                          </w:divsChild>
                                        </w:div>
                                        <w:div w:id="645862339">
                                          <w:marLeft w:val="0"/>
                                          <w:marRight w:val="0"/>
                                          <w:marTop w:val="0"/>
                                          <w:marBottom w:val="0"/>
                                          <w:divBdr>
                                            <w:top w:val="none" w:sz="0" w:space="0" w:color="auto"/>
                                            <w:left w:val="none" w:sz="0" w:space="0" w:color="auto"/>
                                            <w:bottom w:val="none" w:sz="0" w:space="0" w:color="auto"/>
                                            <w:right w:val="none" w:sz="0" w:space="0" w:color="auto"/>
                                          </w:divBdr>
                                          <w:divsChild>
                                            <w:div w:id="533151993">
                                              <w:marLeft w:val="0"/>
                                              <w:marRight w:val="0"/>
                                              <w:marTop w:val="0"/>
                                              <w:marBottom w:val="0"/>
                                              <w:divBdr>
                                                <w:top w:val="none" w:sz="0" w:space="0" w:color="auto"/>
                                                <w:left w:val="none" w:sz="0" w:space="0" w:color="auto"/>
                                                <w:bottom w:val="none" w:sz="0" w:space="0" w:color="auto"/>
                                                <w:right w:val="none" w:sz="0" w:space="0" w:color="auto"/>
                                              </w:divBdr>
                                              <w:divsChild>
                                                <w:div w:id="2030056542">
                                                  <w:marLeft w:val="0"/>
                                                  <w:marRight w:val="0"/>
                                                  <w:marTop w:val="0"/>
                                                  <w:marBottom w:val="0"/>
                                                  <w:divBdr>
                                                    <w:top w:val="none" w:sz="0" w:space="0" w:color="auto"/>
                                                    <w:left w:val="none" w:sz="0" w:space="0" w:color="auto"/>
                                                    <w:bottom w:val="none" w:sz="0" w:space="0" w:color="auto"/>
                                                    <w:right w:val="none" w:sz="0" w:space="0" w:color="auto"/>
                                                  </w:divBdr>
                                                  <w:divsChild>
                                                    <w:div w:id="766656776">
                                                      <w:marLeft w:val="0"/>
                                                      <w:marRight w:val="0"/>
                                                      <w:marTop w:val="0"/>
                                                      <w:marBottom w:val="0"/>
                                                      <w:divBdr>
                                                        <w:top w:val="none" w:sz="0" w:space="0" w:color="auto"/>
                                                        <w:left w:val="none" w:sz="0" w:space="0" w:color="auto"/>
                                                        <w:bottom w:val="none" w:sz="0" w:space="0" w:color="auto"/>
                                                        <w:right w:val="none" w:sz="0" w:space="0" w:color="auto"/>
                                                      </w:divBdr>
                                                      <w:divsChild>
                                                        <w:div w:id="1749955949">
                                                          <w:marLeft w:val="0"/>
                                                          <w:marRight w:val="0"/>
                                                          <w:marTop w:val="0"/>
                                                          <w:marBottom w:val="0"/>
                                                          <w:divBdr>
                                                            <w:top w:val="none" w:sz="0" w:space="0" w:color="auto"/>
                                                            <w:left w:val="none" w:sz="0" w:space="0" w:color="auto"/>
                                                            <w:bottom w:val="none" w:sz="0" w:space="0" w:color="auto"/>
                                                            <w:right w:val="none" w:sz="0" w:space="0" w:color="auto"/>
                                                          </w:divBdr>
                                                          <w:divsChild>
                                                            <w:div w:id="1930694176">
                                                              <w:marLeft w:val="0"/>
                                                              <w:marRight w:val="0"/>
                                                              <w:marTop w:val="0"/>
                                                              <w:marBottom w:val="0"/>
                                                              <w:divBdr>
                                                                <w:top w:val="none" w:sz="0" w:space="0" w:color="auto"/>
                                                                <w:left w:val="none" w:sz="0" w:space="0" w:color="auto"/>
                                                                <w:bottom w:val="none" w:sz="0" w:space="0" w:color="auto"/>
                                                                <w:right w:val="none" w:sz="0" w:space="0" w:color="auto"/>
                                                              </w:divBdr>
                                                              <w:divsChild>
                                                                <w:div w:id="619915079">
                                                                  <w:marLeft w:val="0"/>
                                                                  <w:marRight w:val="0"/>
                                                                  <w:marTop w:val="0"/>
                                                                  <w:marBottom w:val="0"/>
                                                                  <w:divBdr>
                                                                    <w:top w:val="none" w:sz="0" w:space="0" w:color="auto"/>
                                                                    <w:left w:val="none" w:sz="0" w:space="0" w:color="auto"/>
                                                                    <w:bottom w:val="none" w:sz="0" w:space="0" w:color="auto"/>
                                                                    <w:right w:val="none" w:sz="0" w:space="0" w:color="auto"/>
                                                                  </w:divBdr>
                                                                  <w:divsChild>
                                                                    <w:div w:id="1954246474">
                                                                      <w:marLeft w:val="0"/>
                                                                      <w:marRight w:val="0"/>
                                                                      <w:marTop w:val="0"/>
                                                                      <w:marBottom w:val="0"/>
                                                                      <w:divBdr>
                                                                        <w:top w:val="none" w:sz="0" w:space="0" w:color="auto"/>
                                                                        <w:left w:val="none" w:sz="0" w:space="0" w:color="auto"/>
                                                                        <w:bottom w:val="none" w:sz="0" w:space="0" w:color="auto"/>
                                                                        <w:right w:val="none" w:sz="0" w:space="0" w:color="auto"/>
                                                                      </w:divBdr>
                                                                    </w:div>
                                                                    <w:div w:id="219828279">
                                                                      <w:marLeft w:val="0"/>
                                                                      <w:marRight w:val="0"/>
                                                                      <w:marTop w:val="0"/>
                                                                      <w:marBottom w:val="0"/>
                                                                      <w:divBdr>
                                                                        <w:top w:val="none" w:sz="0" w:space="0" w:color="auto"/>
                                                                        <w:left w:val="none" w:sz="0" w:space="0" w:color="auto"/>
                                                                        <w:bottom w:val="none" w:sz="0" w:space="0" w:color="auto"/>
                                                                        <w:right w:val="none" w:sz="0" w:space="0" w:color="auto"/>
                                                                      </w:divBdr>
                                                                    </w:div>
                                                                    <w:div w:id="17844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758920">
                  <w:marLeft w:val="0"/>
                  <w:marRight w:val="0"/>
                  <w:marTop w:val="0"/>
                  <w:marBottom w:val="0"/>
                  <w:divBdr>
                    <w:top w:val="none" w:sz="0" w:space="0" w:color="auto"/>
                    <w:left w:val="none" w:sz="0" w:space="0" w:color="auto"/>
                    <w:bottom w:val="none" w:sz="0" w:space="0" w:color="auto"/>
                    <w:right w:val="none" w:sz="0" w:space="0" w:color="auto"/>
                  </w:divBdr>
                  <w:divsChild>
                    <w:div w:id="1903637570">
                      <w:marLeft w:val="0"/>
                      <w:marRight w:val="0"/>
                      <w:marTop w:val="0"/>
                      <w:marBottom w:val="0"/>
                      <w:divBdr>
                        <w:top w:val="none" w:sz="0" w:space="0" w:color="auto"/>
                        <w:left w:val="none" w:sz="0" w:space="0" w:color="auto"/>
                        <w:bottom w:val="none" w:sz="0" w:space="0" w:color="auto"/>
                        <w:right w:val="none" w:sz="0" w:space="0" w:color="auto"/>
                      </w:divBdr>
                      <w:divsChild>
                        <w:div w:id="1411852781">
                          <w:marLeft w:val="0"/>
                          <w:marRight w:val="0"/>
                          <w:marTop w:val="105"/>
                          <w:marBottom w:val="0"/>
                          <w:divBdr>
                            <w:top w:val="none" w:sz="0" w:space="0" w:color="auto"/>
                            <w:left w:val="none" w:sz="0" w:space="0" w:color="auto"/>
                            <w:bottom w:val="none" w:sz="0" w:space="0" w:color="auto"/>
                            <w:right w:val="none" w:sz="0" w:space="0" w:color="auto"/>
                          </w:divBdr>
                          <w:divsChild>
                            <w:div w:id="31079710">
                              <w:marLeft w:val="0"/>
                              <w:marRight w:val="0"/>
                              <w:marTop w:val="0"/>
                              <w:marBottom w:val="0"/>
                              <w:divBdr>
                                <w:top w:val="none" w:sz="0" w:space="0" w:color="auto"/>
                                <w:left w:val="none" w:sz="0" w:space="0" w:color="auto"/>
                                <w:bottom w:val="none" w:sz="0" w:space="0" w:color="auto"/>
                                <w:right w:val="none" w:sz="0" w:space="0" w:color="auto"/>
                              </w:divBdr>
                              <w:divsChild>
                                <w:div w:id="126825078">
                                  <w:marLeft w:val="0"/>
                                  <w:marRight w:val="0"/>
                                  <w:marTop w:val="0"/>
                                  <w:marBottom w:val="0"/>
                                  <w:divBdr>
                                    <w:top w:val="none" w:sz="0" w:space="0" w:color="auto"/>
                                    <w:left w:val="none" w:sz="0" w:space="0" w:color="auto"/>
                                    <w:bottom w:val="none" w:sz="0" w:space="0" w:color="auto"/>
                                    <w:right w:val="none" w:sz="0" w:space="0" w:color="auto"/>
                                  </w:divBdr>
                                  <w:divsChild>
                                    <w:div w:id="1106997373">
                                      <w:marLeft w:val="0"/>
                                      <w:marRight w:val="0"/>
                                      <w:marTop w:val="0"/>
                                      <w:marBottom w:val="0"/>
                                      <w:divBdr>
                                        <w:top w:val="none" w:sz="0" w:space="0" w:color="auto"/>
                                        <w:left w:val="none" w:sz="0" w:space="0" w:color="auto"/>
                                        <w:bottom w:val="none" w:sz="0" w:space="0" w:color="auto"/>
                                        <w:right w:val="none" w:sz="0" w:space="0" w:color="auto"/>
                                      </w:divBdr>
                                      <w:divsChild>
                                        <w:div w:id="1195387318">
                                          <w:marLeft w:val="0"/>
                                          <w:marRight w:val="0"/>
                                          <w:marTop w:val="150"/>
                                          <w:marBottom w:val="150"/>
                                          <w:divBdr>
                                            <w:top w:val="none" w:sz="0" w:space="0" w:color="auto"/>
                                            <w:left w:val="none" w:sz="0" w:space="0" w:color="auto"/>
                                            <w:bottom w:val="none" w:sz="0" w:space="0" w:color="auto"/>
                                            <w:right w:val="none" w:sz="0" w:space="0" w:color="auto"/>
                                          </w:divBdr>
                                          <w:divsChild>
                                            <w:div w:id="756749045">
                                              <w:marLeft w:val="0"/>
                                              <w:marRight w:val="0"/>
                                              <w:marTop w:val="0"/>
                                              <w:marBottom w:val="0"/>
                                              <w:divBdr>
                                                <w:top w:val="none" w:sz="0" w:space="0" w:color="auto"/>
                                                <w:left w:val="none" w:sz="0" w:space="0" w:color="auto"/>
                                                <w:bottom w:val="none" w:sz="0" w:space="0" w:color="auto"/>
                                                <w:right w:val="none" w:sz="0" w:space="0" w:color="auto"/>
                                              </w:divBdr>
                                              <w:divsChild>
                                                <w:div w:id="1579830445">
                                                  <w:marLeft w:val="300"/>
                                                  <w:marRight w:val="0"/>
                                                  <w:marTop w:val="0"/>
                                                  <w:marBottom w:val="0"/>
                                                  <w:divBdr>
                                                    <w:top w:val="none" w:sz="0" w:space="0" w:color="auto"/>
                                                    <w:left w:val="none" w:sz="0" w:space="0" w:color="auto"/>
                                                    <w:bottom w:val="none" w:sz="0" w:space="0" w:color="auto"/>
                                                    <w:right w:val="none" w:sz="0" w:space="0" w:color="auto"/>
                                                  </w:divBdr>
                                                  <w:divsChild>
                                                    <w:div w:id="14513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428104">
      <w:bodyDiv w:val="1"/>
      <w:marLeft w:val="0"/>
      <w:marRight w:val="0"/>
      <w:marTop w:val="0"/>
      <w:marBottom w:val="0"/>
      <w:divBdr>
        <w:top w:val="none" w:sz="0" w:space="0" w:color="auto"/>
        <w:left w:val="none" w:sz="0" w:space="0" w:color="auto"/>
        <w:bottom w:val="none" w:sz="0" w:space="0" w:color="auto"/>
        <w:right w:val="none" w:sz="0" w:space="0" w:color="auto"/>
      </w:divBdr>
    </w:div>
    <w:div w:id="401490742">
      <w:bodyDiv w:val="1"/>
      <w:marLeft w:val="0"/>
      <w:marRight w:val="0"/>
      <w:marTop w:val="0"/>
      <w:marBottom w:val="0"/>
      <w:divBdr>
        <w:top w:val="none" w:sz="0" w:space="0" w:color="auto"/>
        <w:left w:val="none" w:sz="0" w:space="0" w:color="auto"/>
        <w:bottom w:val="none" w:sz="0" w:space="0" w:color="auto"/>
        <w:right w:val="none" w:sz="0" w:space="0" w:color="auto"/>
      </w:divBdr>
    </w:div>
    <w:div w:id="404688893">
      <w:bodyDiv w:val="1"/>
      <w:marLeft w:val="0"/>
      <w:marRight w:val="0"/>
      <w:marTop w:val="0"/>
      <w:marBottom w:val="0"/>
      <w:divBdr>
        <w:top w:val="none" w:sz="0" w:space="0" w:color="auto"/>
        <w:left w:val="none" w:sz="0" w:space="0" w:color="auto"/>
        <w:bottom w:val="none" w:sz="0" w:space="0" w:color="auto"/>
        <w:right w:val="none" w:sz="0" w:space="0" w:color="auto"/>
      </w:divBdr>
    </w:div>
    <w:div w:id="405299642">
      <w:bodyDiv w:val="1"/>
      <w:marLeft w:val="0"/>
      <w:marRight w:val="0"/>
      <w:marTop w:val="0"/>
      <w:marBottom w:val="0"/>
      <w:divBdr>
        <w:top w:val="none" w:sz="0" w:space="0" w:color="auto"/>
        <w:left w:val="none" w:sz="0" w:space="0" w:color="auto"/>
        <w:bottom w:val="none" w:sz="0" w:space="0" w:color="auto"/>
        <w:right w:val="none" w:sz="0" w:space="0" w:color="auto"/>
      </w:divBdr>
    </w:div>
    <w:div w:id="407002374">
      <w:bodyDiv w:val="1"/>
      <w:marLeft w:val="0"/>
      <w:marRight w:val="0"/>
      <w:marTop w:val="0"/>
      <w:marBottom w:val="0"/>
      <w:divBdr>
        <w:top w:val="none" w:sz="0" w:space="0" w:color="auto"/>
        <w:left w:val="none" w:sz="0" w:space="0" w:color="auto"/>
        <w:bottom w:val="none" w:sz="0" w:space="0" w:color="auto"/>
        <w:right w:val="none" w:sz="0" w:space="0" w:color="auto"/>
      </w:divBdr>
    </w:div>
    <w:div w:id="407121568">
      <w:bodyDiv w:val="1"/>
      <w:marLeft w:val="0"/>
      <w:marRight w:val="0"/>
      <w:marTop w:val="0"/>
      <w:marBottom w:val="0"/>
      <w:divBdr>
        <w:top w:val="none" w:sz="0" w:space="0" w:color="auto"/>
        <w:left w:val="none" w:sz="0" w:space="0" w:color="auto"/>
        <w:bottom w:val="none" w:sz="0" w:space="0" w:color="auto"/>
        <w:right w:val="none" w:sz="0" w:space="0" w:color="auto"/>
      </w:divBdr>
    </w:div>
    <w:div w:id="407271517">
      <w:bodyDiv w:val="1"/>
      <w:marLeft w:val="0"/>
      <w:marRight w:val="0"/>
      <w:marTop w:val="0"/>
      <w:marBottom w:val="0"/>
      <w:divBdr>
        <w:top w:val="none" w:sz="0" w:space="0" w:color="auto"/>
        <w:left w:val="none" w:sz="0" w:space="0" w:color="auto"/>
        <w:bottom w:val="none" w:sz="0" w:space="0" w:color="auto"/>
        <w:right w:val="none" w:sz="0" w:space="0" w:color="auto"/>
      </w:divBdr>
    </w:div>
    <w:div w:id="411049755">
      <w:bodyDiv w:val="1"/>
      <w:marLeft w:val="0"/>
      <w:marRight w:val="0"/>
      <w:marTop w:val="0"/>
      <w:marBottom w:val="0"/>
      <w:divBdr>
        <w:top w:val="none" w:sz="0" w:space="0" w:color="auto"/>
        <w:left w:val="none" w:sz="0" w:space="0" w:color="auto"/>
        <w:bottom w:val="none" w:sz="0" w:space="0" w:color="auto"/>
        <w:right w:val="none" w:sz="0" w:space="0" w:color="auto"/>
      </w:divBdr>
    </w:div>
    <w:div w:id="411783686">
      <w:bodyDiv w:val="1"/>
      <w:marLeft w:val="0"/>
      <w:marRight w:val="0"/>
      <w:marTop w:val="0"/>
      <w:marBottom w:val="0"/>
      <w:divBdr>
        <w:top w:val="none" w:sz="0" w:space="0" w:color="auto"/>
        <w:left w:val="none" w:sz="0" w:space="0" w:color="auto"/>
        <w:bottom w:val="none" w:sz="0" w:space="0" w:color="auto"/>
        <w:right w:val="none" w:sz="0" w:space="0" w:color="auto"/>
      </w:divBdr>
    </w:div>
    <w:div w:id="416169532">
      <w:bodyDiv w:val="1"/>
      <w:marLeft w:val="0"/>
      <w:marRight w:val="0"/>
      <w:marTop w:val="0"/>
      <w:marBottom w:val="0"/>
      <w:divBdr>
        <w:top w:val="none" w:sz="0" w:space="0" w:color="auto"/>
        <w:left w:val="none" w:sz="0" w:space="0" w:color="auto"/>
        <w:bottom w:val="none" w:sz="0" w:space="0" w:color="auto"/>
        <w:right w:val="none" w:sz="0" w:space="0" w:color="auto"/>
      </w:divBdr>
    </w:div>
    <w:div w:id="416558220">
      <w:bodyDiv w:val="1"/>
      <w:marLeft w:val="0"/>
      <w:marRight w:val="0"/>
      <w:marTop w:val="0"/>
      <w:marBottom w:val="0"/>
      <w:divBdr>
        <w:top w:val="none" w:sz="0" w:space="0" w:color="auto"/>
        <w:left w:val="none" w:sz="0" w:space="0" w:color="auto"/>
        <w:bottom w:val="none" w:sz="0" w:space="0" w:color="auto"/>
        <w:right w:val="none" w:sz="0" w:space="0" w:color="auto"/>
      </w:divBdr>
    </w:div>
    <w:div w:id="417018403">
      <w:bodyDiv w:val="1"/>
      <w:marLeft w:val="0"/>
      <w:marRight w:val="0"/>
      <w:marTop w:val="0"/>
      <w:marBottom w:val="0"/>
      <w:divBdr>
        <w:top w:val="none" w:sz="0" w:space="0" w:color="auto"/>
        <w:left w:val="none" w:sz="0" w:space="0" w:color="auto"/>
        <w:bottom w:val="none" w:sz="0" w:space="0" w:color="auto"/>
        <w:right w:val="none" w:sz="0" w:space="0" w:color="auto"/>
      </w:divBdr>
    </w:div>
    <w:div w:id="417287471">
      <w:bodyDiv w:val="1"/>
      <w:marLeft w:val="0"/>
      <w:marRight w:val="0"/>
      <w:marTop w:val="0"/>
      <w:marBottom w:val="0"/>
      <w:divBdr>
        <w:top w:val="none" w:sz="0" w:space="0" w:color="auto"/>
        <w:left w:val="none" w:sz="0" w:space="0" w:color="auto"/>
        <w:bottom w:val="none" w:sz="0" w:space="0" w:color="auto"/>
        <w:right w:val="none" w:sz="0" w:space="0" w:color="auto"/>
      </w:divBdr>
    </w:div>
    <w:div w:id="424889533">
      <w:bodyDiv w:val="1"/>
      <w:marLeft w:val="0"/>
      <w:marRight w:val="0"/>
      <w:marTop w:val="0"/>
      <w:marBottom w:val="0"/>
      <w:divBdr>
        <w:top w:val="none" w:sz="0" w:space="0" w:color="auto"/>
        <w:left w:val="none" w:sz="0" w:space="0" w:color="auto"/>
        <w:bottom w:val="none" w:sz="0" w:space="0" w:color="auto"/>
        <w:right w:val="none" w:sz="0" w:space="0" w:color="auto"/>
      </w:divBdr>
    </w:div>
    <w:div w:id="425155016">
      <w:bodyDiv w:val="1"/>
      <w:marLeft w:val="0"/>
      <w:marRight w:val="0"/>
      <w:marTop w:val="0"/>
      <w:marBottom w:val="0"/>
      <w:divBdr>
        <w:top w:val="none" w:sz="0" w:space="0" w:color="auto"/>
        <w:left w:val="none" w:sz="0" w:space="0" w:color="auto"/>
        <w:bottom w:val="none" w:sz="0" w:space="0" w:color="auto"/>
        <w:right w:val="none" w:sz="0" w:space="0" w:color="auto"/>
      </w:divBdr>
    </w:div>
    <w:div w:id="426536748">
      <w:bodyDiv w:val="1"/>
      <w:marLeft w:val="0"/>
      <w:marRight w:val="0"/>
      <w:marTop w:val="0"/>
      <w:marBottom w:val="0"/>
      <w:divBdr>
        <w:top w:val="none" w:sz="0" w:space="0" w:color="auto"/>
        <w:left w:val="none" w:sz="0" w:space="0" w:color="auto"/>
        <w:bottom w:val="none" w:sz="0" w:space="0" w:color="auto"/>
        <w:right w:val="none" w:sz="0" w:space="0" w:color="auto"/>
      </w:divBdr>
    </w:div>
    <w:div w:id="427191329">
      <w:bodyDiv w:val="1"/>
      <w:marLeft w:val="0"/>
      <w:marRight w:val="0"/>
      <w:marTop w:val="0"/>
      <w:marBottom w:val="0"/>
      <w:divBdr>
        <w:top w:val="none" w:sz="0" w:space="0" w:color="auto"/>
        <w:left w:val="none" w:sz="0" w:space="0" w:color="auto"/>
        <w:bottom w:val="none" w:sz="0" w:space="0" w:color="auto"/>
        <w:right w:val="none" w:sz="0" w:space="0" w:color="auto"/>
      </w:divBdr>
    </w:div>
    <w:div w:id="427624351">
      <w:bodyDiv w:val="1"/>
      <w:marLeft w:val="0"/>
      <w:marRight w:val="0"/>
      <w:marTop w:val="0"/>
      <w:marBottom w:val="0"/>
      <w:divBdr>
        <w:top w:val="none" w:sz="0" w:space="0" w:color="auto"/>
        <w:left w:val="none" w:sz="0" w:space="0" w:color="auto"/>
        <w:bottom w:val="none" w:sz="0" w:space="0" w:color="auto"/>
        <w:right w:val="none" w:sz="0" w:space="0" w:color="auto"/>
      </w:divBdr>
    </w:div>
    <w:div w:id="431365975">
      <w:bodyDiv w:val="1"/>
      <w:marLeft w:val="0"/>
      <w:marRight w:val="0"/>
      <w:marTop w:val="0"/>
      <w:marBottom w:val="0"/>
      <w:divBdr>
        <w:top w:val="none" w:sz="0" w:space="0" w:color="auto"/>
        <w:left w:val="none" w:sz="0" w:space="0" w:color="auto"/>
        <w:bottom w:val="none" w:sz="0" w:space="0" w:color="auto"/>
        <w:right w:val="none" w:sz="0" w:space="0" w:color="auto"/>
      </w:divBdr>
    </w:div>
    <w:div w:id="432241295">
      <w:bodyDiv w:val="1"/>
      <w:marLeft w:val="0"/>
      <w:marRight w:val="0"/>
      <w:marTop w:val="0"/>
      <w:marBottom w:val="0"/>
      <w:divBdr>
        <w:top w:val="none" w:sz="0" w:space="0" w:color="auto"/>
        <w:left w:val="none" w:sz="0" w:space="0" w:color="auto"/>
        <w:bottom w:val="none" w:sz="0" w:space="0" w:color="auto"/>
        <w:right w:val="none" w:sz="0" w:space="0" w:color="auto"/>
      </w:divBdr>
    </w:div>
    <w:div w:id="433017993">
      <w:bodyDiv w:val="1"/>
      <w:marLeft w:val="0"/>
      <w:marRight w:val="0"/>
      <w:marTop w:val="0"/>
      <w:marBottom w:val="0"/>
      <w:divBdr>
        <w:top w:val="none" w:sz="0" w:space="0" w:color="auto"/>
        <w:left w:val="none" w:sz="0" w:space="0" w:color="auto"/>
        <w:bottom w:val="none" w:sz="0" w:space="0" w:color="auto"/>
        <w:right w:val="none" w:sz="0" w:space="0" w:color="auto"/>
      </w:divBdr>
    </w:div>
    <w:div w:id="435298652">
      <w:bodyDiv w:val="1"/>
      <w:marLeft w:val="0"/>
      <w:marRight w:val="0"/>
      <w:marTop w:val="0"/>
      <w:marBottom w:val="0"/>
      <w:divBdr>
        <w:top w:val="none" w:sz="0" w:space="0" w:color="auto"/>
        <w:left w:val="none" w:sz="0" w:space="0" w:color="auto"/>
        <w:bottom w:val="none" w:sz="0" w:space="0" w:color="auto"/>
        <w:right w:val="none" w:sz="0" w:space="0" w:color="auto"/>
      </w:divBdr>
    </w:div>
    <w:div w:id="437413404">
      <w:bodyDiv w:val="1"/>
      <w:marLeft w:val="0"/>
      <w:marRight w:val="0"/>
      <w:marTop w:val="0"/>
      <w:marBottom w:val="0"/>
      <w:divBdr>
        <w:top w:val="none" w:sz="0" w:space="0" w:color="auto"/>
        <w:left w:val="none" w:sz="0" w:space="0" w:color="auto"/>
        <w:bottom w:val="none" w:sz="0" w:space="0" w:color="auto"/>
        <w:right w:val="none" w:sz="0" w:space="0" w:color="auto"/>
      </w:divBdr>
    </w:div>
    <w:div w:id="438910704">
      <w:bodyDiv w:val="1"/>
      <w:marLeft w:val="0"/>
      <w:marRight w:val="0"/>
      <w:marTop w:val="0"/>
      <w:marBottom w:val="0"/>
      <w:divBdr>
        <w:top w:val="none" w:sz="0" w:space="0" w:color="auto"/>
        <w:left w:val="none" w:sz="0" w:space="0" w:color="auto"/>
        <w:bottom w:val="none" w:sz="0" w:space="0" w:color="auto"/>
        <w:right w:val="none" w:sz="0" w:space="0" w:color="auto"/>
      </w:divBdr>
    </w:div>
    <w:div w:id="439035104">
      <w:bodyDiv w:val="1"/>
      <w:marLeft w:val="0"/>
      <w:marRight w:val="0"/>
      <w:marTop w:val="0"/>
      <w:marBottom w:val="0"/>
      <w:divBdr>
        <w:top w:val="none" w:sz="0" w:space="0" w:color="auto"/>
        <w:left w:val="none" w:sz="0" w:space="0" w:color="auto"/>
        <w:bottom w:val="none" w:sz="0" w:space="0" w:color="auto"/>
        <w:right w:val="none" w:sz="0" w:space="0" w:color="auto"/>
      </w:divBdr>
    </w:div>
    <w:div w:id="442042828">
      <w:bodyDiv w:val="1"/>
      <w:marLeft w:val="0"/>
      <w:marRight w:val="0"/>
      <w:marTop w:val="0"/>
      <w:marBottom w:val="0"/>
      <w:divBdr>
        <w:top w:val="none" w:sz="0" w:space="0" w:color="auto"/>
        <w:left w:val="none" w:sz="0" w:space="0" w:color="auto"/>
        <w:bottom w:val="none" w:sz="0" w:space="0" w:color="auto"/>
        <w:right w:val="none" w:sz="0" w:space="0" w:color="auto"/>
      </w:divBdr>
    </w:div>
    <w:div w:id="448821746">
      <w:bodyDiv w:val="1"/>
      <w:marLeft w:val="0"/>
      <w:marRight w:val="0"/>
      <w:marTop w:val="0"/>
      <w:marBottom w:val="0"/>
      <w:divBdr>
        <w:top w:val="none" w:sz="0" w:space="0" w:color="auto"/>
        <w:left w:val="none" w:sz="0" w:space="0" w:color="auto"/>
        <w:bottom w:val="none" w:sz="0" w:space="0" w:color="auto"/>
        <w:right w:val="none" w:sz="0" w:space="0" w:color="auto"/>
      </w:divBdr>
    </w:div>
    <w:div w:id="457185016">
      <w:bodyDiv w:val="1"/>
      <w:marLeft w:val="0"/>
      <w:marRight w:val="0"/>
      <w:marTop w:val="0"/>
      <w:marBottom w:val="0"/>
      <w:divBdr>
        <w:top w:val="none" w:sz="0" w:space="0" w:color="auto"/>
        <w:left w:val="none" w:sz="0" w:space="0" w:color="auto"/>
        <w:bottom w:val="none" w:sz="0" w:space="0" w:color="auto"/>
        <w:right w:val="none" w:sz="0" w:space="0" w:color="auto"/>
      </w:divBdr>
    </w:div>
    <w:div w:id="461844606">
      <w:bodyDiv w:val="1"/>
      <w:marLeft w:val="0"/>
      <w:marRight w:val="0"/>
      <w:marTop w:val="0"/>
      <w:marBottom w:val="0"/>
      <w:divBdr>
        <w:top w:val="none" w:sz="0" w:space="0" w:color="auto"/>
        <w:left w:val="none" w:sz="0" w:space="0" w:color="auto"/>
        <w:bottom w:val="none" w:sz="0" w:space="0" w:color="auto"/>
        <w:right w:val="none" w:sz="0" w:space="0" w:color="auto"/>
      </w:divBdr>
    </w:div>
    <w:div w:id="463044314">
      <w:bodyDiv w:val="1"/>
      <w:marLeft w:val="0"/>
      <w:marRight w:val="0"/>
      <w:marTop w:val="0"/>
      <w:marBottom w:val="0"/>
      <w:divBdr>
        <w:top w:val="none" w:sz="0" w:space="0" w:color="auto"/>
        <w:left w:val="none" w:sz="0" w:space="0" w:color="auto"/>
        <w:bottom w:val="none" w:sz="0" w:space="0" w:color="auto"/>
        <w:right w:val="none" w:sz="0" w:space="0" w:color="auto"/>
      </w:divBdr>
    </w:div>
    <w:div w:id="463543966">
      <w:bodyDiv w:val="1"/>
      <w:marLeft w:val="0"/>
      <w:marRight w:val="0"/>
      <w:marTop w:val="0"/>
      <w:marBottom w:val="0"/>
      <w:divBdr>
        <w:top w:val="none" w:sz="0" w:space="0" w:color="auto"/>
        <w:left w:val="none" w:sz="0" w:space="0" w:color="auto"/>
        <w:bottom w:val="none" w:sz="0" w:space="0" w:color="auto"/>
        <w:right w:val="none" w:sz="0" w:space="0" w:color="auto"/>
      </w:divBdr>
    </w:div>
    <w:div w:id="463891477">
      <w:bodyDiv w:val="1"/>
      <w:marLeft w:val="0"/>
      <w:marRight w:val="0"/>
      <w:marTop w:val="0"/>
      <w:marBottom w:val="0"/>
      <w:divBdr>
        <w:top w:val="none" w:sz="0" w:space="0" w:color="auto"/>
        <w:left w:val="none" w:sz="0" w:space="0" w:color="auto"/>
        <w:bottom w:val="none" w:sz="0" w:space="0" w:color="auto"/>
        <w:right w:val="none" w:sz="0" w:space="0" w:color="auto"/>
      </w:divBdr>
    </w:div>
    <w:div w:id="469372594">
      <w:bodyDiv w:val="1"/>
      <w:marLeft w:val="0"/>
      <w:marRight w:val="0"/>
      <w:marTop w:val="0"/>
      <w:marBottom w:val="0"/>
      <w:divBdr>
        <w:top w:val="none" w:sz="0" w:space="0" w:color="auto"/>
        <w:left w:val="none" w:sz="0" w:space="0" w:color="auto"/>
        <w:bottom w:val="none" w:sz="0" w:space="0" w:color="auto"/>
        <w:right w:val="none" w:sz="0" w:space="0" w:color="auto"/>
      </w:divBdr>
    </w:div>
    <w:div w:id="469978803">
      <w:bodyDiv w:val="1"/>
      <w:marLeft w:val="0"/>
      <w:marRight w:val="0"/>
      <w:marTop w:val="0"/>
      <w:marBottom w:val="0"/>
      <w:divBdr>
        <w:top w:val="none" w:sz="0" w:space="0" w:color="auto"/>
        <w:left w:val="none" w:sz="0" w:space="0" w:color="auto"/>
        <w:bottom w:val="none" w:sz="0" w:space="0" w:color="auto"/>
        <w:right w:val="none" w:sz="0" w:space="0" w:color="auto"/>
      </w:divBdr>
    </w:div>
    <w:div w:id="471679937">
      <w:bodyDiv w:val="1"/>
      <w:marLeft w:val="0"/>
      <w:marRight w:val="0"/>
      <w:marTop w:val="0"/>
      <w:marBottom w:val="0"/>
      <w:divBdr>
        <w:top w:val="none" w:sz="0" w:space="0" w:color="auto"/>
        <w:left w:val="none" w:sz="0" w:space="0" w:color="auto"/>
        <w:bottom w:val="none" w:sz="0" w:space="0" w:color="auto"/>
        <w:right w:val="none" w:sz="0" w:space="0" w:color="auto"/>
      </w:divBdr>
    </w:div>
    <w:div w:id="471799418">
      <w:bodyDiv w:val="1"/>
      <w:marLeft w:val="0"/>
      <w:marRight w:val="0"/>
      <w:marTop w:val="0"/>
      <w:marBottom w:val="0"/>
      <w:divBdr>
        <w:top w:val="none" w:sz="0" w:space="0" w:color="auto"/>
        <w:left w:val="none" w:sz="0" w:space="0" w:color="auto"/>
        <w:bottom w:val="none" w:sz="0" w:space="0" w:color="auto"/>
        <w:right w:val="none" w:sz="0" w:space="0" w:color="auto"/>
      </w:divBdr>
    </w:div>
    <w:div w:id="474572295">
      <w:bodyDiv w:val="1"/>
      <w:marLeft w:val="0"/>
      <w:marRight w:val="0"/>
      <w:marTop w:val="0"/>
      <w:marBottom w:val="0"/>
      <w:divBdr>
        <w:top w:val="none" w:sz="0" w:space="0" w:color="auto"/>
        <w:left w:val="none" w:sz="0" w:space="0" w:color="auto"/>
        <w:bottom w:val="none" w:sz="0" w:space="0" w:color="auto"/>
        <w:right w:val="none" w:sz="0" w:space="0" w:color="auto"/>
      </w:divBdr>
    </w:div>
    <w:div w:id="477037485">
      <w:bodyDiv w:val="1"/>
      <w:marLeft w:val="0"/>
      <w:marRight w:val="0"/>
      <w:marTop w:val="0"/>
      <w:marBottom w:val="0"/>
      <w:divBdr>
        <w:top w:val="none" w:sz="0" w:space="0" w:color="auto"/>
        <w:left w:val="none" w:sz="0" w:space="0" w:color="auto"/>
        <w:bottom w:val="none" w:sz="0" w:space="0" w:color="auto"/>
        <w:right w:val="none" w:sz="0" w:space="0" w:color="auto"/>
      </w:divBdr>
    </w:div>
    <w:div w:id="479152028">
      <w:bodyDiv w:val="1"/>
      <w:marLeft w:val="0"/>
      <w:marRight w:val="0"/>
      <w:marTop w:val="0"/>
      <w:marBottom w:val="0"/>
      <w:divBdr>
        <w:top w:val="none" w:sz="0" w:space="0" w:color="auto"/>
        <w:left w:val="none" w:sz="0" w:space="0" w:color="auto"/>
        <w:bottom w:val="none" w:sz="0" w:space="0" w:color="auto"/>
        <w:right w:val="none" w:sz="0" w:space="0" w:color="auto"/>
      </w:divBdr>
    </w:div>
    <w:div w:id="479466077">
      <w:bodyDiv w:val="1"/>
      <w:marLeft w:val="0"/>
      <w:marRight w:val="0"/>
      <w:marTop w:val="0"/>
      <w:marBottom w:val="0"/>
      <w:divBdr>
        <w:top w:val="none" w:sz="0" w:space="0" w:color="auto"/>
        <w:left w:val="none" w:sz="0" w:space="0" w:color="auto"/>
        <w:bottom w:val="none" w:sz="0" w:space="0" w:color="auto"/>
        <w:right w:val="none" w:sz="0" w:space="0" w:color="auto"/>
      </w:divBdr>
    </w:div>
    <w:div w:id="485778928">
      <w:bodyDiv w:val="1"/>
      <w:marLeft w:val="0"/>
      <w:marRight w:val="0"/>
      <w:marTop w:val="0"/>
      <w:marBottom w:val="0"/>
      <w:divBdr>
        <w:top w:val="none" w:sz="0" w:space="0" w:color="auto"/>
        <w:left w:val="none" w:sz="0" w:space="0" w:color="auto"/>
        <w:bottom w:val="none" w:sz="0" w:space="0" w:color="auto"/>
        <w:right w:val="none" w:sz="0" w:space="0" w:color="auto"/>
      </w:divBdr>
    </w:div>
    <w:div w:id="490565142">
      <w:bodyDiv w:val="1"/>
      <w:marLeft w:val="0"/>
      <w:marRight w:val="0"/>
      <w:marTop w:val="0"/>
      <w:marBottom w:val="0"/>
      <w:divBdr>
        <w:top w:val="none" w:sz="0" w:space="0" w:color="auto"/>
        <w:left w:val="none" w:sz="0" w:space="0" w:color="auto"/>
        <w:bottom w:val="none" w:sz="0" w:space="0" w:color="auto"/>
        <w:right w:val="none" w:sz="0" w:space="0" w:color="auto"/>
      </w:divBdr>
    </w:div>
    <w:div w:id="492111236">
      <w:bodyDiv w:val="1"/>
      <w:marLeft w:val="0"/>
      <w:marRight w:val="0"/>
      <w:marTop w:val="0"/>
      <w:marBottom w:val="0"/>
      <w:divBdr>
        <w:top w:val="none" w:sz="0" w:space="0" w:color="auto"/>
        <w:left w:val="none" w:sz="0" w:space="0" w:color="auto"/>
        <w:bottom w:val="none" w:sz="0" w:space="0" w:color="auto"/>
        <w:right w:val="none" w:sz="0" w:space="0" w:color="auto"/>
      </w:divBdr>
    </w:div>
    <w:div w:id="493952864">
      <w:bodyDiv w:val="1"/>
      <w:marLeft w:val="0"/>
      <w:marRight w:val="0"/>
      <w:marTop w:val="0"/>
      <w:marBottom w:val="0"/>
      <w:divBdr>
        <w:top w:val="none" w:sz="0" w:space="0" w:color="auto"/>
        <w:left w:val="none" w:sz="0" w:space="0" w:color="auto"/>
        <w:bottom w:val="none" w:sz="0" w:space="0" w:color="auto"/>
        <w:right w:val="none" w:sz="0" w:space="0" w:color="auto"/>
      </w:divBdr>
    </w:div>
    <w:div w:id="496380716">
      <w:bodyDiv w:val="1"/>
      <w:marLeft w:val="0"/>
      <w:marRight w:val="0"/>
      <w:marTop w:val="0"/>
      <w:marBottom w:val="0"/>
      <w:divBdr>
        <w:top w:val="none" w:sz="0" w:space="0" w:color="auto"/>
        <w:left w:val="none" w:sz="0" w:space="0" w:color="auto"/>
        <w:bottom w:val="none" w:sz="0" w:space="0" w:color="auto"/>
        <w:right w:val="none" w:sz="0" w:space="0" w:color="auto"/>
      </w:divBdr>
    </w:div>
    <w:div w:id="499152164">
      <w:bodyDiv w:val="1"/>
      <w:marLeft w:val="0"/>
      <w:marRight w:val="0"/>
      <w:marTop w:val="0"/>
      <w:marBottom w:val="0"/>
      <w:divBdr>
        <w:top w:val="none" w:sz="0" w:space="0" w:color="auto"/>
        <w:left w:val="none" w:sz="0" w:space="0" w:color="auto"/>
        <w:bottom w:val="none" w:sz="0" w:space="0" w:color="auto"/>
        <w:right w:val="none" w:sz="0" w:space="0" w:color="auto"/>
      </w:divBdr>
    </w:div>
    <w:div w:id="501360886">
      <w:bodyDiv w:val="1"/>
      <w:marLeft w:val="0"/>
      <w:marRight w:val="0"/>
      <w:marTop w:val="0"/>
      <w:marBottom w:val="0"/>
      <w:divBdr>
        <w:top w:val="none" w:sz="0" w:space="0" w:color="auto"/>
        <w:left w:val="none" w:sz="0" w:space="0" w:color="auto"/>
        <w:bottom w:val="none" w:sz="0" w:space="0" w:color="auto"/>
        <w:right w:val="none" w:sz="0" w:space="0" w:color="auto"/>
      </w:divBdr>
    </w:div>
    <w:div w:id="503134152">
      <w:bodyDiv w:val="1"/>
      <w:marLeft w:val="0"/>
      <w:marRight w:val="0"/>
      <w:marTop w:val="0"/>
      <w:marBottom w:val="0"/>
      <w:divBdr>
        <w:top w:val="none" w:sz="0" w:space="0" w:color="auto"/>
        <w:left w:val="none" w:sz="0" w:space="0" w:color="auto"/>
        <w:bottom w:val="none" w:sz="0" w:space="0" w:color="auto"/>
        <w:right w:val="none" w:sz="0" w:space="0" w:color="auto"/>
      </w:divBdr>
    </w:div>
    <w:div w:id="504050053">
      <w:bodyDiv w:val="1"/>
      <w:marLeft w:val="0"/>
      <w:marRight w:val="0"/>
      <w:marTop w:val="0"/>
      <w:marBottom w:val="0"/>
      <w:divBdr>
        <w:top w:val="none" w:sz="0" w:space="0" w:color="auto"/>
        <w:left w:val="none" w:sz="0" w:space="0" w:color="auto"/>
        <w:bottom w:val="none" w:sz="0" w:space="0" w:color="auto"/>
        <w:right w:val="none" w:sz="0" w:space="0" w:color="auto"/>
      </w:divBdr>
    </w:div>
    <w:div w:id="504519617">
      <w:bodyDiv w:val="1"/>
      <w:marLeft w:val="0"/>
      <w:marRight w:val="0"/>
      <w:marTop w:val="0"/>
      <w:marBottom w:val="0"/>
      <w:divBdr>
        <w:top w:val="none" w:sz="0" w:space="0" w:color="auto"/>
        <w:left w:val="none" w:sz="0" w:space="0" w:color="auto"/>
        <w:bottom w:val="none" w:sz="0" w:space="0" w:color="auto"/>
        <w:right w:val="none" w:sz="0" w:space="0" w:color="auto"/>
      </w:divBdr>
    </w:div>
    <w:div w:id="504902489">
      <w:bodyDiv w:val="1"/>
      <w:marLeft w:val="0"/>
      <w:marRight w:val="0"/>
      <w:marTop w:val="0"/>
      <w:marBottom w:val="0"/>
      <w:divBdr>
        <w:top w:val="none" w:sz="0" w:space="0" w:color="auto"/>
        <w:left w:val="none" w:sz="0" w:space="0" w:color="auto"/>
        <w:bottom w:val="none" w:sz="0" w:space="0" w:color="auto"/>
        <w:right w:val="none" w:sz="0" w:space="0" w:color="auto"/>
      </w:divBdr>
    </w:div>
    <w:div w:id="508955069">
      <w:bodyDiv w:val="1"/>
      <w:marLeft w:val="0"/>
      <w:marRight w:val="0"/>
      <w:marTop w:val="0"/>
      <w:marBottom w:val="0"/>
      <w:divBdr>
        <w:top w:val="none" w:sz="0" w:space="0" w:color="auto"/>
        <w:left w:val="none" w:sz="0" w:space="0" w:color="auto"/>
        <w:bottom w:val="none" w:sz="0" w:space="0" w:color="auto"/>
        <w:right w:val="none" w:sz="0" w:space="0" w:color="auto"/>
      </w:divBdr>
    </w:div>
    <w:div w:id="510027646">
      <w:bodyDiv w:val="1"/>
      <w:marLeft w:val="0"/>
      <w:marRight w:val="0"/>
      <w:marTop w:val="0"/>
      <w:marBottom w:val="0"/>
      <w:divBdr>
        <w:top w:val="none" w:sz="0" w:space="0" w:color="auto"/>
        <w:left w:val="none" w:sz="0" w:space="0" w:color="auto"/>
        <w:bottom w:val="none" w:sz="0" w:space="0" w:color="auto"/>
        <w:right w:val="none" w:sz="0" w:space="0" w:color="auto"/>
      </w:divBdr>
    </w:div>
    <w:div w:id="511652231">
      <w:bodyDiv w:val="1"/>
      <w:marLeft w:val="0"/>
      <w:marRight w:val="0"/>
      <w:marTop w:val="0"/>
      <w:marBottom w:val="0"/>
      <w:divBdr>
        <w:top w:val="none" w:sz="0" w:space="0" w:color="auto"/>
        <w:left w:val="none" w:sz="0" w:space="0" w:color="auto"/>
        <w:bottom w:val="none" w:sz="0" w:space="0" w:color="auto"/>
        <w:right w:val="none" w:sz="0" w:space="0" w:color="auto"/>
      </w:divBdr>
    </w:div>
    <w:div w:id="515851212">
      <w:bodyDiv w:val="1"/>
      <w:marLeft w:val="0"/>
      <w:marRight w:val="0"/>
      <w:marTop w:val="0"/>
      <w:marBottom w:val="0"/>
      <w:divBdr>
        <w:top w:val="none" w:sz="0" w:space="0" w:color="auto"/>
        <w:left w:val="none" w:sz="0" w:space="0" w:color="auto"/>
        <w:bottom w:val="none" w:sz="0" w:space="0" w:color="auto"/>
        <w:right w:val="none" w:sz="0" w:space="0" w:color="auto"/>
      </w:divBdr>
    </w:div>
    <w:div w:id="516434052">
      <w:bodyDiv w:val="1"/>
      <w:marLeft w:val="0"/>
      <w:marRight w:val="0"/>
      <w:marTop w:val="0"/>
      <w:marBottom w:val="0"/>
      <w:divBdr>
        <w:top w:val="none" w:sz="0" w:space="0" w:color="auto"/>
        <w:left w:val="none" w:sz="0" w:space="0" w:color="auto"/>
        <w:bottom w:val="none" w:sz="0" w:space="0" w:color="auto"/>
        <w:right w:val="none" w:sz="0" w:space="0" w:color="auto"/>
      </w:divBdr>
    </w:div>
    <w:div w:id="518927958">
      <w:bodyDiv w:val="1"/>
      <w:marLeft w:val="0"/>
      <w:marRight w:val="0"/>
      <w:marTop w:val="0"/>
      <w:marBottom w:val="0"/>
      <w:divBdr>
        <w:top w:val="none" w:sz="0" w:space="0" w:color="auto"/>
        <w:left w:val="none" w:sz="0" w:space="0" w:color="auto"/>
        <w:bottom w:val="none" w:sz="0" w:space="0" w:color="auto"/>
        <w:right w:val="none" w:sz="0" w:space="0" w:color="auto"/>
      </w:divBdr>
    </w:div>
    <w:div w:id="519245897">
      <w:bodyDiv w:val="1"/>
      <w:marLeft w:val="0"/>
      <w:marRight w:val="0"/>
      <w:marTop w:val="0"/>
      <w:marBottom w:val="0"/>
      <w:divBdr>
        <w:top w:val="none" w:sz="0" w:space="0" w:color="auto"/>
        <w:left w:val="none" w:sz="0" w:space="0" w:color="auto"/>
        <w:bottom w:val="none" w:sz="0" w:space="0" w:color="auto"/>
        <w:right w:val="none" w:sz="0" w:space="0" w:color="auto"/>
      </w:divBdr>
    </w:div>
    <w:div w:id="519395713">
      <w:bodyDiv w:val="1"/>
      <w:marLeft w:val="0"/>
      <w:marRight w:val="0"/>
      <w:marTop w:val="0"/>
      <w:marBottom w:val="0"/>
      <w:divBdr>
        <w:top w:val="none" w:sz="0" w:space="0" w:color="auto"/>
        <w:left w:val="none" w:sz="0" w:space="0" w:color="auto"/>
        <w:bottom w:val="none" w:sz="0" w:space="0" w:color="auto"/>
        <w:right w:val="none" w:sz="0" w:space="0" w:color="auto"/>
      </w:divBdr>
    </w:div>
    <w:div w:id="519396696">
      <w:bodyDiv w:val="1"/>
      <w:marLeft w:val="0"/>
      <w:marRight w:val="0"/>
      <w:marTop w:val="0"/>
      <w:marBottom w:val="0"/>
      <w:divBdr>
        <w:top w:val="none" w:sz="0" w:space="0" w:color="auto"/>
        <w:left w:val="none" w:sz="0" w:space="0" w:color="auto"/>
        <w:bottom w:val="none" w:sz="0" w:space="0" w:color="auto"/>
        <w:right w:val="none" w:sz="0" w:space="0" w:color="auto"/>
      </w:divBdr>
    </w:div>
    <w:div w:id="519510831">
      <w:bodyDiv w:val="1"/>
      <w:marLeft w:val="0"/>
      <w:marRight w:val="0"/>
      <w:marTop w:val="0"/>
      <w:marBottom w:val="0"/>
      <w:divBdr>
        <w:top w:val="none" w:sz="0" w:space="0" w:color="auto"/>
        <w:left w:val="none" w:sz="0" w:space="0" w:color="auto"/>
        <w:bottom w:val="none" w:sz="0" w:space="0" w:color="auto"/>
        <w:right w:val="none" w:sz="0" w:space="0" w:color="auto"/>
      </w:divBdr>
    </w:div>
    <w:div w:id="521013201">
      <w:bodyDiv w:val="1"/>
      <w:marLeft w:val="0"/>
      <w:marRight w:val="0"/>
      <w:marTop w:val="0"/>
      <w:marBottom w:val="0"/>
      <w:divBdr>
        <w:top w:val="none" w:sz="0" w:space="0" w:color="auto"/>
        <w:left w:val="none" w:sz="0" w:space="0" w:color="auto"/>
        <w:bottom w:val="none" w:sz="0" w:space="0" w:color="auto"/>
        <w:right w:val="none" w:sz="0" w:space="0" w:color="auto"/>
      </w:divBdr>
    </w:div>
    <w:div w:id="521430873">
      <w:bodyDiv w:val="1"/>
      <w:marLeft w:val="0"/>
      <w:marRight w:val="0"/>
      <w:marTop w:val="0"/>
      <w:marBottom w:val="0"/>
      <w:divBdr>
        <w:top w:val="none" w:sz="0" w:space="0" w:color="auto"/>
        <w:left w:val="none" w:sz="0" w:space="0" w:color="auto"/>
        <w:bottom w:val="none" w:sz="0" w:space="0" w:color="auto"/>
        <w:right w:val="none" w:sz="0" w:space="0" w:color="auto"/>
      </w:divBdr>
    </w:div>
    <w:div w:id="522550430">
      <w:bodyDiv w:val="1"/>
      <w:marLeft w:val="0"/>
      <w:marRight w:val="0"/>
      <w:marTop w:val="0"/>
      <w:marBottom w:val="0"/>
      <w:divBdr>
        <w:top w:val="none" w:sz="0" w:space="0" w:color="auto"/>
        <w:left w:val="none" w:sz="0" w:space="0" w:color="auto"/>
        <w:bottom w:val="none" w:sz="0" w:space="0" w:color="auto"/>
        <w:right w:val="none" w:sz="0" w:space="0" w:color="auto"/>
      </w:divBdr>
    </w:div>
    <w:div w:id="524294363">
      <w:bodyDiv w:val="1"/>
      <w:marLeft w:val="0"/>
      <w:marRight w:val="0"/>
      <w:marTop w:val="0"/>
      <w:marBottom w:val="0"/>
      <w:divBdr>
        <w:top w:val="none" w:sz="0" w:space="0" w:color="auto"/>
        <w:left w:val="none" w:sz="0" w:space="0" w:color="auto"/>
        <w:bottom w:val="none" w:sz="0" w:space="0" w:color="auto"/>
        <w:right w:val="none" w:sz="0" w:space="0" w:color="auto"/>
      </w:divBdr>
    </w:div>
    <w:div w:id="524439922">
      <w:bodyDiv w:val="1"/>
      <w:marLeft w:val="0"/>
      <w:marRight w:val="0"/>
      <w:marTop w:val="0"/>
      <w:marBottom w:val="0"/>
      <w:divBdr>
        <w:top w:val="none" w:sz="0" w:space="0" w:color="auto"/>
        <w:left w:val="none" w:sz="0" w:space="0" w:color="auto"/>
        <w:bottom w:val="none" w:sz="0" w:space="0" w:color="auto"/>
        <w:right w:val="none" w:sz="0" w:space="0" w:color="auto"/>
      </w:divBdr>
    </w:div>
    <w:div w:id="526604524">
      <w:bodyDiv w:val="1"/>
      <w:marLeft w:val="0"/>
      <w:marRight w:val="0"/>
      <w:marTop w:val="0"/>
      <w:marBottom w:val="0"/>
      <w:divBdr>
        <w:top w:val="none" w:sz="0" w:space="0" w:color="auto"/>
        <w:left w:val="none" w:sz="0" w:space="0" w:color="auto"/>
        <w:bottom w:val="none" w:sz="0" w:space="0" w:color="auto"/>
        <w:right w:val="none" w:sz="0" w:space="0" w:color="auto"/>
      </w:divBdr>
    </w:div>
    <w:div w:id="529074346">
      <w:bodyDiv w:val="1"/>
      <w:marLeft w:val="0"/>
      <w:marRight w:val="0"/>
      <w:marTop w:val="0"/>
      <w:marBottom w:val="0"/>
      <w:divBdr>
        <w:top w:val="none" w:sz="0" w:space="0" w:color="auto"/>
        <w:left w:val="none" w:sz="0" w:space="0" w:color="auto"/>
        <w:bottom w:val="none" w:sz="0" w:space="0" w:color="auto"/>
        <w:right w:val="none" w:sz="0" w:space="0" w:color="auto"/>
      </w:divBdr>
    </w:div>
    <w:div w:id="531577859">
      <w:bodyDiv w:val="1"/>
      <w:marLeft w:val="0"/>
      <w:marRight w:val="0"/>
      <w:marTop w:val="0"/>
      <w:marBottom w:val="0"/>
      <w:divBdr>
        <w:top w:val="none" w:sz="0" w:space="0" w:color="auto"/>
        <w:left w:val="none" w:sz="0" w:space="0" w:color="auto"/>
        <w:bottom w:val="none" w:sz="0" w:space="0" w:color="auto"/>
        <w:right w:val="none" w:sz="0" w:space="0" w:color="auto"/>
      </w:divBdr>
    </w:div>
    <w:div w:id="533613440">
      <w:bodyDiv w:val="1"/>
      <w:marLeft w:val="0"/>
      <w:marRight w:val="0"/>
      <w:marTop w:val="0"/>
      <w:marBottom w:val="0"/>
      <w:divBdr>
        <w:top w:val="none" w:sz="0" w:space="0" w:color="auto"/>
        <w:left w:val="none" w:sz="0" w:space="0" w:color="auto"/>
        <w:bottom w:val="none" w:sz="0" w:space="0" w:color="auto"/>
        <w:right w:val="none" w:sz="0" w:space="0" w:color="auto"/>
      </w:divBdr>
    </w:div>
    <w:div w:id="534775886">
      <w:bodyDiv w:val="1"/>
      <w:marLeft w:val="0"/>
      <w:marRight w:val="0"/>
      <w:marTop w:val="0"/>
      <w:marBottom w:val="0"/>
      <w:divBdr>
        <w:top w:val="none" w:sz="0" w:space="0" w:color="auto"/>
        <w:left w:val="none" w:sz="0" w:space="0" w:color="auto"/>
        <w:bottom w:val="none" w:sz="0" w:space="0" w:color="auto"/>
        <w:right w:val="none" w:sz="0" w:space="0" w:color="auto"/>
      </w:divBdr>
    </w:div>
    <w:div w:id="536627959">
      <w:bodyDiv w:val="1"/>
      <w:marLeft w:val="0"/>
      <w:marRight w:val="0"/>
      <w:marTop w:val="0"/>
      <w:marBottom w:val="0"/>
      <w:divBdr>
        <w:top w:val="none" w:sz="0" w:space="0" w:color="auto"/>
        <w:left w:val="none" w:sz="0" w:space="0" w:color="auto"/>
        <w:bottom w:val="none" w:sz="0" w:space="0" w:color="auto"/>
        <w:right w:val="none" w:sz="0" w:space="0" w:color="auto"/>
      </w:divBdr>
    </w:div>
    <w:div w:id="537157819">
      <w:bodyDiv w:val="1"/>
      <w:marLeft w:val="0"/>
      <w:marRight w:val="0"/>
      <w:marTop w:val="0"/>
      <w:marBottom w:val="0"/>
      <w:divBdr>
        <w:top w:val="none" w:sz="0" w:space="0" w:color="auto"/>
        <w:left w:val="none" w:sz="0" w:space="0" w:color="auto"/>
        <w:bottom w:val="none" w:sz="0" w:space="0" w:color="auto"/>
        <w:right w:val="none" w:sz="0" w:space="0" w:color="auto"/>
      </w:divBdr>
    </w:div>
    <w:div w:id="538736390">
      <w:bodyDiv w:val="1"/>
      <w:marLeft w:val="0"/>
      <w:marRight w:val="0"/>
      <w:marTop w:val="0"/>
      <w:marBottom w:val="0"/>
      <w:divBdr>
        <w:top w:val="none" w:sz="0" w:space="0" w:color="auto"/>
        <w:left w:val="none" w:sz="0" w:space="0" w:color="auto"/>
        <w:bottom w:val="none" w:sz="0" w:space="0" w:color="auto"/>
        <w:right w:val="none" w:sz="0" w:space="0" w:color="auto"/>
      </w:divBdr>
    </w:div>
    <w:div w:id="539778326">
      <w:bodyDiv w:val="1"/>
      <w:marLeft w:val="0"/>
      <w:marRight w:val="0"/>
      <w:marTop w:val="0"/>
      <w:marBottom w:val="0"/>
      <w:divBdr>
        <w:top w:val="none" w:sz="0" w:space="0" w:color="auto"/>
        <w:left w:val="none" w:sz="0" w:space="0" w:color="auto"/>
        <w:bottom w:val="none" w:sz="0" w:space="0" w:color="auto"/>
        <w:right w:val="none" w:sz="0" w:space="0" w:color="auto"/>
      </w:divBdr>
    </w:div>
    <w:div w:id="540634935">
      <w:bodyDiv w:val="1"/>
      <w:marLeft w:val="0"/>
      <w:marRight w:val="0"/>
      <w:marTop w:val="0"/>
      <w:marBottom w:val="0"/>
      <w:divBdr>
        <w:top w:val="none" w:sz="0" w:space="0" w:color="auto"/>
        <w:left w:val="none" w:sz="0" w:space="0" w:color="auto"/>
        <w:bottom w:val="none" w:sz="0" w:space="0" w:color="auto"/>
        <w:right w:val="none" w:sz="0" w:space="0" w:color="auto"/>
      </w:divBdr>
    </w:div>
    <w:div w:id="542984128">
      <w:bodyDiv w:val="1"/>
      <w:marLeft w:val="0"/>
      <w:marRight w:val="0"/>
      <w:marTop w:val="0"/>
      <w:marBottom w:val="0"/>
      <w:divBdr>
        <w:top w:val="none" w:sz="0" w:space="0" w:color="auto"/>
        <w:left w:val="none" w:sz="0" w:space="0" w:color="auto"/>
        <w:bottom w:val="none" w:sz="0" w:space="0" w:color="auto"/>
        <w:right w:val="none" w:sz="0" w:space="0" w:color="auto"/>
      </w:divBdr>
    </w:div>
    <w:div w:id="543323499">
      <w:bodyDiv w:val="1"/>
      <w:marLeft w:val="0"/>
      <w:marRight w:val="0"/>
      <w:marTop w:val="0"/>
      <w:marBottom w:val="0"/>
      <w:divBdr>
        <w:top w:val="none" w:sz="0" w:space="0" w:color="auto"/>
        <w:left w:val="none" w:sz="0" w:space="0" w:color="auto"/>
        <w:bottom w:val="none" w:sz="0" w:space="0" w:color="auto"/>
        <w:right w:val="none" w:sz="0" w:space="0" w:color="auto"/>
      </w:divBdr>
    </w:div>
    <w:div w:id="548416201">
      <w:bodyDiv w:val="1"/>
      <w:marLeft w:val="0"/>
      <w:marRight w:val="0"/>
      <w:marTop w:val="0"/>
      <w:marBottom w:val="0"/>
      <w:divBdr>
        <w:top w:val="none" w:sz="0" w:space="0" w:color="auto"/>
        <w:left w:val="none" w:sz="0" w:space="0" w:color="auto"/>
        <w:bottom w:val="none" w:sz="0" w:space="0" w:color="auto"/>
        <w:right w:val="none" w:sz="0" w:space="0" w:color="auto"/>
      </w:divBdr>
    </w:div>
    <w:div w:id="549418816">
      <w:bodyDiv w:val="1"/>
      <w:marLeft w:val="0"/>
      <w:marRight w:val="0"/>
      <w:marTop w:val="0"/>
      <w:marBottom w:val="0"/>
      <w:divBdr>
        <w:top w:val="none" w:sz="0" w:space="0" w:color="auto"/>
        <w:left w:val="none" w:sz="0" w:space="0" w:color="auto"/>
        <w:bottom w:val="none" w:sz="0" w:space="0" w:color="auto"/>
        <w:right w:val="none" w:sz="0" w:space="0" w:color="auto"/>
      </w:divBdr>
    </w:div>
    <w:div w:id="549655816">
      <w:bodyDiv w:val="1"/>
      <w:marLeft w:val="0"/>
      <w:marRight w:val="0"/>
      <w:marTop w:val="0"/>
      <w:marBottom w:val="0"/>
      <w:divBdr>
        <w:top w:val="none" w:sz="0" w:space="0" w:color="auto"/>
        <w:left w:val="none" w:sz="0" w:space="0" w:color="auto"/>
        <w:bottom w:val="none" w:sz="0" w:space="0" w:color="auto"/>
        <w:right w:val="none" w:sz="0" w:space="0" w:color="auto"/>
      </w:divBdr>
    </w:div>
    <w:div w:id="550072200">
      <w:bodyDiv w:val="1"/>
      <w:marLeft w:val="0"/>
      <w:marRight w:val="0"/>
      <w:marTop w:val="0"/>
      <w:marBottom w:val="0"/>
      <w:divBdr>
        <w:top w:val="none" w:sz="0" w:space="0" w:color="auto"/>
        <w:left w:val="none" w:sz="0" w:space="0" w:color="auto"/>
        <w:bottom w:val="none" w:sz="0" w:space="0" w:color="auto"/>
        <w:right w:val="none" w:sz="0" w:space="0" w:color="auto"/>
      </w:divBdr>
    </w:div>
    <w:div w:id="555361099">
      <w:bodyDiv w:val="1"/>
      <w:marLeft w:val="0"/>
      <w:marRight w:val="0"/>
      <w:marTop w:val="0"/>
      <w:marBottom w:val="0"/>
      <w:divBdr>
        <w:top w:val="none" w:sz="0" w:space="0" w:color="auto"/>
        <w:left w:val="none" w:sz="0" w:space="0" w:color="auto"/>
        <w:bottom w:val="none" w:sz="0" w:space="0" w:color="auto"/>
        <w:right w:val="none" w:sz="0" w:space="0" w:color="auto"/>
      </w:divBdr>
    </w:div>
    <w:div w:id="558053430">
      <w:bodyDiv w:val="1"/>
      <w:marLeft w:val="0"/>
      <w:marRight w:val="0"/>
      <w:marTop w:val="0"/>
      <w:marBottom w:val="0"/>
      <w:divBdr>
        <w:top w:val="none" w:sz="0" w:space="0" w:color="auto"/>
        <w:left w:val="none" w:sz="0" w:space="0" w:color="auto"/>
        <w:bottom w:val="none" w:sz="0" w:space="0" w:color="auto"/>
        <w:right w:val="none" w:sz="0" w:space="0" w:color="auto"/>
      </w:divBdr>
    </w:div>
    <w:div w:id="558905030">
      <w:bodyDiv w:val="1"/>
      <w:marLeft w:val="0"/>
      <w:marRight w:val="0"/>
      <w:marTop w:val="0"/>
      <w:marBottom w:val="0"/>
      <w:divBdr>
        <w:top w:val="none" w:sz="0" w:space="0" w:color="auto"/>
        <w:left w:val="none" w:sz="0" w:space="0" w:color="auto"/>
        <w:bottom w:val="none" w:sz="0" w:space="0" w:color="auto"/>
        <w:right w:val="none" w:sz="0" w:space="0" w:color="auto"/>
      </w:divBdr>
    </w:div>
    <w:div w:id="565796371">
      <w:bodyDiv w:val="1"/>
      <w:marLeft w:val="0"/>
      <w:marRight w:val="0"/>
      <w:marTop w:val="0"/>
      <w:marBottom w:val="0"/>
      <w:divBdr>
        <w:top w:val="none" w:sz="0" w:space="0" w:color="auto"/>
        <w:left w:val="none" w:sz="0" w:space="0" w:color="auto"/>
        <w:bottom w:val="none" w:sz="0" w:space="0" w:color="auto"/>
        <w:right w:val="none" w:sz="0" w:space="0" w:color="auto"/>
      </w:divBdr>
    </w:div>
    <w:div w:id="567769174">
      <w:bodyDiv w:val="1"/>
      <w:marLeft w:val="0"/>
      <w:marRight w:val="0"/>
      <w:marTop w:val="0"/>
      <w:marBottom w:val="0"/>
      <w:divBdr>
        <w:top w:val="none" w:sz="0" w:space="0" w:color="auto"/>
        <w:left w:val="none" w:sz="0" w:space="0" w:color="auto"/>
        <w:bottom w:val="none" w:sz="0" w:space="0" w:color="auto"/>
        <w:right w:val="none" w:sz="0" w:space="0" w:color="auto"/>
      </w:divBdr>
    </w:div>
    <w:div w:id="567961623">
      <w:bodyDiv w:val="1"/>
      <w:marLeft w:val="0"/>
      <w:marRight w:val="0"/>
      <w:marTop w:val="0"/>
      <w:marBottom w:val="0"/>
      <w:divBdr>
        <w:top w:val="none" w:sz="0" w:space="0" w:color="auto"/>
        <w:left w:val="none" w:sz="0" w:space="0" w:color="auto"/>
        <w:bottom w:val="none" w:sz="0" w:space="0" w:color="auto"/>
        <w:right w:val="none" w:sz="0" w:space="0" w:color="auto"/>
      </w:divBdr>
    </w:div>
    <w:div w:id="570891292">
      <w:bodyDiv w:val="1"/>
      <w:marLeft w:val="0"/>
      <w:marRight w:val="0"/>
      <w:marTop w:val="0"/>
      <w:marBottom w:val="0"/>
      <w:divBdr>
        <w:top w:val="none" w:sz="0" w:space="0" w:color="auto"/>
        <w:left w:val="none" w:sz="0" w:space="0" w:color="auto"/>
        <w:bottom w:val="none" w:sz="0" w:space="0" w:color="auto"/>
        <w:right w:val="none" w:sz="0" w:space="0" w:color="auto"/>
      </w:divBdr>
    </w:div>
    <w:div w:id="573785336">
      <w:bodyDiv w:val="1"/>
      <w:marLeft w:val="0"/>
      <w:marRight w:val="0"/>
      <w:marTop w:val="0"/>
      <w:marBottom w:val="0"/>
      <w:divBdr>
        <w:top w:val="none" w:sz="0" w:space="0" w:color="auto"/>
        <w:left w:val="none" w:sz="0" w:space="0" w:color="auto"/>
        <w:bottom w:val="none" w:sz="0" w:space="0" w:color="auto"/>
        <w:right w:val="none" w:sz="0" w:space="0" w:color="auto"/>
      </w:divBdr>
    </w:div>
    <w:div w:id="573858387">
      <w:bodyDiv w:val="1"/>
      <w:marLeft w:val="0"/>
      <w:marRight w:val="0"/>
      <w:marTop w:val="0"/>
      <w:marBottom w:val="0"/>
      <w:divBdr>
        <w:top w:val="none" w:sz="0" w:space="0" w:color="auto"/>
        <w:left w:val="none" w:sz="0" w:space="0" w:color="auto"/>
        <w:bottom w:val="none" w:sz="0" w:space="0" w:color="auto"/>
        <w:right w:val="none" w:sz="0" w:space="0" w:color="auto"/>
      </w:divBdr>
    </w:div>
    <w:div w:id="575282785">
      <w:bodyDiv w:val="1"/>
      <w:marLeft w:val="0"/>
      <w:marRight w:val="0"/>
      <w:marTop w:val="0"/>
      <w:marBottom w:val="0"/>
      <w:divBdr>
        <w:top w:val="none" w:sz="0" w:space="0" w:color="auto"/>
        <w:left w:val="none" w:sz="0" w:space="0" w:color="auto"/>
        <w:bottom w:val="none" w:sz="0" w:space="0" w:color="auto"/>
        <w:right w:val="none" w:sz="0" w:space="0" w:color="auto"/>
      </w:divBdr>
    </w:div>
    <w:div w:id="575744765">
      <w:bodyDiv w:val="1"/>
      <w:marLeft w:val="0"/>
      <w:marRight w:val="0"/>
      <w:marTop w:val="0"/>
      <w:marBottom w:val="0"/>
      <w:divBdr>
        <w:top w:val="none" w:sz="0" w:space="0" w:color="auto"/>
        <w:left w:val="none" w:sz="0" w:space="0" w:color="auto"/>
        <w:bottom w:val="none" w:sz="0" w:space="0" w:color="auto"/>
        <w:right w:val="none" w:sz="0" w:space="0" w:color="auto"/>
      </w:divBdr>
    </w:div>
    <w:div w:id="577598043">
      <w:bodyDiv w:val="1"/>
      <w:marLeft w:val="0"/>
      <w:marRight w:val="0"/>
      <w:marTop w:val="0"/>
      <w:marBottom w:val="0"/>
      <w:divBdr>
        <w:top w:val="none" w:sz="0" w:space="0" w:color="auto"/>
        <w:left w:val="none" w:sz="0" w:space="0" w:color="auto"/>
        <w:bottom w:val="none" w:sz="0" w:space="0" w:color="auto"/>
        <w:right w:val="none" w:sz="0" w:space="0" w:color="auto"/>
      </w:divBdr>
    </w:div>
    <w:div w:id="578758294">
      <w:bodyDiv w:val="1"/>
      <w:marLeft w:val="0"/>
      <w:marRight w:val="0"/>
      <w:marTop w:val="0"/>
      <w:marBottom w:val="0"/>
      <w:divBdr>
        <w:top w:val="none" w:sz="0" w:space="0" w:color="auto"/>
        <w:left w:val="none" w:sz="0" w:space="0" w:color="auto"/>
        <w:bottom w:val="none" w:sz="0" w:space="0" w:color="auto"/>
        <w:right w:val="none" w:sz="0" w:space="0" w:color="auto"/>
      </w:divBdr>
    </w:div>
    <w:div w:id="579683808">
      <w:bodyDiv w:val="1"/>
      <w:marLeft w:val="0"/>
      <w:marRight w:val="0"/>
      <w:marTop w:val="0"/>
      <w:marBottom w:val="0"/>
      <w:divBdr>
        <w:top w:val="none" w:sz="0" w:space="0" w:color="auto"/>
        <w:left w:val="none" w:sz="0" w:space="0" w:color="auto"/>
        <w:bottom w:val="none" w:sz="0" w:space="0" w:color="auto"/>
        <w:right w:val="none" w:sz="0" w:space="0" w:color="auto"/>
      </w:divBdr>
    </w:div>
    <w:div w:id="581377283">
      <w:bodyDiv w:val="1"/>
      <w:marLeft w:val="0"/>
      <w:marRight w:val="0"/>
      <w:marTop w:val="0"/>
      <w:marBottom w:val="0"/>
      <w:divBdr>
        <w:top w:val="none" w:sz="0" w:space="0" w:color="auto"/>
        <w:left w:val="none" w:sz="0" w:space="0" w:color="auto"/>
        <w:bottom w:val="none" w:sz="0" w:space="0" w:color="auto"/>
        <w:right w:val="none" w:sz="0" w:space="0" w:color="auto"/>
      </w:divBdr>
    </w:div>
    <w:div w:id="584649687">
      <w:bodyDiv w:val="1"/>
      <w:marLeft w:val="0"/>
      <w:marRight w:val="0"/>
      <w:marTop w:val="0"/>
      <w:marBottom w:val="0"/>
      <w:divBdr>
        <w:top w:val="none" w:sz="0" w:space="0" w:color="auto"/>
        <w:left w:val="none" w:sz="0" w:space="0" w:color="auto"/>
        <w:bottom w:val="none" w:sz="0" w:space="0" w:color="auto"/>
        <w:right w:val="none" w:sz="0" w:space="0" w:color="auto"/>
      </w:divBdr>
    </w:div>
    <w:div w:id="585001448">
      <w:bodyDiv w:val="1"/>
      <w:marLeft w:val="0"/>
      <w:marRight w:val="0"/>
      <w:marTop w:val="0"/>
      <w:marBottom w:val="0"/>
      <w:divBdr>
        <w:top w:val="none" w:sz="0" w:space="0" w:color="auto"/>
        <w:left w:val="none" w:sz="0" w:space="0" w:color="auto"/>
        <w:bottom w:val="none" w:sz="0" w:space="0" w:color="auto"/>
        <w:right w:val="none" w:sz="0" w:space="0" w:color="auto"/>
      </w:divBdr>
    </w:div>
    <w:div w:id="587929728">
      <w:bodyDiv w:val="1"/>
      <w:marLeft w:val="0"/>
      <w:marRight w:val="0"/>
      <w:marTop w:val="0"/>
      <w:marBottom w:val="0"/>
      <w:divBdr>
        <w:top w:val="none" w:sz="0" w:space="0" w:color="auto"/>
        <w:left w:val="none" w:sz="0" w:space="0" w:color="auto"/>
        <w:bottom w:val="none" w:sz="0" w:space="0" w:color="auto"/>
        <w:right w:val="none" w:sz="0" w:space="0" w:color="auto"/>
      </w:divBdr>
    </w:div>
    <w:div w:id="587999553">
      <w:bodyDiv w:val="1"/>
      <w:marLeft w:val="0"/>
      <w:marRight w:val="0"/>
      <w:marTop w:val="0"/>
      <w:marBottom w:val="0"/>
      <w:divBdr>
        <w:top w:val="none" w:sz="0" w:space="0" w:color="auto"/>
        <w:left w:val="none" w:sz="0" w:space="0" w:color="auto"/>
        <w:bottom w:val="none" w:sz="0" w:space="0" w:color="auto"/>
        <w:right w:val="none" w:sz="0" w:space="0" w:color="auto"/>
      </w:divBdr>
    </w:div>
    <w:div w:id="594024192">
      <w:bodyDiv w:val="1"/>
      <w:marLeft w:val="0"/>
      <w:marRight w:val="0"/>
      <w:marTop w:val="0"/>
      <w:marBottom w:val="0"/>
      <w:divBdr>
        <w:top w:val="none" w:sz="0" w:space="0" w:color="auto"/>
        <w:left w:val="none" w:sz="0" w:space="0" w:color="auto"/>
        <w:bottom w:val="none" w:sz="0" w:space="0" w:color="auto"/>
        <w:right w:val="none" w:sz="0" w:space="0" w:color="auto"/>
      </w:divBdr>
    </w:div>
    <w:div w:id="596251097">
      <w:bodyDiv w:val="1"/>
      <w:marLeft w:val="0"/>
      <w:marRight w:val="0"/>
      <w:marTop w:val="0"/>
      <w:marBottom w:val="0"/>
      <w:divBdr>
        <w:top w:val="none" w:sz="0" w:space="0" w:color="auto"/>
        <w:left w:val="none" w:sz="0" w:space="0" w:color="auto"/>
        <w:bottom w:val="none" w:sz="0" w:space="0" w:color="auto"/>
        <w:right w:val="none" w:sz="0" w:space="0" w:color="auto"/>
      </w:divBdr>
    </w:div>
    <w:div w:id="598175464">
      <w:bodyDiv w:val="1"/>
      <w:marLeft w:val="0"/>
      <w:marRight w:val="0"/>
      <w:marTop w:val="0"/>
      <w:marBottom w:val="0"/>
      <w:divBdr>
        <w:top w:val="none" w:sz="0" w:space="0" w:color="auto"/>
        <w:left w:val="none" w:sz="0" w:space="0" w:color="auto"/>
        <w:bottom w:val="none" w:sz="0" w:space="0" w:color="auto"/>
        <w:right w:val="none" w:sz="0" w:space="0" w:color="auto"/>
      </w:divBdr>
    </w:div>
    <w:div w:id="599918117">
      <w:bodyDiv w:val="1"/>
      <w:marLeft w:val="0"/>
      <w:marRight w:val="0"/>
      <w:marTop w:val="0"/>
      <w:marBottom w:val="0"/>
      <w:divBdr>
        <w:top w:val="none" w:sz="0" w:space="0" w:color="auto"/>
        <w:left w:val="none" w:sz="0" w:space="0" w:color="auto"/>
        <w:bottom w:val="none" w:sz="0" w:space="0" w:color="auto"/>
        <w:right w:val="none" w:sz="0" w:space="0" w:color="auto"/>
      </w:divBdr>
    </w:div>
    <w:div w:id="600335719">
      <w:bodyDiv w:val="1"/>
      <w:marLeft w:val="0"/>
      <w:marRight w:val="0"/>
      <w:marTop w:val="0"/>
      <w:marBottom w:val="0"/>
      <w:divBdr>
        <w:top w:val="none" w:sz="0" w:space="0" w:color="auto"/>
        <w:left w:val="none" w:sz="0" w:space="0" w:color="auto"/>
        <w:bottom w:val="none" w:sz="0" w:space="0" w:color="auto"/>
        <w:right w:val="none" w:sz="0" w:space="0" w:color="auto"/>
      </w:divBdr>
    </w:div>
    <w:div w:id="600452777">
      <w:bodyDiv w:val="1"/>
      <w:marLeft w:val="0"/>
      <w:marRight w:val="0"/>
      <w:marTop w:val="0"/>
      <w:marBottom w:val="0"/>
      <w:divBdr>
        <w:top w:val="none" w:sz="0" w:space="0" w:color="auto"/>
        <w:left w:val="none" w:sz="0" w:space="0" w:color="auto"/>
        <w:bottom w:val="none" w:sz="0" w:space="0" w:color="auto"/>
        <w:right w:val="none" w:sz="0" w:space="0" w:color="auto"/>
      </w:divBdr>
    </w:div>
    <w:div w:id="604069983">
      <w:bodyDiv w:val="1"/>
      <w:marLeft w:val="0"/>
      <w:marRight w:val="0"/>
      <w:marTop w:val="0"/>
      <w:marBottom w:val="0"/>
      <w:divBdr>
        <w:top w:val="none" w:sz="0" w:space="0" w:color="auto"/>
        <w:left w:val="none" w:sz="0" w:space="0" w:color="auto"/>
        <w:bottom w:val="none" w:sz="0" w:space="0" w:color="auto"/>
        <w:right w:val="none" w:sz="0" w:space="0" w:color="auto"/>
      </w:divBdr>
    </w:div>
    <w:div w:id="605967832">
      <w:bodyDiv w:val="1"/>
      <w:marLeft w:val="0"/>
      <w:marRight w:val="0"/>
      <w:marTop w:val="0"/>
      <w:marBottom w:val="0"/>
      <w:divBdr>
        <w:top w:val="none" w:sz="0" w:space="0" w:color="auto"/>
        <w:left w:val="none" w:sz="0" w:space="0" w:color="auto"/>
        <w:bottom w:val="none" w:sz="0" w:space="0" w:color="auto"/>
        <w:right w:val="none" w:sz="0" w:space="0" w:color="auto"/>
      </w:divBdr>
    </w:div>
    <w:div w:id="607811787">
      <w:bodyDiv w:val="1"/>
      <w:marLeft w:val="0"/>
      <w:marRight w:val="0"/>
      <w:marTop w:val="0"/>
      <w:marBottom w:val="0"/>
      <w:divBdr>
        <w:top w:val="none" w:sz="0" w:space="0" w:color="auto"/>
        <w:left w:val="none" w:sz="0" w:space="0" w:color="auto"/>
        <w:bottom w:val="none" w:sz="0" w:space="0" w:color="auto"/>
        <w:right w:val="none" w:sz="0" w:space="0" w:color="auto"/>
      </w:divBdr>
    </w:div>
    <w:div w:id="608270714">
      <w:bodyDiv w:val="1"/>
      <w:marLeft w:val="0"/>
      <w:marRight w:val="0"/>
      <w:marTop w:val="0"/>
      <w:marBottom w:val="0"/>
      <w:divBdr>
        <w:top w:val="none" w:sz="0" w:space="0" w:color="auto"/>
        <w:left w:val="none" w:sz="0" w:space="0" w:color="auto"/>
        <w:bottom w:val="none" w:sz="0" w:space="0" w:color="auto"/>
        <w:right w:val="none" w:sz="0" w:space="0" w:color="auto"/>
      </w:divBdr>
    </w:div>
    <w:div w:id="610472376">
      <w:bodyDiv w:val="1"/>
      <w:marLeft w:val="0"/>
      <w:marRight w:val="0"/>
      <w:marTop w:val="0"/>
      <w:marBottom w:val="0"/>
      <w:divBdr>
        <w:top w:val="none" w:sz="0" w:space="0" w:color="auto"/>
        <w:left w:val="none" w:sz="0" w:space="0" w:color="auto"/>
        <w:bottom w:val="none" w:sz="0" w:space="0" w:color="auto"/>
        <w:right w:val="none" w:sz="0" w:space="0" w:color="auto"/>
      </w:divBdr>
    </w:div>
    <w:div w:id="611285206">
      <w:bodyDiv w:val="1"/>
      <w:marLeft w:val="0"/>
      <w:marRight w:val="0"/>
      <w:marTop w:val="0"/>
      <w:marBottom w:val="0"/>
      <w:divBdr>
        <w:top w:val="none" w:sz="0" w:space="0" w:color="auto"/>
        <w:left w:val="none" w:sz="0" w:space="0" w:color="auto"/>
        <w:bottom w:val="none" w:sz="0" w:space="0" w:color="auto"/>
        <w:right w:val="none" w:sz="0" w:space="0" w:color="auto"/>
      </w:divBdr>
    </w:div>
    <w:div w:id="614138441">
      <w:bodyDiv w:val="1"/>
      <w:marLeft w:val="0"/>
      <w:marRight w:val="0"/>
      <w:marTop w:val="0"/>
      <w:marBottom w:val="0"/>
      <w:divBdr>
        <w:top w:val="none" w:sz="0" w:space="0" w:color="auto"/>
        <w:left w:val="none" w:sz="0" w:space="0" w:color="auto"/>
        <w:bottom w:val="none" w:sz="0" w:space="0" w:color="auto"/>
        <w:right w:val="none" w:sz="0" w:space="0" w:color="auto"/>
      </w:divBdr>
    </w:div>
    <w:div w:id="616529738">
      <w:bodyDiv w:val="1"/>
      <w:marLeft w:val="0"/>
      <w:marRight w:val="0"/>
      <w:marTop w:val="0"/>
      <w:marBottom w:val="0"/>
      <w:divBdr>
        <w:top w:val="none" w:sz="0" w:space="0" w:color="auto"/>
        <w:left w:val="none" w:sz="0" w:space="0" w:color="auto"/>
        <w:bottom w:val="none" w:sz="0" w:space="0" w:color="auto"/>
        <w:right w:val="none" w:sz="0" w:space="0" w:color="auto"/>
      </w:divBdr>
    </w:div>
    <w:div w:id="617640919">
      <w:bodyDiv w:val="1"/>
      <w:marLeft w:val="0"/>
      <w:marRight w:val="0"/>
      <w:marTop w:val="0"/>
      <w:marBottom w:val="0"/>
      <w:divBdr>
        <w:top w:val="none" w:sz="0" w:space="0" w:color="auto"/>
        <w:left w:val="none" w:sz="0" w:space="0" w:color="auto"/>
        <w:bottom w:val="none" w:sz="0" w:space="0" w:color="auto"/>
        <w:right w:val="none" w:sz="0" w:space="0" w:color="auto"/>
      </w:divBdr>
    </w:div>
    <w:div w:id="619530523">
      <w:bodyDiv w:val="1"/>
      <w:marLeft w:val="0"/>
      <w:marRight w:val="0"/>
      <w:marTop w:val="0"/>
      <w:marBottom w:val="0"/>
      <w:divBdr>
        <w:top w:val="none" w:sz="0" w:space="0" w:color="auto"/>
        <w:left w:val="none" w:sz="0" w:space="0" w:color="auto"/>
        <w:bottom w:val="none" w:sz="0" w:space="0" w:color="auto"/>
        <w:right w:val="none" w:sz="0" w:space="0" w:color="auto"/>
      </w:divBdr>
    </w:div>
    <w:div w:id="620695216">
      <w:bodyDiv w:val="1"/>
      <w:marLeft w:val="0"/>
      <w:marRight w:val="0"/>
      <w:marTop w:val="0"/>
      <w:marBottom w:val="0"/>
      <w:divBdr>
        <w:top w:val="none" w:sz="0" w:space="0" w:color="auto"/>
        <w:left w:val="none" w:sz="0" w:space="0" w:color="auto"/>
        <w:bottom w:val="none" w:sz="0" w:space="0" w:color="auto"/>
        <w:right w:val="none" w:sz="0" w:space="0" w:color="auto"/>
      </w:divBdr>
    </w:div>
    <w:div w:id="623269661">
      <w:bodyDiv w:val="1"/>
      <w:marLeft w:val="0"/>
      <w:marRight w:val="0"/>
      <w:marTop w:val="0"/>
      <w:marBottom w:val="0"/>
      <w:divBdr>
        <w:top w:val="none" w:sz="0" w:space="0" w:color="auto"/>
        <w:left w:val="none" w:sz="0" w:space="0" w:color="auto"/>
        <w:bottom w:val="none" w:sz="0" w:space="0" w:color="auto"/>
        <w:right w:val="none" w:sz="0" w:space="0" w:color="auto"/>
      </w:divBdr>
    </w:div>
    <w:div w:id="623580653">
      <w:bodyDiv w:val="1"/>
      <w:marLeft w:val="0"/>
      <w:marRight w:val="0"/>
      <w:marTop w:val="0"/>
      <w:marBottom w:val="0"/>
      <w:divBdr>
        <w:top w:val="none" w:sz="0" w:space="0" w:color="auto"/>
        <w:left w:val="none" w:sz="0" w:space="0" w:color="auto"/>
        <w:bottom w:val="none" w:sz="0" w:space="0" w:color="auto"/>
        <w:right w:val="none" w:sz="0" w:space="0" w:color="auto"/>
      </w:divBdr>
    </w:div>
    <w:div w:id="624193570">
      <w:bodyDiv w:val="1"/>
      <w:marLeft w:val="0"/>
      <w:marRight w:val="0"/>
      <w:marTop w:val="0"/>
      <w:marBottom w:val="0"/>
      <w:divBdr>
        <w:top w:val="none" w:sz="0" w:space="0" w:color="auto"/>
        <w:left w:val="none" w:sz="0" w:space="0" w:color="auto"/>
        <w:bottom w:val="none" w:sz="0" w:space="0" w:color="auto"/>
        <w:right w:val="none" w:sz="0" w:space="0" w:color="auto"/>
      </w:divBdr>
    </w:div>
    <w:div w:id="624582214">
      <w:bodyDiv w:val="1"/>
      <w:marLeft w:val="0"/>
      <w:marRight w:val="0"/>
      <w:marTop w:val="0"/>
      <w:marBottom w:val="0"/>
      <w:divBdr>
        <w:top w:val="none" w:sz="0" w:space="0" w:color="auto"/>
        <w:left w:val="none" w:sz="0" w:space="0" w:color="auto"/>
        <w:bottom w:val="none" w:sz="0" w:space="0" w:color="auto"/>
        <w:right w:val="none" w:sz="0" w:space="0" w:color="auto"/>
      </w:divBdr>
    </w:div>
    <w:div w:id="626014545">
      <w:bodyDiv w:val="1"/>
      <w:marLeft w:val="0"/>
      <w:marRight w:val="0"/>
      <w:marTop w:val="0"/>
      <w:marBottom w:val="0"/>
      <w:divBdr>
        <w:top w:val="none" w:sz="0" w:space="0" w:color="auto"/>
        <w:left w:val="none" w:sz="0" w:space="0" w:color="auto"/>
        <w:bottom w:val="none" w:sz="0" w:space="0" w:color="auto"/>
        <w:right w:val="none" w:sz="0" w:space="0" w:color="auto"/>
      </w:divBdr>
    </w:div>
    <w:div w:id="627931309">
      <w:bodyDiv w:val="1"/>
      <w:marLeft w:val="0"/>
      <w:marRight w:val="0"/>
      <w:marTop w:val="0"/>
      <w:marBottom w:val="0"/>
      <w:divBdr>
        <w:top w:val="none" w:sz="0" w:space="0" w:color="auto"/>
        <w:left w:val="none" w:sz="0" w:space="0" w:color="auto"/>
        <w:bottom w:val="none" w:sz="0" w:space="0" w:color="auto"/>
        <w:right w:val="none" w:sz="0" w:space="0" w:color="auto"/>
      </w:divBdr>
    </w:div>
    <w:div w:id="628320823">
      <w:bodyDiv w:val="1"/>
      <w:marLeft w:val="0"/>
      <w:marRight w:val="0"/>
      <w:marTop w:val="0"/>
      <w:marBottom w:val="0"/>
      <w:divBdr>
        <w:top w:val="none" w:sz="0" w:space="0" w:color="auto"/>
        <w:left w:val="none" w:sz="0" w:space="0" w:color="auto"/>
        <w:bottom w:val="none" w:sz="0" w:space="0" w:color="auto"/>
        <w:right w:val="none" w:sz="0" w:space="0" w:color="auto"/>
      </w:divBdr>
    </w:div>
    <w:div w:id="630743422">
      <w:bodyDiv w:val="1"/>
      <w:marLeft w:val="0"/>
      <w:marRight w:val="0"/>
      <w:marTop w:val="0"/>
      <w:marBottom w:val="0"/>
      <w:divBdr>
        <w:top w:val="none" w:sz="0" w:space="0" w:color="auto"/>
        <w:left w:val="none" w:sz="0" w:space="0" w:color="auto"/>
        <w:bottom w:val="none" w:sz="0" w:space="0" w:color="auto"/>
        <w:right w:val="none" w:sz="0" w:space="0" w:color="auto"/>
      </w:divBdr>
    </w:div>
    <w:div w:id="630986008">
      <w:bodyDiv w:val="1"/>
      <w:marLeft w:val="0"/>
      <w:marRight w:val="0"/>
      <w:marTop w:val="0"/>
      <w:marBottom w:val="0"/>
      <w:divBdr>
        <w:top w:val="none" w:sz="0" w:space="0" w:color="auto"/>
        <w:left w:val="none" w:sz="0" w:space="0" w:color="auto"/>
        <w:bottom w:val="none" w:sz="0" w:space="0" w:color="auto"/>
        <w:right w:val="none" w:sz="0" w:space="0" w:color="auto"/>
      </w:divBdr>
    </w:div>
    <w:div w:id="631715279">
      <w:bodyDiv w:val="1"/>
      <w:marLeft w:val="0"/>
      <w:marRight w:val="0"/>
      <w:marTop w:val="0"/>
      <w:marBottom w:val="0"/>
      <w:divBdr>
        <w:top w:val="none" w:sz="0" w:space="0" w:color="auto"/>
        <w:left w:val="none" w:sz="0" w:space="0" w:color="auto"/>
        <w:bottom w:val="none" w:sz="0" w:space="0" w:color="auto"/>
        <w:right w:val="none" w:sz="0" w:space="0" w:color="auto"/>
      </w:divBdr>
    </w:div>
    <w:div w:id="637342191">
      <w:bodyDiv w:val="1"/>
      <w:marLeft w:val="0"/>
      <w:marRight w:val="0"/>
      <w:marTop w:val="0"/>
      <w:marBottom w:val="0"/>
      <w:divBdr>
        <w:top w:val="none" w:sz="0" w:space="0" w:color="auto"/>
        <w:left w:val="none" w:sz="0" w:space="0" w:color="auto"/>
        <w:bottom w:val="none" w:sz="0" w:space="0" w:color="auto"/>
        <w:right w:val="none" w:sz="0" w:space="0" w:color="auto"/>
      </w:divBdr>
    </w:div>
    <w:div w:id="637414934">
      <w:bodyDiv w:val="1"/>
      <w:marLeft w:val="0"/>
      <w:marRight w:val="0"/>
      <w:marTop w:val="0"/>
      <w:marBottom w:val="0"/>
      <w:divBdr>
        <w:top w:val="none" w:sz="0" w:space="0" w:color="auto"/>
        <w:left w:val="none" w:sz="0" w:space="0" w:color="auto"/>
        <w:bottom w:val="none" w:sz="0" w:space="0" w:color="auto"/>
        <w:right w:val="none" w:sz="0" w:space="0" w:color="auto"/>
      </w:divBdr>
    </w:div>
    <w:div w:id="641039183">
      <w:bodyDiv w:val="1"/>
      <w:marLeft w:val="0"/>
      <w:marRight w:val="0"/>
      <w:marTop w:val="0"/>
      <w:marBottom w:val="0"/>
      <w:divBdr>
        <w:top w:val="none" w:sz="0" w:space="0" w:color="auto"/>
        <w:left w:val="none" w:sz="0" w:space="0" w:color="auto"/>
        <w:bottom w:val="none" w:sz="0" w:space="0" w:color="auto"/>
        <w:right w:val="none" w:sz="0" w:space="0" w:color="auto"/>
      </w:divBdr>
    </w:div>
    <w:div w:id="641738197">
      <w:bodyDiv w:val="1"/>
      <w:marLeft w:val="0"/>
      <w:marRight w:val="0"/>
      <w:marTop w:val="0"/>
      <w:marBottom w:val="0"/>
      <w:divBdr>
        <w:top w:val="none" w:sz="0" w:space="0" w:color="auto"/>
        <w:left w:val="none" w:sz="0" w:space="0" w:color="auto"/>
        <w:bottom w:val="none" w:sz="0" w:space="0" w:color="auto"/>
        <w:right w:val="none" w:sz="0" w:space="0" w:color="auto"/>
      </w:divBdr>
    </w:div>
    <w:div w:id="642005373">
      <w:bodyDiv w:val="1"/>
      <w:marLeft w:val="0"/>
      <w:marRight w:val="0"/>
      <w:marTop w:val="0"/>
      <w:marBottom w:val="0"/>
      <w:divBdr>
        <w:top w:val="none" w:sz="0" w:space="0" w:color="auto"/>
        <w:left w:val="none" w:sz="0" w:space="0" w:color="auto"/>
        <w:bottom w:val="none" w:sz="0" w:space="0" w:color="auto"/>
        <w:right w:val="none" w:sz="0" w:space="0" w:color="auto"/>
      </w:divBdr>
    </w:div>
    <w:div w:id="645205661">
      <w:bodyDiv w:val="1"/>
      <w:marLeft w:val="0"/>
      <w:marRight w:val="0"/>
      <w:marTop w:val="0"/>
      <w:marBottom w:val="0"/>
      <w:divBdr>
        <w:top w:val="none" w:sz="0" w:space="0" w:color="auto"/>
        <w:left w:val="none" w:sz="0" w:space="0" w:color="auto"/>
        <w:bottom w:val="none" w:sz="0" w:space="0" w:color="auto"/>
        <w:right w:val="none" w:sz="0" w:space="0" w:color="auto"/>
      </w:divBdr>
    </w:div>
    <w:div w:id="647317714">
      <w:bodyDiv w:val="1"/>
      <w:marLeft w:val="0"/>
      <w:marRight w:val="0"/>
      <w:marTop w:val="0"/>
      <w:marBottom w:val="0"/>
      <w:divBdr>
        <w:top w:val="none" w:sz="0" w:space="0" w:color="auto"/>
        <w:left w:val="none" w:sz="0" w:space="0" w:color="auto"/>
        <w:bottom w:val="none" w:sz="0" w:space="0" w:color="auto"/>
        <w:right w:val="none" w:sz="0" w:space="0" w:color="auto"/>
      </w:divBdr>
    </w:div>
    <w:div w:id="651788182">
      <w:bodyDiv w:val="1"/>
      <w:marLeft w:val="0"/>
      <w:marRight w:val="0"/>
      <w:marTop w:val="0"/>
      <w:marBottom w:val="0"/>
      <w:divBdr>
        <w:top w:val="none" w:sz="0" w:space="0" w:color="auto"/>
        <w:left w:val="none" w:sz="0" w:space="0" w:color="auto"/>
        <w:bottom w:val="none" w:sz="0" w:space="0" w:color="auto"/>
        <w:right w:val="none" w:sz="0" w:space="0" w:color="auto"/>
      </w:divBdr>
    </w:div>
    <w:div w:id="652832312">
      <w:bodyDiv w:val="1"/>
      <w:marLeft w:val="0"/>
      <w:marRight w:val="0"/>
      <w:marTop w:val="0"/>
      <w:marBottom w:val="0"/>
      <w:divBdr>
        <w:top w:val="none" w:sz="0" w:space="0" w:color="auto"/>
        <w:left w:val="none" w:sz="0" w:space="0" w:color="auto"/>
        <w:bottom w:val="none" w:sz="0" w:space="0" w:color="auto"/>
        <w:right w:val="none" w:sz="0" w:space="0" w:color="auto"/>
      </w:divBdr>
    </w:div>
    <w:div w:id="653680747">
      <w:bodyDiv w:val="1"/>
      <w:marLeft w:val="0"/>
      <w:marRight w:val="0"/>
      <w:marTop w:val="0"/>
      <w:marBottom w:val="0"/>
      <w:divBdr>
        <w:top w:val="none" w:sz="0" w:space="0" w:color="auto"/>
        <w:left w:val="none" w:sz="0" w:space="0" w:color="auto"/>
        <w:bottom w:val="none" w:sz="0" w:space="0" w:color="auto"/>
        <w:right w:val="none" w:sz="0" w:space="0" w:color="auto"/>
      </w:divBdr>
    </w:div>
    <w:div w:id="654454096">
      <w:bodyDiv w:val="1"/>
      <w:marLeft w:val="0"/>
      <w:marRight w:val="0"/>
      <w:marTop w:val="0"/>
      <w:marBottom w:val="0"/>
      <w:divBdr>
        <w:top w:val="none" w:sz="0" w:space="0" w:color="auto"/>
        <w:left w:val="none" w:sz="0" w:space="0" w:color="auto"/>
        <w:bottom w:val="none" w:sz="0" w:space="0" w:color="auto"/>
        <w:right w:val="none" w:sz="0" w:space="0" w:color="auto"/>
      </w:divBdr>
    </w:div>
    <w:div w:id="658575579">
      <w:bodyDiv w:val="1"/>
      <w:marLeft w:val="0"/>
      <w:marRight w:val="0"/>
      <w:marTop w:val="0"/>
      <w:marBottom w:val="0"/>
      <w:divBdr>
        <w:top w:val="none" w:sz="0" w:space="0" w:color="auto"/>
        <w:left w:val="none" w:sz="0" w:space="0" w:color="auto"/>
        <w:bottom w:val="none" w:sz="0" w:space="0" w:color="auto"/>
        <w:right w:val="none" w:sz="0" w:space="0" w:color="auto"/>
      </w:divBdr>
    </w:div>
    <w:div w:id="659230566">
      <w:bodyDiv w:val="1"/>
      <w:marLeft w:val="0"/>
      <w:marRight w:val="0"/>
      <w:marTop w:val="0"/>
      <w:marBottom w:val="0"/>
      <w:divBdr>
        <w:top w:val="none" w:sz="0" w:space="0" w:color="auto"/>
        <w:left w:val="none" w:sz="0" w:space="0" w:color="auto"/>
        <w:bottom w:val="none" w:sz="0" w:space="0" w:color="auto"/>
        <w:right w:val="none" w:sz="0" w:space="0" w:color="auto"/>
      </w:divBdr>
    </w:div>
    <w:div w:id="662125572">
      <w:bodyDiv w:val="1"/>
      <w:marLeft w:val="0"/>
      <w:marRight w:val="0"/>
      <w:marTop w:val="0"/>
      <w:marBottom w:val="0"/>
      <w:divBdr>
        <w:top w:val="none" w:sz="0" w:space="0" w:color="auto"/>
        <w:left w:val="none" w:sz="0" w:space="0" w:color="auto"/>
        <w:bottom w:val="none" w:sz="0" w:space="0" w:color="auto"/>
        <w:right w:val="none" w:sz="0" w:space="0" w:color="auto"/>
      </w:divBdr>
    </w:div>
    <w:div w:id="667026029">
      <w:bodyDiv w:val="1"/>
      <w:marLeft w:val="0"/>
      <w:marRight w:val="0"/>
      <w:marTop w:val="0"/>
      <w:marBottom w:val="0"/>
      <w:divBdr>
        <w:top w:val="none" w:sz="0" w:space="0" w:color="auto"/>
        <w:left w:val="none" w:sz="0" w:space="0" w:color="auto"/>
        <w:bottom w:val="none" w:sz="0" w:space="0" w:color="auto"/>
        <w:right w:val="none" w:sz="0" w:space="0" w:color="auto"/>
      </w:divBdr>
    </w:div>
    <w:div w:id="667103163">
      <w:bodyDiv w:val="1"/>
      <w:marLeft w:val="0"/>
      <w:marRight w:val="0"/>
      <w:marTop w:val="0"/>
      <w:marBottom w:val="0"/>
      <w:divBdr>
        <w:top w:val="none" w:sz="0" w:space="0" w:color="auto"/>
        <w:left w:val="none" w:sz="0" w:space="0" w:color="auto"/>
        <w:bottom w:val="none" w:sz="0" w:space="0" w:color="auto"/>
        <w:right w:val="none" w:sz="0" w:space="0" w:color="auto"/>
      </w:divBdr>
    </w:div>
    <w:div w:id="669137929">
      <w:bodyDiv w:val="1"/>
      <w:marLeft w:val="0"/>
      <w:marRight w:val="0"/>
      <w:marTop w:val="0"/>
      <w:marBottom w:val="0"/>
      <w:divBdr>
        <w:top w:val="none" w:sz="0" w:space="0" w:color="auto"/>
        <w:left w:val="none" w:sz="0" w:space="0" w:color="auto"/>
        <w:bottom w:val="none" w:sz="0" w:space="0" w:color="auto"/>
        <w:right w:val="none" w:sz="0" w:space="0" w:color="auto"/>
      </w:divBdr>
    </w:div>
    <w:div w:id="669408183">
      <w:bodyDiv w:val="1"/>
      <w:marLeft w:val="0"/>
      <w:marRight w:val="0"/>
      <w:marTop w:val="0"/>
      <w:marBottom w:val="0"/>
      <w:divBdr>
        <w:top w:val="none" w:sz="0" w:space="0" w:color="auto"/>
        <w:left w:val="none" w:sz="0" w:space="0" w:color="auto"/>
        <w:bottom w:val="none" w:sz="0" w:space="0" w:color="auto"/>
        <w:right w:val="none" w:sz="0" w:space="0" w:color="auto"/>
      </w:divBdr>
    </w:div>
    <w:div w:id="670761515">
      <w:bodyDiv w:val="1"/>
      <w:marLeft w:val="0"/>
      <w:marRight w:val="0"/>
      <w:marTop w:val="0"/>
      <w:marBottom w:val="0"/>
      <w:divBdr>
        <w:top w:val="none" w:sz="0" w:space="0" w:color="auto"/>
        <w:left w:val="none" w:sz="0" w:space="0" w:color="auto"/>
        <w:bottom w:val="none" w:sz="0" w:space="0" w:color="auto"/>
        <w:right w:val="none" w:sz="0" w:space="0" w:color="auto"/>
      </w:divBdr>
    </w:div>
    <w:div w:id="676882978">
      <w:bodyDiv w:val="1"/>
      <w:marLeft w:val="0"/>
      <w:marRight w:val="0"/>
      <w:marTop w:val="0"/>
      <w:marBottom w:val="0"/>
      <w:divBdr>
        <w:top w:val="none" w:sz="0" w:space="0" w:color="auto"/>
        <w:left w:val="none" w:sz="0" w:space="0" w:color="auto"/>
        <w:bottom w:val="none" w:sz="0" w:space="0" w:color="auto"/>
        <w:right w:val="none" w:sz="0" w:space="0" w:color="auto"/>
      </w:divBdr>
    </w:div>
    <w:div w:id="677855388">
      <w:bodyDiv w:val="1"/>
      <w:marLeft w:val="0"/>
      <w:marRight w:val="0"/>
      <w:marTop w:val="0"/>
      <w:marBottom w:val="0"/>
      <w:divBdr>
        <w:top w:val="none" w:sz="0" w:space="0" w:color="auto"/>
        <w:left w:val="none" w:sz="0" w:space="0" w:color="auto"/>
        <w:bottom w:val="none" w:sz="0" w:space="0" w:color="auto"/>
        <w:right w:val="none" w:sz="0" w:space="0" w:color="auto"/>
      </w:divBdr>
    </w:div>
    <w:div w:id="679551496">
      <w:bodyDiv w:val="1"/>
      <w:marLeft w:val="0"/>
      <w:marRight w:val="0"/>
      <w:marTop w:val="0"/>
      <w:marBottom w:val="0"/>
      <w:divBdr>
        <w:top w:val="none" w:sz="0" w:space="0" w:color="auto"/>
        <w:left w:val="none" w:sz="0" w:space="0" w:color="auto"/>
        <w:bottom w:val="none" w:sz="0" w:space="0" w:color="auto"/>
        <w:right w:val="none" w:sz="0" w:space="0" w:color="auto"/>
      </w:divBdr>
    </w:div>
    <w:div w:id="680398322">
      <w:bodyDiv w:val="1"/>
      <w:marLeft w:val="0"/>
      <w:marRight w:val="0"/>
      <w:marTop w:val="0"/>
      <w:marBottom w:val="0"/>
      <w:divBdr>
        <w:top w:val="none" w:sz="0" w:space="0" w:color="auto"/>
        <w:left w:val="none" w:sz="0" w:space="0" w:color="auto"/>
        <w:bottom w:val="none" w:sz="0" w:space="0" w:color="auto"/>
        <w:right w:val="none" w:sz="0" w:space="0" w:color="auto"/>
      </w:divBdr>
    </w:div>
    <w:div w:id="681053704">
      <w:bodyDiv w:val="1"/>
      <w:marLeft w:val="0"/>
      <w:marRight w:val="0"/>
      <w:marTop w:val="0"/>
      <w:marBottom w:val="0"/>
      <w:divBdr>
        <w:top w:val="none" w:sz="0" w:space="0" w:color="auto"/>
        <w:left w:val="none" w:sz="0" w:space="0" w:color="auto"/>
        <w:bottom w:val="none" w:sz="0" w:space="0" w:color="auto"/>
        <w:right w:val="none" w:sz="0" w:space="0" w:color="auto"/>
      </w:divBdr>
    </w:div>
    <w:div w:id="683937765">
      <w:bodyDiv w:val="1"/>
      <w:marLeft w:val="0"/>
      <w:marRight w:val="0"/>
      <w:marTop w:val="0"/>
      <w:marBottom w:val="0"/>
      <w:divBdr>
        <w:top w:val="none" w:sz="0" w:space="0" w:color="auto"/>
        <w:left w:val="none" w:sz="0" w:space="0" w:color="auto"/>
        <w:bottom w:val="none" w:sz="0" w:space="0" w:color="auto"/>
        <w:right w:val="none" w:sz="0" w:space="0" w:color="auto"/>
      </w:divBdr>
    </w:div>
    <w:div w:id="683942514">
      <w:bodyDiv w:val="1"/>
      <w:marLeft w:val="0"/>
      <w:marRight w:val="0"/>
      <w:marTop w:val="0"/>
      <w:marBottom w:val="0"/>
      <w:divBdr>
        <w:top w:val="none" w:sz="0" w:space="0" w:color="auto"/>
        <w:left w:val="none" w:sz="0" w:space="0" w:color="auto"/>
        <w:bottom w:val="none" w:sz="0" w:space="0" w:color="auto"/>
        <w:right w:val="none" w:sz="0" w:space="0" w:color="auto"/>
      </w:divBdr>
    </w:div>
    <w:div w:id="685446832">
      <w:bodyDiv w:val="1"/>
      <w:marLeft w:val="0"/>
      <w:marRight w:val="0"/>
      <w:marTop w:val="0"/>
      <w:marBottom w:val="0"/>
      <w:divBdr>
        <w:top w:val="none" w:sz="0" w:space="0" w:color="auto"/>
        <w:left w:val="none" w:sz="0" w:space="0" w:color="auto"/>
        <w:bottom w:val="none" w:sz="0" w:space="0" w:color="auto"/>
        <w:right w:val="none" w:sz="0" w:space="0" w:color="auto"/>
      </w:divBdr>
    </w:div>
    <w:div w:id="688946015">
      <w:bodyDiv w:val="1"/>
      <w:marLeft w:val="0"/>
      <w:marRight w:val="0"/>
      <w:marTop w:val="0"/>
      <w:marBottom w:val="0"/>
      <w:divBdr>
        <w:top w:val="none" w:sz="0" w:space="0" w:color="auto"/>
        <w:left w:val="none" w:sz="0" w:space="0" w:color="auto"/>
        <w:bottom w:val="none" w:sz="0" w:space="0" w:color="auto"/>
        <w:right w:val="none" w:sz="0" w:space="0" w:color="auto"/>
      </w:divBdr>
    </w:div>
    <w:div w:id="689835175">
      <w:bodyDiv w:val="1"/>
      <w:marLeft w:val="0"/>
      <w:marRight w:val="0"/>
      <w:marTop w:val="0"/>
      <w:marBottom w:val="0"/>
      <w:divBdr>
        <w:top w:val="none" w:sz="0" w:space="0" w:color="auto"/>
        <w:left w:val="none" w:sz="0" w:space="0" w:color="auto"/>
        <w:bottom w:val="none" w:sz="0" w:space="0" w:color="auto"/>
        <w:right w:val="none" w:sz="0" w:space="0" w:color="auto"/>
      </w:divBdr>
    </w:div>
    <w:div w:id="690839338">
      <w:bodyDiv w:val="1"/>
      <w:marLeft w:val="0"/>
      <w:marRight w:val="0"/>
      <w:marTop w:val="0"/>
      <w:marBottom w:val="0"/>
      <w:divBdr>
        <w:top w:val="none" w:sz="0" w:space="0" w:color="auto"/>
        <w:left w:val="none" w:sz="0" w:space="0" w:color="auto"/>
        <w:bottom w:val="none" w:sz="0" w:space="0" w:color="auto"/>
        <w:right w:val="none" w:sz="0" w:space="0" w:color="auto"/>
      </w:divBdr>
    </w:div>
    <w:div w:id="691415862">
      <w:bodyDiv w:val="1"/>
      <w:marLeft w:val="0"/>
      <w:marRight w:val="0"/>
      <w:marTop w:val="0"/>
      <w:marBottom w:val="0"/>
      <w:divBdr>
        <w:top w:val="none" w:sz="0" w:space="0" w:color="auto"/>
        <w:left w:val="none" w:sz="0" w:space="0" w:color="auto"/>
        <w:bottom w:val="none" w:sz="0" w:space="0" w:color="auto"/>
        <w:right w:val="none" w:sz="0" w:space="0" w:color="auto"/>
      </w:divBdr>
    </w:div>
    <w:div w:id="693533280">
      <w:bodyDiv w:val="1"/>
      <w:marLeft w:val="0"/>
      <w:marRight w:val="0"/>
      <w:marTop w:val="0"/>
      <w:marBottom w:val="0"/>
      <w:divBdr>
        <w:top w:val="none" w:sz="0" w:space="0" w:color="auto"/>
        <w:left w:val="none" w:sz="0" w:space="0" w:color="auto"/>
        <w:bottom w:val="none" w:sz="0" w:space="0" w:color="auto"/>
        <w:right w:val="none" w:sz="0" w:space="0" w:color="auto"/>
      </w:divBdr>
    </w:div>
    <w:div w:id="696007732">
      <w:bodyDiv w:val="1"/>
      <w:marLeft w:val="0"/>
      <w:marRight w:val="0"/>
      <w:marTop w:val="0"/>
      <w:marBottom w:val="0"/>
      <w:divBdr>
        <w:top w:val="none" w:sz="0" w:space="0" w:color="auto"/>
        <w:left w:val="none" w:sz="0" w:space="0" w:color="auto"/>
        <w:bottom w:val="none" w:sz="0" w:space="0" w:color="auto"/>
        <w:right w:val="none" w:sz="0" w:space="0" w:color="auto"/>
      </w:divBdr>
    </w:div>
    <w:div w:id="698554323">
      <w:bodyDiv w:val="1"/>
      <w:marLeft w:val="0"/>
      <w:marRight w:val="0"/>
      <w:marTop w:val="0"/>
      <w:marBottom w:val="0"/>
      <w:divBdr>
        <w:top w:val="none" w:sz="0" w:space="0" w:color="auto"/>
        <w:left w:val="none" w:sz="0" w:space="0" w:color="auto"/>
        <w:bottom w:val="none" w:sz="0" w:space="0" w:color="auto"/>
        <w:right w:val="none" w:sz="0" w:space="0" w:color="auto"/>
      </w:divBdr>
    </w:div>
    <w:div w:id="699429123">
      <w:bodyDiv w:val="1"/>
      <w:marLeft w:val="0"/>
      <w:marRight w:val="0"/>
      <w:marTop w:val="0"/>
      <w:marBottom w:val="0"/>
      <w:divBdr>
        <w:top w:val="none" w:sz="0" w:space="0" w:color="auto"/>
        <w:left w:val="none" w:sz="0" w:space="0" w:color="auto"/>
        <w:bottom w:val="none" w:sz="0" w:space="0" w:color="auto"/>
        <w:right w:val="none" w:sz="0" w:space="0" w:color="auto"/>
      </w:divBdr>
    </w:div>
    <w:div w:id="701056102">
      <w:bodyDiv w:val="1"/>
      <w:marLeft w:val="0"/>
      <w:marRight w:val="0"/>
      <w:marTop w:val="0"/>
      <w:marBottom w:val="0"/>
      <w:divBdr>
        <w:top w:val="none" w:sz="0" w:space="0" w:color="auto"/>
        <w:left w:val="none" w:sz="0" w:space="0" w:color="auto"/>
        <w:bottom w:val="none" w:sz="0" w:space="0" w:color="auto"/>
        <w:right w:val="none" w:sz="0" w:space="0" w:color="auto"/>
      </w:divBdr>
    </w:div>
    <w:div w:id="703404709">
      <w:bodyDiv w:val="1"/>
      <w:marLeft w:val="0"/>
      <w:marRight w:val="0"/>
      <w:marTop w:val="0"/>
      <w:marBottom w:val="0"/>
      <w:divBdr>
        <w:top w:val="none" w:sz="0" w:space="0" w:color="auto"/>
        <w:left w:val="none" w:sz="0" w:space="0" w:color="auto"/>
        <w:bottom w:val="none" w:sz="0" w:space="0" w:color="auto"/>
        <w:right w:val="none" w:sz="0" w:space="0" w:color="auto"/>
      </w:divBdr>
    </w:div>
    <w:div w:id="706612338">
      <w:bodyDiv w:val="1"/>
      <w:marLeft w:val="0"/>
      <w:marRight w:val="0"/>
      <w:marTop w:val="0"/>
      <w:marBottom w:val="0"/>
      <w:divBdr>
        <w:top w:val="none" w:sz="0" w:space="0" w:color="auto"/>
        <w:left w:val="none" w:sz="0" w:space="0" w:color="auto"/>
        <w:bottom w:val="none" w:sz="0" w:space="0" w:color="auto"/>
        <w:right w:val="none" w:sz="0" w:space="0" w:color="auto"/>
      </w:divBdr>
    </w:div>
    <w:div w:id="709230779">
      <w:bodyDiv w:val="1"/>
      <w:marLeft w:val="0"/>
      <w:marRight w:val="0"/>
      <w:marTop w:val="0"/>
      <w:marBottom w:val="0"/>
      <w:divBdr>
        <w:top w:val="none" w:sz="0" w:space="0" w:color="auto"/>
        <w:left w:val="none" w:sz="0" w:space="0" w:color="auto"/>
        <w:bottom w:val="none" w:sz="0" w:space="0" w:color="auto"/>
        <w:right w:val="none" w:sz="0" w:space="0" w:color="auto"/>
      </w:divBdr>
    </w:div>
    <w:div w:id="710229880">
      <w:bodyDiv w:val="1"/>
      <w:marLeft w:val="0"/>
      <w:marRight w:val="0"/>
      <w:marTop w:val="0"/>
      <w:marBottom w:val="0"/>
      <w:divBdr>
        <w:top w:val="none" w:sz="0" w:space="0" w:color="auto"/>
        <w:left w:val="none" w:sz="0" w:space="0" w:color="auto"/>
        <w:bottom w:val="none" w:sz="0" w:space="0" w:color="auto"/>
        <w:right w:val="none" w:sz="0" w:space="0" w:color="auto"/>
      </w:divBdr>
    </w:div>
    <w:div w:id="712729680">
      <w:bodyDiv w:val="1"/>
      <w:marLeft w:val="0"/>
      <w:marRight w:val="0"/>
      <w:marTop w:val="0"/>
      <w:marBottom w:val="0"/>
      <w:divBdr>
        <w:top w:val="none" w:sz="0" w:space="0" w:color="auto"/>
        <w:left w:val="none" w:sz="0" w:space="0" w:color="auto"/>
        <w:bottom w:val="none" w:sz="0" w:space="0" w:color="auto"/>
        <w:right w:val="none" w:sz="0" w:space="0" w:color="auto"/>
      </w:divBdr>
    </w:div>
    <w:div w:id="714738390">
      <w:bodyDiv w:val="1"/>
      <w:marLeft w:val="0"/>
      <w:marRight w:val="0"/>
      <w:marTop w:val="0"/>
      <w:marBottom w:val="0"/>
      <w:divBdr>
        <w:top w:val="none" w:sz="0" w:space="0" w:color="auto"/>
        <w:left w:val="none" w:sz="0" w:space="0" w:color="auto"/>
        <w:bottom w:val="none" w:sz="0" w:space="0" w:color="auto"/>
        <w:right w:val="none" w:sz="0" w:space="0" w:color="auto"/>
      </w:divBdr>
    </w:div>
    <w:div w:id="714933261">
      <w:bodyDiv w:val="1"/>
      <w:marLeft w:val="0"/>
      <w:marRight w:val="0"/>
      <w:marTop w:val="0"/>
      <w:marBottom w:val="0"/>
      <w:divBdr>
        <w:top w:val="none" w:sz="0" w:space="0" w:color="auto"/>
        <w:left w:val="none" w:sz="0" w:space="0" w:color="auto"/>
        <w:bottom w:val="none" w:sz="0" w:space="0" w:color="auto"/>
        <w:right w:val="none" w:sz="0" w:space="0" w:color="auto"/>
      </w:divBdr>
    </w:div>
    <w:div w:id="715813765">
      <w:bodyDiv w:val="1"/>
      <w:marLeft w:val="0"/>
      <w:marRight w:val="0"/>
      <w:marTop w:val="0"/>
      <w:marBottom w:val="0"/>
      <w:divBdr>
        <w:top w:val="none" w:sz="0" w:space="0" w:color="auto"/>
        <w:left w:val="none" w:sz="0" w:space="0" w:color="auto"/>
        <w:bottom w:val="none" w:sz="0" w:space="0" w:color="auto"/>
        <w:right w:val="none" w:sz="0" w:space="0" w:color="auto"/>
      </w:divBdr>
    </w:div>
    <w:div w:id="726219581">
      <w:bodyDiv w:val="1"/>
      <w:marLeft w:val="0"/>
      <w:marRight w:val="0"/>
      <w:marTop w:val="0"/>
      <w:marBottom w:val="0"/>
      <w:divBdr>
        <w:top w:val="none" w:sz="0" w:space="0" w:color="auto"/>
        <w:left w:val="none" w:sz="0" w:space="0" w:color="auto"/>
        <w:bottom w:val="none" w:sz="0" w:space="0" w:color="auto"/>
        <w:right w:val="none" w:sz="0" w:space="0" w:color="auto"/>
      </w:divBdr>
    </w:div>
    <w:div w:id="733621035">
      <w:bodyDiv w:val="1"/>
      <w:marLeft w:val="0"/>
      <w:marRight w:val="0"/>
      <w:marTop w:val="0"/>
      <w:marBottom w:val="0"/>
      <w:divBdr>
        <w:top w:val="none" w:sz="0" w:space="0" w:color="auto"/>
        <w:left w:val="none" w:sz="0" w:space="0" w:color="auto"/>
        <w:bottom w:val="none" w:sz="0" w:space="0" w:color="auto"/>
        <w:right w:val="none" w:sz="0" w:space="0" w:color="auto"/>
      </w:divBdr>
    </w:div>
    <w:div w:id="735980697">
      <w:bodyDiv w:val="1"/>
      <w:marLeft w:val="0"/>
      <w:marRight w:val="0"/>
      <w:marTop w:val="0"/>
      <w:marBottom w:val="0"/>
      <w:divBdr>
        <w:top w:val="none" w:sz="0" w:space="0" w:color="auto"/>
        <w:left w:val="none" w:sz="0" w:space="0" w:color="auto"/>
        <w:bottom w:val="none" w:sz="0" w:space="0" w:color="auto"/>
        <w:right w:val="none" w:sz="0" w:space="0" w:color="auto"/>
      </w:divBdr>
    </w:div>
    <w:div w:id="737674724">
      <w:bodyDiv w:val="1"/>
      <w:marLeft w:val="0"/>
      <w:marRight w:val="0"/>
      <w:marTop w:val="0"/>
      <w:marBottom w:val="0"/>
      <w:divBdr>
        <w:top w:val="none" w:sz="0" w:space="0" w:color="auto"/>
        <w:left w:val="none" w:sz="0" w:space="0" w:color="auto"/>
        <w:bottom w:val="none" w:sz="0" w:space="0" w:color="auto"/>
        <w:right w:val="none" w:sz="0" w:space="0" w:color="auto"/>
      </w:divBdr>
    </w:div>
    <w:div w:id="738985333">
      <w:bodyDiv w:val="1"/>
      <w:marLeft w:val="0"/>
      <w:marRight w:val="0"/>
      <w:marTop w:val="0"/>
      <w:marBottom w:val="0"/>
      <w:divBdr>
        <w:top w:val="none" w:sz="0" w:space="0" w:color="auto"/>
        <w:left w:val="none" w:sz="0" w:space="0" w:color="auto"/>
        <w:bottom w:val="none" w:sz="0" w:space="0" w:color="auto"/>
        <w:right w:val="none" w:sz="0" w:space="0" w:color="auto"/>
      </w:divBdr>
    </w:div>
    <w:div w:id="739523910">
      <w:bodyDiv w:val="1"/>
      <w:marLeft w:val="0"/>
      <w:marRight w:val="0"/>
      <w:marTop w:val="0"/>
      <w:marBottom w:val="0"/>
      <w:divBdr>
        <w:top w:val="none" w:sz="0" w:space="0" w:color="auto"/>
        <w:left w:val="none" w:sz="0" w:space="0" w:color="auto"/>
        <w:bottom w:val="none" w:sz="0" w:space="0" w:color="auto"/>
        <w:right w:val="none" w:sz="0" w:space="0" w:color="auto"/>
      </w:divBdr>
    </w:div>
    <w:div w:id="743795495">
      <w:bodyDiv w:val="1"/>
      <w:marLeft w:val="0"/>
      <w:marRight w:val="0"/>
      <w:marTop w:val="0"/>
      <w:marBottom w:val="0"/>
      <w:divBdr>
        <w:top w:val="none" w:sz="0" w:space="0" w:color="auto"/>
        <w:left w:val="none" w:sz="0" w:space="0" w:color="auto"/>
        <w:bottom w:val="none" w:sz="0" w:space="0" w:color="auto"/>
        <w:right w:val="none" w:sz="0" w:space="0" w:color="auto"/>
      </w:divBdr>
    </w:div>
    <w:div w:id="746027736">
      <w:bodyDiv w:val="1"/>
      <w:marLeft w:val="0"/>
      <w:marRight w:val="0"/>
      <w:marTop w:val="0"/>
      <w:marBottom w:val="0"/>
      <w:divBdr>
        <w:top w:val="none" w:sz="0" w:space="0" w:color="auto"/>
        <w:left w:val="none" w:sz="0" w:space="0" w:color="auto"/>
        <w:bottom w:val="none" w:sz="0" w:space="0" w:color="auto"/>
        <w:right w:val="none" w:sz="0" w:space="0" w:color="auto"/>
      </w:divBdr>
    </w:div>
    <w:div w:id="747649852">
      <w:bodyDiv w:val="1"/>
      <w:marLeft w:val="0"/>
      <w:marRight w:val="0"/>
      <w:marTop w:val="0"/>
      <w:marBottom w:val="0"/>
      <w:divBdr>
        <w:top w:val="none" w:sz="0" w:space="0" w:color="auto"/>
        <w:left w:val="none" w:sz="0" w:space="0" w:color="auto"/>
        <w:bottom w:val="none" w:sz="0" w:space="0" w:color="auto"/>
        <w:right w:val="none" w:sz="0" w:space="0" w:color="auto"/>
      </w:divBdr>
    </w:div>
    <w:div w:id="747847920">
      <w:bodyDiv w:val="1"/>
      <w:marLeft w:val="0"/>
      <w:marRight w:val="0"/>
      <w:marTop w:val="0"/>
      <w:marBottom w:val="0"/>
      <w:divBdr>
        <w:top w:val="none" w:sz="0" w:space="0" w:color="auto"/>
        <w:left w:val="none" w:sz="0" w:space="0" w:color="auto"/>
        <w:bottom w:val="none" w:sz="0" w:space="0" w:color="auto"/>
        <w:right w:val="none" w:sz="0" w:space="0" w:color="auto"/>
      </w:divBdr>
    </w:div>
    <w:div w:id="751663137">
      <w:bodyDiv w:val="1"/>
      <w:marLeft w:val="0"/>
      <w:marRight w:val="0"/>
      <w:marTop w:val="0"/>
      <w:marBottom w:val="0"/>
      <w:divBdr>
        <w:top w:val="none" w:sz="0" w:space="0" w:color="auto"/>
        <w:left w:val="none" w:sz="0" w:space="0" w:color="auto"/>
        <w:bottom w:val="none" w:sz="0" w:space="0" w:color="auto"/>
        <w:right w:val="none" w:sz="0" w:space="0" w:color="auto"/>
      </w:divBdr>
    </w:div>
    <w:div w:id="753630733">
      <w:bodyDiv w:val="1"/>
      <w:marLeft w:val="0"/>
      <w:marRight w:val="0"/>
      <w:marTop w:val="0"/>
      <w:marBottom w:val="0"/>
      <w:divBdr>
        <w:top w:val="none" w:sz="0" w:space="0" w:color="auto"/>
        <w:left w:val="none" w:sz="0" w:space="0" w:color="auto"/>
        <w:bottom w:val="none" w:sz="0" w:space="0" w:color="auto"/>
        <w:right w:val="none" w:sz="0" w:space="0" w:color="auto"/>
      </w:divBdr>
    </w:div>
    <w:div w:id="761030472">
      <w:bodyDiv w:val="1"/>
      <w:marLeft w:val="0"/>
      <w:marRight w:val="0"/>
      <w:marTop w:val="0"/>
      <w:marBottom w:val="0"/>
      <w:divBdr>
        <w:top w:val="none" w:sz="0" w:space="0" w:color="auto"/>
        <w:left w:val="none" w:sz="0" w:space="0" w:color="auto"/>
        <w:bottom w:val="none" w:sz="0" w:space="0" w:color="auto"/>
        <w:right w:val="none" w:sz="0" w:space="0" w:color="auto"/>
      </w:divBdr>
    </w:div>
    <w:div w:id="764768946">
      <w:bodyDiv w:val="1"/>
      <w:marLeft w:val="0"/>
      <w:marRight w:val="0"/>
      <w:marTop w:val="0"/>
      <w:marBottom w:val="0"/>
      <w:divBdr>
        <w:top w:val="none" w:sz="0" w:space="0" w:color="auto"/>
        <w:left w:val="none" w:sz="0" w:space="0" w:color="auto"/>
        <w:bottom w:val="none" w:sz="0" w:space="0" w:color="auto"/>
        <w:right w:val="none" w:sz="0" w:space="0" w:color="auto"/>
      </w:divBdr>
    </w:div>
    <w:div w:id="765224765">
      <w:bodyDiv w:val="1"/>
      <w:marLeft w:val="0"/>
      <w:marRight w:val="0"/>
      <w:marTop w:val="0"/>
      <w:marBottom w:val="0"/>
      <w:divBdr>
        <w:top w:val="none" w:sz="0" w:space="0" w:color="auto"/>
        <w:left w:val="none" w:sz="0" w:space="0" w:color="auto"/>
        <w:bottom w:val="none" w:sz="0" w:space="0" w:color="auto"/>
        <w:right w:val="none" w:sz="0" w:space="0" w:color="auto"/>
      </w:divBdr>
    </w:div>
    <w:div w:id="766737116">
      <w:bodyDiv w:val="1"/>
      <w:marLeft w:val="0"/>
      <w:marRight w:val="0"/>
      <w:marTop w:val="0"/>
      <w:marBottom w:val="0"/>
      <w:divBdr>
        <w:top w:val="none" w:sz="0" w:space="0" w:color="auto"/>
        <w:left w:val="none" w:sz="0" w:space="0" w:color="auto"/>
        <w:bottom w:val="none" w:sz="0" w:space="0" w:color="auto"/>
        <w:right w:val="none" w:sz="0" w:space="0" w:color="auto"/>
      </w:divBdr>
    </w:div>
    <w:div w:id="766771397">
      <w:bodyDiv w:val="1"/>
      <w:marLeft w:val="0"/>
      <w:marRight w:val="0"/>
      <w:marTop w:val="0"/>
      <w:marBottom w:val="0"/>
      <w:divBdr>
        <w:top w:val="none" w:sz="0" w:space="0" w:color="auto"/>
        <w:left w:val="none" w:sz="0" w:space="0" w:color="auto"/>
        <w:bottom w:val="none" w:sz="0" w:space="0" w:color="auto"/>
        <w:right w:val="none" w:sz="0" w:space="0" w:color="auto"/>
      </w:divBdr>
    </w:div>
    <w:div w:id="769857489">
      <w:bodyDiv w:val="1"/>
      <w:marLeft w:val="0"/>
      <w:marRight w:val="0"/>
      <w:marTop w:val="0"/>
      <w:marBottom w:val="0"/>
      <w:divBdr>
        <w:top w:val="none" w:sz="0" w:space="0" w:color="auto"/>
        <w:left w:val="none" w:sz="0" w:space="0" w:color="auto"/>
        <w:bottom w:val="none" w:sz="0" w:space="0" w:color="auto"/>
        <w:right w:val="none" w:sz="0" w:space="0" w:color="auto"/>
      </w:divBdr>
    </w:div>
    <w:div w:id="770976069">
      <w:bodyDiv w:val="1"/>
      <w:marLeft w:val="0"/>
      <w:marRight w:val="0"/>
      <w:marTop w:val="0"/>
      <w:marBottom w:val="0"/>
      <w:divBdr>
        <w:top w:val="none" w:sz="0" w:space="0" w:color="auto"/>
        <w:left w:val="none" w:sz="0" w:space="0" w:color="auto"/>
        <w:bottom w:val="none" w:sz="0" w:space="0" w:color="auto"/>
        <w:right w:val="none" w:sz="0" w:space="0" w:color="auto"/>
      </w:divBdr>
    </w:div>
    <w:div w:id="772633865">
      <w:bodyDiv w:val="1"/>
      <w:marLeft w:val="0"/>
      <w:marRight w:val="0"/>
      <w:marTop w:val="0"/>
      <w:marBottom w:val="0"/>
      <w:divBdr>
        <w:top w:val="none" w:sz="0" w:space="0" w:color="auto"/>
        <w:left w:val="none" w:sz="0" w:space="0" w:color="auto"/>
        <w:bottom w:val="none" w:sz="0" w:space="0" w:color="auto"/>
        <w:right w:val="none" w:sz="0" w:space="0" w:color="auto"/>
      </w:divBdr>
    </w:div>
    <w:div w:id="776363804">
      <w:bodyDiv w:val="1"/>
      <w:marLeft w:val="0"/>
      <w:marRight w:val="0"/>
      <w:marTop w:val="0"/>
      <w:marBottom w:val="0"/>
      <w:divBdr>
        <w:top w:val="none" w:sz="0" w:space="0" w:color="auto"/>
        <w:left w:val="none" w:sz="0" w:space="0" w:color="auto"/>
        <w:bottom w:val="none" w:sz="0" w:space="0" w:color="auto"/>
        <w:right w:val="none" w:sz="0" w:space="0" w:color="auto"/>
      </w:divBdr>
    </w:div>
    <w:div w:id="776487637">
      <w:bodyDiv w:val="1"/>
      <w:marLeft w:val="0"/>
      <w:marRight w:val="0"/>
      <w:marTop w:val="0"/>
      <w:marBottom w:val="0"/>
      <w:divBdr>
        <w:top w:val="none" w:sz="0" w:space="0" w:color="auto"/>
        <w:left w:val="none" w:sz="0" w:space="0" w:color="auto"/>
        <w:bottom w:val="none" w:sz="0" w:space="0" w:color="auto"/>
        <w:right w:val="none" w:sz="0" w:space="0" w:color="auto"/>
      </w:divBdr>
    </w:div>
    <w:div w:id="778136649">
      <w:bodyDiv w:val="1"/>
      <w:marLeft w:val="0"/>
      <w:marRight w:val="0"/>
      <w:marTop w:val="0"/>
      <w:marBottom w:val="0"/>
      <w:divBdr>
        <w:top w:val="none" w:sz="0" w:space="0" w:color="auto"/>
        <w:left w:val="none" w:sz="0" w:space="0" w:color="auto"/>
        <w:bottom w:val="none" w:sz="0" w:space="0" w:color="auto"/>
        <w:right w:val="none" w:sz="0" w:space="0" w:color="auto"/>
      </w:divBdr>
    </w:div>
    <w:div w:id="779027356">
      <w:bodyDiv w:val="1"/>
      <w:marLeft w:val="0"/>
      <w:marRight w:val="0"/>
      <w:marTop w:val="0"/>
      <w:marBottom w:val="0"/>
      <w:divBdr>
        <w:top w:val="none" w:sz="0" w:space="0" w:color="auto"/>
        <w:left w:val="none" w:sz="0" w:space="0" w:color="auto"/>
        <w:bottom w:val="none" w:sz="0" w:space="0" w:color="auto"/>
        <w:right w:val="none" w:sz="0" w:space="0" w:color="auto"/>
      </w:divBdr>
    </w:div>
    <w:div w:id="783692727">
      <w:bodyDiv w:val="1"/>
      <w:marLeft w:val="0"/>
      <w:marRight w:val="0"/>
      <w:marTop w:val="0"/>
      <w:marBottom w:val="0"/>
      <w:divBdr>
        <w:top w:val="none" w:sz="0" w:space="0" w:color="auto"/>
        <w:left w:val="none" w:sz="0" w:space="0" w:color="auto"/>
        <w:bottom w:val="none" w:sz="0" w:space="0" w:color="auto"/>
        <w:right w:val="none" w:sz="0" w:space="0" w:color="auto"/>
      </w:divBdr>
    </w:div>
    <w:div w:id="792558131">
      <w:bodyDiv w:val="1"/>
      <w:marLeft w:val="0"/>
      <w:marRight w:val="0"/>
      <w:marTop w:val="0"/>
      <w:marBottom w:val="0"/>
      <w:divBdr>
        <w:top w:val="none" w:sz="0" w:space="0" w:color="auto"/>
        <w:left w:val="none" w:sz="0" w:space="0" w:color="auto"/>
        <w:bottom w:val="none" w:sz="0" w:space="0" w:color="auto"/>
        <w:right w:val="none" w:sz="0" w:space="0" w:color="auto"/>
      </w:divBdr>
    </w:div>
    <w:div w:id="794494341">
      <w:bodyDiv w:val="1"/>
      <w:marLeft w:val="0"/>
      <w:marRight w:val="0"/>
      <w:marTop w:val="0"/>
      <w:marBottom w:val="0"/>
      <w:divBdr>
        <w:top w:val="none" w:sz="0" w:space="0" w:color="auto"/>
        <w:left w:val="none" w:sz="0" w:space="0" w:color="auto"/>
        <w:bottom w:val="none" w:sz="0" w:space="0" w:color="auto"/>
        <w:right w:val="none" w:sz="0" w:space="0" w:color="auto"/>
      </w:divBdr>
    </w:div>
    <w:div w:id="800344713">
      <w:bodyDiv w:val="1"/>
      <w:marLeft w:val="0"/>
      <w:marRight w:val="0"/>
      <w:marTop w:val="0"/>
      <w:marBottom w:val="0"/>
      <w:divBdr>
        <w:top w:val="none" w:sz="0" w:space="0" w:color="auto"/>
        <w:left w:val="none" w:sz="0" w:space="0" w:color="auto"/>
        <w:bottom w:val="none" w:sz="0" w:space="0" w:color="auto"/>
        <w:right w:val="none" w:sz="0" w:space="0" w:color="auto"/>
      </w:divBdr>
    </w:div>
    <w:div w:id="802306021">
      <w:bodyDiv w:val="1"/>
      <w:marLeft w:val="0"/>
      <w:marRight w:val="0"/>
      <w:marTop w:val="0"/>
      <w:marBottom w:val="0"/>
      <w:divBdr>
        <w:top w:val="none" w:sz="0" w:space="0" w:color="auto"/>
        <w:left w:val="none" w:sz="0" w:space="0" w:color="auto"/>
        <w:bottom w:val="none" w:sz="0" w:space="0" w:color="auto"/>
        <w:right w:val="none" w:sz="0" w:space="0" w:color="auto"/>
      </w:divBdr>
      <w:divsChild>
        <w:div w:id="171914749">
          <w:marLeft w:val="0"/>
          <w:marRight w:val="0"/>
          <w:marTop w:val="0"/>
          <w:marBottom w:val="0"/>
          <w:divBdr>
            <w:top w:val="none" w:sz="0" w:space="0" w:color="auto"/>
            <w:left w:val="none" w:sz="0" w:space="0" w:color="auto"/>
            <w:bottom w:val="none" w:sz="0" w:space="0" w:color="auto"/>
            <w:right w:val="none" w:sz="0" w:space="0" w:color="auto"/>
          </w:divBdr>
        </w:div>
      </w:divsChild>
    </w:div>
    <w:div w:id="802426875">
      <w:bodyDiv w:val="1"/>
      <w:marLeft w:val="0"/>
      <w:marRight w:val="0"/>
      <w:marTop w:val="0"/>
      <w:marBottom w:val="0"/>
      <w:divBdr>
        <w:top w:val="none" w:sz="0" w:space="0" w:color="auto"/>
        <w:left w:val="none" w:sz="0" w:space="0" w:color="auto"/>
        <w:bottom w:val="none" w:sz="0" w:space="0" w:color="auto"/>
        <w:right w:val="none" w:sz="0" w:space="0" w:color="auto"/>
      </w:divBdr>
    </w:div>
    <w:div w:id="804662500">
      <w:bodyDiv w:val="1"/>
      <w:marLeft w:val="0"/>
      <w:marRight w:val="0"/>
      <w:marTop w:val="0"/>
      <w:marBottom w:val="0"/>
      <w:divBdr>
        <w:top w:val="none" w:sz="0" w:space="0" w:color="auto"/>
        <w:left w:val="none" w:sz="0" w:space="0" w:color="auto"/>
        <w:bottom w:val="none" w:sz="0" w:space="0" w:color="auto"/>
        <w:right w:val="none" w:sz="0" w:space="0" w:color="auto"/>
      </w:divBdr>
    </w:div>
    <w:div w:id="807478967">
      <w:bodyDiv w:val="1"/>
      <w:marLeft w:val="0"/>
      <w:marRight w:val="0"/>
      <w:marTop w:val="0"/>
      <w:marBottom w:val="0"/>
      <w:divBdr>
        <w:top w:val="none" w:sz="0" w:space="0" w:color="auto"/>
        <w:left w:val="none" w:sz="0" w:space="0" w:color="auto"/>
        <w:bottom w:val="none" w:sz="0" w:space="0" w:color="auto"/>
        <w:right w:val="none" w:sz="0" w:space="0" w:color="auto"/>
      </w:divBdr>
    </w:div>
    <w:div w:id="807935044">
      <w:bodyDiv w:val="1"/>
      <w:marLeft w:val="0"/>
      <w:marRight w:val="0"/>
      <w:marTop w:val="0"/>
      <w:marBottom w:val="0"/>
      <w:divBdr>
        <w:top w:val="none" w:sz="0" w:space="0" w:color="auto"/>
        <w:left w:val="none" w:sz="0" w:space="0" w:color="auto"/>
        <w:bottom w:val="none" w:sz="0" w:space="0" w:color="auto"/>
        <w:right w:val="none" w:sz="0" w:space="0" w:color="auto"/>
      </w:divBdr>
    </w:div>
    <w:div w:id="807937563">
      <w:bodyDiv w:val="1"/>
      <w:marLeft w:val="0"/>
      <w:marRight w:val="0"/>
      <w:marTop w:val="0"/>
      <w:marBottom w:val="0"/>
      <w:divBdr>
        <w:top w:val="none" w:sz="0" w:space="0" w:color="auto"/>
        <w:left w:val="none" w:sz="0" w:space="0" w:color="auto"/>
        <w:bottom w:val="none" w:sz="0" w:space="0" w:color="auto"/>
        <w:right w:val="none" w:sz="0" w:space="0" w:color="auto"/>
      </w:divBdr>
      <w:divsChild>
        <w:div w:id="1157260323">
          <w:marLeft w:val="0"/>
          <w:marRight w:val="0"/>
          <w:marTop w:val="0"/>
          <w:marBottom w:val="0"/>
          <w:divBdr>
            <w:top w:val="none" w:sz="0" w:space="0" w:color="auto"/>
            <w:left w:val="none" w:sz="0" w:space="0" w:color="auto"/>
            <w:bottom w:val="none" w:sz="0" w:space="0" w:color="auto"/>
            <w:right w:val="none" w:sz="0" w:space="0" w:color="auto"/>
          </w:divBdr>
        </w:div>
      </w:divsChild>
    </w:div>
    <w:div w:id="819346914">
      <w:bodyDiv w:val="1"/>
      <w:marLeft w:val="0"/>
      <w:marRight w:val="0"/>
      <w:marTop w:val="0"/>
      <w:marBottom w:val="0"/>
      <w:divBdr>
        <w:top w:val="none" w:sz="0" w:space="0" w:color="auto"/>
        <w:left w:val="none" w:sz="0" w:space="0" w:color="auto"/>
        <w:bottom w:val="none" w:sz="0" w:space="0" w:color="auto"/>
        <w:right w:val="none" w:sz="0" w:space="0" w:color="auto"/>
      </w:divBdr>
    </w:div>
    <w:div w:id="821510651">
      <w:bodyDiv w:val="1"/>
      <w:marLeft w:val="0"/>
      <w:marRight w:val="0"/>
      <w:marTop w:val="0"/>
      <w:marBottom w:val="0"/>
      <w:divBdr>
        <w:top w:val="none" w:sz="0" w:space="0" w:color="auto"/>
        <w:left w:val="none" w:sz="0" w:space="0" w:color="auto"/>
        <w:bottom w:val="none" w:sz="0" w:space="0" w:color="auto"/>
        <w:right w:val="none" w:sz="0" w:space="0" w:color="auto"/>
      </w:divBdr>
    </w:div>
    <w:div w:id="822241185">
      <w:bodyDiv w:val="1"/>
      <w:marLeft w:val="0"/>
      <w:marRight w:val="0"/>
      <w:marTop w:val="0"/>
      <w:marBottom w:val="0"/>
      <w:divBdr>
        <w:top w:val="none" w:sz="0" w:space="0" w:color="auto"/>
        <w:left w:val="none" w:sz="0" w:space="0" w:color="auto"/>
        <w:bottom w:val="none" w:sz="0" w:space="0" w:color="auto"/>
        <w:right w:val="none" w:sz="0" w:space="0" w:color="auto"/>
      </w:divBdr>
    </w:div>
    <w:div w:id="829832441">
      <w:bodyDiv w:val="1"/>
      <w:marLeft w:val="0"/>
      <w:marRight w:val="0"/>
      <w:marTop w:val="0"/>
      <w:marBottom w:val="0"/>
      <w:divBdr>
        <w:top w:val="none" w:sz="0" w:space="0" w:color="auto"/>
        <w:left w:val="none" w:sz="0" w:space="0" w:color="auto"/>
        <w:bottom w:val="none" w:sz="0" w:space="0" w:color="auto"/>
        <w:right w:val="none" w:sz="0" w:space="0" w:color="auto"/>
      </w:divBdr>
    </w:div>
    <w:div w:id="831915387">
      <w:bodyDiv w:val="1"/>
      <w:marLeft w:val="0"/>
      <w:marRight w:val="0"/>
      <w:marTop w:val="0"/>
      <w:marBottom w:val="0"/>
      <w:divBdr>
        <w:top w:val="none" w:sz="0" w:space="0" w:color="auto"/>
        <w:left w:val="none" w:sz="0" w:space="0" w:color="auto"/>
        <w:bottom w:val="none" w:sz="0" w:space="0" w:color="auto"/>
        <w:right w:val="none" w:sz="0" w:space="0" w:color="auto"/>
      </w:divBdr>
    </w:div>
    <w:div w:id="832332159">
      <w:bodyDiv w:val="1"/>
      <w:marLeft w:val="0"/>
      <w:marRight w:val="0"/>
      <w:marTop w:val="0"/>
      <w:marBottom w:val="0"/>
      <w:divBdr>
        <w:top w:val="none" w:sz="0" w:space="0" w:color="auto"/>
        <w:left w:val="none" w:sz="0" w:space="0" w:color="auto"/>
        <w:bottom w:val="none" w:sz="0" w:space="0" w:color="auto"/>
        <w:right w:val="none" w:sz="0" w:space="0" w:color="auto"/>
      </w:divBdr>
    </w:div>
    <w:div w:id="833760905">
      <w:bodyDiv w:val="1"/>
      <w:marLeft w:val="0"/>
      <w:marRight w:val="0"/>
      <w:marTop w:val="0"/>
      <w:marBottom w:val="0"/>
      <w:divBdr>
        <w:top w:val="none" w:sz="0" w:space="0" w:color="auto"/>
        <w:left w:val="none" w:sz="0" w:space="0" w:color="auto"/>
        <w:bottom w:val="none" w:sz="0" w:space="0" w:color="auto"/>
        <w:right w:val="none" w:sz="0" w:space="0" w:color="auto"/>
      </w:divBdr>
    </w:div>
    <w:div w:id="834687686">
      <w:bodyDiv w:val="1"/>
      <w:marLeft w:val="0"/>
      <w:marRight w:val="0"/>
      <w:marTop w:val="0"/>
      <w:marBottom w:val="0"/>
      <w:divBdr>
        <w:top w:val="none" w:sz="0" w:space="0" w:color="auto"/>
        <w:left w:val="none" w:sz="0" w:space="0" w:color="auto"/>
        <w:bottom w:val="none" w:sz="0" w:space="0" w:color="auto"/>
        <w:right w:val="none" w:sz="0" w:space="0" w:color="auto"/>
      </w:divBdr>
    </w:div>
    <w:div w:id="834879684">
      <w:bodyDiv w:val="1"/>
      <w:marLeft w:val="0"/>
      <w:marRight w:val="0"/>
      <w:marTop w:val="0"/>
      <w:marBottom w:val="0"/>
      <w:divBdr>
        <w:top w:val="none" w:sz="0" w:space="0" w:color="auto"/>
        <w:left w:val="none" w:sz="0" w:space="0" w:color="auto"/>
        <w:bottom w:val="none" w:sz="0" w:space="0" w:color="auto"/>
        <w:right w:val="none" w:sz="0" w:space="0" w:color="auto"/>
      </w:divBdr>
    </w:div>
    <w:div w:id="837159529">
      <w:bodyDiv w:val="1"/>
      <w:marLeft w:val="0"/>
      <w:marRight w:val="0"/>
      <w:marTop w:val="0"/>
      <w:marBottom w:val="0"/>
      <w:divBdr>
        <w:top w:val="none" w:sz="0" w:space="0" w:color="auto"/>
        <w:left w:val="none" w:sz="0" w:space="0" w:color="auto"/>
        <w:bottom w:val="none" w:sz="0" w:space="0" w:color="auto"/>
        <w:right w:val="none" w:sz="0" w:space="0" w:color="auto"/>
      </w:divBdr>
    </w:div>
    <w:div w:id="839270331">
      <w:bodyDiv w:val="1"/>
      <w:marLeft w:val="0"/>
      <w:marRight w:val="0"/>
      <w:marTop w:val="0"/>
      <w:marBottom w:val="0"/>
      <w:divBdr>
        <w:top w:val="none" w:sz="0" w:space="0" w:color="auto"/>
        <w:left w:val="none" w:sz="0" w:space="0" w:color="auto"/>
        <w:bottom w:val="none" w:sz="0" w:space="0" w:color="auto"/>
        <w:right w:val="none" w:sz="0" w:space="0" w:color="auto"/>
      </w:divBdr>
    </w:div>
    <w:div w:id="839348464">
      <w:bodyDiv w:val="1"/>
      <w:marLeft w:val="0"/>
      <w:marRight w:val="0"/>
      <w:marTop w:val="0"/>
      <w:marBottom w:val="0"/>
      <w:divBdr>
        <w:top w:val="none" w:sz="0" w:space="0" w:color="auto"/>
        <w:left w:val="none" w:sz="0" w:space="0" w:color="auto"/>
        <w:bottom w:val="none" w:sz="0" w:space="0" w:color="auto"/>
        <w:right w:val="none" w:sz="0" w:space="0" w:color="auto"/>
      </w:divBdr>
    </w:div>
    <w:div w:id="840631569">
      <w:bodyDiv w:val="1"/>
      <w:marLeft w:val="0"/>
      <w:marRight w:val="0"/>
      <w:marTop w:val="0"/>
      <w:marBottom w:val="0"/>
      <w:divBdr>
        <w:top w:val="none" w:sz="0" w:space="0" w:color="auto"/>
        <w:left w:val="none" w:sz="0" w:space="0" w:color="auto"/>
        <w:bottom w:val="none" w:sz="0" w:space="0" w:color="auto"/>
        <w:right w:val="none" w:sz="0" w:space="0" w:color="auto"/>
      </w:divBdr>
    </w:div>
    <w:div w:id="843932325">
      <w:bodyDiv w:val="1"/>
      <w:marLeft w:val="0"/>
      <w:marRight w:val="0"/>
      <w:marTop w:val="0"/>
      <w:marBottom w:val="0"/>
      <w:divBdr>
        <w:top w:val="none" w:sz="0" w:space="0" w:color="auto"/>
        <w:left w:val="none" w:sz="0" w:space="0" w:color="auto"/>
        <w:bottom w:val="none" w:sz="0" w:space="0" w:color="auto"/>
        <w:right w:val="none" w:sz="0" w:space="0" w:color="auto"/>
      </w:divBdr>
    </w:div>
    <w:div w:id="844631907">
      <w:bodyDiv w:val="1"/>
      <w:marLeft w:val="0"/>
      <w:marRight w:val="0"/>
      <w:marTop w:val="0"/>
      <w:marBottom w:val="0"/>
      <w:divBdr>
        <w:top w:val="none" w:sz="0" w:space="0" w:color="auto"/>
        <w:left w:val="none" w:sz="0" w:space="0" w:color="auto"/>
        <w:bottom w:val="none" w:sz="0" w:space="0" w:color="auto"/>
        <w:right w:val="none" w:sz="0" w:space="0" w:color="auto"/>
      </w:divBdr>
    </w:div>
    <w:div w:id="845022055">
      <w:bodyDiv w:val="1"/>
      <w:marLeft w:val="0"/>
      <w:marRight w:val="0"/>
      <w:marTop w:val="0"/>
      <w:marBottom w:val="0"/>
      <w:divBdr>
        <w:top w:val="none" w:sz="0" w:space="0" w:color="auto"/>
        <w:left w:val="none" w:sz="0" w:space="0" w:color="auto"/>
        <w:bottom w:val="none" w:sz="0" w:space="0" w:color="auto"/>
        <w:right w:val="none" w:sz="0" w:space="0" w:color="auto"/>
      </w:divBdr>
    </w:div>
    <w:div w:id="850681411">
      <w:bodyDiv w:val="1"/>
      <w:marLeft w:val="0"/>
      <w:marRight w:val="0"/>
      <w:marTop w:val="0"/>
      <w:marBottom w:val="0"/>
      <w:divBdr>
        <w:top w:val="none" w:sz="0" w:space="0" w:color="auto"/>
        <w:left w:val="none" w:sz="0" w:space="0" w:color="auto"/>
        <w:bottom w:val="none" w:sz="0" w:space="0" w:color="auto"/>
        <w:right w:val="none" w:sz="0" w:space="0" w:color="auto"/>
      </w:divBdr>
    </w:div>
    <w:div w:id="856696693">
      <w:bodyDiv w:val="1"/>
      <w:marLeft w:val="0"/>
      <w:marRight w:val="0"/>
      <w:marTop w:val="0"/>
      <w:marBottom w:val="0"/>
      <w:divBdr>
        <w:top w:val="none" w:sz="0" w:space="0" w:color="auto"/>
        <w:left w:val="none" w:sz="0" w:space="0" w:color="auto"/>
        <w:bottom w:val="none" w:sz="0" w:space="0" w:color="auto"/>
        <w:right w:val="none" w:sz="0" w:space="0" w:color="auto"/>
      </w:divBdr>
    </w:div>
    <w:div w:id="859512113">
      <w:bodyDiv w:val="1"/>
      <w:marLeft w:val="0"/>
      <w:marRight w:val="0"/>
      <w:marTop w:val="0"/>
      <w:marBottom w:val="0"/>
      <w:divBdr>
        <w:top w:val="none" w:sz="0" w:space="0" w:color="auto"/>
        <w:left w:val="none" w:sz="0" w:space="0" w:color="auto"/>
        <w:bottom w:val="none" w:sz="0" w:space="0" w:color="auto"/>
        <w:right w:val="none" w:sz="0" w:space="0" w:color="auto"/>
      </w:divBdr>
    </w:div>
    <w:div w:id="860822396">
      <w:bodyDiv w:val="1"/>
      <w:marLeft w:val="0"/>
      <w:marRight w:val="0"/>
      <w:marTop w:val="0"/>
      <w:marBottom w:val="0"/>
      <w:divBdr>
        <w:top w:val="none" w:sz="0" w:space="0" w:color="auto"/>
        <w:left w:val="none" w:sz="0" w:space="0" w:color="auto"/>
        <w:bottom w:val="none" w:sz="0" w:space="0" w:color="auto"/>
        <w:right w:val="none" w:sz="0" w:space="0" w:color="auto"/>
      </w:divBdr>
    </w:div>
    <w:div w:id="861552375">
      <w:bodyDiv w:val="1"/>
      <w:marLeft w:val="0"/>
      <w:marRight w:val="0"/>
      <w:marTop w:val="0"/>
      <w:marBottom w:val="0"/>
      <w:divBdr>
        <w:top w:val="none" w:sz="0" w:space="0" w:color="auto"/>
        <w:left w:val="none" w:sz="0" w:space="0" w:color="auto"/>
        <w:bottom w:val="none" w:sz="0" w:space="0" w:color="auto"/>
        <w:right w:val="none" w:sz="0" w:space="0" w:color="auto"/>
      </w:divBdr>
    </w:div>
    <w:div w:id="866604482">
      <w:bodyDiv w:val="1"/>
      <w:marLeft w:val="0"/>
      <w:marRight w:val="0"/>
      <w:marTop w:val="0"/>
      <w:marBottom w:val="0"/>
      <w:divBdr>
        <w:top w:val="none" w:sz="0" w:space="0" w:color="auto"/>
        <w:left w:val="none" w:sz="0" w:space="0" w:color="auto"/>
        <w:bottom w:val="none" w:sz="0" w:space="0" w:color="auto"/>
        <w:right w:val="none" w:sz="0" w:space="0" w:color="auto"/>
      </w:divBdr>
    </w:div>
    <w:div w:id="867373410">
      <w:bodyDiv w:val="1"/>
      <w:marLeft w:val="0"/>
      <w:marRight w:val="0"/>
      <w:marTop w:val="0"/>
      <w:marBottom w:val="0"/>
      <w:divBdr>
        <w:top w:val="none" w:sz="0" w:space="0" w:color="auto"/>
        <w:left w:val="none" w:sz="0" w:space="0" w:color="auto"/>
        <w:bottom w:val="none" w:sz="0" w:space="0" w:color="auto"/>
        <w:right w:val="none" w:sz="0" w:space="0" w:color="auto"/>
      </w:divBdr>
    </w:div>
    <w:div w:id="869948743">
      <w:bodyDiv w:val="1"/>
      <w:marLeft w:val="0"/>
      <w:marRight w:val="0"/>
      <w:marTop w:val="0"/>
      <w:marBottom w:val="0"/>
      <w:divBdr>
        <w:top w:val="none" w:sz="0" w:space="0" w:color="auto"/>
        <w:left w:val="none" w:sz="0" w:space="0" w:color="auto"/>
        <w:bottom w:val="none" w:sz="0" w:space="0" w:color="auto"/>
        <w:right w:val="none" w:sz="0" w:space="0" w:color="auto"/>
      </w:divBdr>
    </w:div>
    <w:div w:id="871452925">
      <w:bodyDiv w:val="1"/>
      <w:marLeft w:val="0"/>
      <w:marRight w:val="0"/>
      <w:marTop w:val="0"/>
      <w:marBottom w:val="0"/>
      <w:divBdr>
        <w:top w:val="none" w:sz="0" w:space="0" w:color="auto"/>
        <w:left w:val="none" w:sz="0" w:space="0" w:color="auto"/>
        <w:bottom w:val="none" w:sz="0" w:space="0" w:color="auto"/>
        <w:right w:val="none" w:sz="0" w:space="0" w:color="auto"/>
      </w:divBdr>
    </w:div>
    <w:div w:id="875970800">
      <w:bodyDiv w:val="1"/>
      <w:marLeft w:val="0"/>
      <w:marRight w:val="0"/>
      <w:marTop w:val="0"/>
      <w:marBottom w:val="0"/>
      <w:divBdr>
        <w:top w:val="none" w:sz="0" w:space="0" w:color="auto"/>
        <w:left w:val="none" w:sz="0" w:space="0" w:color="auto"/>
        <w:bottom w:val="none" w:sz="0" w:space="0" w:color="auto"/>
        <w:right w:val="none" w:sz="0" w:space="0" w:color="auto"/>
      </w:divBdr>
    </w:div>
    <w:div w:id="876817221">
      <w:bodyDiv w:val="1"/>
      <w:marLeft w:val="0"/>
      <w:marRight w:val="0"/>
      <w:marTop w:val="0"/>
      <w:marBottom w:val="0"/>
      <w:divBdr>
        <w:top w:val="none" w:sz="0" w:space="0" w:color="auto"/>
        <w:left w:val="none" w:sz="0" w:space="0" w:color="auto"/>
        <w:bottom w:val="none" w:sz="0" w:space="0" w:color="auto"/>
        <w:right w:val="none" w:sz="0" w:space="0" w:color="auto"/>
      </w:divBdr>
    </w:div>
    <w:div w:id="877353313">
      <w:bodyDiv w:val="1"/>
      <w:marLeft w:val="0"/>
      <w:marRight w:val="0"/>
      <w:marTop w:val="0"/>
      <w:marBottom w:val="0"/>
      <w:divBdr>
        <w:top w:val="none" w:sz="0" w:space="0" w:color="auto"/>
        <w:left w:val="none" w:sz="0" w:space="0" w:color="auto"/>
        <w:bottom w:val="none" w:sz="0" w:space="0" w:color="auto"/>
        <w:right w:val="none" w:sz="0" w:space="0" w:color="auto"/>
      </w:divBdr>
    </w:div>
    <w:div w:id="878082325">
      <w:bodyDiv w:val="1"/>
      <w:marLeft w:val="0"/>
      <w:marRight w:val="0"/>
      <w:marTop w:val="0"/>
      <w:marBottom w:val="0"/>
      <w:divBdr>
        <w:top w:val="none" w:sz="0" w:space="0" w:color="auto"/>
        <w:left w:val="none" w:sz="0" w:space="0" w:color="auto"/>
        <w:bottom w:val="none" w:sz="0" w:space="0" w:color="auto"/>
        <w:right w:val="none" w:sz="0" w:space="0" w:color="auto"/>
      </w:divBdr>
    </w:div>
    <w:div w:id="879703918">
      <w:bodyDiv w:val="1"/>
      <w:marLeft w:val="0"/>
      <w:marRight w:val="0"/>
      <w:marTop w:val="0"/>
      <w:marBottom w:val="0"/>
      <w:divBdr>
        <w:top w:val="none" w:sz="0" w:space="0" w:color="auto"/>
        <w:left w:val="none" w:sz="0" w:space="0" w:color="auto"/>
        <w:bottom w:val="none" w:sz="0" w:space="0" w:color="auto"/>
        <w:right w:val="none" w:sz="0" w:space="0" w:color="auto"/>
      </w:divBdr>
    </w:div>
    <w:div w:id="879781642">
      <w:bodyDiv w:val="1"/>
      <w:marLeft w:val="0"/>
      <w:marRight w:val="0"/>
      <w:marTop w:val="0"/>
      <w:marBottom w:val="0"/>
      <w:divBdr>
        <w:top w:val="none" w:sz="0" w:space="0" w:color="auto"/>
        <w:left w:val="none" w:sz="0" w:space="0" w:color="auto"/>
        <w:bottom w:val="none" w:sz="0" w:space="0" w:color="auto"/>
        <w:right w:val="none" w:sz="0" w:space="0" w:color="auto"/>
      </w:divBdr>
    </w:div>
    <w:div w:id="883102980">
      <w:bodyDiv w:val="1"/>
      <w:marLeft w:val="0"/>
      <w:marRight w:val="0"/>
      <w:marTop w:val="0"/>
      <w:marBottom w:val="0"/>
      <w:divBdr>
        <w:top w:val="none" w:sz="0" w:space="0" w:color="auto"/>
        <w:left w:val="none" w:sz="0" w:space="0" w:color="auto"/>
        <w:bottom w:val="none" w:sz="0" w:space="0" w:color="auto"/>
        <w:right w:val="none" w:sz="0" w:space="0" w:color="auto"/>
      </w:divBdr>
      <w:divsChild>
        <w:div w:id="447048946">
          <w:marLeft w:val="0"/>
          <w:marRight w:val="0"/>
          <w:marTop w:val="0"/>
          <w:marBottom w:val="0"/>
          <w:divBdr>
            <w:top w:val="none" w:sz="0" w:space="0" w:color="auto"/>
            <w:left w:val="none" w:sz="0" w:space="0" w:color="auto"/>
            <w:bottom w:val="none" w:sz="0" w:space="0" w:color="auto"/>
            <w:right w:val="none" w:sz="0" w:space="0" w:color="auto"/>
          </w:divBdr>
        </w:div>
      </w:divsChild>
    </w:div>
    <w:div w:id="883175294">
      <w:bodyDiv w:val="1"/>
      <w:marLeft w:val="0"/>
      <w:marRight w:val="0"/>
      <w:marTop w:val="0"/>
      <w:marBottom w:val="0"/>
      <w:divBdr>
        <w:top w:val="none" w:sz="0" w:space="0" w:color="auto"/>
        <w:left w:val="none" w:sz="0" w:space="0" w:color="auto"/>
        <w:bottom w:val="none" w:sz="0" w:space="0" w:color="auto"/>
        <w:right w:val="none" w:sz="0" w:space="0" w:color="auto"/>
      </w:divBdr>
    </w:div>
    <w:div w:id="884148285">
      <w:bodyDiv w:val="1"/>
      <w:marLeft w:val="0"/>
      <w:marRight w:val="0"/>
      <w:marTop w:val="0"/>
      <w:marBottom w:val="0"/>
      <w:divBdr>
        <w:top w:val="none" w:sz="0" w:space="0" w:color="auto"/>
        <w:left w:val="none" w:sz="0" w:space="0" w:color="auto"/>
        <w:bottom w:val="none" w:sz="0" w:space="0" w:color="auto"/>
        <w:right w:val="none" w:sz="0" w:space="0" w:color="auto"/>
      </w:divBdr>
    </w:div>
    <w:div w:id="891691410">
      <w:bodyDiv w:val="1"/>
      <w:marLeft w:val="0"/>
      <w:marRight w:val="0"/>
      <w:marTop w:val="0"/>
      <w:marBottom w:val="0"/>
      <w:divBdr>
        <w:top w:val="none" w:sz="0" w:space="0" w:color="auto"/>
        <w:left w:val="none" w:sz="0" w:space="0" w:color="auto"/>
        <w:bottom w:val="none" w:sz="0" w:space="0" w:color="auto"/>
        <w:right w:val="none" w:sz="0" w:space="0" w:color="auto"/>
      </w:divBdr>
    </w:div>
    <w:div w:id="897128843">
      <w:bodyDiv w:val="1"/>
      <w:marLeft w:val="0"/>
      <w:marRight w:val="0"/>
      <w:marTop w:val="0"/>
      <w:marBottom w:val="0"/>
      <w:divBdr>
        <w:top w:val="none" w:sz="0" w:space="0" w:color="auto"/>
        <w:left w:val="none" w:sz="0" w:space="0" w:color="auto"/>
        <w:bottom w:val="none" w:sz="0" w:space="0" w:color="auto"/>
        <w:right w:val="none" w:sz="0" w:space="0" w:color="auto"/>
      </w:divBdr>
    </w:div>
    <w:div w:id="904489420">
      <w:bodyDiv w:val="1"/>
      <w:marLeft w:val="0"/>
      <w:marRight w:val="0"/>
      <w:marTop w:val="0"/>
      <w:marBottom w:val="0"/>
      <w:divBdr>
        <w:top w:val="none" w:sz="0" w:space="0" w:color="auto"/>
        <w:left w:val="none" w:sz="0" w:space="0" w:color="auto"/>
        <w:bottom w:val="none" w:sz="0" w:space="0" w:color="auto"/>
        <w:right w:val="none" w:sz="0" w:space="0" w:color="auto"/>
      </w:divBdr>
    </w:div>
    <w:div w:id="912280045">
      <w:bodyDiv w:val="1"/>
      <w:marLeft w:val="0"/>
      <w:marRight w:val="0"/>
      <w:marTop w:val="0"/>
      <w:marBottom w:val="0"/>
      <w:divBdr>
        <w:top w:val="none" w:sz="0" w:space="0" w:color="auto"/>
        <w:left w:val="none" w:sz="0" w:space="0" w:color="auto"/>
        <w:bottom w:val="none" w:sz="0" w:space="0" w:color="auto"/>
        <w:right w:val="none" w:sz="0" w:space="0" w:color="auto"/>
      </w:divBdr>
    </w:div>
    <w:div w:id="912616562">
      <w:bodyDiv w:val="1"/>
      <w:marLeft w:val="0"/>
      <w:marRight w:val="0"/>
      <w:marTop w:val="0"/>
      <w:marBottom w:val="0"/>
      <w:divBdr>
        <w:top w:val="none" w:sz="0" w:space="0" w:color="auto"/>
        <w:left w:val="none" w:sz="0" w:space="0" w:color="auto"/>
        <w:bottom w:val="none" w:sz="0" w:space="0" w:color="auto"/>
        <w:right w:val="none" w:sz="0" w:space="0" w:color="auto"/>
      </w:divBdr>
    </w:div>
    <w:div w:id="918055041">
      <w:bodyDiv w:val="1"/>
      <w:marLeft w:val="0"/>
      <w:marRight w:val="0"/>
      <w:marTop w:val="0"/>
      <w:marBottom w:val="0"/>
      <w:divBdr>
        <w:top w:val="none" w:sz="0" w:space="0" w:color="auto"/>
        <w:left w:val="none" w:sz="0" w:space="0" w:color="auto"/>
        <w:bottom w:val="none" w:sz="0" w:space="0" w:color="auto"/>
        <w:right w:val="none" w:sz="0" w:space="0" w:color="auto"/>
      </w:divBdr>
    </w:div>
    <w:div w:id="918179206">
      <w:bodyDiv w:val="1"/>
      <w:marLeft w:val="0"/>
      <w:marRight w:val="0"/>
      <w:marTop w:val="0"/>
      <w:marBottom w:val="0"/>
      <w:divBdr>
        <w:top w:val="none" w:sz="0" w:space="0" w:color="auto"/>
        <w:left w:val="none" w:sz="0" w:space="0" w:color="auto"/>
        <w:bottom w:val="none" w:sz="0" w:space="0" w:color="auto"/>
        <w:right w:val="none" w:sz="0" w:space="0" w:color="auto"/>
      </w:divBdr>
    </w:div>
    <w:div w:id="923881155">
      <w:bodyDiv w:val="1"/>
      <w:marLeft w:val="0"/>
      <w:marRight w:val="0"/>
      <w:marTop w:val="0"/>
      <w:marBottom w:val="0"/>
      <w:divBdr>
        <w:top w:val="none" w:sz="0" w:space="0" w:color="auto"/>
        <w:left w:val="none" w:sz="0" w:space="0" w:color="auto"/>
        <w:bottom w:val="none" w:sz="0" w:space="0" w:color="auto"/>
        <w:right w:val="none" w:sz="0" w:space="0" w:color="auto"/>
      </w:divBdr>
    </w:div>
    <w:div w:id="925384389">
      <w:bodyDiv w:val="1"/>
      <w:marLeft w:val="0"/>
      <w:marRight w:val="0"/>
      <w:marTop w:val="0"/>
      <w:marBottom w:val="0"/>
      <w:divBdr>
        <w:top w:val="none" w:sz="0" w:space="0" w:color="auto"/>
        <w:left w:val="none" w:sz="0" w:space="0" w:color="auto"/>
        <w:bottom w:val="none" w:sz="0" w:space="0" w:color="auto"/>
        <w:right w:val="none" w:sz="0" w:space="0" w:color="auto"/>
      </w:divBdr>
    </w:div>
    <w:div w:id="929004113">
      <w:bodyDiv w:val="1"/>
      <w:marLeft w:val="0"/>
      <w:marRight w:val="0"/>
      <w:marTop w:val="0"/>
      <w:marBottom w:val="0"/>
      <w:divBdr>
        <w:top w:val="none" w:sz="0" w:space="0" w:color="auto"/>
        <w:left w:val="none" w:sz="0" w:space="0" w:color="auto"/>
        <w:bottom w:val="none" w:sz="0" w:space="0" w:color="auto"/>
        <w:right w:val="none" w:sz="0" w:space="0" w:color="auto"/>
      </w:divBdr>
    </w:div>
    <w:div w:id="930552377">
      <w:bodyDiv w:val="1"/>
      <w:marLeft w:val="0"/>
      <w:marRight w:val="0"/>
      <w:marTop w:val="0"/>
      <w:marBottom w:val="0"/>
      <w:divBdr>
        <w:top w:val="none" w:sz="0" w:space="0" w:color="auto"/>
        <w:left w:val="none" w:sz="0" w:space="0" w:color="auto"/>
        <w:bottom w:val="none" w:sz="0" w:space="0" w:color="auto"/>
        <w:right w:val="none" w:sz="0" w:space="0" w:color="auto"/>
      </w:divBdr>
    </w:div>
    <w:div w:id="931668654">
      <w:bodyDiv w:val="1"/>
      <w:marLeft w:val="0"/>
      <w:marRight w:val="0"/>
      <w:marTop w:val="0"/>
      <w:marBottom w:val="0"/>
      <w:divBdr>
        <w:top w:val="none" w:sz="0" w:space="0" w:color="auto"/>
        <w:left w:val="none" w:sz="0" w:space="0" w:color="auto"/>
        <w:bottom w:val="none" w:sz="0" w:space="0" w:color="auto"/>
        <w:right w:val="none" w:sz="0" w:space="0" w:color="auto"/>
      </w:divBdr>
    </w:div>
    <w:div w:id="933903980">
      <w:bodyDiv w:val="1"/>
      <w:marLeft w:val="0"/>
      <w:marRight w:val="0"/>
      <w:marTop w:val="0"/>
      <w:marBottom w:val="0"/>
      <w:divBdr>
        <w:top w:val="none" w:sz="0" w:space="0" w:color="auto"/>
        <w:left w:val="none" w:sz="0" w:space="0" w:color="auto"/>
        <w:bottom w:val="none" w:sz="0" w:space="0" w:color="auto"/>
        <w:right w:val="none" w:sz="0" w:space="0" w:color="auto"/>
      </w:divBdr>
    </w:div>
    <w:div w:id="934095863">
      <w:bodyDiv w:val="1"/>
      <w:marLeft w:val="0"/>
      <w:marRight w:val="0"/>
      <w:marTop w:val="0"/>
      <w:marBottom w:val="0"/>
      <w:divBdr>
        <w:top w:val="none" w:sz="0" w:space="0" w:color="auto"/>
        <w:left w:val="none" w:sz="0" w:space="0" w:color="auto"/>
        <w:bottom w:val="none" w:sz="0" w:space="0" w:color="auto"/>
        <w:right w:val="none" w:sz="0" w:space="0" w:color="auto"/>
      </w:divBdr>
    </w:div>
    <w:div w:id="936712346">
      <w:bodyDiv w:val="1"/>
      <w:marLeft w:val="0"/>
      <w:marRight w:val="0"/>
      <w:marTop w:val="0"/>
      <w:marBottom w:val="0"/>
      <w:divBdr>
        <w:top w:val="none" w:sz="0" w:space="0" w:color="auto"/>
        <w:left w:val="none" w:sz="0" w:space="0" w:color="auto"/>
        <w:bottom w:val="none" w:sz="0" w:space="0" w:color="auto"/>
        <w:right w:val="none" w:sz="0" w:space="0" w:color="auto"/>
      </w:divBdr>
    </w:div>
    <w:div w:id="939604150">
      <w:bodyDiv w:val="1"/>
      <w:marLeft w:val="0"/>
      <w:marRight w:val="0"/>
      <w:marTop w:val="0"/>
      <w:marBottom w:val="0"/>
      <w:divBdr>
        <w:top w:val="none" w:sz="0" w:space="0" w:color="auto"/>
        <w:left w:val="none" w:sz="0" w:space="0" w:color="auto"/>
        <w:bottom w:val="none" w:sz="0" w:space="0" w:color="auto"/>
        <w:right w:val="none" w:sz="0" w:space="0" w:color="auto"/>
      </w:divBdr>
    </w:div>
    <w:div w:id="939684600">
      <w:bodyDiv w:val="1"/>
      <w:marLeft w:val="0"/>
      <w:marRight w:val="0"/>
      <w:marTop w:val="0"/>
      <w:marBottom w:val="0"/>
      <w:divBdr>
        <w:top w:val="none" w:sz="0" w:space="0" w:color="auto"/>
        <w:left w:val="none" w:sz="0" w:space="0" w:color="auto"/>
        <w:bottom w:val="none" w:sz="0" w:space="0" w:color="auto"/>
        <w:right w:val="none" w:sz="0" w:space="0" w:color="auto"/>
      </w:divBdr>
    </w:div>
    <w:div w:id="942761602">
      <w:bodyDiv w:val="1"/>
      <w:marLeft w:val="0"/>
      <w:marRight w:val="0"/>
      <w:marTop w:val="0"/>
      <w:marBottom w:val="0"/>
      <w:divBdr>
        <w:top w:val="none" w:sz="0" w:space="0" w:color="auto"/>
        <w:left w:val="none" w:sz="0" w:space="0" w:color="auto"/>
        <w:bottom w:val="none" w:sz="0" w:space="0" w:color="auto"/>
        <w:right w:val="none" w:sz="0" w:space="0" w:color="auto"/>
      </w:divBdr>
    </w:div>
    <w:div w:id="942955578">
      <w:bodyDiv w:val="1"/>
      <w:marLeft w:val="0"/>
      <w:marRight w:val="0"/>
      <w:marTop w:val="0"/>
      <w:marBottom w:val="0"/>
      <w:divBdr>
        <w:top w:val="none" w:sz="0" w:space="0" w:color="auto"/>
        <w:left w:val="none" w:sz="0" w:space="0" w:color="auto"/>
        <w:bottom w:val="none" w:sz="0" w:space="0" w:color="auto"/>
        <w:right w:val="none" w:sz="0" w:space="0" w:color="auto"/>
      </w:divBdr>
    </w:div>
    <w:div w:id="946156359">
      <w:bodyDiv w:val="1"/>
      <w:marLeft w:val="0"/>
      <w:marRight w:val="0"/>
      <w:marTop w:val="0"/>
      <w:marBottom w:val="0"/>
      <w:divBdr>
        <w:top w:val="none" w:sz="0" w:space="0" w:color="auto"/>
        <w:left w:val="none" w:sz="0" w:space="0" w:color="auto"/>
        <w:bottom w:val="none" w:sz="0" w:space="0" w:color="auto"/>
        <w:right w:val="none" w:sz="0" w:space="0" w:color="auto"/>
      </w:divBdr>
    </w:div>
    <w:div w:id="947926128">
      <w:bodyDiv w:val="1"/>
      <w:marLeft w:val="0"/>
      <w:marRight w:val="0"/>
      <w:marTop w:val="0"/>
      <w:marBottom w:val="0"/>
      <w:divBdr>
        <w:top w:val="none" w:sz="0" w:space="0" w:color="auto"/>
        <w:left w:val="none" w:sz="0" w:space="0" w:color="auto"/>
        <w:bottom w:val="none" w:sz="0" w:space="0" w:color="auto"/>
        <w:right w:val="none" w:sz="0" w:space="0" w:color="auto"/>
      </w:divBdr>
    </w:div>
    <w:div w:id="952126415">
      <w:bodyDiv w:val="1"/>
      <w:marLeft w:val="0"/>
      <w:marRight w:val="0"/>
      <w:marTop w:val="0"/>
      <w:marBottom w:val="0"/>
      <w:divBdr>
        <w:top w:val="none" w:sz="0" w:space="0" w:color="auto"/>
        <w:left w:val="none" w:sz="0" w:space="0" w:color="auto"/>
        <w:bottom w:val="none" w:sz="0" w:space="0" w:color="auto"/>
        <w:right w:val="none" w:sz="0" w:space="0" w:color="auto"/>
      </w:divBdr>
    </w:div>
    <w:div w:id="953559096">
      <w:bodyDiv w:val="1"/>
      <w:marLeft w:val="0"/>
      <w:marRight w:val="0"/>
      <w:marTop w:val="0"/>
      <w:marBottom w:val="0"/>
      <w:divBdr>
        <w:top w:val="none" w:sz="0" w:space="0" w:color="auto"/>
        <w:left w:val="none" w:sz="0" w:space="0" w:color="auto"/>
        <w:bottom w:val="none" w:sz="0" w:space="0" w:color="auto"/>
        <w:right w:val="none" w:sz="0" w:space="0" w:color="auto"/>
      </w:divBdr>
    </w:div>
    <w:div w:id="956180798">
      <w:bodyDiv w:val="1"/>
      <w:marLeft w:val="0"/>
      <w:marRight w:val="0"/>
      <w:marTop w:val="0"/>
      <w:marBottom w:val="0"/>
      <w:divBdr>
        <w:top w:val="none" w:sz="0" w:space="0" w:color="auto"/>
        <w:left w:val="none" w:sz="0" w:space="0" w:color="auto"/>
        <w:bottom w:val="none" w:sz="0" w:space="0" w:color="auto"/>
        <w:right w:val="none" w:sz="0" w:space="0" w:color="auto"/>
      </w:divBdr>
    </w:div>
    <w:div w:id="959335479">
      <w:bodyDiv w:val="1"/>
      <w:marLeft w:val="0"/>
      <w:marRight w:val="0"/>
      <w:marTop w:val="0"/>
      <w:marBottom w:val="0"/>
      <w:divBdr>
        <w:top w:val="none" w:sz="0" w:space="0" w:color="auto"/>
        <w:left w:val="none" w:sz="0" w:space="0" w:color="auto"/>
        <w:bottom w:val="none" w:sz="0" w:space="0" w:color="auto"/>
        <w:right w:val="none" w:sz="0" w:space="0" w:color="auto"/>
      </w:divBdr>
    </w:div>
    <w:div w:id="960452975">
      <w:bodyDiv w:val="1"/>
      <w:marLeft w:val="0"/>
      <w:marRight w:val="0"/>
      <w:marTop w:val="0"/>
      <w:marBottom w:val="0"/>
      <w:divBdr>
        <w:top w:val="none" w:sz="0" w:space="0" w:color="auto"/>
        <w:left w:val="none" w:sz="0" w:space="0" w:color="auto"/>
        <w:bottom w:val="none" w:sz="0" w:space="0" w:color="auto"/>
        <w:right w:val="none" w:sz="0" w:space="0" w:color="auto"/>
      </w:divBdr>
    </w:div>
    <w:div w:id="960527023">
      <w:bodyDiv w:val="1"/>
      <w:marLeft w:val="0"/>
      <w:marRight w:val="0"/>
      <w:marTop w:val="0"/>
      <w:marBottom w:val="0"/>
      <w:divBdr>
        <w:top w:val="none" w:sz="0" w:space="0" w:color="auto"/>
        <w:left w:val="none" w:sz="0" w:space="0" w:color="auto"/>
        <w:bottom w:val="none" w:sz="0" w:space="0" w:color="auto"/>
        <w:right w:val="none" w:sz="0" w:space="0" w:color="auto"/>
      </w:divBdr>
    </w:div>
    <w:div w:id="961493747">
      <w:bodyDiv w:val="1"/>
      <w:marLeft w:val="0"/>
      <w:marRight w:val="0"/>
      <w:marTop w:val="0"/>
      <w:marBottom w:val="0"/>
      <w:divBdr>
        <w:top w:val="none" w:sz="0" w:space="0" w:color="auto"/>
        <w:left w:val="none" w:sz="0" w:space="0" w:color="auto"/>
        <w:bottom w:val="none" w:sz="0" w:space="0" w:color="auto"/>
        <w:right w:val="none" w:sz="0" w:space="0" w:color="auto"/>
      </w:divBdr>
    </w:div>
    <w:div w:id="961888153">
      <w:bodyDiv w:val="1"/>
      <w:marLeft w:val="0"/>
      <w:marRight w:val="0"/>
      <w:marTop w:val="0"/>
      <w:marBottom w:val="0"/>
      <w:divBdr>
        <w:top w:val="none" w:sz="0" w:space="0" w:color="auto"/>
        <w:left w:val="none" w:sz="0" w:space="0" w:color="auto"/>
        <w:bottom w:val="none" w:sz="0" w:space="0" w:color="auto"/>
        <w:right w:val="none" w:sz="0" w:space="0" w:color="auto"/>
      </w:divBdr>
    </w:div>
    <w:div w:id="966548004">
      <w:bodyDiv w:val="1"/>
      <w:marLeft w:val="0"/>
      <w:marRight w:val="0"/>
      <w:marTop w:val="0"/>
      <w:marBottom w:val="0"/>
      <w:divBdr>
        <w:top w:val="none" w:sz="0" w:space="0" w:color="auto"/>
        <w:left w:val="none" w:sz="0" w:space="0" w:color="auto"/>
        <w:bottom w:val="none" w:sz="0" w:space="0" w:color="auto"/>
        <w:right w:val="none" w:sz="0" w:space="0" w:color="auto"/>
      </w:divBdr>
    </w:div>
    <w:div w:id="968632509">
      <w:bodyDiv w:val="1"/>
      <w:marLeft w:val="0"/>
      <w:marRight w:val="0"/>
      <w:marTop w:val="0"/>
      <w:marBottom w:val="0"/>
      <w:divBdr>
        <w:top w:val="none" w:sz="0" w:space="0" w:color="auto"/>
        <w:left w:val="none" w:sz="0" w:space="0" w:color="auto"/>
        <w:bottom w:val="none" w:sz="0" w:space="0" w:color="auto"/>
        <w:right w:val="none" w:sz="0" w:space="0" w:color="auto"/>
      </w:divBdr>
    </w:div>
    <w:div w:id="970013718">
      <w:bodyDiv w:val="1"/>
      <w:marLeft w:val="0"/>
      <w:marRight w:val="0"/>
      <w:marTop w:val="0"/>
      <w:marBottom w:val="0"/>
      <w:divBdr>
        <w:top w:val="none" w:sz="0" w:space="0" w:color="auto"/>
        <w:left w:val="none" w:sz="0" w:space="0" w:color="auto"/>
        <w:bottom w:val="none" w:sz="0" w:space="0" w:color="auto"/>
        <w:right w:val="none" w:sz="0" w:space="0" w:color="auto"/>
      </w:divBdr>
    </w:div>
    <w:div w:id="970205047">
      <w:bodyDiv w:val="1"/>
      <w:marLeft w:val="0"/>
      <w:marRight w:val="0"/>
      <w:marTop w:val="0"/>
      <w:marBottom w:val="0"/>
      <w:divBdr>
        <w:top w:val="none" w:sz="0" w:space="0" w:color="auto"/>
        <w:left w:val="none" w:sz="0" w:space="0" w:color="auto"/>
        <w:bottom w:val="none" w:sz="0" w:space="0" w:color="auto"/>
        <w:right w:val="none" w:sz="0" w:space="0" w:color="auto"/>
      </w:divBdr>
    </w:div>
    <w:div w:id="971252211">
      <w:bodyDiv w:val="1"/>
      <w:marLeft w:val="0"/>
      <w:marRight w:val="0"/>
      <w:marTop w:val="0"/>
      <w:marBottom w:val="0"/>
      <w:divBdr>
        <w:top w:val="none" w:sz="0" w:space="0" w:color="auto"/>
        <w:left w:val="none" w:sz="0" w:space="0" w:color="auto"/>
        <w:bottom w:val="none" w:sz="0" w:space="0" w:color="auto"/>
        <w:right w:val="none" w:sz="0" w:space="0" w:color="auto"/>
      </w:divBdr>
    </w:div>
    <w:div w:id="973603056">
      <w:bodyDiv w:val="1"/>
      <w:marLeft w:val="0"/>
      <w:marRight w:val="0"/>
      <w:marTop w:val="0"/>
      <w:marBottom w:val="0"/>
      <w:divBdr>
        <w:top w:val="none" w:sz="0" w:space="0" w:color="auto"/>
        <w:left w:val="none" w:sz="0" w:space="0" w:color="auto"/>
        <w:bottom w:val="none" w:sz="0" w:space="0" w:color="auto"/>
        <w:right w:val="none" w:sz="0" w:space="0" w:color="auto"/>
      </w:divBdr>
    </w:div>
    <w:div w:id="976715728">
      <w:bodyDiv w:val="1"/>
      <w:marLeft w:val="0"/>
      <w:marRight w:val="0"/>
      <w:marTop w:val="0"/>
      <w:marBottom w:val="0"/>
      <w:divBdr>
        <w:top w:val="none" w:sz="0" w:space="0" w:color="auto"/>
        <w:left w:val="none" w:sz="0" w:space="0" w:color="auto"/>
        <w:bottom w:val="none" w:sz="0" w:space="0" w:color="auto"/>
        <w:right w:val="none" w:sz="0" w:space="0" w:color="auto"/>
      </w:divBdr>
    </w:div>
    <w:div w:id="977420251">
      <w:bodyDiv w:val="1"/>
      <w:marLeft w:val="0"/>
      <w:marRight w:val="0"/>
      <w:marTop w:val="0"/>
      <w:marBottom w:val="0"/>
      <w:divBdr>
        <w:top w:val="none" w:sz="0" w:space="0" w:color="auto"/>
        <w:left w:val="none" w:sz="0" w:space="0" w:color="auto"/>
        <w:bottom w:val="none" w:sz="0" w:space="0" w:color="auto"/>
        <w:right w:val="none" w:sz="0" w:space="0" w:color="auto"/>
      </w:divBdr>
    </w:div>
    <w:div w:id="977491927">
      <w:bodyDiv w:val="1"/>
      <w:marLeft w:val="0"/>
      <w:marRight w:val="0"/>
      <w:marTop w:val="0"/>
      <w:marBottom w:val="0"/>
      <w:divBdr>
        <w:top w:val="none" w:sz="0" w:space="0" w:color="auto"/>
        <w:left w:val="none" w:sz="0" w:space="0" w:color="auto"/>
        <w:bottom w:val="none" w:sz="0" w:space="0" w:color="auto"/>
        <w:right w:val="none" w:sz="0" w:space="0" w:color="auto"/>
      </w:divBdr>
    </w:div>
    <w:div w:id="979571918">
      <w:bodyDiv w:val="1"/>
      <w:marLeft w:val="0"/>
      <w:marRight w:val="0"/>
      <w:marTop w:val="0"/>
      <w:marBottom w:val="0"/>
      <w:divBdr>
        <w:top w:val="none" w:sz="0" w:space="0" w:color="auto"/>
        <w:left w:val="none" w:sz="0" w:space="0" w:color="auto"/>
        <w:bottom w:val="none" w:sz="0" w:space="0" w:color="auto"/>
        <w:right w:val="none" w:sz="0" w:space="0" w:color="auto"/>
      </w:divBdr>
    </w:div>
    <w:div w:id="981271049">
      <w:bodyDiv w:val="1"/>
      <w:marLeft w:val="0"/>
      <w:marRight w:val="0"/>
      <w:marTop w:val="0"/>
      <w:marBottom w:val="0"/>
      <w:divBdr>
        <w:top w:val="none" w:sz="0" w:space="0" w:color="auto"/>
        <w:left w:val="none" w:sz="0" w:space="0" w:color="auto"/>
        <w:bottom w:val="none" w:sz="0" w:space="0" w:color="auto"/>
        <w:right w:val="none" w:sz="0" w:space="0" w:color="auto"/>
      </w:divBdr>
    </w:div>
    <w:div w:id="982386674">
      <w:bodyDiv w:val="1"/>
      <w:marLeft w:val="0"/>
      <w:marRight w:val="0"/>
      <w:marTop w:val="0"/>
      <w:marBottom w:val="0"/>
      <w:divBdr>
        <w:top w:val="none" w:sz="0" w:space="0" w:color="auto"/>
        <w:left w:val="none" w:sz="0" w:space="0" w:color="auto"/>
        <w:bottom w:val="none" w:sz="0" w:space="0" w:color="auto"/>
        <w:right w:val="none" w:sz="0" w:space="0" w:color="auto"/>
      </w:divBdr>
    </w:div>
    <w:div w:id="987394855">
      <w:bodyDiv w:val="1"/>
      <w:marLeft w:val="0"/>
      <w:marRight w:val="0"/>
      <w:marTop w:val="0"/>
      <w:marBottom w:val="0"/>
      <w:divBdr>
        <w:top w:val="none" w:sz="0" w:space="0" w:color="auto"/>
        <w:left w:val="none" w:sz="0" w:space="0" w:color="auto"/>
        <w:bottom w:val="none" w:sz="0" w:space="0" w:color="auto"/>
        <w:right w:val="none" w:sz="0" w:space="0" w:color="auto"/>
      </w:divBdr>
    </w:div>
    <w:div w:id="991255567">
      <w:bodyDiv w:val="1"/>
      <w:marLeft w:val="0"/>
      <w:marRight w:val="0"/>
      <w:marTop w:val="0"/>
      <w:marBottom w:val="0"/>
      <w:divBdr>
        <w:top w:val="none" w:sz="0" w:space="0" w:color="auto"/>
        <w:left w:val="none" w:sz="0" w:space="0" w:color="auto"/>
        <w:bottom w:val="none" w:sz="0" w:space="0" w:color="auto"/>
        <w:right w:val="none" w:sz="0" w:space="0" w:color="auto"/>
      </w:divBdr>
    </w:div>
    <w:div w:id="994339991">
      <w:bodyDiv w:val="1"/>
      <w:marLeft w:val="0"/>
      <w:marRight w:val="0"/>
      <w:marTop w:val="0"/>
      <w:marBottom w:val="0"/>
      <w:divBdr>
        <w:top w:val="none" w:sz="0" w:space="0" w:color="auto"/>
        <w:left w:val="none" w:sz="0" w:space="0" w:color="auto"/>
        <w:bottom w:val="none" w:sz="0" w:space="0" w:color="auto"/>
        <w:right w:val="none" w:sz="0" w:space="0" w:color="auto"/>
      </w:divBdr>
    </w:div>
    <w:div w:id="997734183">
      <w:bodyDiv w:val="1"/>
      <w:marLeft w:val="0"/>
      <w:marRight w:val="0"/>
      <w:marTop w:val="0"/>
      <w:marBottom w:val="0"/>
      <w:divBdr>
        <w:top w:val="none" w:sz="0" w:space="0" w:color="auto"/>
        <w:left w:val="none" w:sz="0" w:space="0" w:color="auto"/>
        <w:bottom w:val="none" w:sz="0" w:space="0" w:color="auto"/>
        <w:right w:val="none" w:sz="0" w:space="0" w:color="auto"/>
      </w:divBdr>
    </w:div>
    <w:div w:id="999115798">
      <w:bodyDiv w:val="1"/>
      <w:marLeft w:val="0"/>
      <w:marRight w:val="0"/>
      <w:marTop w:val="0"/>
      <w:marBottom w:val="0"/>
      <w:divBdr>
        <w:top w:val="none" w:sz="0" w:space="0" w:color="auto"/>
        <w:left w:val="none" w:sz="0" w:space="0" w:color="auto"/>
        <w:bottom w:val="none" w:sz="0" w:space="0" w:color="auto"/>
        <w:right w:val="none" w:sz="0" w:space="0" w:color="auto"/>
      </w:divBdr>
    </w:div>
    <w:div w:id="999650514">
      <w:bodyDiv w:val="1"/>
      <w:marLeft w:val="0"/>
      <w:marRight w:val="0"/>
      <w:marTop w:val="0"/>
      <w:marBottom w:val="0"/>
      <w:divBdr>
        <w:top w:val="none" w:sz="0" w:space="0" w:color="auto"/>
        <w:left w:val="none" w:sz="0" w:space="0" w:color="auto"/>
        <w:bottom w:val="none" w:sz="0" w:space="0" w:color="auto"/>
        <w:right w:val="none" w:sz="0" w:space="0" w:color="auto"/>
      </w:divBdr>
    </w:div>
    <w:div w:id="1000305167">
      <w:bodyDiv w:val="1"/>
      <w:marLeft w:val="0"/>
      <w:marRight w:val="0"/>
      <w:marTop w:val="0"/>
      <w:marBottom w:val="0"/>
      <w:divBdr>
        <w:top w:val="none" w:sz="0" w:space="0" w:color="auto"/>
        <w:left w:val="none" w:sz="0" w:space="0" w:color="auto"/>
        <w:bottom w:val="none" w:sz="0" w:space="0" w:color="auto"/>
        <w:right w:val="none" w:sz="0" w:space="0" w:color="auto"/>
      </w:divBdr>
    </w:div>
    <w:div w:id="1003514207">
      <w:bodyDiv w:val="1"/>
      <w:marLeft w:val="0"/>
      <w:marRight w:val="0"/>
      <w:marTop w:val="0"/>
      <w:marBottom w:val="0"/>
      <w:divBdr>
        <w:top w:val="none" w:sz="0" w:space="0" w:color="auto"/>
        <w:left w:val="none" w:sz="0" w:space="0" w:color="auto"/>
        <w:bottom w:val="none" w:sz="0" w:space="0" w:color="auto"/>
        <w:right w:val="none" w:sz="0" w:space="0" w:color="auto"/>
      </w:divBdr>
    </w:div>
    <w:div w:id="1003583227">
      <w:bodyDiv w:val="1"/>
      <w:marLeft w:val="0"/>
      <w:marRight w:val="0"/>
      <w:marTop w:val="0"/>
      <w:marBottom w:val="0"/>
      <w:divBdr>
        <w:top w:val="none" w:sz="0" w:space="0" w:color="auto"/>
        <w:left w:val="none" w:sz="0" w:space="0" w:color="auto"/>
        <w:bottom w:val="none" w:sz="0" w:space="0" w:color="auto"/>
        <w:right w:val="none" w:sz="0" w:space="0" w:color="auto"/>
      </w:divBdr>
    </w:div>
    <w:div w:id="1004939996">
      <w:bodyDiv w:val="1"/>
      <w:marLeft w:val="0"/>
      <w:marRight w:val="0"/>
      <w:marTop w:val="0"/>
      <w:marBottom w:val="0"/>
      <w:divBdr>
        <w:top w:val="none" w:sz="0" w:space="0" w:color="auto"/>
        <w:left w:val="none" w:sz="0" w:space="0" w:color="auto"/>
        <w:bottom w:val="none" w:sz="0" w:space="0" w:color="auto"/>
        <w:right w:val="none" w:sz="0" w:space="0" w:color="auto"/>
      </w:divBdr>
    </w:div>
    <w:div w:id="1006327136">
      <w:bodyDiv w:val="1"/>
      <w:marLeft w:val="0"/>
      <w:marRight w:val="0"/>
      <w:marTop w:val="0"/>
      <w:marBottom w:val="0"/>
      <w:divBdr>
        <w:top w:val="none" w:sz="0" w:space="0" w:color="auto"/>
        <w:left w:val="none" w:sz="0" w:space="0" w:color="auto"/>
        <w:bottom w:val="none" w:sz="0" w:space="0" w:color="auto"/>
        <w:right w:val="none" w:sz="0" w:space="0" w:color="auto"/>
      </w:divBdr>
    </w:div>
    <w:div w:id="1006444112">
      <w:bodyDiv w:val="1"/>
      <w:marLeft w:val="0"/>
      <w:marRight w:val="0"/>
      <w:marTop w:val="0"/>
      <w:marBottom w:val="0"/>
      <w:divBdr>
        <w:top w:val="none" w:sz="0" w:space="0" w:color="auto"/>
        <w:left w:val="none" w:sz="0" w:space="0" w:color="auto"/>
        <w:bottom w:val="none" w:sz="0" w:space="0" w:color="auto"/>
        <w:right w:val="none" w:sz="0" w:space="0" w:color="auto"/>
      </w:divBdr>
    </w:div>
    <w:div w:id="1008947650">
      <w:bodyDiv w:val="1"/>
      <w:marLeft w:val="0"/>
      <w:marRight w:val="0"/>
      <w:marTop w:val="0"/>
      <w:marBottom w:val="0"/>
      <w:divBdr>
        <w:top w:val="none" w:sz="0" w:space="0" w:color="auto"/>
        <w:left w:val="none" w:sz="0" w:space="0" w:color="auto"/>
        <w:bottom w:val="none" w:sz="0" w:space="0" w:color="auto"/>
        <w:right w:val="none" w:sz="0" w:space="0" w:color="auto"/>
      </w:divBdr>
    </w:div>
    <w:div w:id="1010058932">
      <w:bodyDiv w:val="1"/>
      <w:marLeft w:val="0"/>
      <w:marRight w:val="0"/>
      <w:marTop w:val="0"/>
      <w:marBottom w:val="0"/>
      <w:divBdr>
        <w:top w:val="none" w:sz="0" w:space="0" w:color="auto"/>
        <w:left w:val="none" w:sz="0" w:space="0" w:color="auto"/>
        <w:bottom w:val="none" w:sz="0" w:space="0" w:color="auto"/>
        <w:right w:val="none" w:sz="0" w:space="0" w:color="auto"/>
      </w:divBdr>
    </w:div>
    <w:div w:id="1011106475">
      <w:bodyDiv w:val="1"/>
      <w:marLeft w:val="0"/>
      <w:marRight w:val="0"/>
      <w:marTop w:val="0"/>
      <w:marBottom w:val="0"/>
      <w:divBdr>
        <w:top w:val="none" w:sz="0" w:space="0" w:color="auto"/>
        <w:left w:val="none" w:sz="0" w:space="0" w:color="auto"/>
        <w:bottom w:val="none" w:sz="0" w:space="0" w:color="auto"/>
        <w:right w:val="none" w:sz="0" w:space="0" w:color="auto"/>
      </w:divBdr>
    </w:div>
    <w:div w:id="1012219840">
      <w:bodyDiv w:val="1"/>
      <w:marLeft w:val="0"/>
      <w:marRight w:val="0"/>
      <w:marTop w:val="0"/>
      <w:marBottom w:val="0"/>
      <w:divBdr>
        <w:top w:val="none" w:sz="0" w:space="0" w:color="auto"/>
        <w:left w:val="none" w:sz="0" w:space="0" w:color="auto"/>
        <w:bottom w:val="none" w:sz="0" w:space="0" w:color="auto"/>
        <w:right w:val="none" w:sz="0" w:space="0" w:color="auto"/>
      </w:divBdr>
    </w:div>
    <w:div w:id="1014724555">
      <w:bodyDiv w:val="1"/>
      <w:marLeft w:val="0"/>
      <w:marRight w:val="0"/>
      <w:marTop w:val="0"/>
      <w:marBottom w:val="0"/>
      <w:divBdr>
        <w:top w:val="none" w:sz="0" w:space="0" w:color="auto"/>
        <w:left w:val="none" w:sz="0" w:space="0" w:color="auto"/>
        <w:bottom w:val="none" w:sz="0" w:space="0" w:color="auto"/>
        <w:right w:val="none" w:sz="0" w:space="0" w:color="auto"/>
      </w:divBdr>
    </w:div>
    <w:div w:id="1017073747">
      <w:bodyDiv w:val="1"/>
      <w:marLeft w:val="0"/>
      <w:marRight w:val="0"/>
      <w:marTop w:val="0"/>
      <w:marBottom w:val="0"/>
      <w:divBdr>
        <w:top w:val="none" w:sz="0" w:space="0" w:color="auto"/>
        <w:left w:val="none" w:sz="0" w:space="0" w:color="auto"/>
        <w:bottom w:val="none" w:sz="0" w:space="0" w:color="auto"/>
        <w:right w:val="none" w:sz="0" w:space="0" w:color="auto"/>
      </w:divBdr>
    </w:div>
    <w:div w:id="1019505979">
      <w:bodyDiv w:val="1"/>
      <w:marLeft w:val="0"/>
      <w:marRight w:val="0"/>
      <w:marTop w:val="0"/>
      <w:marBottom w:val="0"/>
      <w:divBdr>
        <w:top w:val="none" w:sz="0" w:space="0" w:color="auto"/>
        <w:left w:val="none" w:sz="0" w:space="0" w:color="auto"/>
        <w:bottom w:val="none" w:sz="0" w:space="0" w:color="auto"/>
        <w:right w:val="none" w:sz="0" w:space="0" w:color="auto"/>
      </w:divBdr>
    </w:div>
    <w:div w:id="1022899768">
      <w:bodyDiv w:val="1"/>
      <w:marLeft w:val="0"/>
      <w:marRight w:val="0"/>
      <w:marTop w:val="0"/>
      <w:marBottom w:val="0"/>
      <w:divBdr>
        <w:top w:val="none" w:sz="0" w:space="0" w:color="auto"/>
        <w:left w:val="none" w:sz="0" w:space="0" w:color="auto"/>
        <w:bottom w:val="none" w:sz="0" w:space="0" w:color="auto"/>
        <w:right w:val="none" w:sz="0" w:space="0" w:color="auto"/>
      </w:divBdr>
    </w:div>
    <w:div w:id="1029260274">
      <w:bodyDiv w:val="1"/>
      <w:marLeft w:val="0"/>
      <w:marRight w:val="0"/>
      <w:marTop w:val="0"/>
      <w:marBottom w:val="0"/>
      <w:divBdr>
        <w:top w:val="none" w:sz="0" w:space="0" w:color="auto"/>
        <w:left w:val="none" w:sz="0" w:space="0" w:color="auto"/>
        <w:bottom w:val="none" w:sz="0" w:space="0" w:color="auto"/>
        <w:right w:val="none" w:sz="0" w:space="0" w:color="auto"/>
      </w:divBdr>
    </w:div>
    <w:div w:id="1029338513">
      <w:bodyDiv w:val="1"/>
      <w:marLeft w:val="0"/>
      <w:marRight w:val="0"/>
      <w:marTop w:val="0"/>
      <w:marBottom w:val="0"/>
      <w:divBdr>
        <w:top w:val="none" w:sz="0" w:space="0" w:color="auto"/>
        <w:left w:val="none" w:sz="0" w:space="0" w:color="auto"/>
        <w:bottom w:val="none" w:sz="0" w:space="0" w:color="auto"/>
        <w:right w:val="none" w:sz="0" w:space="0" w:color="auto"/>
      </w:divBdr>
    </w:div>
    <w:div w:id="1030451577">
      <w:bodyDiv w:val="1"/>
      <w:marLeft w:val="0"/>
      <w:marRight w:val="0"/>
      <w:marTop w:val="0"/>
      <w:marBottom w:val="0"/>
      <w:divBdr>
        <w:top w:val="none" w:sz="0" w:space="0" w:color="auto"/>
        <w:left w:val="none" w:sz="0" w:space="0" w:color="auto"/>
        <w:bottom w:val="none" w:sz="0" w:space="0" w:color="auto"/>
        <w:right w:val="none" w:sz="0" w:space="0" w:color="auto"/>
      </w:divBdr>
    </w:div>
    <w:div w:id="1030839767">
      <w:bodyDiv w:val="1"/>
      <w:marLeft w:val="0"/>
      <w:marRight w:val="0"/>
      <w:marTop w:val="0"/>
      <w:marBottom w:val="0"/>
      <w:divBdr>
        <w:top w:val="none" w:sz="0" w:space="0" w:color="auto"/>
        <w:left w:val="none" w:sz="0" w:space="0" w:color="auto"/>
        <w:bottom w:val="none" w:sz="0" w:space="0" w:color="auto"/>
        <w:right w:val="none" w:sz="0" w:space="0" w:color="auto"/>
      </w:divBdr>
    </w:div>
    <w:div w:id="1031033172">
      <w:bodyDiv w:val="1"/>
      <w:marLeft w:val="0"/>
      <w:marRight w:val="0"/>
      <w:marTop w:val="0"/>
      <w:marBottom w:val="0"/>
      <w:divBdr>
        <w:top w:val="none" w:sz="0" w:space="0" w:color="auto"/>
        <w:left w:val="none" w:sz="0" w:space="0" w:color="auto"/>
        <w:bottom w:val="none" w:sz="0" w:space="0" w:color="auto"/>
        <w:right w:val="none" w:sz="0" w:space="0" w:color="auto"/>
      </w:divBdr>
    </w:div>
    <w:div w:id="1032150342">
      <w:bodyDiv w:val="1"/>
      <w:marLeft w:val="0"/>
      <w:marRight w:val="0"/>
      <w:marTop w:val="0"/>
      <w:marBottom w:val="0"/>
      <w:divBdr>
        <w:top w:val="none" w:sz="0" w:space="0" w:color="auto"/>
        <w:left w:val="none" w:sz="0" w:space="0" w:color="auto"/>
        <w:bottom w:val="none" w:sz="0" w:space="0" w:color="auto"/>
        <w:right w:val="none" w:sz="0" w:space="0" w:color="auto"/>
      </w:divBdr>
    </w:div>
    <w:div w:id="1034616909">
      <w:bodyDiv w:val="1"/>
      <w:marLeft w:val="0"/>
      <w:marRight w:val="0"/>
      <w:marTop w:val="0"/>
      <w:marBottom w:val="0"/>
      <w:divBdr>
        <w:top w:val="none" w:sz="0" w:space="0" w:color="auto"/>
        <w:left w:val="none" w:sz="0" w:space="0" w:color="auto"/>
        <w:bottom w:val="none" w:sz="0" w:space="0" w:color="auto"/>
        <w:right w:val="none" w:sz="0" w:space="0" w:color="auto"/>
      </w:divBdr>
    </w:div>
    <w:div w:id="1034696505">
      <w:bodyDiv w:val="1"/>
      <w:marLeft w:val="0"/>
      <w:marRight w:val="0"/>
      <w:marTop w:val="0"/>
      <w:marBottom w:val="0"/>
      <w:divBdr>
        <w:top w:val="none" w:sz="0" w:space="0" w:color="auto"/>
        <w:left w:val="none" w:sz="0" w:space="0" w:color="auto"/>
        <w:bottom w:val="none" w:sz="0" w:space="0" w:color="auto"/>
        <w:right w:val="none" w:sz="0" w:space="0" w:color="auto"/>
      </w:divBdr>
    </w:div>
    <w:div w:id="1037387214">
      <w:bodyDiv w:val="1"/>
      <w:marLeft w:val="0"/>
      <w:marRight w:val="0"/>
      <w:marTop w:val="0"/>
      <w:marBottom w:val="0"/>
      <w:divBdr>
        <w:top w:val="none" w:sz="0" w:space="0" w:color="auto"/>
        <w:left w:val="none" w:sz="0" w:space="0" w:color="auto"/>
        <w:bottom w:val="none" w:sz="0" w:space="0" w:color="auto"/>
        <w:right w:val="none" w:sz="0" w:space="0" w:color="auto"/>
      </w:divBdr>
    </w:div>
    <w:div w:id="1047685429">
      <w:bodyDiv w:val="1"/>
      <w:marLeft w:val="0"/>
      <w:marRight w:val="0"/>
      <w:marTop w:val="0"/>
      <w:marBottom w:val="0"/>
      <w:divBdr>
        <w:top w:val="none" w:sz="0" w:space="0" w:color="auto"/>
        <w:left w:val="none" w:sz="0" w:space="0" w:color="auto"/>
        <w:bottom w:val="none" w:sz="0" w:space="0" w:color="auto"/>
        <w:right w:val="none" w:sz="0" w:space="0" w:color="auto"/>
      </w:divBdr>
    </w:div>
    <w:div w:id="1048184439">
      <w:bodyDiv w:val="1"/>
      <w:marLeft w:val="0"/>
      <w:marRight w:val="0"/>
      <w:marTop w:val="0"/>
      <w:marBottom w:val="0"/>
      <w:divBdr>
        <w:top w:val="none" w:sz="0" w:space="0" w:color="auto"/>
        <w:left w:val="none" w:sz="0" w:space="0" w:color="auto"/>
        <w:bottom w:val="none" w:sz="0" w:space="0" w:color="auto"/>
        <w:right w:val="none" w:sz="0" w:space="0" w:color="auto"/>
      </w:divBdr>
    </w:div>
    <w:div w:id="1050109684">
      <w:bodyDiv w:val="1"/>
      <w:marLeft w:val="0"/>
      <w:marRight w:val="0"/>
      <w:marTop w:val="0"/>
      <w:marBottom w:val="0"/>
      <w:divBdr>
        <w:top w:val="none" w:sz="0" w:space="0" w:color="auto"/>
        <w:left w:val="none" w:sz="0" w:space="0" w:color="auto"/>
        <w:bottom w:val="none" w:sz="0" w:space="0" w:color="auto"/>
        <w:right w:val="none" w:sz="0" w:space="0" w:color="auto"/>
      </w:divBdr>
    </w:div>
    <w:div w:id="1052967550">
      <w:bodyDiv w:val="1"/>
      <w:marLeft w:val="0"/>
      <w:marRight w:val="0"/>
      <w:marTop w:val="0"/>
      <w:marBottom w:val="0"/>
      <w:divBdr>
        <w:top w:val="none" w:sz="0" w:space="0" w:color="auto"/>
        <w:left w:val="none" w:sz="0" w:space="0" w:color="auto"/>
        <w:bottom w:val="none" w:sz="0" w:space="0" w:color="auto"/>
        <w:right w:val="none" w:sz="0" w:space="0" w:color="auto"/>
      </w:divBdr>
    </w:div>
    <w:div w:id="1053314813">
      <w:bodyDiv w:val="1"/>
      <w:marLeft w:val="0"/>
      <w:marRight w:val="0"/>
      <w:marTop w:val="0"/>
      <w:marBottom w:val="0"/>
      <w:divBdr>
        <w:top w:val="none" w:sz="0" w:space="0" w:color="auto"/>
        <w:left w:val="none" w:sz="0" w:space="0" w:color="auto"/>
        <w:bottom w:val="none" w:sz="0" w:space="0" w:color="auto"/>
        <w:right w:val="none" w:sz="0" w:space="0" w:color="auto"/>
      </w:divBdr>
    </w:div>
    <w:div w:id="1054040535">
      <w:bodyDiv w:val="1"/>
      <w:marLeft w:val="0"/>
      <w:marRight w:val="0"/>
      <w:marTop w:val="0"/>
      <w:marBottom w:val="0"/>
      <w:divBdr>
        <w:top w:val="none" w:sz="0" w:space="0" w:color="auto"/>
        <w:left w:val="none" w:sz="0" w:space="0" w:color="auto"/>
        <w:bottom w:val="none" w:sz="0" w:space="0" w:color="auto"/>
        <w:right w:val="none" w:sz="0" w:space="0" w:color="auto"/>
      </w:divBdr>
    </w:div>
    <w:div w:id="1055852755">
      <w:bodyDiv w:val="1"/>
      <w:marLeft w:val="0"/>
      <w:marRight w:val="0"/>
      <w:marTop w:val="0"/>
      <w:marBottom w:val="0"/>
      <w:divBdr>
        <w:top w:val="none" w:sz="0" w:space="0" w:color="auto"/>
        <w:left w:val="none" w:sz="0" w:space="0" w:color="auto"/>
        <w:bottom w:val="none" w:sz="0" w:space="0" w:color="auto"/>
        <w:right w:val="none" w:sz="0" w:space="0" w:color="auto"/>
      </w:divBdr>
    </w:div>
    <w:div w:id="1057781220">
      <w:bodyDiv w:val="1"/>
      <w:marLeft w:val="0"/>
      <w:marRight w:val="0"/>
      <w:marTop w:val="0"/>
      <w:marBottom w:val="0"/>
      <w:divBdr>
        <w:top w:val="none" w:sz="0" w:space="0" w:color="auto"/>
        <w:left w:val="none" w:sz="0" w:space="0" w:color="auto"/>
        <w:bottom w:val="none" w:sz="0" w:space="0" w:color="auto"/>
        <w:right w:val="none" w:sz="0" w:space="0" w:color="auto"/>
      </w:divBdr>
    </w:div>
    <w:div w:id="1059088153">
      <w:bodyDiv w:val="1"/>
      <w:marLeft w:val="0"/>
      <w:marRight w:val="0"/>
      <w:marTop w:val="0"/>
      <w:marBottom w:val="0"/>
      <w:divBdr>
        <w:top w:val="none" w:sz="0" w:space="0" w:color="auto"/>
        <w:left w:val="none" w:sz="0" w:space="0" w:color="auto"/>
        <w:bottom w:val="none" w:sz="0" w:space="0" w:color="auto"/>
        <w:right w:val="none" w:sz="0" w:space="0" w:color="auto"/>
      </w:divBdr>
    </w:div>
    <w:div w:id="1059790923">
      <w:bodyDiv w:val="1"/>
      <w:marLeft w:val="0"/>
      <w:marRight w:val="0"/>
      <w:marTop w:val="0"/>
      <w:marBottom w:val="0"/>
      <w:divBdr>
        <w:top w:val="none" w:sz="0" w:space="0" w:color="auto"/>
        <w:left w:val="none" w:sz="0" w:space="0" w:color="auto"/>
        <w:bottom w:val="none" w:sz="0" w:space="0" w:color="auto"/>
        <w:right w:val="none" w:sz="0" w:space="0" w:color="auto"/>
      </w:divBdr>
    </w:div>
    <w:div w:id="1066102633">
      <w:bodyDiv w:val="1"/>
      <w:marLeft w:val="0"/>
      <w:marRight w:val="0"/>
      <w:marTop w:val="0"/>
      <w:marBottom w:val="0"/>
      <w:divBdr>
        <w:top w:val="none" w:sz="0" w:space="0" w:color="auto"/>
        <w:left w:val="none" w:sz="0" w:space="0" w:color="auto"/>
        <w:bottom w:val="none" w:sz="0" w:space="0" w:color="auto"/>
        <w:right w:val="none" w:sz="0" w:space="0" w:color="auto"/>
      </w:divBdr>
    </w:div>
    <w:div w:id="1072116592">
      <w:bodyDiv w:val="1"/>
      <w:marLeft w:val="0"/>
      <w:marRight w:val="0"/>
      <w:marTop w:val="0"/>
      <w:marBottom w:val="0"/>
      <w:divBdr>
        <w:top w:val="none" w:sz="0" w:space="0" w:color="auto"/>
        <w:left w:val="none" w:sz="0" w:space="0" w:color="auto"/>
        <w:bottom w:val="none" w:sz="0" w:space="0" w:color="auto"/>
        <w:right w:val="none" w:sz="0" w:space="0" w:color="auto"/>
      </w:divBdr>
    </w:div>
    <w:div w:id="1072967350">
      <w:bodyDiv w:val="1"/>
      <w:marLeft w:val="0"/>
      <w:marRight w:val="0"/>
      <w:marTop w:val="0"/>
      <w:marBottom w:val="0"/>
      <w:divBdr>
        <w:top w:val="none" w:sz="0" w:space="0" w:color="auto"/>
        <w:left w:val="none" w:sz="0" w:space="0" w:color="auto"/>
        <w:bottom w:val="none" w:sz="0" w:space="0" w:color="auto"/>
        <w:right w:val="none" w:sz="0" w:space="0" w:color="auto"/>
      </w:divBdr>
    </w:div>
    <w:div w:id="1077897539">
      <w:bodyDiv w:val="1"/>
      <w:marLeft w:val="0"/>
      <w:marRight w:val="0"/>
      <w:marTop w:val="0"/>
      <w:marBottom w:val="0"/>
      <w:divBdr>
        <w:top w:val="none" w:sz="0" w:space="0" w:color="auto"/>
        <w:left w:val="none" w:sz="0" w:space="0" w:color="auto"/>
        <w:bottom w:val="none" w:sz="0" w:space="0" w:color="auto"/>
        <w:right w:val="none" w:sz="0" w:space="0" w:color="auto"/>
      </w:divBdr>
    </w:div>
    <w:div w:id="1079064447">
      <w:bodyDiv w:val="1"/>
      <w:marLeft w:val="0"/>
      <w:marRight w:val="0"/>
      <w:marTop w:val="0"/>
      <w:marBottom w:val="0"/>
      <w:divBdr>
        <w:top w:val="none" w:sz="0" w:space="0" w:color="auto"/>
        <w:left w:val="none" w:sz="0" w:space="0" w:color="auto"/>
        <w:bottom w:val="none" w:sz="0" w:space="0" w:color="auto"/>
        <w:right w:val="none" w:sz="0" w:space="0" w:color="auto"/>
      </w:divBdr>
    </w:div>
    <w:div w:id="1091583101">
      <w:bodyDiv w:val="1"/>
      <w:marLeft w:val="0"/>
      <w:marRight w:val="0"/>
      <w:marTop w:val="0"/>
      <w:marBottom w:val="0"/>
      <w:divBdr>
        <w:top w:val="none" w:sz="0" w:space="0" w:color="auto"/>
        <w:left w:val="none" w:sz="0" w:space="0" w:color="auto"/>
        <w:bottom w:val="none" w:sz="0" w:space="0" w:color="auto"/>
        <w:right w:val="none" w:sz="0" w:space="0" w:color="auto"/>
      </w:divBdr>
    </w:div>
    <w:div w:id="1092626535">
      <w:bodyDiv w:val="1"/>
      <w:marLeft w:val="0"/>
      <w:marRight w:val="0"/>
      <w:marTop w:val="0"/>
      <w:marBottom w:val="0"/>
      <w:divBdr>
        <w:top w:val="none" w:sz="0" w:space="0" w:color="auto"/>
        <w:left w:val="none" w:sz="0" w:space="0" w:color="auto"/>
        <w:bottom w:val="none" w:sz="0" w:space="0" w:color="auto"/>
        <w:right w:val="none" w:sz="0" w:space="0" w:color="auto"/>
      </w:divBdr>
    </w:div>
    <w:div w:id="1100174624">
      <w:bodyDiv w:val="1"/>
      <w:marLeft w:val="0"/>
      <w:marRight w:val="0"/>
      <w:marTop w:val="0"/>
      <w:marBottom w:val="0"/>
      <w:divBdr>
        <w:top w:val="none" w:sz="0" w:space="0" w:color="auto"/>
        <w:left w:val="none" w:sz="0" w:space="0" w:color="auto"/>
        <w:bottom w:val="none" w:sz="0" w:space="0" w:color="auto"/>
        <w:right w:val="none" w:sz="0" w:space="0" w:color="auto"/>
      </w:divBdr>
    </w:div>
    <w:div w:id="1104037044">
      <w:bodyDiv w:val="1"/>
      <w:marLeft w:val="0"/>
      <w:marRight w:val="0"/>
      <w:marTop w:val="0"/>
      <w:marBottom w:val="0"/>
      <w:divBdr>
        <w:top w:val="none" w:sz="0" w:space="0" w:color="auto"/>
        <w:left w:val="none" w:sz="0" w:space="0" w:color="auto"/>
        <w:bottom w:val="none" w:sz="0" w:space="0" w:color="auto"/>
        <w:right w:val="none" w:sz="0" w:space="0" w:color="auto"/>
      </w:divBdr>
    </w:div>
    <w:div w:id="1107240278">
      <w:bodyDiv w:val="1"/>
      <w:marLeft w:val="0"/>
      <w:marRight w:val="0"/>
      <w:marTop w:val="0"/>
      <w:marBottom w:val="0"/>
      <w:divBdr>
        <w:top w:val="none" w:sz="0" w:space="0" w:color="auto"/>
        <w:left w:val="none" w:sz="0" w:space="0" w:color="auto"/>
        <w:bottom w:val="none" w:sz="0" w:space="0" w:color="auto"/>
        <w:right w:val="none" w:sz="0" w:space="0" w:color="auto"/>
      </w:divBdr>
    </w:div>
    <w:div w:id="1107699037">
      <w:bodyDiv w:val="1"/>
      <w:marLeft w:val="0"/>
      <w:marRight w:val="0"/>
      <w:marTop w:val="0"/>
      <w:marBottom w:val="0"/>
      <w:divBdr>
        <w:top w:val="none" w:sz="0" w:space="0" w:color="auto"/>
        <w:left w:val="none" w:sz="0" w:space="0" w:color="auto"/>
        <w:bottom w:val="none" w:sz="0" w:space="0" w:color="auto"/>
        <w:right w:val="none" w:sz="0" w:space="0" w:color="auto"/>
      </w:divBdr>
    </w:div>
    <w:div w:id="1109811331">
      <w:bodyDiv w:val="1"/>
      <w:marLeft w:val="0"/>
      <w:marRight w:val="0"/>
      <w:marTop w:val="0"/>
      <w:marBottom w:val="0"/>
      <w:divBdr>
        <w:top w:val="none" w:sz="0" w:space="0" w:color="auto"/>
        <w:left w:val="none" w:sz="0" w:space="0" w:color="auto"/>
        <w:bottom w:val="none" w:sz="0" w:space="0" w:color="auto"/>
        <w:right w:val="none" w:sz="0" w:space="0" w:color="auto"/>
      </w:divBdr>
    </w:div>
    <w:div w:id="1111822306">
      <w:bodyDiv w:val="1"/>
      <w:marLeft w:val="0"/>
      <w:marRight w:val="0"/>
      <w:marTop w:val="0"/>
      <w:marBottom w:val="0"/>
      <w:divBdr>
        <w:top w:val="none" w:sz="0" w:space="0" w:color="auto"/>
        <w:left w:val="none" w:sz="0" w:space="0" w:color="auto"/>
        <w:bottom w:val="none" w:sz="0" w:space="0" w:color="auto"/>
        <w:right w:val="none" w:sz="0" w:space="0" w:color="auto"/>
      </w:divBdr>
    </w:div>
    <w:div w:id="1113938522">
      <w:bodyDiv w:val="1"/>
      <w:marLeft w:val="0"/>
      <w:marRight w:val="0"/>
      <w:marTop w:val="0"/>
      <w:marBottom w:val="0"/>
      <w:divBdr>
        <w:top w:val="none" w:sz="0" w:space="0" w:color="auto"/>
        <w:left w:val="none" w:sz="0" w:space="0" w:color="auto"/>
        <w:bottom w:val="none" w:sz="0" w:space="0" w:color="auto"/>
        <w:right w:val="none" w:sz="0" w:space="0" w:color="auto"/>
      </w:divBdr>
    </w:div>
    <w:div w:id="1114980436">
      <w:bodyDiv w:val="1"/>
      <w:marLeft w:val="0"/>
      <w:marRight w:val="0"/>
      <w:marTop w:val="0"/>
      <w:marBottom w:val="0"/>
      <w:divBdr>
        <w:top w:val="none" w:sz="0" w:space="0" w:color="auto"/>
        <w:left w:val="none" w:sz="0" w:space="0" w:color="auto"/>
        <w:bottom w:val="none" w:sz="0" w:space="0" w:color="auto"/>
        <w:right w:val="none" w:sz="0" w:space="0" w:color="auto"/>
      </w:divBdr>
    </w:div>
    <w:div w:id="1117984831">
      <w:bodyDiv w:val="1"/>
      <w:marLeft w:val="0"/>
      <w:marRight w:val="0"/>
      <w:marTop w:val="0"/>
      <w:marBottom w:val="0"/>
      <w:divBdr>
        <w:top w:val="none" w:sz="0" w:space="0" w:color="auto"/>
        <w:left w:val="none" w:sz="0" w:space="0" w:color="auto"/>
        <w:bottom w:val="none" w:sz="0" w:space="0" w:color="auto"/>
        <w:right w:val="none" w:sz="0" w:space="0" w:color="auto"/>
      </w:divBdr>
    </w:div>
    <w:div w:id="1119761955">
      <w:bodyDiv w:val="1"/>
      <w:marLeft w:val="0"/>
      <w:marRight w:val="0"/>
      <w:marTop w:val="0"/>
      <w:marBottom w:val="0"/>
      <w:divBdr>
        <w:top w:val="none" w:sz="0" w:space="0" w:color="auto"/>
        <w:left w:val="none" w:sz="0" w:space="0" w:color="auto"/>
        <w:bottom w:val="none" w:sz="0" w:space="0" w:color="auto"/>
        <w:right w:val="none" w:sz="0" w:space="0" w:color="auto"/>
      </w:divBdr>
    </w:div>
    <w:div w:id="1121025411">
      <w:bodyDiv w:val="1"/>
      <w:marLeft w:val="0"/>
      <w:marRight w:val="0"/>
      <w:marTop w:val="0"/>
      <w:marBottom w:val="0"/>
      <w:divBdr>
        <w:top w:val="none" w:sz="0" w:space="0" w:color="auto"/>
        <w:left w:val="none" w:sz="0" w:space="0" w:color="auto"/>
        <w:bottom w:val="none" w:sz="0" w:space="0" w:color="auto"/>
        <w:right w:val="none" w:sz="0" w:space="0" w:color="auto"/>
      </w:divBdr>
    </w:div>
    <w:div w:id="1124926501">
      <w:bodyDiv w:val="1"/>
      <w:marLeft w:val="0"/>
      <w:marRight w:val="0"/>
      <w:marTop w:val="0"/>
      <w:marBottom w:val="0"/>
      <w:divBdr>
        <w:top w:val="none" w:sz="0" w:space="0" w:color="auto"/>
        <w:left w:val="none" w:sz="0" w:space="0" w:color="auto"/>
        <w:bottom w:val="none" w:sz="0" w:space="0" w:color="auto"/>
        <w:right w:val="none" w:sz="0" w:space="0" w:color="auto"/>
      </w:divBdr>
    </w:div>
    <w:div w:id="1130126965">
      <w:bodyDiv w:val="1"/>
      <w:marLeft w:val="0"/>
      <w:marRight w:val="0"/>
      <w:marTop w:val="0"/>
      <w:marBottom w:val="0"/>
      <w:divBdr>
        <w:top w:val="none" w:sz="0" w:space="0" w:color="auto"/>
        <w:left w:val="none" w:sz="0" w:space="0" w:color="auto"/>
        <w:bottom w:val="none" w:sz="0" w:space="0" w:color="auto"/>
        <w:right w:val="none" w:sz="0" w:space="0" w:color="auto"/>
      </w:divBdr>
    </w:div>
    <w:div w:id="1131093095">
      <w:bodyDiv w:val="1"/>
      <w:marLeft w:val="0"/>
      <w:marRight w:val="0"/>
      <w:marTop w:val="0"/>
      <w:marBottom w:val="0"/>
      <w:divBdr>
        <w:top w:val="none" w:sz="0" w:space="0" w:color="auto"/>
        <w:left w:val="none" w:sz="0" w:space="0" w:color="auto"/>
        <w:bottom w:val="none" w:sz="0" w:space="0" w:color="auto"/>
        <w:right w:val="none" w:sz="0" w:space="0" w:color="auto"/>
      </w:divBdr>
    </w:div>
    <w:div w:id="1131440476">
      <w:bodyDiv w:val="1"/>
      <w:marLeft w:val="0"/>
      <w:marRight w:val="0"/>
      <w:marTop w:val="0"/>
      <w:marBottom w:val="0"/>
      <w:divBdr>
        <w:top w:val="none" w:sz="0" w:space="0" w:color="auto"/>
        <w:left w:val="none" w:sz="0" w:space="0" w:color="auto"/>
        <w:bottom w:val="none" w:sz="0" w:space="0" w:color="auto"/>
        <w:right w:val="none" w:sz="0" w:space="0" w:color="auto"/>
      </w:divBdr>
    </w:div>
    <w:div w:id="1135365873">
      <w:bodyDiv w:val="1"/>
      <w:marLeft w:val="0"/>
      <w:marRight w:val="0"/>
      <w:marTop w:val="0"/>
      <w:marBottom w:val="0"/>
      <w:divBdr>
        <w:top w:val="none" w:sz="0" w:space="0" w:color="auto"/>
        <w:left w:val="none" w:sz="0" w:space="0" w:color="auto"/>
        <w:bottom w:val="none" w:sz="0" w:space="0" w:color="auto"/>
        <w:right w:val="none" w:sz="0" w:space="0" w:color="auto"/>
      </w:divBdr>
    </w:div>
    <w:div w:id="1135374412">
      <w:bodyDiv w:val="1"/>
      <w:marLeft w:val="0"/>
      <w:marRight w:val="0"/>
      <w:marTop w:val="0"/>
      <w:marBottom w:val="0"/>
      <w:divBdr>
        <w:top w:val="none" w:sz="0" w:space="0" w:color="auto"/>
        <w:left w:val="none" w:sz="0" w:space="0" w:color="auto"/>
        <w:bottom w:val="none" w:sz="0" w:space="0" w:color="auto"/>
        <w:right w:val="none" w:sz="0" w:space="0" w:color="auto"/>
      </w:divBdr>
    </w:div>
    <w:div w:id="1137068170">
      <w:bodyDiv w:val="1"/>
      <w:marLeft w:val="0"/>
      <w:marRight w:val="0"/>
      <w:marTop w:val="0"/>
      <w:marBottom w:val="0"/>
      <w:divBdr>
        <w:top w:val="none" w:sz="0" w:space="0" w:color="auto"/>
        <w:left w:val="none" w:sz="0" w:space="0" w:color="auto"/>
        <w:bottom w:val="none" w:sz="0" w:space="0" w:color="auto"/>
        <w:right w:val="none" w:sz="0" w:space="0" w:color="auto"/>
      </w:divBdr>
    </w:div>
    <w:div w:id="1137800624">
      <w:bodyDiv w:val="1"/>
      <w:marLeft w:val="0"/>
      <w:marRight w:val="0"/>
      <w:marTop w:val="0"/>
      <w:marBottom w:val="0"/>
      <w:divBdr>
        <w:top w:val="none" w:sz="0" w:space="0" w:color="auto"/>
        <w:left w:val="none" w:sz="0" w:space="0" w:color="auto"/>
        <w:bottom w:val="none" w:sz="0" w:space="0" w:color="auto"/>
        <w:right w:val="none" w:sz="0" w:space="0" w:color="auto"/>
      </w:divBdr>
    </w:div>
    <w:div w:id="1137995692">
      <w:bodyDiv w:val="1"/>
      <w:marLeft w:val="0"/>
      <w:marRight w:val="0"/>
      <w:marTop w:val="0"/>
      <w:marBottom w:val="0"/>
      <w:divBdr>
        <w:top w:val="none" w:sz="0" w:space="0" w:color="auto"/>
        <w:left w:val="none" w:sz="0" w:space="0" w:color="auto"/>
        <w:bottom w:val="none" w:sz="0" w:space="0" w:color="auto"/>
        <w:right w:val="none" w:sz="0" w:space="0" w:color="auto"/>
      </w:divBdr>
    </w:div>
    <w:div w:id="1141577873">
      <w:bodyDiv w:val="1"/>
      <w:marLeft w:val="0"/>
      <w:marRight w:val="0"/>
      <w:marTop w:val="0"/>
      <w:marBottom w:val="0"/>
      <w:divBdr>
        <w:top w:val="none" w:sz="0" w:space="0" w:color="auto"/>
        <w:left w:val="none" w:sz="0" w:space="0" w:color="auto"/>
        <w:bottom w:val="none" w:sz="0" w:space="0" w:color="auto"/>
        <w:right w:val="none" w:sz="0" w:space="0" w:color="auto"/>
      </w:divBdr>
    </w:div>
    <w:div w:id="1142115254">
      <w:bodyDiv w:val="1"/>
      <w:marLeft w:val="0"/>
      <w:marRight w:val="0"/>
      <w:marTop w:val="0"/>
      <w:marBottom w:val="0"/>
      <w:divBdr>
        <w:top w:val="none" w:sz="0" w:space="0" w:color="auto"/>
        <w:left w:val="none" w:sz="0" w:space="0" w:color="auto"/>
        <w:bottom w:val="none" w:sz="0" w:space="0" w:color="auto"/>
        <w:right w:val="none" w:sz="0" w:space="0" w:color="auto"/>
      </w:divBdr>
    </w:div>
    <w:div w:id="1144737351">
      <w:bodyDiv w:val="1"/>
      <w:marLeft w:val="0"/>
      <w:marRight w:val="0"/>
      <w:marTop w:val="0"/>
      <w:marBottom w:val="0"/>
      <w:divBdr>
        <w:top w:val="none" w:sz="0" w:space="0" w:color="auto"/>
        <w:left w:val="none" w:sz="0" w:space="0" w:color="auto"/>
        <w:bottom w:val="none" w:sz="0" w:space="0" w:color="auto"/>
        <w:right w:val="none" w:sz="0" w:space="0" w:color="auto"/>
      </w:divBdr>
    </w:div>
    <w:div w:id="1146238917">
      <w:bodyDiv w:val="1"/>
      <w:marLeft w:val="0"/>
      <w:marRight w:val="0"/>
      <w:marTop w:val="0"/>
      <w:marBottom w:val="0"/>
      <w:divBdr>
        <w:top w:val="none" w:sz="0" w:space="0" w:color="auto"/>
        <w:left w:val="none" w:sz="0" w:space="0" w:color="auto"/>
        <w:bottom w:val="none" w:sz="0" w:space="0" w:color="auto"/>
        <w:right w:val="none" w:sz="0" w:space="0" w:color="auto"/>
      </w:divBdr>
    </w:div>
    <w:div w:id="1146626380">
      <w:bodyDiv w:val="1"/>
      <w:marLeft w:val="0"/>
      <w:marRight w:val="0"/>
      <w:marTop w:val="0"/>
      <w:marBottom w:val="0"/>
      <w:divBdr>
        <w:top w:val="none" w:sz="0" w:space="0" w:color="auto"/>
        <w:left w:val="none" w:sz="0" w:space="0" w:color="auto"/>
        <w:bottom w:val="none" w:sz="0" w:space="0" w:color="auto"/>
        <w:right w:val="none" w:sz="0" w:space="0" w:color="auto"/>
      </w:divBdr>
    </w:div>
    <w:div w:id="1152797175">
      <w:bodyDiv w:val="1"/>
      <w:marLeft w:val="0"/>
      <w:marRight w:val="0"/>
      <w:marTop w:val="0"/>
      <w:marBottom w:val="0"/>
      <w:divBdr>
        <w:top w:val="none" w:sz="0" w:space="0" w:color="auto"/>
        <w:left w:val="none" w:sz="0" w:space="0" w:color="auto"/>
        <w:bottom w:val="none" w:sz="0" w:space="0" w:color="auto"/>
        <w:right w:val="none" w:sz="0" w:space="0" w:color="auto"/>
      </w:divBdr>
    </w:div>
    <w:div w:id="1154571206">
      <w:bodyDiv w:val="1"/>
      <w:marLeft w:val="0"/>
      <w:marRight w:val="0"/>
      <w:marTop w:val="0"/>
      <w:marBottom w:val="0"/>
      <w:divBdr>
        <w:top w:val="none" w:sz="0" w:space="0" w:color="auto"/>
        <w:left w:val="none" w:sz="0" w:space="0" w:color="auto"/>
        <w:bottom w:val="none" w:sz="0" w:space="0" w:color="auto"/>
        <w:right w:val="none" w:sz="0" w:space="0" w:color="auto"/>
      </w:divBdr>
    </w:div>
    <w:div w:id="1156727738">
      <w:bodyDiv w:val="1"/>
      <w:marLeft w:val="0"/>
      <w:marRight w:val="0"/>
      <w:marTop w:val="0"/>
      <w:marBottom w:val="0"/>
      <w:divBdr>
        <w:top w:val="none" w:sz="0" w:space="0" w:color="auto"/>
        <w:left w:val="none" w:sz="0" w:space="0" w:color="auto"/>
        <w:bottom w:val="none" w:sz="0" w:space="0" w:color="auto"/>
        <w:right w:val="none" w:sz="0" w:space="0" w:color="auto"/>
      </w:divBdr>
    </w:div>
    <w:div w:id="1157456665">
      <w:bodyDiv w:val="1"/>
      <w:marLeft w:val="0"/>
      <w:marRight w:val="0"/>
      <w:marTop w:val="0"/>
      <w:marBottom w:val="0"/>
      <w:divBdr>
        <w:top w:val="none" w:sz="0" w:space="0" w:color="auto"/>
        <w:left w:val="none" w:sz="0" w:space="0" w:color="auto"/>
        <w:bottom w:val="none" w:sz="0" w:space="0" w:color="auto"/>
        <w:right w:val="none" w:sz="0" w:space="0" w:color="auto"/>
      </w:divBdr>
    </w:div>
    <w:div w:id="1157501701">
      <w:bodyDiv w:val="1"/>
      <w:marLeft w:val="0"/>
      <w:marRight w:val="0"/>
      <w:marTop w:val="0"/>
      <w:marBottom w:val="0"/>
      <w:divBdr>
        <w:top w:val="none" w:sz="0" w:space="0" w:color="auto"/>
        <w:left w:val="none" w:sz="0" w:space="0" w:color="auto"/>
        <w:bottom w:val="none" w:sz="0" w:space="0" w:color="auto"/>
        <w:right w:val="none" w:sz="0" w:space="0" w:color="auto"/>
      </w:divBdr>
    </w:div>
    <w:div w:id="1157650207">
      <w:bodyDiv w:val="1"/>
      <w:marLeft w:val="0"/>
      <w:marRight w:val="0"/>
      <w:marTop w:val="0"/>
      <w:marBottom w:val="0"/>
      <w:divBdr>
        <w:top w:val="none" w:sz="0" w:space="0" w:color="auto"/>
        <w:left w:val="none" w:sz="0" w:space="0" w:color="auto"/>
        <w:bottom w:val="none" w:sz="0" w:space="0" w:color="auto"/>
        <w:right w:val="none" w:sz="0" w:space="0" w:color="auto"/>
      </w:divBdr>
    </w:div>
    <w:div w:id="1158693170">
      <w:bodyDiv w:val="1"/>
      <w:marLeft w:val="0"/>
      <w:marRight w:val="0"/>
      <w:marTop w:val="0"/>
      <w:marBottom w:val="0"/>
      <w:divBdr>
        <w:top w:val="none" w:sz="0" w:space="0" w:color="auto"/>
        <w:left w:val="none" w:sz="0" w:space="0" w:color="auto"/>
        <w:bottom w:val="none" w:sz="0" w:space="0" w:color="auto"/>
        <w:right w:val="none" w:sz="0" w:space="0" w:color="auto"/>
      </w:divBdr>
    </w:div>
    <w:div w:id="1160656743">
      <w:bodyDiv w:val="1"/>
      <w:marLeft w:val="0"/>
      <w:marRight w:val="0"/>
      <w:marTop w:val="0"/>
      <w:marBottom w:val="0"/>
      <w:divBdr>
        <w:top w:val="none" w:sz="0" w:space="0" w:color="auto"/>
        <w:left w:val="none" w:sz="0" w:space="0" w:color="auto"/>
        <w:bottom w:val="none" w:sz="0" w:space="0" w:color="auto"/>
        <w:right w:val="none" w:sz="0" w:space="0" w:color="auto"/>
      </w:divBdr>
    </w:div>
    <w:div w:id="1161195490">
      <w:bodyDiv w:val="1"/>
      <w:marLeft w:val="0"/>
      <w:marRight w:val="0"/>
      <w:marTop w:val="0"/>
      <w:marBottom w:val="0"/>
      <w:divBdr>
        <w:top w:val="none" w:sz="0" w:space="0" w:color="auto"/>
        <w:left w:val="none" w:sz="0" w:space="0" w:color="auto"/>
        <w:bottom w:val="none" w:sz="0" w:space="0" w:color="auto"/>
        <w:right w:val="none" w:sz="0" w:space="0" w:color="auto"/>
      </w:divBdr>
    </w:div>
    <w:div w:id="1164469370">
      <w:bodyDiv w:val="1"/>
      <w:marLeft w:val="0"/>
      <w:marRight w:val="0"/>
      <w:marTop w:val="0"/>
      <w:marBottom w:val="0"/>
      <w:divBdr>
        <w:top w:val="none" w:sz="0" w:space="0" w:color="auto"/>
        <w:left w:val="none" w:sz="0" w:space="0" w:color="auto"/>
        <w:bottom w:val="none" w:sz="0" w:space="0" w:color="auto"/>
        <w:right w:val="none" w:sz="0" w:space="0" w:color="auto"/>
      </w:divBdr>
    </w:div>
    <w:div w:id="1167748292">
      <w:bodyDiv w:val="1"/>
      <w:marLeft w:val="0"/>
      <w:marRight w:val="0"/>
      <w:marTop w:val="0"/>
      <w:marBottom w:val="0"/>
      <w:divBdr>
        <w:top w:val="none" w:sz="0" w:space="0" w:color="auto"/>
        <w:left w:val="none" w:sz="0" w:space="0" w:color="auto"/>
        <w:bottom w:val="none" w:sz="0" w:space="0" w:color="auto"/>
        <w:right w:val="none" w:sz="0" w:space="0" w:color="auto"/>
      </w:divBdr>
    </w:div>
    <w:div w:id="1175613255">
      <w:bodyDiv w:val="1"/>
      <w:marLeft w:val="0"/>
      <w:marRight w:val="0"/>
      <w:marTop w:val="0"/>
      <w:marBottom w:val="0"/>
      <w:divBdr>
        <w:top w:val="none" w:sz="0" w:space="0" w:color="auto"/>
        <w:left w:val="none" w:sz="0" w:space="0" w:color="auto"/>
        <w:bottom w:val="none" w:sz="0" w:space="0" w:color="auto"/>
        <w:right w:val="none" w:sz="0" w:space="0" w:color="auto"/>
      </w:divBdr>
    </w:div>
    <w:div w:id="1176307448">
      <w:bodyDiv w:val="1"/>
      <w:marLeft w:val="0"/>
      <w:marRight w:val="0"/>
      <w:marTop w:val="0"/>
      <w:marBottom w:val="0"/>
      <w:divBdr>
        <w:top w:val="none" w:sz="0" w:space="0" w:color="auto"/>
        <w:left w:val="none" w:sz="0" w:space="0" w:color="auto"/>
        <w:bottom w:val="none" w:sz="0" w:space="0" w:color="auto"/>
        <w:right w:val="none" w:sz="0" w:space="0" w:color="auto"/>
      </w:divBdr>
    </w:div>
    <w:div w:id="1177691308">
      <w:bodyDiv w:val="1"/>
      <w:marLeft w:val="0"/>
      <w:marRight w:val="0"/>
      <w:marTop w:val="0"/>
      <w:marBottom w:val="0"/>
      <w:divBdr>
        <w:top w:val="none" w:sz="0" w:space="0" w:color="auto"/>
        <w:left w:val="none" w:sz="0" w:space="0" w:color="auto"/>
        <w:bottom w:val="none" w:sz="0" w:space="0" w:color="auto"/>
        <w:right w:val="none" w:sz="0" w:space="0" w:color="auto"/>
      </w:divBdr>
    </w:div>
    <w:div w:id="1178234308">
      <w:bodyDiv w:val="1"/>
      <w:marLeft w:val="0"/>
      <w:marRight w:val="0"/>
      <w:marTop w:val="0"/>
      <w:marBottom w:val="0"/>
      <w:divBdr>
        <w:top w:val="none" w:sz="0" w:space="0" w:color="auto"/>
        <w:left w:val="none" w:sz="0" w:space="0" w:color="auto"/>
        <w:bottom w:val="none" w:sz="0" w:space="0" w:color="auto"/>
        <w:right w:val="none" w:sz="0" w:space="0" w:color="auto"/>
      </w:divBdr>
    </w:div>
    <w:div w:id="1182207352">
      <w:bodyDiv w:val="1"/>
      <w:marLeft w:val="0"/>
      <w:marRight w:val="0"/>
      <w:marTop w:val="0"/>
      <w:marBottom w:val="0"/>
      <w:divBdr>
        <w:top w:val="none" w:sz="0" w:space="0" w:color="auto"/>
        <w:left w:val="none" w:sz="0" w:space="0" w:color="auto"/>
        <w:bottom w:val="none" w:sz="0" w:space="0" w:color="auto"/>
        <w:right w:val="none" w:sz="0" w:space="0" w:color="auto"/>
      </w:divBdr>
    </w:div>
    <w:div w:id="1190336673">
      <w:bodyDiv w:val="1"/>
      <w:marLeft w:val="0"/>
      <w:marRight w:val="0"/>
      <w:marTop w:val="0"/>
      <w:marBottom w:val="0"/>
      <w:divBdr>
        <w:top w:val="none" w:sz="0" w:space="0" w:color="auto"/>
        <w:left w:val="none" w:sz="0" w:space="0" w:color="auto"/>
        <w:bottom w:val="none" w:sz="0" w:space="0" w:color="auto"/>
        <w:right w:val="none" w:sz="0" w:space="0" w:color="auto"/>
      </w:divBdr>
    </w:div>
    <w:div w:id="1190801714">
      <w:bodyDiv w:val="1"/>
      <w:marLeft w:val="0"/>
      <w:marRight w:val="0"/>
      <w:marTop w:val="0"/>
      <w:marBottom w:val="0"/>
      <w:divBdr>
        <w:top w:val="none" w:sz="0" w:space="0" w:color="auto"/>
        <w:left w:val="none" w:sz="0" w:space="0" w:color="auto"/>
        <w:bottom w:val="none" w:sz="0" w:space="0" w:color="auto"/>
        <w:right w:val="none" w:sz="0" w:space="0" w:color="auto"/>
      </w:divBdr>
    </w:div>
    <w:div w:id="1191379052">
      <w:bodyDiv w:val="1"/>
      <w:marLeft w:val="0"/>
      <w:marRight w:val="0"/>
      <w:marTop w:val="0"/>
      <w:marBottom w:val="0"/>
      <w:divBdr>
        <w:top w:val="none" w:sz="0" w:space="0" w:color="auto"/>
        <w:left w:val="none" w:sz="0" w:space="0" w:color="auto"/>
        <w:bottom w:val="none" w:sz="0" w:space="0" w:color="auto"/>
        <w:right w:val="none" w:sz="0" w:space="0" w:color="auto"/>
      </w:divBdr>
    </w:div>
    <w:div w:id="1195844227">
      <w:bodyDiv w:val="1"/>
      <w:marLeft w:val="0"/>
      <w:marRight w:val="0"/>
      <w:marTop w:val="0"/>
      <w:marBottom w:val="0"/>
      <w:divBdr>
        <w:top w:val="none" w:sz="0" w:space="0" w:color="auto"/>
        <w:left w:val="none" w:sz="0" w:space="0" w:color="auto"/>
        <w:bottom w:val="none" w:sz="0" w:space="0" w:color="auto"/>
        <w:right w:val="none" w:sz="0" w:space="0" w:color="auto"/>
      </w:divBdr>
    </w:div>
    <w:div w:id="1196582363">
      <w:bodyDiv w:val="1"/>
      <w:marLeft w:val="0"/>
      <w:marRight w:val="0"/>
      <w:marTop w:val="0"/>
      <w:marBottom w:val="0"/>
      <w:divBdr>
        <w:top w:val="none" w:sz="0" w:space="0" w:color="auto"/>
        <w:left w:val="none" w:sz="0" w:space="0" w:color="auto"/>
        <w:bottom w:val="none" w:sz="0" w:space="0" w:color="auto"/>
        <w:right w:val="none" w:sz="0" w:space="0" w:color="auto"/>
      </w:divBdr>
    </w:div>
    <w:div w:id="1196889352">
      <w:bodyDiv w:val="1"/>
      <w:marLeft w:val="0"/>
      <w:marRight w:val="0"/>
      <w:marTop w:val="0"/>
      <w:marBottom w:val="0"/>
      <w:divBdr>
        <w:top w:val="none" w:sz="0" w:space="0" w:color="auto"/>
        <w:left w:val="none" w:sz="0" w:space="0" w:color="auto"/>
        <w:bottom w:val="none" w:sz="0" w:space="0" w:color="auto"/>
        <w:right w:val="none" w:sz="0" w:space="0" w:color="auto"/>
      </w:divBdr>
    </w:div>
    <w:div w:id="1198078677">
      <w:bodyDiv w:val="1"/>
      <w:marLeft w:val="0"/>
      <w:marRight w:val="0"/>
      <w:marTop w:val="0"/>
      <w:marBottom w:val="0"/>
      <w:divBdr>
        <w:top w:val="none" w:sz="0" w:space="0" w:color="auto"/>
        <w:left w:val="none" w:sz="0" w:space="0" w:color="auto"/>
        <w:bottom w:val="none" w:sz="0" w:space="0" w:color="auto"/>
        <w:right w:val="none" w:sz="0" w:space="0" w:color="auto"/>
      </w:divBdr>
    </w:div>
    <w:div w:id="1200388133">
      <w:bodyDiv w:val="1"/>
      <w:marLeft w:val="0"/>
      <w:marRight w:val="0"/>
      <w:marTop w:val="0"/>
      <w:marBottom w:val="0"/>
      <w:divBdr>
        <w:top w:val="none" w:sz="0" w:space="0" w:color="auto"/>
        <w:left w:val="none" w:sz="0" w:space="0" w:color="auto"/>
        <w:bottom w:val="none" w:sz="0" w:space="0" w:color="auto"/>
        <w:right w:val="none" w:sz="0" w:space="0" w:color="auto"/>
      </w:divBdr>
    </w:div>
    <w:div w:id="1202324240">
      <w:bodyDiv w:val="1"/>
      <w:marLeft w:val="0"/>
      <w:marRight w:val="0"/>
      <w:marTop w:val="0"/>
      <w:marBottom w:val="0"/>
      <w:divBdr>
        <w:top w:val="none" w:sz="0" w:space="0" w:color="auto"/>
        <w:left w:val="none" w:sz="0" w:space="0" w:color="auto"/>
        <w:bottom w:val="none" w:sz="0" w:space="0" w:color="auto"/>
        <w:right w:val="none" w:sz="0" w:space="0" w:color="auto"/>
      </w:divBdr>
    </w:div>
    <w:div w:id="1203129548">
      <w:bodyDiv w:val="1"/>
      <w:marLeft w:val="0"/>
      <w:marRight w:val="0"/>
      <w:marTop w:val="0"/>
      <w:marBottom w:val="0"/>
      <w:divBdr>
        <w:top w:val="none" w:sz="0" w:space="0" w:color="auto"/>
        <w:left w:val="none" w:sz="0" w:space="0" w:color="auto"/>
        <w:bottom w:val="none" w:sz="0" w:space="0" w:color="auto"/>
        <w:right w:val="none" w:sz="0" w:space="0" w:color="auto"/>
      </w:divBdr>
    </w:div>
    <w:div w:id="1204291478">
      <w:bodyDiv w:val="1"/>
      <w:marLeft w:val="0"/>
      <w:marRight w:val="0"/>
      <w:marTop w:val="0"/>
      <w:marBottom w:val="0"/>
      <w:divBdr>
        <w:top w:val="none" w:sz="0" w:space="0" w:color="auto"/>
        <w:left w:val="none" w:sz="0" w:space="0" w:color="auto"/>
        <w:bottom w:val="none" w:sz="0" w:space="0" w:color="auto"/>
        <w:right w:val="none" w:sz="0" w:space="0" w:color="auto"/>
      </w:divBdr>
    </w:div>
    <w:div w:id="1204440143">
      <w:bodyDiv w:val="1"/>
      <w:marLeft w:val="0"/>
      <w:marRight w:val="0"/>
      <w:marTop w:val="0"/>
      <w:marBottom w:val="0"/>
      <w:divBdr>
        <w:top w:val="none" w:sz="0" w:space="0" w:color="auto"/>
        <w:left w:val="none" w:sz="0" w:space="0" w:color="auto"/>
        <w:bottom w:val="none" w:sz="0" w:space="0" w:color="auto"/>
        <w:right w:val="none" w:sz="0" w:space="0" w:color="auto"/>
      </w:divBdr>
    </w:div>
    <w:div w:id="1207138042">
      <w:bodyDiv w:val="1"/>
      <w:marLeft w:val="0"/>
      <w:marRight w:val="0"/>
      <w:marTop w:val="0"/>
      <w:marBottom w:val="0"/>
      <w:divBdr>
        <w:top w:val="none" w:sz="0" w:space="0" w:color="auto"/>
        <w:left w:val="none" w:sz="0" w:space="0" w:color="auto"/>
        <w:bottom w:val="none" w:sz="0" w:space="0" w:color="auto"/>
        <w:right w:val="none" w:sz="0" w:space="0" w:color="auto"/>
      </w:divBdr>
    </w:div>
    <w:div w:id="1208762403">
      <w:bodyDiv w:val="1"/>
      <w:marLeft w:val="0"/>
      <w:marRight w:val="0"/>
      <w:marTop w:val="0"/>
      <w:marBottom w:val="0"/>
      <w:divBdr>
        <w:top w:val="none" w:sz="0" w:space="0" w:color="auto"/>
        <w:left w:val="none" w:sz="0" w:space="0" w:color="auto"/>
        <w:bottom w:val="none" w:sz="0" w:space="0" w:color="auto"/>
        <w:right w:val="none" w:sz="0" w:space="0" w:color="auto"/>
      </w:divBdr>
    </w:div>
    <w:div w:id="1214780283">
      <w:bodyDiv w:val="1"/>
      <w:marLeft w:val="0"/>
      <w:marRight w:val="0"/>
      <w:marTop w:val="0"/>
      <w:marBottom w:val="0"/>
      <w:divBdr>
        <w:top w:val="none" w:sz="0" w:space="0" w:color="auto"/>
        <w:left w:val="none" w:sz="0" w:space="0" w:color="auto"/>
        <w:bottom w:val="none" w:sz="0" w:space="0" w:color="auto"/>
        <w:right w:val="none" w:sz="0" w:space="0" w:color="auto"/>
      </w:divBdr>
    </w:div>
    <w:div w:id="1220432681">
      <w:bodyDiv w:val="1"/>
      <w:marLeft w:val="0"/>
      <w:marRight w:val="0"/>
      <w:marTop w:val="0"/>
      <w:marBottom w:val="0"/>
      <w:divBdr>
        <w:top w:val="none" w:sz="0" w:space="0" w:color="auto"/>
        <w:left w:val="none" w:sz="0" w:space="0" w:color="auto"/>
        <w:bottom w:val="none" w:sz="0" w:space="0" w:color="auto"/>
        <w:right w:val="none" w:sz="0" w:space="0" w:color="auto"/>
      </w:divBdr>
    </w:div>
    <w:div w:id="1222837018">
      <w:bodyDiv w:val="1"/>
      <w:marLeft w:val="0"/>
      <w:marRight w:val="0"/>
      <w:marTop w:val="0"/>
      <w:marBottom w:val="0"/>
      <w:divBdr>
        <w:top w:val="none" w:sz="0" w:space="0" w:color="auto"/>
        <w:left w:val="none" w:sz="0" w:space="0" w:color="auto"/>
        <w:bottom w:val="none" w:sz="0" w:space="0" w:color="auto"/>
        <w:right w:val="none" w:sz="0" w:space="0" w:color="auto"/>
      </w:divBdr>
    </w:div>
    <w:div w:id="1225869425">
      <w:bodyDiv w:val="1"/>
      <w:marLeft w:val="0"/>
      <w:marRight w:val="0"/>
      <w:marTop w:val="0"/>
      <w:marBottom w:val="0"/>
      <w:divBdr>
        <w:top w:val="none" w:sz="0" w:space="0" w:color="auto"/>
        <w:left w:val="none" w:sz="0" w:space="0" w:color="auto"/>
        <w:bottom w:val="none" w:sz="0" w:space="0" w:color="auto"/>
        <w:right w:val="none" w:sz="0" w:space="0" w:color="auto"/>
      </w:divBdr>
    </w:div>
    <w:div w:id="1226989144">
      <w:bodyDiv w:val="1"/>
      <w:marLeft w:val="0"/>
      <w:marRight w:val="0"/>
      <w:marTop w:val="0"/>
      <w:marBottom w:val="0"/>
      <w:divBdr>
        <w:top w:val="none" w:sz="0" w:space="0" w:color="auto"/>
        <w:left w:val="none" w:sz="0" w:space="0" w:color="auto"/>
        <w:bottom w:val="none" w:sz="0" w:space="0" w:color="auto"/>
        <w:right w:val="none" w:sz="0" w:space="0" w:color="auto"/>
      </w:divBdr>
    </w:div>
    <w:div w:id="1227104635">
      <w:bodyDiv w:val="1"/>
      <w:marLeft w:val="0"/>
      <w:marRight w:val="0"/>
      <w:marTop w:val="0"/>
      <w:marBottom w:val="0"/>
      <w:divBdr>
        <w:top w:val="none" w:sz="0" w:space="0" w:color="auto"/>
        <w:left w:val="none" w:sz="0" w:space="0" w:color="auto"/>
        <w:bottom w:val="none" w:sz="0" w:space="0" w:color="auto"/>
        <w:right w:val="none" w:sz="0" w:space="0" w:color="auto"/>
      </w:divBdr>
    </w:div>
    <w:div w:id="1227689627">
      <w:bodyDiv w:val="1"/>
      <w:marLeft w:val="0"/>
      <w:marRight w:val="0"/>
      <w:marTop w:val="0"/>
      <w:marBottom w:val="0"/>
      <w:divBdr>
        <w:top w:val="none" w:sz="0" w:space="0" w:color="auto"/>
        <w:left w:val="none" w:sz="0" w:space="0" w:color="auto"/>
        <w:bottom w:val="none" w:sz="0" w:space="0" w:color="auto"/>
        <w:right w:val="none" w:sz="0" w:space="0" w:color="auto"/>
      </w:divBdr>
    </w:div>
    <w:div w:id="1228565486">
      <w:bodyDiv w:val="1"/>
      <w:marLeft w:val="0"/>
      <w:marRight w:val="0"/>
      <w:marTop w:val="0"/>
      <w:marBottom w:val="0"/>
      <w:divBdr>
        <w:top w:val="none" w:sz="0" w:space="0" w:color="auto"/>
        <w:left w:val="none" w:sz="0" w:space="0" w:color="auto"/>
        <w:bottom w:val="none" w:sz="0" w:space="0" w:color="auto"/>
        <w:right w:val="none" w:sz="0" w:space="0" w:color="auto"/>
      </w:divBdr>
    </w:div>
    <w:div w:id="1230186101">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34782733">
      <w:bodyDiv w:val="1"/>
      <w:marLeft w:val="0"/>
      <w:marRight w:val="0"/>
      <w:marTop w:val="0"/>
      <w:marBottom w:val="0"/>
      <w:divBdr>
        <w:top w:val="none" w:sz="0" w:space="0" w:color="auto"/>
        <w:left w:val="none" w:sz="0" w:space="0" w:color="auto"/>
        <w:bottom w:val="none" w:sz="0" w:space="0" w:color="auto"/>
        <w:right w:val="none" w:sz="0" w:space="0" w:color="auto"/>
      </w:divBdr>
    </w:div>
    <w:div w:id="1236743038">
      <w:bodyDiv w:val="1"/>
      <w:marLeft w:val="0"/>
      <w:marRight w:val="0"/>
      <w:marTop w:val="0"/>
      <w:marBottom w:val="0"/>
      <w:divBdr>
        <w:top w:val="none" w:sz="0" w:space="0" w:color="auto"/>
        <w:left w:val="none" w:sz="0" w:space="0" w:color="auto"/>
        <w:bottom w:val="none" w:sz="0" w:space="0" w:color="auto"/>
        <w:right w:val="none" w:sz="0" w:space="0" w:color="auto"/>
      </w:divBdr>
    </w:div>
    <w:div w:id="1237016803">
      <w:bodyDiv w:val="1"/>
      <w:marLeft w:val="0"/>
      <w:marRight w:val="0"/>
      <w:marTop w:val="0"/>
      <w:marBottom w:val="0"/>
      <w:divBdr>
        <w:top w:val="none" w:sz="0" w:space="0" w:color="auto"/>
        <w:left w:val="none" w:sz="0" w:space="0" w:color="auto"/>
        <w:bottom w:val="none" w:sz="0" w:space="0" w:color="auto"/>
        <w:right w:val="none" w:sz="0" w:space="0" w:color="auto"/>
      </w:divBdr>
    </w:div>
    <w:div w:id="1239092953">
      <w:bodyDiv w:val="1"/>
      <w:marLeft w:val="0"/>
      <w:marRight w:val="0"/>
      <w:marTop w:val="0"/>
      <w:marBottom w:val="0"/>
      <w:divBdr>
        <w:top w:val="none" w:sz="0" w:space="0" w:color="auto"/>
        <w:left w:val="none" w:sz="0" w:space="0" w:color="auto"/>
        <w:bottom w:val="none" w:sz="0" w:space="0" w:color="auto"/>
        <w:right w:val="none" w:sz="0" w:space="0" w:color="auto"/>
      </w:divBdr>
    </w:div>
    <w:div w:id="1239560776">
      <w:bodyDiv w:val="1"/>
      <w:marLeft w:val="0"/>
      <w:marRight w:val="0"/>
      <w:marTop w:val="0"/>
      <w:marBottom w:val="0"/>
      <w:divBdr>
        <w:top w:val="none" w:sz="0" w:space="0" w:color="auto"/>
        <w:left w:val="none" w:sz="0" w:space="0" w:color="auto"/>
        <w:bottom w:val="none" w:sz="0" w:space="0" w:color="auto"/>
        <w:right w:val="none" w:sz="0" w:space="0" w:color="auto"/>
      </w:divBdr>
    </w:div>
    <w:div w:id="1242566843">
      <w:bodyDiv w:val="1"/>
      <w:marLeft w:val="0"/>
      <w:marRight w:val="0"/>
      <w:marTop w:val="0"/>
      <w:marBottom w:val="0"/>
      <w:divBdr>
        <w:top w:val="none" w:sz="0" w:space="0" w:color="auto"/>
        <w:left w:val="none" w:sz="0" w:space="0" w:color="auto"/>
        <w:bottom w:val="none" w:sz="0" w:space="0" w:color="auto"/>
        <w:right w:val="none" w:sz="0" w:space="0" w:color="auto"/>
      </w:divBdr>
    </w:div>
    <w:div w:id="1244530516">
      <w:bodyDiv w:val="1"/>
      <w:marLeft w:val="0"/>
      <w:marRight w:val="0"/>
      <w:marTop w:val="0"/>
      <w:marBottom w:val="0"/>
      <w:divBdr>
        <w:top w:val="none" w:sz="0" w:space="0" w:color="auto"/>
        <w:left w:val="none" w:sz="0" w:space="0" w:color="auto"/>
        <w:bottom w:val="none" w:sz="0" w:space="0" w:color="auto"/>
        <w:right w:val="none" w:sz="0" w:space="0" w:color="auto"/>
      </w:divBdr>
    </w:div>
    <w:div w:id="1245266981">
      <w:bodyDiv w:val="1"/>
      <w:marLeft w:val="0"/>
      <w:marRight w:val="0"/>
      <w:marTop w:val="0"/>
      <w:marBottom w:val="0"/>
      <w:divBdr>
        <w:top w:val="none" w:sz="0" w:space="0" w:color="auto"/>
        <w:left w:val="none" w:sz="0" w:space="0" w:color="auto"/>
        <w:bottom w:val="none" w:sz="0" w:space="0" w:color="auto"/>
        <w:right w:val="none" w:sz="0" w:space="0" w:color="auto"/>
      </w:divBdr>
    </w:div>
    <w:div w:id="1246068616">
      <w:bodyDiv w:val="1"/>
      <w:marLeft w:val="0"/>
      <w:marRight w:val="0"/>
      <w:marTop w:val="0"/>
      <w:marBottom w:val="0"/>
      <w:divBdr>
        <w:top w:val="none" w:sz="0" w:space="0" w:color="auto"/>
        <w:left w:val="none" w:sz="0" w:space="0" w:color="auto"/>
        <w:bottom w:val="none" w:sz="0" w:space="0" w:color="auto"/>
        <w:right w:val="none" w:sz="0" w:space="0" w:color="auto"/>
      </w:divBdr>
    </w:div>
    <w:div w:id="1247692586">
      <w:bodyDiv w:val="1"/>
      <w:marLeft w:val="0"/>
      <w:marRight w:val="0"/>
      <w:marTop w:val="0"/>
      <w:marBottom w:val="0"/>
      <w:divBdr>
        <w:top w:val="none" w:sz="0" w:space="0" w:color="auto"/>
        <w:left w:val="none" w:sz="0" w:space="0" w:color="auto"/>
        <w:bottom w:val="none" w:sz="0" w:space="0" w:color="auto"/>
        <w:right w:val="none" w:sz="0" w:space="0" w:color="auto"/>
      </w:divBdr>
    </w:div>
    <w:div w:id="1249192376">
      <w:bodyDiv w:val="1"/>
      <w:marLeft w:val="0"/>
      <w:marRight w:val="0"/>
      <w:marTop w:val="0"/>
      <w:marBottom w:val="0"/>
      <w:divBdr>
        <w:top w:val="none" w:sz="0" w:space="0" w:color="auto"/>
        <w:left w:val="none" w:sz="0" w:space="0" w:color="auto"/>
        <w:bottom w:val="none" w:sz="0" w:space="0" w:color="auto"/>
        <w:right w:val="none" w:sz="0" w:space="0" w:color="auto"/>
      </w:divBdr>
    </w:div>
    <w:div w:id="1254823752">
      <w:bodyDiv w:val="1"/>
      <w:marLeft w:val="0"/>
      <w:marRight w:val="0"/>
      <w:marTop w:val="0"/>
      <w:marBottom w:val="0"/>
      <w:divBdr>
        <w:top w:val="none" w:sz="0" w:space="0" w:color="auto"/>
        <w:left w:val="none" w:sz="0" w:space="0" w:color="auto"/>
        <w:bottom w:val="none" w:sz="0" w:space="0" w:color="auto"/>
        <w:right w:val="none" w:sz="0" w:space="0" w:color="auto"/>
      </w:divBdr>
    </w:div>
    <w:div w:id="1256403562">
      <w:bodyDiv w:val="1"/>
      <w:marLeft w:val="0"/>
      <w:marRight w:val="0"/>
      <w:marTop w:val="0"/>
      <w:marBottom w:val="0"/>
      <w:divBdr>
        <w:top w:val="none" w:sz="0" w:space="0" w:color="auto"/>
        <w:left w:val="none" w:sz="0" w:space="0" w:color="auto"/>
        <w:bottom w:val="none" w:sz="0" w:space="0" w:color="auto"/>
        <w:right w:val="none" w:sz="0" w:space="0" w:color="auto"/>
      </w:divBdr>
    </w:div>
    <w:div w:id="1256595348">
      <w:bodyDiv w:val="1"/>
      <w:marLeft w:val="0"/>
      <w:marRight w:val="0"/>
      <w:marTop w:val="0"/>
      <w:marBottom w:val="0"/>
      <w:divBdr>
        <w:top w:val="none" w:sz="0" w:space="0" w:color="auto"/>
        <w:left w:val="none" w:sz="0" w:space="0" w:color="auto"/>
        <w:bottom w:val="none" w:sz="0" w:space="0" w:color="auto"/>
        <w:right w:val="none" w:sz="0" w:space="0" w:color="auto"/>
      </w:divBdr>
    </w:div>
    <w:div w:id="1265768393">
      <w:bodyDiv w:val="1"/>
      <w:marLeft w:val="0"/>
      <w:marRight w:val="0"/>
      <w:marTop w:val="0"/>
      <w:marBottom w:val="0"/>
      <w:divBdr>
        <w:top w:val="none" w:sz="0" w:space="0" w:color="auto"/>
        <w:left w:val="none" w:sz="0" w:space="0" w:color="auto"/>
        <w:bottom w:val="none" w:sz="0" w:space="0" w:color="auto"/>
        <w:right w:val="none" w:sz="0" w:space="0" w:color="auto"/>
      </w:divBdr>
    </w:div>
    <w:div w:id="1266382813">
      <w:bodyDiv w:val="1"/>
      <w:marLeft w:val="0"/>
      <w:marRight w:val="0"/>
      <w:marTop w:val="0"/>
      <w:marBottom w:val="0"/>
      <w:divBdr>
        <w:top w:val="none" w:sz="0" w:space="0" w:color="auto"/>
        <w:left w:val="none" w:sz="0" w:space="0" w:color="auto"/>
        <w:bottom w:val="none" w:sz="0" w:space="0" w:color="auto"/>
        <w:right w:val="none" w:sz="0" w:space="0" w:color="auto"/>
      </w:divBdr>
    </w:div>
    <w:div w:id="1267813720">
      <w:bodyDiv w:val="1"/>
      <w:marLeft w:val="0"/>
      <w:marRight w:val="0"/>
      <w:marTop w:val="0"/>
      <w:marBottom w:val="0"/>
      <w:divBdr>
        <w:top w:val="none" w:sz="0" w:space="0" w:color="auto"/>
        <w:left w:val="none" w:sz="0" w:space="0" w:color="auto"/>
        <w:bottom w:val="none" w:sz="0" w:space="0" w:color="auto"/>
        <w:right w:val="none" w:sz="0" w:space="0" w:color="auto"/>
      </w:divBdr>
    </w:div>
    <w:div w:id="1267957224">
      <w:bodyDiv w:val="1"/>
      <w:marLeft w:val="0"/>
      <w:marRight w:val="0"/>
      <w:marTop w:val="0"/>
      <w:marBottom w:val="0"/>
      <w:divBdr>
        <w:top w:val="none" w:sz="0" w:space="0" w:color="auto"/>
        <w:left w:val="none" w:sz="0" w:space="0" w:color="auto"/>
        <w:bottom w:val="none" w:sz="0" w:space="0" w:color="auto"/>
        <w:right w:val="none" w:sz="0" w:space="0" w:color="auto"/>
      </w:divBdr>
    </w:div>
    <w:div w:id="1271819831">
      <w:bodyDiv w:val="1"/>
      <w:marLeft w:val="0"/>
      <w:marRight w:val="0"/>
      <w:marTop w:val="0"/>
      <w:marBottom w:val="0"/>
      <w:divBdr>
        <w:top w:val="none" w:sz="0" w:space="0" w:color="auto"/>
        <w:left w:val="none" w:sz="0" w:space="0" w:color="auto"/>
        <w:bottom w:val="none" w:sz="0" w:space="0" w:color="auto"/>
        <w:right w:val="none" w:sz="0" w:space="0" w:color="auto"/>
      </w:divBdr>
    </w:div>
    <w:div w:id="1272737090">
      <w:bodyDiv w:val="1"/>
      <w:marLeft w:val="0"/>
      <w:marRight w:val="0"/>
      <w:marTop w:val="0"/>
      <w:marBottom w:val="0"/>
      <w:divBdr>
        <w:top w:val="none" w:sz="0" w:space="0" w:color="auto"/>
        <w:left w:val="none" w:sz="0" w:space="0" w:color="auto"/>
        <w:bottom w:val="none" w:sz="0" w:space="0" w:color="auto"/>
        <w:right w:val="none" w:sz="0" w:space="0" w:color="auto"/>
      </w:divBdr>
    </w:div>
    <w:div w:id="1272741097">
      <w:bodyDiv w:val="1"/>
      <w:marLeft w:val="0"/>
      <w:marRight w:val="0"/>
      <w:marTop w:val="0"/>
      <w:marBottom w:val="0"/>
      <w:divBdr>
        <w:top w:val="none" w:sz="0" w:space="0" w:color="auto"/>
        <w:left w:val="none" w:sz="0" w:space="0" w:color="auto"/>
        <w:bottom w:val="none" w:sz="0" w:space="0" w:color="auto"/>
        <w:right w:val="none" w:sz="0" w:space="0" w:color="auto"/>
      </w:divBdr>
    </w:div>
    <w:div w:id="1274436378">
      <w:bodyDiv w:val="1"/>
      <w:marLeft w:val="0"/>
      <w:marRight w:val="0"/>
      <w:marTop w:val="0"/>
      <w:marBottom w:val="0"/>
      <w:divBdr>
        <w:top w:val="none" w:sz="0" w:space="0" w:color="auto"/>
        <w:left w:val="none" w:sz="0" w:space="0" w:color="auto"/>
        <w:bottom w:val="none" w:sz="0" w:space="0" w:color="auto"/>
        <w:right w:val="none" w:sz="0" w:space="0" w:color="auto"/>
      </w:divBdr>
    </w:div>
    <w:div w:id="1276518630">
      <w:bodyDiv w:val="1"/>
      <w:marLeft w:val="0"/>
      <w:marRight w:val="0"/>
      <w:marTop w:val="0"/>
      <w:marBottom w:val="0"/>
      <w:divBdr>
        <w:top w:val="none" w:sz="0" w:space="0" w:color="auto"/>
        <w:left w:val="none" w:sz="0" w:space="0" w:color="auto"/>
        <w:bottom w:val="none" w:sz="0" w:space="0" w:color="auto"/>
        <w:right w:val="none" w:sz="0" w:space="0" w:color="auto"/>
      </w:divBdr>
    </w:div>
    <w:div w:id="1276795112">
      <w:bodyDiv w:val="1"/>
      <w:marLeft w:val="0"/>
      <w:marRight w:val="0"/>
      <w:marTop w:val="0"/>
      <w:marBottom w:val="0"/>
      <w:divBdr>
        <w:top w:val="none" w:sz="0" w:space="0" w:color="auto"/>
        <w:left w:val="none" w:sz="0" w:space="0" w:color="auto"/>
        <w:bottom w:val="none" w:sz="0" w:space="0" w:color="auto"/>
        <w:right w:val="none" w:sz="0" w:space="0" w:color="auto"/>
      </w:divBdr>
    </w:div>
    <w:div w:id="1277641132">
      <w:bodyDiv w:val="1"/>
      <w:marLeft w:val="0"/>
      <w:marRight w:val="0"/>
      <w:marTop w:val="0"/>
      <w:marBottom w:val="0"/>
      <w:divBdr>
        <w:top w:val="none" w:sz="0" w:space="0" w:color="auto"/>
        <w:left w:val="none" w:sz="0" w:space="0" w:color="auto"/>
        <w:bottom w:val="none" w:sz="0" w:space="0" w:color="auto"/>
        <w:right w:val="none" w:sz="0" w:space="0" w:color="auto"/>
      </w:divBdr>
    </w:div>
    <w:div w:id="1285037985">
      <w:bodyDiv w:val="1"/>
      <w:marLeft w:val="0"/>
      <w:marRight w:val="0"/>
      <w:marTop w:val="0"/>
      <w:marBottom w:val="0"/>
      <w:divBdr>
        <w:top w:val="none" w:sz="0" w:space="0" w:color="auto"/>
        <w:left w:val="none" w:sz="0" w:space="0" w:color="auto"/>
        <w:bottom w:val="none" w:sz="0" w:space="0" w:color="auto"/>
        <w:right w:val="none" w:sz="0" w:space="0" w:color="auto"/>
      </w:divBdr>
    </w:div>
    <w:div w:id="1289166967">
      <w:bodyDiv w:val="1"/>
      <w:marLeft w:val="0"/>
      <w:marRight w:val="0"/>
      <w:marTop w:val="0"/>
      <w:marBottom w:val="0"/>
      <w:divBdr>
        <w:top w:val="none" w:sz="0" w:space="0" w:color="auto"/>
        <w:left w:val="none" w:sz="0" w:space="0" w:color="auto"/>
        <w:bottom w:val="none" w:sz="0" w:space="0" w:color="auto"/>
        <w:right w:val="none" w:sz="0" w:space="0" w:color="auto"/>
      </w:divBdr>
    </w:div>
    <w:div w:id="1289774267">
      <w:bodyDiv w:val="1"/>
      <w:marLeft w:val="0"/>
      <w:marRight w:val="0"/>
      <w:marTop w:val="0"/>
      <w:marBottom w:val="0"/>
      <w:divBdr>
        <w:top w:val="none" w:sz="0" w:space="0" w:color="auto"/>
        <w:left w:val="none" w:sz="0" w:space="0" w:color="auto"/>
        <w:bottom w:val="none" w:sz="0" w:space="0" w:color="auto"/>
        <w:right w:val="none" w:sz="0" w:space="0" w:color="auto"/>
      </w:divBdr>
    </w:div>
    <w:div w:id="1290628555">
      <w:bodyDiv w:val="1"/>
      <w:marLeft w:val="0"/>
      <w:marRight w:val="0"/>
      <w:marTop w:val="0"/>
      <w:marBottom w:val="0"/>
      <w:divBdr>
        <w:top w:val="none" w:sz="0" w:space="0" w:color="auto"/>
        <w:left w:val="none" w:sz="0" w:space="0" w:color="auto"/>
        <w:bottom w:val="none" w:sz="0" w:space="0" w:color="auto"/>
        <w:right w:val="none" w:sz="0" w:space="0" w:color="auto"/>
      </w:divBdr>
    </w:div>
    <w:div w:id="1291012121">
      <w:bodyDiv w:val="1"/>
      <w:marLeft w:val="0"/>
      <w:marRight w:val="0"/>
      <w:marTop w:val="0"/>
      <w:marBottom w:val="0"/>
      <w:divBdr>
        <w:top w:val="none" w:sz="0" w:space="0" w:color="auto"/>
        <w:left w:val="none" w:sz="0" w:space="0" w:color="auto"/>
        <w:bottom w:val="none" w:sz="0" w:space="0" w:color="auto"/>
        <w:right w:val="none" w:sz="0" w:space="0" w:color="auto"/>
      </w:divBdr>
    </w:div>
    <w:div w:id="1291204769">
      <w:bodyDiv w:val="1"/>
      <w:marLeft w:val="0"/>
      <w:marRight w:val="0"/>
      <w:marTop w:val="0"/>
      <w:marBottom w:val="0"/>
      <w:divBdr>
        <w:top w:val="none" w:sz="0" w:space="0" w:color="auto"/>
        <w:left w:val="none" w:sz="0" w:space="0" w:color="auto"/>
        <w:bottom w:val="none" w:sz="0" w:space="0" w:color="auto"/>
        <w:right w:val="none" w:sz="0" w:space="0" w:color="auto"/>
      </w:divBdr>
    </w:div>
    <w:div w:id="1294024076">
      <w:bodyDiv w:val="1"/>
      <w:marLeft w:val="0"/>
      <w:marRight w:val="0"/>
      <w:marTop w:val="0"/>
      <w:marBottom w:val="0"/>
      <w:divBdr>
        <w:top w:val="none" w:sz="0" w:space="0" w:color="auto"/>
        <w:left w:val="none" w:sz="0" w:space="0" w:color="auto"/>
        <w:bottom w:val="none" w:sz="0" w:space="0" w:color="auto"/>
        <w:right w:val="none" w:sz="0" w:space="0" w:color="auto"/>
      </w:divBdr>
    </w:div>
    <w:div w:id="1295866860">
      <w:bodyDiv w:val="1"/>
      <w:marLeft w:val="0"/>
      <w:marRight w:val="0"/>
      <w:marTop w:val="0"/>
      <w:marBottom w:val="0"/>
      <w:divBdr>
        <w:top w:val="none" w:sz="0" w:space="0" w:color="auto"/>
        <w:left w:val="none" w:sz="0" w:space="0" w:color="auto"/>
        <w:bottom w:val="none" w:sz="0" w:space="0" w:color="auto"/>
        <w:right w:val="none" w:sz="0" w:space="0" w:color="auto"/>
      </w:divBdr>
    </w:div>
    <w:div w:id="1296374845">
      <w:bodyDiv w:val="1"/>
      <w:marLeft w:val="0"/>
      <w:marRight w:val="0"/>
      <w:marTop w:val="0"/>
      <w:marBottom w:val="0"/>
      <w:divBdr>
        <w:top w:val="none" w:sz="0" w:space="0" w:color="auto"/>
        <w:left w:val="none" w:sz="0" w:space="0" w:color="auto"/>
        <w:bottom w:val="none" w:sz="0" w:space="0" w:color="auto"/>
        <w:right w:val="none" w:sz="0" w:space="0" w:color="auto"/>
      </w:divBdr>
    </w:div>
    <w:div w:id="1297569691">
      <w:bodyDiv w:val="1"/>
      <w:marLeft w:val="0"/>
      <w:marRight w:val="0"/>
      <w:marTop w:val="0"/>
      <w:marBottom w:val="0"/>
      <w:divBdr>
        <w:top w:val="none" w:sz="0" w:space="0" w:color="auto"/>
        <w:left w:val="none" w:sz="0" w:space="0" w:color="auto"/>
        <w:bottom w:val="none" w:sz="0" w:space="0" w:color="auto"/>
        <w:right w:val="none" w:sz="0" w:space="0" w:color="auto"/>
      </w:divBdr>
    </w:div>
    <w:div w:id="1297951906">
      <w:bodyDiv w:val="1"/>
      <w:marLeft w:val="0"/>
      <w:marRight w:val="0"/>
      <w:marTop w:val="0"/>
      <w:marBottom w:val="0"/>
      <w:divBdr>
        <w:top w:val="none" w:sz="0" w:space="0" w:color="auto"/>
        <w:left w:val="none" w:sz="0" w:space="0" w:color="auto"/>
        <w:bottom w:val="none" w:sz="0" w:space="0" w:color="auto"/>
        <w:right w:val="none" w:sz="0" w:space="0" w:color="auto"/>
      </w:divBdr>
    </w:div>
    <w:div w:id="1301034929">
      <w:bodyDiv w:val="1"/>
      <w:marLeft w:val="0"/>
      <w:marRight w:val="0"/>
      <w:marTop w:val="0"/>
      <w:marBottom w:val="0"/>
      <w:divBdr>
        <w:top w:val="none" w:sz="0" w:space="0" w:color="auto"/>
        <w:left w:val="none" w:sz="0" w:space="0" w:color="auto"/>
        <w:bottom w:val="none" w:sz="0" w:space="0" w:color="auto"/>
        <w:right w:val="none" w:sz="0" w:space="0" w:color="auto"/>
      </w:divBdr>
    </w:div>
    <w:div w:id="1302154064">
      <w:bodyDiv w:val="1"/>
      <w:marLeft w:val="0"/>
      <w:marRight w:val="0"/>
      <w:marTop w:val="0"/>
      <w:marBottom w:val="0"/>
      <w:divBdr>
        <w:top w:val="none" w:sz="0" w:space="0" w:color="auto"/>
        <w:left w:val="none" w:sz="0" w:space="0" w:color="auto"/>
        <w:bottom w:val="none" w:sz="0" w:space="0" w:color="auto"/>
        <w:right w:val="none" w:sz="0" w:space="0" w:color="auto"/>
      </w:divBdr>
    </w:div>
    <w:div w:id="1303849340">
      <w:bodyDiv w:val="1"/>
      <w:marLeft w:val="0"/>
      <w:marRight w:val="0"/>
      <w:marTop w:val="0"/>
      <w:marBottom w:val="0"/>
      <w:divBdr>
        <w:top w:val="none" w:sz="0" w:space="0" w:color="auto"/>
        <w:left w:val="none" w:sz="0" w:space="0" w:color="auto"/>
        <w:bottom w:val="none" w:sz="0" w:space="0" w:color="auto"/>
        <w:right w:val="none" w:sz="0" w:space="0" w:color="auto"/>
      </w:divBdr>
    </w:div>
    <w:div w:id="1305891836">
      <w:bodyDiv w:val="1"/>
      <w:marLeft w:val="0"/>
      <w:marRight w:val="0"/>
      <w:marTop w:val="0"/>
      <w:marBottom w:val="0"/>
      <w:divBdr>
        <w:top w:val="none" w:sz="0" w:space="0" w:color="auto"/>
        <w:left w:val="none" w:sz="0" w:space="0" w:color="auto"/>
        <w:bottom w:val="none" w:sz="0" w:space="0" w:color="auto"/>
        <w:right w:val="none" w:sz="0" w:space="0" w:color="auto"/>
      </w:divBdr>
    </w:div>
    <w:div w:id="1308583537">
      <w:bodyDiv w:val="1"/>
      <w:marLeft w:val="0"/>
      <w:marRight w:val="0"/>
      <w:marTop w:val="0"/>
      <w:marBottom w:val="0"/>
      <w:divBdr>
        <w:top w:val="none" w:sz="0" w:space="0" w:color="auto"/>
        <w:left w:val="none" w:sz="0" w:space="0" w:color="auto"/>
        <w:bottom w:val="none" w:sz="0" w:space="0" w:color="auto"/>
        <w:right w:val="none" w:sz="0" w:space="0" w:color="auto"/>
      </w:divBdr>
    </w:div>
    <w:div w:id="1313605266">
      <w:bodyDiv w:val="1"/>
      <w:marLeft w:val="0"/>
      <w:marRight w:val="0"/>
      <w:marTop w:val="0"/>
      <w:marBottom w:val="0"/>
      <w:divBdr>
        <w:top w:val="none" w:sz="0" w:space="0" w:color="auto"/>
        <w:left w:val="none" w:sz="0" w:space="0" w:color="auto"/>
        <w:bottom w:val="none" w:sz="0" w:space="0" w:color="auto"/>
        <w:right w:val="none" w:sz="0" w:space="0" w:color="auto"/>
      </w:divBdr>
    </w:div>
    <w:div w:id="1315572321">
      <w:bodyDiv w:val="1"/>
      <w:marLeft w:val="0"/>
      <w:marRight w:val="0"/>
      <w:marTop w:val="0"/>
      <w:marBottom w:val="0"/>
      <w:divBdr>
        <w:top w:val="none" w:sz="0" w:space="0" w:color="auto"/>
        <w:left w:val="none" w:sz="0" w:space="0" w:color="auto"/>
        <w:bottom w:val="none" w:sz="0" w:space="0" w:color="auto"/>
        <w:right w:val="none" w:sz="0" w:space="0" w:color="auto"/>
      </w:divBdr>
    </w:div>
    <w:div w:id="1317077387">
      <w:bodyDiv w:val="1"/>
      <w:marLeft w:val="0"/>
      <w:marRight w:val="0"/>
      <w:marTop w:val="0"/>
      <w:marBottom w:val="0"/>
      <w:divBdr>
        <w:top w:val="none" w:sz="0" w:space="0" w:color="auto"/>
        <w:left w:val="none" w:sz="0" w:space="0" w:color="auto"/>
        <w:bottom w:val="none" w:sz="0" w:space="0" w:color="auto"/>
        <w:right w:val="none" w:sz="0" w:space="0" w:color="auto"/>
      </w:divBdr>
    </w:div>
    <w:div w:id="1322926932">
      <w:bodyDiv w:val="1"/>
      <w:marLeft w:val="0"/>
      <w:marRight w:val="0"/>
      <w:marTop w:val="0"/>
      <w:marBottom w:val="0"/>
      <w:divBdr>
        <w:top w:val="none" w:sz="0" w:space="0" w:color="auto"/>
        <w:left w:val="none" w:sz="0" w:space="0" w:color="auto"/>
        <w:bottom w:val="none" w:sz="0" w:space="0" w:color="auto"/>
        <w:right w:val="none" w:sz="0" w:space="0" w:color="auto"/>
      </w:divBdr>
    </w:div>
    <w:div w:id="1325157741">
      <w:bodyDiv w:val="1"/>
      <w:marLeft w:val="0"/>
      <w:marRight w:val="0"/>
      <w:marTop w:val="0"/>
      <w:marBottom w:val="0"/>
      <w:divBdr>
        <w:top w:val="none" w:sz="0" w:space="0" w:color="auto"/>
        <w:left w:val="none" w:sz="0" w:space="0" w:color="auto"/>
        <w:bottom w:val="none" w:sz="0" w:space="0" w:color="auto"/>
        <w:right w:val="none" w:sz="0" w:space="0" w:color="auto"/>
      </w:divBdr>
    </w:div>
    <w:div w:id="1327395000">
      <w:bodyDiv w:val="1"/>
      <w:marLeft w:val="0"/>
      <w:marRight w:val="0"/>
      <w:marTop w:val="0"/>
      <w:marBottom w:val="0"/>
      <w:divBdr>
        <w:top w:val="none" w:sz="0" w:space="0" w:color="auto"/>
        <w:left w:val="none" w:sz="0" w:space="0" w:color="auto"/>
        <w:bottom w:val="none" w:sz="0" w:space="0" w:color="auto"/>
        <w:right w:val="none" w:sz="0" w:space="0" w:color="auto"/>
      </w:divBdr>
    </w:div>
    <w:div w:id="1327784483">
      <w:bodyDiv w:val="1"/>
      <w:marLeft w:val="0"/>
      <w:marRight w:val="0"/>
      <w:marTop w:val="0"/>
      <w:marBottom w:val="0"/>
      <w:divBdr>
        <w:top w:val="none" w:sz="0" w:space="0" w:color="auto"/>
        <w:left w:val="none" w:sz="0" w:space="0" w:color="auto"/>
        <w:bottom w:val="none" w:sz="0" w:space="0" w:color="auto"/>
        <w:right w:val="none" w:sz="0" w:space="0" w:color="auto"/>
      </w:divBdr>
    </w:div>
    <w:div w:id="1330210373">
      <w:bodyDiv w:val="1"/>
      <w:marLeft w:val="0"/>
      <w:marRight w:val="0"/>
      <w:marTop w:val="0"/>
      <w:marBottom w:val="0"/>
      <w:divBdr>
        <w:top w:val="none" w:sz="0" w:space="0" w:color="auto"/>
        <w:left w:val="none" w:sz="0" w:space="0" w:color="auto"/>
        <w:bottom w:val="none" w:sz="0" w:space="0" w:color="auto"/>
        <w:right w:val="none" w:sz="0" w:space="0" w:color="auto"/>
      </w:divBdr>
    </w:div>
    <w:div w:id="1330450691">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1837767">
      <w:bodyDiv w:val="1"/>
      <w:marLeft w:val="0"/>
      <w:marRight w:val="0"/>
      <w:marTop w:val="0"/>
      <w:marBottom w:val="0"/>
      <w:divBdr>
        <w:top w:val="none" w:sz="0" w:space="0" w:color="auto"/>
        <w:left w:val="none" w:sz="0" w:space="0" w:color="auto"/>
        <w:bottom w:val="none" w:sz="0" w:space="0" w:color="auto"/>
        <w:right w:val="none" w:sz="0" w:space="0" w:color="auto"/>
      </w:divBdr>
    </w:div>
    <w:div w:id="1332222442">
      <w:bodyDiv w:val="1"/>
      <w:marLeft w:val="0"/>
      <w:marRight w:val="0"/>
      <w:marTop w:val="0"/>
      <w:marBottom w:val="0"/>
      <w:divBdr>
        <w:top w:val="none" w:sz="0" w:space="0" w:color="auto"/>
        <w:left w:val="none" w:sz="0" w:space="0" w:color="auto"/>
        <w:bottom w:val="none" w:sz="0" w:space="0" w:color="auto"/>
        <w:right w:val="none" w:sz="0" w:space="0" w:color="auto"/>
      </w:divBdr>
    </w:div>
    <w:div w:id="1332413515">
      <w:bodyDiv w:val="1"/>
      <w:marLeft w:val="0"/>
      <w:marRight w:val="0"/>
      <w:marTop w:val="0"/>
      <w:marBottom w:val="0"/>
      <w:divBdr>
        <w:top w:val="none" w:sz="0" w:space="0" w:color="auto"/>
        <w:left w:val="none" w:sz="0" w:space="0" w:color="auto"/>
        <w:bottom w:val="none" w:sz="0" w:space="0" w:color="auto"/>
        <w:right w:val="none" w:sz="0" w:space="0" w:color="auto"/>
      </w:divBdr>
    </w:div>
    <w:div w:id="1336029223">
      <w:bodyDiv w:val="1"/>
      <w:marLeft w:val="0"/>
      <w:marRight w:val="0"/>
      <w:marTop w:val="0"/>
      <w:marBottom w:val="0"/>
      <w:divBdr>
        <w:top w:val="none" w:sz="0" w:space="0" w:color="auto"/>
        <w:left w:val="none" w:sz="0" w:space="0" w:color="auto"/>
        <w:bottom w:val="none" w:sz="0" w:space="0" w:color="auto"/>
        <w:right w:val="none" w:sz="0" w:space="0" w:color="auto"/>
      </w:divBdr>
    </w:div>
    <w:div w:id="1336500109">
      <w:bodyDiv w:val="1"/>
      <w:marLeft w:val="0"/>
      <w:marRight w:val="0"/>
      <w:marTop w:val="0"/>
      <w:marBottom w:val="0"/>
      <w:divBdr>
        <w:top w:val="none" w:sz="0" w:space="0" w:color="auto"/>
        <w:left w:val="none" w:sz="0" w:space="0" w:color="auto"/>
        <w:bottom w:val="none" w:sz="0" w:space="0" w:color="auto"/>
        <w:right w:val="none" w:sz="0" w:space="0" w:color="auto"/>
      </w:divBdr>
    </w:div>
    <w:div w:id="1337340847">
      <w:bodyDiv w:val="1"/>
      <w:marLeft w:val="0"/>
      <w:marRight w:val="0"/>
      <w:marTop w:val="0"/>
      <w:marBottom w:val="0"/>
      <w:divBdr>
        <w:top w:val="none" w:sz="0" w:space="0" w:color="auto"/>
        <w:left w:val="none" w:sz="0" w:space="0" w:color="auto"/>
        <w:bottom w:val="none" w:sz="0" w:space="0" w:color="auto"/>
        <w:right w:val="none" w:sz="0" w:space="0" w:color="auto"/>
      </w:divBdr>
    </w:div>
    <w:div w:id="1338265386">
      <w:bodyDiv w:val="1"/>
      <w:marLeft w:val="0"/>
      <w:marRight w:val="0"/>
      <w:marTop w:val="0"/>
      <w:marBottom w:val="0"/>
      <w:divBdr>
        <w:top w:val="none" w:sz="0" w:space="0" w:color="auto"/>
        <w:left w:val="none" w:sz="0" w:space="0" w:color="auto"/>
        <w:bottom w:val="none" w:sz="0" w:space="0" w:color="auto"/>
        <w:right w:val="none" w:sz="0" w:space="0" w:color="auto"/>
      </w:divBdr>
    </w:div>
    <w:div w:id="1342582655">
      <w:bodyDiv w:val="1"/>
      <w:marLeft w:val="0"/>
      <w:marRight w:val="0"/>
      <w:marTop w:val="0"/>
      <w:marBottom w:val="0"/>
      <w:divBdr>
        <w:top w:val="none" w:sz="0" w:space="0" w:color="auto"/>
        <w:left w:val="none" w:sz="0" w:space="0" w:color="auto"/>
        <w:bottom w:val="none" w:sz="0" w:space="0" w:color="auto"/>
        <w:right w:val="none" w:sz="0" w:space="0" w:color="auto"/>
      </w:divBdr>
    </w:div>
    <w:div w:id="1345085236">
      <w:bodyDiv w:val="1"/>
      <w:marLeft w:val="0"/>
      <w:marRight w:val="0"/>
      <w:marTop w:val="0"/>
      <w:marBottom w:val="0"/>
      <w:divBdr>
        <w:top w:val="none" w:sz="0" w:space="0" w:color="auto"/>
        <w:left w:val="none" w:sz="0" w:space="0" w:color="auto"/>
        <w:bottom w:val="none" w:sz="0" w:space="0" w:color="auto"/>
        <w:right w:val="none" w:sz="0" w:space="0" w:color="auto"/>
      </w:divBdr>
    </w:div>
    <w:div w:id="1356035547">
      <w:bodyDiv w:val="1"/>
      <w:marLeft w:val="0"/>
      <w:marRight w:val="0"/>
      <w:marTop w:val="0"/>
      <w:marBottom w:val="0"/>
      <w:divBdr>
        <w:top w:val="none" w:sz="0" w:space="0" w:color="auto"/>
        <w:left w:val="none" w:sz="0" w:space="0" w:color="auto"/>
        <w:bottom w:val="none" w:sz="0" w:space="0" w:color="auto"/>
        <w:right w:val="none" w:sz="0" w:space="0" w:color="auto"/>
      </w:divBdr>
    </w:div>
    <w:div w:id="1356542339">
      <w:bodyDiv w:val="1"/>
      <w:marLeft w:val="0"/>
      <w:marRight w:val="0"/>
      <w:marTop w:val="0"/>
      <w:marBottom w:val="0"/>
      <w:divBdr>
        <w:top w:val="none" w:sz="0" w:space="0" w:color="auto"/>
        <w:left w:val="none" w:sz="0" w:space="0" w:color="auto"/>
        <w:bottom w:val="none" w:sz="0" w:space="0" w:color="auto"/>
        <w:right w:val="none" w:sz="0" w:space="0" w:color="auto"/>
      </w:divBdr>
    </w:div>
    <w:div w:id="1360155928">
      <w:bodyDiv w:val="1"/>
      <w:marLeft w:val="0"/>
      <w:marRight w:val="0"/>
      <w:marTop w:val="0"/>
      <w:marBottom w:val="0"/>
      <w:divBdr>
        <w:top w:val="none" w:sz="0" w:space="0" w:color="auto"/>
        <w:left w:val="none" w:sz="0" w:space="0" w:color="auto"/>
        <w:bottom w:val="none" w:sz="0" w:space="0" w:color="auto"/>
        <w:right w:val="none" w:sz="0" w:space="0" w:color="auto"/>
      </w:divBdr>
    </w:div>
    <w:div w:id="1362128085">
      <w:bodyDiv w:val="1"/>
      <w:marLeft w:val="0"/>
      <w:marRight w:val="0"/>
      <w:marTop w:val="0"/>
      <w:marBottom w:val="0"/>
      <w:divBdr>
        <w:top w:val="none" w:sz="0" w:space="0" w:color="auto"/>
        <w:left w:val="none" w:sz="0" w:space="0" w:color="auto"/>
        <w:bottom w:val="none" w:sz="0" w:space="0" w:color="auto"/>
        <w:right w:val="none" w:sz="0" w:space="0" w:color="auto"/>
      </w:divBdr>
    </w:div>
    <w:div w:id="1364210622">
      <w:bodyDiv w:val="1"/>
      <w:marLeft w:val="0"/>
      <w:marRight w:val="0"/>
      <w:marTop w:val="0"/>
      <w:marBottom w:val="0"/>
      <w:divBdr>
        <w:top w:val="none" w:sz="0" w:space="0" w:color="auto"/>
        <w:left w:val="none" w:sz="0" w:space="0" w:color="auto"/>
        <w:bottom w:val="none" w:sz="0" w:space="0" w:color="auto"/>
        <w:right w:val="none" w:sz="0" w:space="0" w:color="auto"/>
      </w:divBdr>
    </w:div>
    <w:div w:id="1367559895">
      <w:bodyDiv w:val="1"/>
      <w:marLeft w:val="0"/>
      <w:marRight w:val="0"/>
      <w:marTop w:val="0"/>
      <w:marBottom w:val="0"/>
      <w:divBdr>
        <w:top w:val="none" w:sz="0" w:space="0" w:color="auto"/>
        <w:left w:val="none" w:sz="0" w:space="0" w:color="auto"/>
        <w:bottom w:val="none" w:sz="0" w:space="0" w:color="auto"/>
        <w:right w:val="none" w:sz="0" w:space="0" w:color="auto"/>
      </w:divBdr>
    </w:div>
    <w:div w:id="1368212954">
      <w:bodyDiv w:val="1"/>
      <w:marLeft w:val="0"/>
      <w:marRight w:val="0"/>
      <w:marTop w:val="0"/>
      <w:marBottom w:val="0"/>
      <w:divBdr>
        <w:top w:val="none" w:sz="0" w:space="0" w:color="auto"/>
        <w:left w:val="none" w:sz="0" w:space="0" w:color="auto"/>
        <w:bottom w:val="none" w:sz="0" w:space="0" w:color="auto"/>
        <w:right w:val="none" w:sz="0" w:space="0" w:color="auto"/>
      </w:divBdr>
    </w:div>
    <w:div w:id="1369454383">
      <w:bodyDiv w:val="1"/>
      <w:marLeft w:val="0"/>
      <w:marRight w:val="0"/>
      <w:marTop w:val="0"/>
      <w:marBottom w:val="0"/>
      <w:divBdr>
        <w:top w:val="none" w:sz="0" w:space="0" w:color="auto"/>
        <w:left w:val="none" w:sz="0" w:space="0" w:color="auto"/>
        <w:bottom w:val="none" w:sz="0" w:space="0" w:color="auto"/>
        <w:right w:val="none" w:sz="0" w:space="0" w:color="auto"/>
      </w:divBdr>
    </w:div>
    <w:div w:id="1370107655">
      <w:bodyDiv w:val="1"/>
      <w:marLeft w:val="0"/>
      <w:marRight w:val="0"/>
      <w:marTop w:val="0"/>
      <w:marBottom w:val="0"/>
      <w:divBdr>
        <w:top w:val="none" w:sz="0" w:space="0" w:color="auto"/>
        <w:left w:val="none" w:sz="0" w:space="0" w:color="auto"/>
        <w:bottom w:val="none" w:sz="0" w:space="0" w:color="auto"/>
        <w:right w:val="none" w:sz="0" w:space="0" w:color="auto"/>
      </w:divBdr>
    </w:div>
    <w:div w:id="1370187052">
      <w:bodyDiv w:val="1"/>
      <w:marLeft w:val="0"/>
      <w:marRight w:val="0"/>
      <w:marTop w:val="0"/>
      <w:marBottom w:val="0"/>
      <w:divBdr>
        <w:top w:val="none" w:sz="0" w:space="0" w:color="auto"/>
        <w:left w:val="none" w:sz="0" w:space="0" w:color="auto"/>
        <w:bottom w:val="none" w:sz="0" w:space="0" w:color="auto"/>
        <w:right w:val="none" w:sz="0" w:space="0" w:color="auto"/>
      </w:divBdr>
    </w:div>
    <w:div w:id="1372655402">
      <w:bodyDiv w:val="1"/>
      <w:marLeft w:val="0"/>
      <w:marRight w:val="0"/>
      <w:marTop w:val="0"/>
      <w:marBottom w:val="0"/>
      <w:divBdr>
        <w:top w:val="none" w:sz="0" w:space="0" w:color="auto"/>
        <w:left w:val="none" w:sz="0" w:space="0" w:color="auto"/>
        <w:bottom w:val="none" w:sz="0" w:space="0" w:color="auto"/>
        <w:right w:val="none" w:sz="0" w:space="0" w:color="auto"/>
      </w:divBdr>
    </w:div>
    <w:div w:id="1373001552">
      <w:bodyDiv w:val="1"/>
      <w:marLeft w:val="0"/>
      <w:marRight w:val="0"/>
      <w:marTop w:val="0"/>
      <w:marBottom w:val="0"/>
      <w:divBdr>
        <w:top w:val="none" w:sz="0" w:space="0" w:color="auto"/>
        <w:left w:val="none" w:sz="0" w:space="0" w:color="auto"/>
        <w:bottom w:val="none" w:sz="0" w:space="0" w:color="auto"/>
        <w:right w:val="none" w:sz="0" w:space="0" w:color="auto"/>
      </w:divBdr>
    </w:div>
    <w:div w:id="1373580670">
      <w:bodyDiv w:val="1"/>
      <w:marLeft w:val="0"/>
      <w:marRight w:val="0"/>
      <w:marTop w:val="0"/>
      <w:marBottom w:val="0"/>
      <w:divBdr>
        <w:top w:val="none" w:sz="0" w:space="0" w:color="auto"/>
        <w:left w:val="none" w:sz="0" w:space="0" w:color="auto"/>
        <w:bottom w:val="none" w:sz="0" w:space="0" w:color="auto"/>
        <w:right w:val="none" w:sz="0" w:space="0" w:color="auto"/>
      </w:divBdr>
    </w:div>
    <w:div w:id="1377394251">
      <w:bodyDiv w:val="1"/>
      <w:marLeft w:val="0"/>
      <w:marRight w:val="0"/>
      <w:marTop w:val="0"/>
      <w:marBottom w:val="0"/>
      <w:divBdr>
        <w:top w:val="none" w:sz="0" w:space="0" w:color="auto"/>
        <w:left w:val="none" w:sz="0" w:space="0" w:color="auto"/>
        <w:bottom w:val="none" w:sz="0" w:space="0" w:color="auto"/>
        <w:right w:val="none" w:sz="0" w:space="0" w:color="auto"/>
      </w:divBdr>
    </w:div>
    <w:div w:id="1380744639">
      <w:bodyDiv w:val="1"/>
      <w:marLeft w:val="0"/>
      <w:marRight w:val="0"/>
      <w:marTop w:val="0"/>
      <w:marBottom w:val="0"/>
      <w:divBdr>
        <w:top w:val="none" w:sz="0" w:space="0" w:color="auto"/>
        <w:left w:val="none" w:sz="0" w:space="0" w:color="auto"/>
        <w:bottom w:val="none" w:sz="0" w:space="0" w:color="auto"/>
        <w:right w:val="none" w:sz="0" w:space="0" w:color="auto"/>
      </w:divBdr>
    </w:div>
    <w:div w:id="1384019848">
      <w:bodyDiv w:val="1"/>
      <w:marLeft w:val="0"/>
      <w:marRight w:val="0"/>
      <w:marTop w:val="0"/>
      <w:marBottom w:val="0"/>
      <w:divBdr>
        <w:top w:val="none" w:sz="0" w:space="0" w:color="auto"/>
        <w:left w:val="none" w:sz="0" w:space="0" w:color="auto"/>
        <w:bottom w:val="none" w:sz="0" w:space="0" w:color="auto"/>
        <w:right w:val="none" w:sz="0" w:space="0" w:color="auto"/>
      </w:divBdr>
    </w:div>
    <w:div w:id="1387754016">
      <w:bodyDiv w:val="1"/>
      <w:marLeft w:val="0"/>
      <w:marRight w:val="0"/>
      <w:marTop w:val="0"/>
      <w:marBottom w:val="0"/>
      <w:divBdr>
        <w:top w:val="none" w:sz="0" w:space="0" w:color="auto"/>
        <w:left w:val="none" w:sz="0" w:space="0" w:color="auto"/>
        <w:bottom w:val="none" w:sz="0" w:space="0" w:color="auto"/>
        <w:right w:val="none" w:sz="0" w:space="0" w:color="auto"/>
      </w:divBdr>
    </w:div>
    <w:div w:id="1393193241">
      <w:bodyDiv w:val="1"/>
      <w:marLeft w:val="0"/>
      <w:marRight w:val="0"/>
      <w:marTop w:val="0"/>
      <w:marBottom w:val="0"/>
      <w:divBdr>
        <w:top w:val="none" w:sz="0" w:space="0" w:color="auto"/>
        <w:left w:val="none" w:sz="0" w:space="0" w:color="auto"/>
        <w:bottom w:val="none" w:sz="0" w:space="0" w:color="auto"/>
        <w:right w:val="none" w:sz="0" w:space="0" w:color="auto"/>
      </w:divBdr>
    </w:div>
    <w:div w:id="1395273728">
      <w:bodyDiv w:val="1"/>
      <w:marLeft w:val="0"/>
      <w:marRight w:val="0"/>
      <w:marTop w:val="0"/>
      <w:marBottom w:val="0"/>
      <w:divBdr>
        <w:top w:val="none" w:sz="0" w:space="0" w:color="auto"/>
        <w:left w:val="none" w:sz="0" w:space="0" w:color="auto"/>
        <w:bottom w:val="none" w:sz="0" w:space="0" w:color="auto"/>
        <w:right w:val="none" w:sz="0" w:space="0" w:color="auto"/>
      </w:divBdr>
    </w:div>
    <w:div w:id="1396588949">
      <w:bodyDiv w:val="1"/>
      <w:marLeft w:val="0"/>
      <w:marRight w:val="0"/>
      <w:marTop w:val="0"/>
      <w:marBottom w:val="0"/>
      <w:divBdr>
        <w:top w:val="none" w:sz="0" w:space="0" w:color="auto"/>
        <w:left w:val="none" w:sz="0" w:space="0" w:color="auto"/>
        <w:bottom w:val="none" w:sz="0" w:space="0" w:color="auto"/>
        <w:right w:val="none" w:sz="0" w:space="0" w:color="auto"/>
      </w:divBdr>
    </w:div>
    <w:div w:id="139978610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00324299">
      <w:bodyDiv w:val="1"/>
      <w:marLeft w:val="0"/>
      <w:marRight w:val="0"/>
      <w:marTop w:val="0"/>
      <w:marBottom w:val="0"/>
      <w:divBdr>
        <w:top w:val="none" w:sz="0" w:space="0" w:color="auto"/>
        <w:left w:val="none" w:sz="0" w:space="0" w:color="auto"/>
        <w:bottom w:val="none" w:sz="0" w:space="0" w:color="auto"/>
        <w:right w:val="none" w:sz="0" w:space="0" w:color="auto"/>
      </w:divBdr>
    </w:div>
    <w:div w:id="1403332575">
      <w:bodyDiv w:val="1"/>
      <w:marLeft w:val="0"/>
      <w:marRight w:val="0"/>
      <w:marTop w:val="0"/>
      <w:marBottom w:val="0"/>
      <w:divBdr>
        <w:top w:val="none" w:sz="0" w:space="0" w:color="auto"/>
        <w:left w:val="none" w:sz="0" w:space="0" w:color="auto"/>
        <w:bottom w:val="none" w:sz="0" w:space="0" w:color="auto"/>
        <w:right w:val="none" w:sz="0" w:space="0" w:color="auto"/>
      </w:divBdr>
    </w:div>
    <w:div w:id="1405685190">
      <w:bodyDiv w:val="1"/>
      <w:marLeft w:val="0"/>
      <w:marRight w:val="0"/>
      <w:marTop w:val="0"/>
      <w:marBottom w:val="0"/>
      <w:divBdr>
        <w:top w:val="none" w:sz="0" w:space="0" w:color="auto"/>
        <w:left w:val="none" w:sz="0" w:space="0" w:color="auto"/>
        <w:bottom w:val="none" w:sz="0" w:space="0" w:color="auto"/>
        <w:right w:val="none" w:sz="0" w:space="0" w:color="auto"/>
      </w:divBdr>
    </w:div>
    <w:div w:id="1406293108">
      <w:bodyDiv w:val="1"/>
      <w:marLeft w:val="0"/>
      <w:marRight w:val="0"/>
      <w:marTop w:val="0"/>
      <w:marBottom w:val="0"/>
      <w:divBdr>
        <w:top w:val="none" w:sz="0" w:space="0" w:color="auto"/>
        <w:left w:val="none" w:sz="0" w:space="0" w:color="auto"/>
        <w:bottom w:val="none" w:sz="0" w:space="0" w:color="auto"/>
        <w:right w:val="none" w:sz="0" w:space="0" w:color="auto"/>
      </w:divBdr>
    </w:div>
    <w:div w:id="1407914796">
      <w:bodyDiv w:val="1"/>
      <w:marLeft w:val="0"/>
      <w:marRight w:val="0"/>
      <w:marTop w:val="0"/>
      <w:marBottom w:val="0"/>
      <w:divBdr>
        <w:top w:val="none" w:sz="0" w:space="0" w:color="auto"/>
        <w:left w:val="none" w:sz="0" w:space="0" w:color="auto"/>
        <w:bottom w:val="none" w:sz="0" w:space="0" w:color="auto"/>
        <w:right w:val="none" w:sz="0" w:space="0" w:color="auto"/>
      </w:divBdr>
    </w:div>
    <w:div w:id="1409690021">
      <w:bodyDiv w:val="1"/>
      <w:marLeft w:val="0"/>
      <w:marRight w:val="0"/>
      <w:marTop w:val="0"/>
      <w:marBottom w:val="0"/>
      <w:divBdr>
        <w:top w:val="none" w:sz="0" w:space="0" w:color="auto"/>
        <w:left w:val="none" w:sz="0" w:space="0" w:color="auto"/>
        <w:bottom w:val="none" w:sz="0" w:space="0" w:color="auto"/>
        <w:right w:val="none" w:sz="0" w:space="0" w:color="auto"/>
      </w:divBdr>
    </w:div>
    <w:div w:id="1414081285">
      <w:bodyDiv w:val="1"/>
      <w:marLeft w:val="0"/>
      <w:marRight w:val="0"/>
      <w:marTop w:val="0"/>
      <w:marBottom w:val="0"/>
      <w:divBdr>
        <w:top w:val="none" w:sz="0" w:space="0" w:color="auto"/>
        <w:left w:val="none" w:sz="0" w:space="0" w:color="auto"/>
        <w:bottom w:val="none" w:sz="0" w:space="0" w:color="auto"/>
        <w:right w:val="none" w:sz="0" w:space="0" w:color="auto"/>
      </w:divBdr>
    </w:div>
    <w:div w:id="1417704711">
      <w:bodyDiv w:val="1"/>
      <w:marLeft w:val="0"/>
      <w:marRight w:val="0"/>
      <w:marTop w:val="0"/>
      <w:marBottom w:val="0"/>
      <w:divBdr>
        <w:top w:val="none" w:sz="0" w:space="0" w:color="auto"/>
        <w:left w:val="none" w:sz="0" w:space="0" w:color="auto"/>
        <w:bottom w:val="none" w:sz="0" w:space="0" w:color="auto"/>
        <w:right w:val="none" w:sz="0" w:space="0" w:color="auto"/>
      </w:divBdr>
    </w:div>
    <w:div w:id="1418818392">
      <w:bodyDiv w:val="1"/>
      <w:marLeft w:val="0"/>
      <w:marRight w:val="0"/>
      <w:marTop w:val="0"/>
      <w:marBottom w:val="0"/>
      <w:divBdr>
        <w:top w:val="none" w:sz="0" w:space="0" w:color="auto"/>
        <w:left w:val="none" w:sz="0" w:space="0" w:color="auto"/>
        <w:bottom w:val="none" w:sz="0" w:space="0" w:color="auto"/>
        <w:right w:val="none" w:sz="0" w:space="0" w:color="auto"/>
      </w:divBdr>
    </w:div>
    <w:div w:id="1419987392">
      <w:bodyDiv w:val="1"/>
      <w:marLeft w:val="0"/>
      <w:marRight w:val="0"/>
      <w:marTop w:val="0"/>
      <w:marBottom w:val="0"/>
      <w:divBdr>
        <w:top w:val="none" w:sz="0" w:space="0" w:color="auto"/>
        <w:left w:val="none" w:sz="0" w:space="0" w:color="auto"/>
        <w:bottom w:val="none" w:sz="0" w:space="0" w:color="auto"/>
        <w:right w:val="none" w:sz="0" w:space="0" w:color="auto"/>
      </w:divBdr>
    </w:div>
    <w:div w:id="1420174529">
      <w:bodyDiv w:val="1"/>
      <w:marLeft w:val="0"/>
      <w:marRight w:val="0"/>
      <w:marTop w:val="0"/>
      <w:marBottom w:val="0"/>
      <w:divBdr>
        <w:top w:val="none" w:sz="0" w:space="0" w:color="auto"/>
        <w:left w:val="none" w:sz="0" w:space="0" w:color="auto"/>
        <w:bottom w:val="none" w:sz="0" w:space="0" w:color="auto"/>
        <w:right w:val="none" w:sz="0" w:space="0" w:color="auto"/>
      </w:divBdr>
    </w:div>
    <w:div w:id="1420252308">
      <w:bodyDiv w:val="1"/>
      <w:marLeft w:val="0"/>
      <w:marRight w:val="0"/>
      <w:marTop w:val="0"/>
      <w:marBottom w:val="0"/>
      <w:divBdr>
        <w:top w:val="none" w:sz="0" w:space="0" w:color="auto"/>
        <w:left w:val="none" w:sz="0" w:space="0" w:color="auto"/>
        <w:bottom w:val="none" w:sz="0" w:space="0" w:color="auto"/>
        <w:right w:val="none" w:sz="0" w:space="0" w:color="auto"/>
      </w:divBdr>
    </w:div>
    <w:div w:id="1425297954">
      <w:bodyDiv w:val="1"/>
      <w:marLeft w:val="0"/>
      <w:marRight w:val="0"/>
      <w:marTop w:val="0"/>
      <w:marBottom w:val="0"/>
      <w:divBdr>
        <w:top w:val="none" w:sz="0" w:space="0" w:color="auto"/>
        <w:left w:val="none" w:sz="0" w:space="0" w:color="auto"/>
        <w:bottom w:val="none" w:sz="0" w:space="0" w:color="auto"/>
        <w:right w:val="none" w:sz="0" w:space="0" w:color="auto"/>
      </w:divBdr>
    </w:div>
    <w:div w:id="1426421963">
      <w:bodyDiv w:val="1"/>
      <w:marLeft w:val="0"/>
      <w:marRight w:val="0"/>
      <w:marTop w:val="0"/>
      <w:marBottom w:val="0"/>
      <w:divBdr>
        <w:top w:val="none" w:sz="0" w:space="0" w:color="auto"/>
        <w:left w:val="none" w:sz="0" w:space="0" w:color="auto"/>
        <w:bottom w:val="none" w:sz="0" w:space="0" w:color="auto"/>
        <w:right w:val="none" w:sz="0" w:space="0" w:color="auto"/>
      </w:divBdr>
    </w:div>
    <w:div w:id="1427577930">
      <w:bodyDiv w:val="1"/>
      <w:marLeft w:val="0"/>
      <w:marRight w:val="0"/>
      <w:marTop w:val="0"/>
      <w:marBottom w:val="0"/>
      <w:divBdr>
        <w:top w:val="none" w:sz="0" w:space="0" w:color="auto"/>
        <w:left w:val="none" w:sz="0" w:space="0" w:color="auto"/>
        <w:bottom w:val="none" w:sz="0" w:space="0" w:color="auto"/>
        <w:right w:val="none" w:sz="0" w:space="0" w:color="auto"/>
      </w:divBdr>
    </w:div>
    <w:div w:id="1432236597">
      <w:bodyDiv w:val="1"/>
      <w:marLeft w:val="0"/>
      <w:marRight w:val="0"/>
      <w:marTop w:val="0"/>
      <w:marBottom w:val="0"/>
      <w:divBdr>
        <w:top w:val="none" w:sz="0" w:space="0" w:color="auto"/>
        <w:left w:val="none" w:sz="0" w:space="0" w:color="auto"/>
        <w:bottom w:val="none" w:sz="0" w:space="0" w:color="auto"/>
        <w:right w:val="none" w:sz="0" w:space="0" w:color="auto"/>
      </w:divBdr>
    </w:div>
    <w:div w:id="1436903577">
      <w:bodyDiv w:val="1"/>
      <w:marLeft w:val="0"/>
      <w:marRight w:val="0"/>
      <w:marTop w:val="0"/>
      <w:marBottom w:val="0"/>
      <w:divBdr>
        <w:top w:val="none" w:sz="0" w:space="0" w:color="auto"/>
        <w:left w:val="none" w:sz="0" w:space="0" w:color="auto"/>
        <w:bottom w:val="none" w:sz="0" w:space="0" w:color="auto"/>
        <w:right w:val="none" w:sz="0" w:space="0" w:color="auto"/>
      </w:divBdr>
    </w:div>
    <w:div w:id="1437363766">
      <w:bodyDiv w:val="1"/>
      <w:marLeft w:val="0"/>
      <w:marRight w:val="0"/>
      <w:marTop w:val="0"/>
      <w:marBottom w:val="0"/>
      <w:divBdr>
        <w:top w:val="none" w:sz="0" w:space="0" w:color="auto"/>
        <w:left w:val="none" w:sz="0" w:space="0" w:color="auto"/>
        <w:bottom w:val="none" w:sz="0" w:space="0" w:color="auto"/>
        <w:right w:val="none" w:sz="0" w:space="0" w:color="auto"/>
      </w:divBdr>
    </w:div>
    <w:div w:id="1442409328">
      <w:bodyDiv w:val="1"/>
      <w:marLeft w:val="0"/>
      <w:marRight w:val="0"/>
      <w:marTop w:val="0"/>
      <w:marBottom w:val="0"/>
      <w:divBdr>
        <w:top w:val="none" w:sz="0" w:space="0" w:color="auto"/>
        <w:left w:val="none" w:sz="0" w:space="0" w:color="auto"/>
        <w:bottom w:val="none" w:sz="0" w:space="0" w:color="auto"/>
        <w:right w:val="none" w:sz="0" w:space="0" w:color="auto"/>
      </w:divBdr>
    </w:div>
    <w:div w:id="1447043995">
      <w:bodyDiv w:val="1"/>
      <w:marLeft w:val="0"/>
      <w:marRight w:val="0"/>
      <w:marTop w:val="0"/>
      <w:marBottom w:val="0"/>
      <w:divBdr>
        <w:top w:val="none" w:sz="0" w:space="0" w:color="auto"/>
        <w:left w:val="none" w:sz="0" w:space="0" w:color="auto"/>
        <w:bottom w:val="none" w:sz="0" w:space="0" w:color="auto"/>
        <w:right w:val="none" w:sz="0" w:space="0" w:color="auto"/>
      </w:divBdr>
    </w:div>
    <w:div w:id="1448696040">
      <w:bodyDiv w:val="1"/>
      <w:marLeft w:val="0"/>
      <w:marRight w:val="0"/>
      <w:marTop w:val="0"/>
      <w:marBottom w:val="0"/>
      <w:divBdr>
        <w:top w:val="none" w:sz="0" w:space="0" w:color="auto"/>
        <w:left w:val="none" w:sz="0" w:space="0" w:color="auto"/>
        <w:bottom w:val="none" w:sz="0" w:space="0" w:color="auto"/>
        <w:right w:val="none" w:sz="0" w:space="0" w:color="auto"/>
      </w:divBdr>
    </w:div>
    <w:div w:id="1449079179">
      <w:bodyDiv w:val="1"/>
      <w:marLeft w:val="0"/>
      <w:marRight w:val="0"/>
      <w:marTop w:val="0"/>
      <w:marBottom w:val="0"/>
      <w:divBdr>
        <w:top w:val="none" w:sz="0" w:space="0" w:color="auto"/>
        <w:left w:val="none" w:sz="0" w:space="0" w:color="auto"/>
        <w:bottom w:val="none" w:sz="0" w:space="0" w:color="auto"/>
        <w:right w:val="none" w:sz="0" w:space="0" w:color="auto"/>
      </w:divBdr>
    </w:div>
    <w:div w:id="1449667416">
      <w:bodyDiv w:val="1"/>
      <w:marLeft w:val="0"/>
      <w:marRight w:val="0"/>
      <w:marTop w:val="0"/>
      <w:marBottom w:val="0"/>
      <w:divBdr>
        <w:top w:val="none" w:sz="0" w:space="0" w:color="auto"/>
        <w:left w:val="none" w:sz="0" w:space="0" w:color="auto"/>
        <w:bottom w:val="none" w:sz="0" w:space="0" w:color="auto"/>
        <w:right w:val="none" w:sz="0" w:space="0" w:color="auto"/>
      </w:divBdr>
    </w:div>
    <w:div w:id="1450205395">
      <w:bodyDiv w:val="1"/>
      <w:marLeft w:val="0"/>
      <w:marRight w:val="0"/>
      <w:marTop w:val="0"/>
      <w:marBottom w:val="0"/>
      <w:divBdr>
        <w:top w:val="none" w:sz="0" w:space="0" w:color="auto"/>
        <w:left w:val="none" w:sz="0" w:space="0" w:color="auto"/>
        <w:bottom w:val="none" w:sz="0" w:space="0" w:color="auto"/>
        <w:right w:val="none" w:sz="0" w:space="0" w:color="auto"/>
      </w:divBdr>
    </w:div>
    <w:div w:id="1451322425">
      <w:bodyDiv w:val="1"/>
      <w:marLeft w:val="0"/>
      <w:marRight w:val="0"/>
      <w:marTop w:val="0"/>
      <w:marBottom w:val="0"/>
      <w:divBdr>
        <w:top w:val="none" w:sz="0" w:space="0" w:color="auto"/>
        <w:left w:val="none" w:sz="0" w:space="0" w:color="auto"/>
        <w:bottom w:val="none" w:sz="0" w:space="0" w:color="auto"/>
        <w:right w:val="none" w:sz="0" w:space="0" w:color="auto"/>
      </w:divBdr>
    </w:div>
    <w:div w:id="1452356774">
      <w:bodyDiv w:val="1"/>
      <w:marLeft w:val="0"/>
      <w:marRight w:val="0"/>
      <w:marTop w:val="0"/>
      <w:marBottom w:val="0"/>
      <w:divBdr>
        <w:top w:val="none" w:sz="0" w:space="0" w:color="auto"/>
        <w:left w:val="none" w:sz="0" w:space="0" w:color="auto"/>
        <w:bottom w:val="none" w:sz="0" w:space="0" w:color="auto"/>
        <w:right w:val="none" w:sz="0" w:space="0" w:color="auto"/>
      </w:divBdr>
    </w:div>
    <w:div w:id="1452480124">
      <w:bodyDiv w:val="1"/>
      <w:marLeft w:val="0"/>
      <w:marRight w:val="0"/>
      <w:marTop w:val="0"/>
      <w:marBottom w:val="0"/>
      <w:divBdr>
        <w:top w:val="none" w:sz="0" w:space="0" w:color="auto"/>
        <w:left w:val="none" w:sz="0" w:space="0" w:color="auto"/>
        <w:bottom w:val="none" w:sz="0" w:space="0" w:color="auto"/>
        <w:right w:val="none" w:sz="0" w:space="0" w:color="auto"/>
      </w:divBdr>
    </w:div>
    <w:div w:id="1454901515">
      <w:bodyDiv w:val="1"/>
      <w:marLeft w:val="0"/>
      <w:marRight w:val="0"/>
      <w:marTop w:val="0"/>
      <w:marBottom w:val="0"/>
      <w:divBdr>
        <w:top w:val="none" w:sz="0" w:space="0" w:color="auto"/>
        <w:left w:val="none" w:sz="0" w:space="0" w:color="auto"/>
        <w:bottom w:val="none" w:sz="0" w:space="0" w:color="auto"/>
        <w:right w:val="none" w:sz="0" w:space="0" w:color="auto"/>
      </w:divBdr>
    </w:div>
    <w:div w:id="1455245543">
      <w:bodyDiv w:val="1"/>
      <w:marLeft w:val="0"/>
      <w:marRight w:val="0"/>
      <w:marTop w:val="0"/>
      <w:marBottom w:val="0"/>
      <w:divBdr>
        <w:top w:val="none" w:sz="0" w:space="0" w:color="auto"/>
        <w:left w:val="none" w:sz="0" w:space="0" w:color="auto"/>
        <w:bottom w:val="none" w:sz="0" w:space="0" w:color="auto"/>
        <w:right w:val="none" w:sz="0" w:space="0" w:color="auto"/>
      </w:divBdr>
    </w:div>
    <w:div w:id="1455830721">
      <w:bodyDiv w:val="1"/>
      <w:marLeft w:val="0"/>
      <w:marRight w:val="0"/>
      <w:marTop w:val="0"/>
      <w:marBottom w:val="0"/>
      <w:divBdr>
        <w:top w:val="none" w:sz="0" w:space="0" w:color="auto"/>
        <w:left w:val="none" w:sz="0" w:space="0" w:color="auto"/>
        <w:bottom w:val="none" w:sz="0" w:space="0" w:color="auto"/>
        <w:right w:val="none" w:sz="0" w:space="0" w:color="auto"/>
      </w:divBdr>
    </w:div>
    <w:div w:id="1461338410">
      <w:bodyDiv w:val="1"/>
      <w:marLeft w:val="0"/>
      <w:marRight w:val="0"/>
      <w:marTop w:val="0"/>
      <w:marBottom w:val="0"/>
      <w:divBdr>
        <w:top w:val="none" w:sz="0" w:space="0" w:color="auto"/>
        <w:left w:val="none" w:sz="0" w:space="0" w:color="auto"/>
        <w:bottom w:val="none" w:sz="0" w:space="0" w:color="auto"/>
        <w:right w:val="none" w:sz="0" w:space="0" w:color="auto"/>
      </w:divBdr>
      <w:divsChild>
        <w:div w:id="2000228859">
          <w:marLeft w:val="0"/>
          <w:marRight w:val="0"/>
          <w:marTop w:val="0"/>
          <w:marBottom w:val="0"/>
          <w:divBdr>
            <w:top w:val="none" w:sz="0" w:space="0" w:color="auto"/>
            <w:left w:val="none" w:sz="0" w:space="0" w:color="auto"/>
            <w:bottom w:val="none" w:sz="0" w:space="0" w:color="auto"/>
            <w:right w:val="none" w:sz="0" w:space="0" w:color="auto"/>
          </w:divBdr>
        </w:div>
      </w:divsChild>
    </w:div>
    <w:div w:id="1463692686">
      <w:bodyDiv w:val="1"/>
      <w:marLeft w:val="0"/>
      <w:marRight w:val="0"/>
      <w:marTop w:val="0"/>
      <w:marBottom w:val="0"/>
      <w:divBdr>
        <w:top w:val="none" w:sz="0" w:space="0" w:color="auto"/>
        <w:left w:val="none" w:sz="0" w:space="0" w:color="auto"/>
        <w:bottom w:val="none" w:sz="0" w:space="0" w:color="auto"/>
        <w:right w:val="none" w:sz="0" w:space="0" w:color="auto"/>
      </w:divBdr>
    </w:div>
    <w:div w:id="1463813858">
      <w:bodyDiv w:val="1"/>
      <w:marLeft w:val="0"/>
      <w:marRight w:val="0"/>
      <w:marTop w:val="0"/>
      <w:marBottom w:val="0"/>
      <w:divBdr>
        <w:top w:val="none" w:sz="0" w:space="0" w:color="auto"/>
        <w:left w:val="none" w:sz="0" w:space="0" w:color="auto"/>
        <w:bottom w:val="none" w:sz="0" w:space="0" w:color="auto"/>
        <w:right w:val="none" w:sz="0" w:space="0" w:color="auto"/>
      </w:divBdr>
    </w:div>
    <w:div w:id="1465659288">
      <w:bodyDiv w:val="1"/>
      <w:marLeft w:val="0"/>
      <w:marRight w:val="0"/>
      <w:marTop w:val="0"/>
      <w:marBottom w:val="0"/>
      <w:divBdr>
        <w:top w:val="none" w:sz="0" w:space="0" w:color="auto"/>
        <w:left w:val="none" w:sz="0" w:space="0" w:color="auto"/>
        <w:bottom w:val="none" w:sz="0" w:space="0" w:color="auto"/>
        <w:right w:val="none" w:sz="0" w:space="0" w:color="auto"/>
      </w:divBdr>
    </w:div>
    <w:div w:id="1468081726">
      <w:bodyDiv w:val="1"/>
      <w:marLeft w:val="0"/>
      <w:marRight w:val="0"/>
      <w:marTop w:val="0"/>
      <w:marBottom w:val="0"/>
      <w:divBdr>
        <w:top w:val="none" w:sz="0" w:space="0" w:color="auto"/>
        <w:left w:val="none" w:sz="0" w:space="0" w:color="auto"/>
        <w:bottom w:val="none" w:sz="0" w:space="0" w:color="auto"/>
        <w:right w:val="none" w:sz="0" w:space="0" w:color="auto"/>
      </w:divBdr>
    </w:div>
    <w:div w:id="1470778810">
      <w:bodyDiv w:val="1"/>
      <w:marLeft w:val="0"/>
      <w:marRight w:val="0"/>
      <w:marTop w:val="0"/>
      <w:marBottom w:val="0"/>
      <w:divBdr>
        <w:top w:val="none" w:sz="0" w:space="0" w:color="auto"/>
        <w:left w:val="none" w:sz="0" w:space="0" w:color="auto"/>
        <w:bottom w:val="none" w:sz="0" w:space="0" w:color="auto"/>
        <w:right w:val="none" w:sz="0" w:space="0" w:color="auto"/>
      </w:divBdr>
    </w:div>
    <w:div w:id="1472598218">
      <w:bodyDiv w:val="1"/>
      <w:marLeft w:val="0"/>
      <w:marRight w:val="0"/>
      <w:marTop w:val="0"/>
      <w:marBottom w:val="0"/>
      <w:divBdr>
        <w:top w:val="none" w:sz="0" w:space="0" w:color="auto"/>
        <w:left w:val="none" w:sz="0" w:space="0" w:color="auto"/>
        <w:bottom w:val="none" w:sz="0" w:space="0" w:color="auto"/>
        <w:right w:val="none" w:sz="0" w:space="0" w:color="auto"/>
      </w:divBdr>
    </w:div>
    <w:div w:id="1473403898">
      <w:bodyDiv w:val="1"/>
      <w:marLeft w:val="0"/>
      <w:marRight w:val="0"/>
      <w:marTop w:val="0"/>
      <w:marBottom w:val="0"/>
      <w:divBdr>
        <w:top w:val="none" w:sz="0" w:space="0" w:color="auto"/>
        <w:left w:val="none" w:sz="0" w:space="0" w:color="auto"/>
        <w:bottom w:val="none" w:sz="0" w:space="0" w:color="auto"/>
        <w:right w:val="none" w:sz="0" w:space="0" w:color="auto"/>
      </w:divBdr>
    </w:div>
    <w:div w:id="1474568102">
      <w:bodyDiv w:val="1"/>
      <w:marLeft w:val="0"/>
      <w:marRight w:val="0"/>
      <w:marTop w:val="0"/>
      <w:marBottom w:val="0"/>
      <w:divBdr>
        <w:top w:val="none" w:sz="0" w:space="0" w:color="auto"/>
        <w:left w:val="none" w:sz="0" w:space="0" w:color="auto"/>
        <w:bottom w:val="none" w:sz="0" w:space="0" w:color="auto"/>
        <w:right w:val="none" w:sz="0" w:space="0" w:color="auto"/>
      </w:divBdr>
    </w:div>
    <w:div w:id="1475833857">
      <w:bodyDiv w:val="1"/>
      <w:marLeft w:val="0"/>
      <w:marRight w:val="0"/>
      <w:marTop w:val="0"/>
      <w:marBottom w:val="0"/>
      <w:divBdr>
        <w:top w:val="none" w:sz="0" w:space="0" w:color="auto"/>
        <w:left w:val="none" w:sz="0" w:space="0" w:color="auto"/>
        <w:bottom w:val="none" w:sz="0" w:space="0" w:color="auto"/>
        <w:right w:val="none" w:sz="0" w:space="0" w:color="auto"/>
      </w:divBdr>
    </w:div>
    <w:div w:id="1477650797">
      <w:bodyDiv w:val="1"/>
      <w:marLeft w:val="0"/>
      <w:marRight w:val="0"/>
      <w:marTop w:val="0"/>
      <w:marBottom w:val="0"/>
      <w:divBdr>
        <w:top w:val="none" w:sz="0" w:space="0" w:color="auto"/>
        <w:left w:val="none" w:sz="0" w:space="0" w:color="auto"/>
        <w:bottom w:val="none" w:sz="0" w:space="0" w:color="auto"/>
        <w:right w:val="none" w:sz="0" w:space="0" w:color="auto"/>
      </w:divBdr>
    </w:div>
    <w:div w:id="1478112735">
      <w:bodyDiv w:val="1"/>
      <w:marLeft w:val="0"/>
      <w:marRight w:val="0"/>
      <w:marTop w:val="0"/>
      <w:marBottom w:val="0"/>
      <w:divBdr>
        <w:top w:val="none" w:sz="0" w:space="0" w:color="auto"/>
        <w:left w:val="none" w:sz="0" w:space="0" w:color="auto"/>
        <w:bottom w:val="none" w:sz="0" w:space="0" w:color="auto"/>
        <w:right w:val="none" w:sz="0" w:space="0" w:color="auto"/>
      </w:divBdr>
    </w:div>
    <w:div w:id="1481265000">
      <w:bodyDiv w:val="1"/>
      <w:marLeft w:val="0"/>
      <w:marRight w:val="0"/>
      <w:marTop w:val="0"/>
      <w:marBottom w:val="0"/>
      <w:divBdr>
        <w:top w:val="none" w:sz="0" w:space="0" w:color="auto"/>
        <w:left w:val="none" w:sz="0" w:space="0" w:color="auto"/>
        <w:bottom w:val="none" w:sz="0" w:space="0" w:color="auto"/>
        <w:right w:val="none" w:sz="0" w:space="0" w:color="auto"/>
      </w:divBdr>
    </w:div>
    <w:div w:id="1483501330">
      <w:bodyDiv w:val="1"/>
      <w:marLeft w:val="0"/>
      <w:marRight w:val="0"/>
      <w:marTop w:val="0"/>
      <w:marBottom w:val="0"/>
      <w:divBdr>
        <w:top w:val="none" w:sz="0" w:space="0" w:color="auto"/>
        <w:left w:val="none" w:sz="0" w:space="0" w:color="auto"/>
        <w:bottom w:val="none" w:sz="0" w:space="0" w:color="auto"/>
        <w:right w:val="none" w:sz="0" w:space="0" w:color="auto"/>
      </w:divBdr>
    </w:div>
    <w:div w:id="1484077034">
      <w:bodyDiv w:val="1"/>
      <w:marLeft w:val="0"/>
      <w:marRight w:val="0"/>
      <w:marTop w:val="0"/>
      <w:marBottom w:val="0"/>
      <w:divBdr>
        <w:top w:val="none" w:sz="0" w:space="0" w:color="auto"/>
        <w:left w:val="none" w:sz="0" w:space="0" w:color="auto"/>
        <w:bottom w:val="none" w:sz="0" w:space="0" w:color="auto"/>
        <w:right w:val="none" w:sz="0" w:space="0" w:color="auto"/>
      </w:divBdr>
    </w:div>
    <w:div w:id="1486778012">
      <w:bodyDiv w:val="1"/>
      <w:marLeft w:val="0"/>
      <w:marRight w:val="0"/>
      <w:marTop w:val="0"/>
      <w:marBottom w:val="0"/>
      <w:divBdr>
        <w:top w:val="none" w:sz="0" w:space="0" w:color="auto"/>
        <w:left w:val="none" w:sz="0" w:space="0" w:color="auto"/>
        <w:bottom w:val="none" w:sz="0" w:space="0" w:color="auto"/>
        <w:right w:val="none" w:sz="0" w:space="0" w:color="auto"/>
      </w:divBdr>
    </w:div>
    <w:div w:id="1489249475">
      <w:bodyDiv w:val="1"/>
      <w:marLeft w:val="0"/>
      <w:marRight w:val="0"/>
      <w:marTop w:val="0"/>
      <w:marBottom w:val="0"/>
      <w:divBdr>
        <w:top w:val="none" w:sz="0" w:space="0" w:color="auto"/>
        <w:left w:val="none" w:sz="0" w:space="0" w:color="auto"/>
        <w:bottom w:val="none" w:sz="0" w:space="0" w:color="auto"/>
        <w:right w:val="none" w:sz="0" w:space="0" w:color="auto"/>
      </w:divBdr>
    </w:div>
    <w:div w:id="1489401513">
      <w:bodyDiv w:val="1"/>
      <w:marLeft w:val="0"/>
      <w:marRight w:val="0"/>
      <w:marTop w:val="0"/>
      <w:marBottom w:val="0"/>
      <w:divBdr>
        <w:top w:val="none" w:sz="0" w:space="0" w:color="auto"/>
        <w:left w:val="none" w:sz="0" w:space="0" w:color="auto"/>
        <w:bottom w:val="none" w:sz="0" w:space="0" w:color="auto"/>
        <w:right w:val="none" w:sz="0" w:space="0" w:color="auto"/>
      </w:divBdr>
    </w:div>
    <w:div w:id="1493137537">
      <w:bodyDiv w:val="1"/>
      <w:marLeft w:val="0"/>
      <w:marRight w:val="0"/>
      <w:marTop w:val="0"/>
      <w:marBottom w:val="0"/>
      <w:divBdr>
        <w:top w:val="none" w:sz="0" w:space="0" w:color="auto"/>
        <w:left w:val="none" w:sz="0" w:space="0" w:color="auto"/>
        <w:bottom w:val="none" w:sz="0" w:space="0" w:color="auto"/>
        <w:right w:val="none" w:sz="0" w:space="0" w:color="auto"/>
      </w:divBdr>
    </w:div>
    <w:div w:id="1497571903">
      <w:bodyDiv w:val="1"/>
      <w:marLeft w:val="0"/>
      <w:marRight w:val="0"/>
      <w:marTop w:val="0"/>
      <w:marBottom w:val="0"/>
      <w:divBdr>
        <w:top w:val="none" w:sz="0" w:space="0" w:color="auto"/>
        <w:left w:val="none" w:sz="0" w:space="0" w:color="auto"/>
        <w:bottom w:val="none" w:sz="0" w:space="0" w:color="auto"/>
        <w:right w:val="none" w:sz="0" w:space="0" w:color="auto"/>
      </w:divBdr>
    </w:div>
    <w:div w:id="1498351196">
      <w:bodyDiv w:val="1"/>
      <w:marLeft w:val="0"/>
      <w:marRight w:val="0"/>
      <w:marTop w:val="0"/>
      <w:marBottom w:val="0"/>
      <w:divBdr>
        <w:top w:val="none" w:sz="0" w:space="0" w:color="auto"/>
        <w:left w:val="none" w:sz="0" w:space="0" w:color="auto"/>
        <w:bottom w:val="none" w:sz="0" w:space="0" w:color="auto"/>
        <w:right w:val="none" w:sz="0" w:space="0" w:color="auto"/>
      </w:divBdr>
    </w:div>
    <w:div w:id="1500922731">
      <w:bodyDiv w:val="1"/>
      <w:marLeft w:val="0"/>
      <w:marRight w:val="0"/>
      <w:marTop w:val="0"/>
      <w:marBottom w:val="0"/>
      <w:divBdr>
        <w:top w:val="none" w:sz="0" w:space="0" w:color="auto"/>
        <w:left w:val="none" w:sz="0" w:space="0" w:color="auto"/>
        <w:bottom w:val="none" w:sz="0" w:space="0" w:color="auto"/>
        <w:right w:val="none" w:sz="0" w:space="0" w:color="auto"/>
      </w:divBdr>
    </w:div>
    <w:div w:id="1501694968">
      <w:bodyDiv w:val="1"/>
      <w:marLeft w:val="0"/>
      <w:marRight w:val="0"/>
      <w:marTop w:val="0"/>
      <w:marBottom w:val="0"/>
      <w:divBdr>
        <w:top w:val="none" w:sz="0" w:space="0" w:color="auto"/>
        <w:left w:val="none" w:sz="0" w:space="0" w:color="auto"/>
        <w:bottom w:val="none" w:sz="0" w:space="0" w:color="auto"/>
        <w:right w:val="none" w:sz="0" w:space="0" w:color="auto"/>
      </w:divBdr>
    </w:div>
    <w:div w:id="1502037937">
      <w:bodyDiv w:val="1"/>
      <w:marLeft w:val="0"/>
      <w:marRight w:val="0"/>
      <w:marTop w:val="0"/>
      <w:marBottom w:val="0"/>
      <w:divBdr>
        <w:top w:val="none" w:sz="0" w:space="0" w:color="auto"/>
        <w:left w:val="none" w:sz="0" w:space="0" w:color="auto"/>
        <w:bottom w:val="none" w:sz="0" w:space="0" w:color="auto"/>
        <w:right w:val="none" w:sz="0" w:space="0" w:color="auto"/>
      </w:divBdr>
    </w:div>
    <w:div w:id="1506824694">
      <w:bodyDiv w:val="1"/>
      <w:marLeft w:val="0"/>
      <w:marRight w:val="0"/>
      <w:marTop w:val="0"/>
      <w:marBottom w:val="0"/>
      <w:divBdr>
        <w:top w:val="none" w:sz="0" w:space="0" w:color="auto"/>
        <w:left w:val="none" w:sz="0" w:space="0" w:color="auto"/>
        <w:bottom w:val="none" w:sz="0" w:space="0" w:color="auto"/>
        <w:right w:val="none" w:sz="0" w:space="0" w:color="auto"/>
      </w:divBdr>
    </w:div>
    <w:div w:id="1511607579">
      <w:bodyDiv w:val="1"/>
      <w:marLeft w:val="0"/>
      <w:marRight w:val="0"/>
      <w:marTop w:val="0"/>
      <w:marBottom w:val="0"/>
      <w:divBdr>
        <w:top w:val="none" w:sz="0" w:space="0" w:color="auto"/>
        <w:left w:val="none" w:sz="0" w:space="0" w:color="auto"/>
        <w:bottom w:val="none" w:sz="0" w:space="0" w:color="auto"/>
        <w:right w:val="none" w:sz="0" w:space="0" w:color="auto"/>
      </w:divBdr>
    </w:div>
    <w:div w:id="1512258222">
      <w:bodyDiv w:val="1"/>
      <w:marLeft w:val="0"/>
      <w:marRight w:val="0"/>
      <w:marTop w:val="0"/>
      <w:marBottom w:val="0"/>
      <w:divBdr>
        <w:top w:val="none" w:sz="0" w:space="0" w:color="auto"/>
        <w:left w:val="none" w:sz="0" w:space="0" w:color="auto"/>
        <w:bottom w:val="none" w:sz="0" w:space="0" w:color="auto"/>
        <w:right w:val="none" w:sz="0" w:space="0" w:color="auto"/>
      </w:divBdr>
    </w:div>
    <w:div w:id="1515536723">
      <w:bodyDiv w:val="1"/>
      <w:marLeft w:val="0"/>
      <w:marRight w:val="0"/>
      <w:marTop w:val="0"/>
      <w:marBottom w:val="0"/>
      <w:divBdr>
        <w:top w:val="none" w:sz="0" w:space="0" w:color="auto"/>
        <w:left w:val="none" w:sz="0" w:space="0" w:color="auto"/>
        <w:bottom w:val="none" w:sz="0" w:space="0" w:color="auto"/>
        <w:right w:val="none" w:sz="0" w:space="0" w:color="auto"/>
      </w:divBdr>
    </w:div>
    <w:div w:id="1516111321">
      <w:bodyDiv w:val="1"/>
      <w:marLeft w:val="0"/>
      <w:marRight w:val="0"/>
      <w:marTop w:val="0"/>
      <w:marBottom w:val="0"/>
      <w:divBdr>
        <w:top w:val="none" w:sz="0" w:space="0" w:color="auto"/>
        <w:left w:val="none" w:sz="0" w:space="0" w:color="auto"/>
        <w:bottom w:val="none" w:sz="0" w:space="0" w:color="auto"/>
        <w:right w:val="none" w:sz="0" w:space="0" w:color="auto"/>
      </w:divBdr>
    </w:div>
    <w:div w:id="1522813753">
      <w:bodyDiv w:val="1"/>
      <w:marLeft w:val="0"/>
      <w:marRight w:val="0"/>
      <w:marTop w:val="0"/>
      <w:marBottom w:val="0"/>
      <w:divBdr>
        <w:top w:val="none" w:sz="0" w:space="0" w:color="auto"/>
        <w:left w:val="none" w:sz="0" w:space="0" w:color="auto"/>
        <w:bottom w:val="none" w:sz="0" w:space="0" w:color="auto"/>
        <w:right w:val="none" w:sz="0" w:space="0" w:color="auto"/>
      </w:divBdr>
    </w:div>
    <w:div w:id="1524635863">
      <w:bodyDiv w:val="1"/>
      <w:marLeft w:val="0"/>
      <w:marRight w:val="0"/>
      <w:marTop w:val="0"/>
      <w:marBottom w:val="0"/>
      <w:divBdr>
        <w:top w:val="none" w:sz="0" w:space="0" w:color="auto"/>
        <w:left w:val="none" w:sz="0" w:space="0" w:color="auto"/>
        <w:bottom w:val="none" w:sz="0" w:space="0" w:color="auto"/>
        <w:right w:val="none" w:sz="0" w:space="0" w:color="auto"/>
      </w:divBdr>
    </w:div>
    <w:div w:id="1524977508">
      <w:bodyDiv w:val="1"/>
      <w:marLeft w:val="0"/>
      <w:marRight w:val="0"/>
      <w:marTop w:val="0"/>
      <w:marBottom w:val="0"/>
      <w:divBdr>
        <w:top w:val="none" w:sz="0" w:space="0" w:color="auto"/>
        <w:left w:val="none" w:sz="0" w:space="0" w:color="auto"/>
        <w:bottom w:val="none" w:sz="0" w:space="0" w:color="auto"/>
        <w:right w:val="none" w:sz="0" w:space="0" w:color="auto"/>
      </w:divBdr>
    </w:div>
    <w:div w:id="1526287794">
      <w:bodyDiv w:val="1"/>
      <w:marLeft w:val="0"/>
      <w:marRight w:val="0"/>
      <w:marTop w:val="0"/>
      <w:marBottom w:val="0"/>
      <w:divBdr>
        <w:top w:val="none" w:sz="0" w:space="0" w:color="auto"/>
        <w:left w:val="none" w:sz="0" w:space="0" w:color="auto"/>
        <w:bottom w:val="none" w:sz="0" w:space="0" w:color="auto"/>
        <w:right w:val="none" w:sz="0" w:space="0" w:color="auto"/>
      </w:divBdr>
    </w:div>
    <w:div w:id="1526555815">
      <w:bodyDiv w:val="1"/>
      <w:marLeft w:val="0"/>
      <w:marRight w:val="0"/>
      <w:marTop w:val="0"/>
      <w:marBottom w:val="0"/>
      <w:divBdr>
        <w:top w:val="none" w:sz="0" w:space="0" w:color="auto"/>
        <w:left w:val="none" w:sz="0" w:space="0" w:color="auto"/>
        <w:bottom w:val="none" w:sz="0" w:space="0" w:color="auto"/>
        <w:right w:val="none" w:sz="0" w:space="0" w:color="auto"/>
      </w:divBdr>
    </w:div>
    <w:div w:id="1526863281">
      <w:bodyDiv w:val="1"/>
      <w:marLeft w:val="0"/>
      <w:marRight w:val="0"/>
      <w:marTop w:val="0"/>
      <w:marBottom w:val="0"/>
      <w:divBdr>
        <w:top w:val="none" w:sz="0" w:space="0" w:color="auto"/>
        <w:left w:val="none" w:sz="0" w:space="0" w:color="auto"/>
        <w:bottom w:val="none" w:sz="0" w:space="0" w:color="auto"/>
        <w:right w:val="none" w:sz="0" w:space="0" w:color="auto"/>
      </w:divBdr>
    </w:div>
    <w:div w:id="1528329912">
      <w:bodyDiv w:val="1"/>
      <w:marLeft w:val="0"/>
      <w:marRight w:val="0"/>
      <w:marTop w:val="0"/>
      <w:marBottom w:val="0"/>
      <w:divBdr>
        <w:top w:val="none" w:sz="0" w:space="0" w:color="auto"/>
        <w:left w:val="none" w:sz="0" w:space="0" w:color="auto"/>
        <w:bottom w:val="none" w:sz="0" w:space="0" w:color="auto"/>
        <w:right w:val="none" w:sz="0" w:space="0" w:color="auto"/>
      </w:divBdr>
    </w:div>
    <w:div w:id="1532035234">
      <w:bodyDiv w:val="1"/>
      <w:marLeft w:val="0"/>
      <w:marRight w:val="0"/>
      <w:marTop w:val="0"/>
      <w:marBottom w:val="0"/>
      <w:divBdr>
        <w:top w:val="none" w:sz="0" w:space="0" w:color="auto"/>
        <w:left w:val="none" w:sz="0" w:space="0" w:color="auto"/>
        <w:bottom w:val="none" w:sz="0" w:space="0" w:color="auto"/>
        <w:right w:val="none" w:sz="0" w:space="0" w:color="auto"/>
      </w:divBdr>
    </w:div>
    <w:div w:id="1532261933">
      <w:bodyDiv w:val="1"/>
      <w:marLeft w:val="0"/>
      <w:marRight w:val="0"/>
      <w:marTop w:val="0"/>
      <w:marBottom w:val="0"/>
      <w:divBdr>
        <w:top w:val="none" w:sz="0" w:space="0" w:color="auto"/>
        <w:left w:val="none" w:sz="0" w:space="0" w:color="auto"/>
        <w:bottom w:val="none" w:sz="0" w:space="0" w:color="auto"/>
        <w:right w:val="none" w:sz="0" w:space="0" w:color="auto"/>
      </w:divBdr>
    </w:div>
    <w:div w:id="1534226182">
      <w:bodyDiv w:val="1"/>
      <w:marLeft w:val="0"/>
      <w:marRight w:val="0"/>
      <w:marTop w:val="0"/>
      <w:marBottom w:val="0"/>
      <w:divBdr>
        <w:top w:val="none" w:sz="0" w:space="0" w:color="auto"/>
        <w:left w:val="none" w:sz="0" w:space="0" w:color="auto"/>
        <w:bottom w:val="none" w:sz="0" w:space="0" w:color="auto"/>
        <w:right w:val="none" w:sz="0" w:space="0" w:color="auto"/>
      </w:divBdr>
    </w:div>
    <w:div w:id="1537623002">
      <w:bodyDiv w:val="1"/>
      <w:marLeft w:val="0"/>
      <w:marRight w:val="0"/>
      <w:marTop w:val="0"/>
      <w:marBottom w:val="0"/>
      <w:divBdr>
        <w:top w:val="none" w:sz="0" w:space="0" w:color="auto"/>
        <w:left w:val="none" w:sz="0" w:space="0" w:color="auto"/>
        <w:bottom w:val="none" w:sz="0" w:space="0" w:color="auto"/>
        <w:right w:val="none" w:sz="0" w:space="0" w:color="auto"/>
      </w:divBdr>
    </w:div>
    <w:div w:id="1539732414">
      <w:bodyDiv w:val="1"/>
      <w:marLeft w:val="0"/>
      <w:marRight w:val="0"/>
      <w:marTop w:val="0"/>
      <w:marBottom w:val="0"/>
      <w:divBdr>
        <w:top w:val="none" w:sz="0" w:space="0" w:color="auto"/>
        <w:left w:val="none" w:sz="0" w:space="0" w:color="auto"/>
        <w:bottom w:val="none" w:sz="0" w:space="0" w:color="auto"/>
        <w:right w:val="none" w:sz="0" w:space="0" w:color="auto"/>
      </w:divBdr>
    </w:div>
    <w:div w:id="1541434389">
      <w:bodyDiv w:val="1"/>
      <w:marLeft w:val="0"/>
      <w:marRight w:val="0"/>
      <w:marTop w:val="0"/>
      <w:marBottom w:val="0"/>
      <w:divBdr>
        <w:top w:val="none" w:sz="0" w:space="0" w:color="auto"/>
        <w:left w:val="none" w:sz="0" w:space="0" w:color="auto"/>
        <w:bottom w:val="none" w:sz="0" w:space="0" w:color="auto"/>
        <w:right w:val="none" w:sz="0" w:space="0" w:color="auto"/>
      </w:divBdr>
    </w:div>
    <w:div w:id="1541555796">
      <w:bodyDiv w:val="1"/>
      <w:marLeft w:val="0"/>
      <w:marRight w:val="0"/>
      <w:marTop w:val="0"/>
      <w:marBottom w:val="0"/>
      <w:divBdr>
        <w:top w:val="none" w:sz="0" w:space="0" w:color="auto"/>
        <w:left w:val="none" w:sz="0" w:space="0" w:color="auto"/>
        <w:bottom w:val="none" w:sz="0" w:space="0" w:color="auto"/>
        <w:right w:val="none" w:sz="0" w:space="0" w:color="auto"/>
      </w:divBdr>
    </w:div>
    <w:div w:id="1542353139">
      <w:bodyDiv w:val="1"/>
      <w:marLeft w:val="0"/>
      <w:marRight w:val="0"/>
      <w:marTop w:val="0"/>
      <w:marBottom w:val="0"/>
      <w:divBdr>
        <w:top w:val="none" w:sz="0" w:space="0" w:color="auto"/>
        <w:left w:val="none" w:sz="0" w:space="0" w:color="auto"/>
        <w:bottom w:val="none" w:sz="0" w:space="0" w:color="auto"/>
        <w:right w:val="none" w:sz="0" w:space="0" w:color="auto"/>
      </w:divBdr>
    </w:div>
    <w:div w:id="1542982430">
      <w:bodyDiv w:val="1"/>
      <w:marLeft w:val="0"/>
      <w:marRight w:val="0"/>
      <w:marTop w:val="0"/>
      <w:marBottom w:val="0"/>
      <w:divBdr>
        <w:top w:val="none" w:sz="0" w:space="0" w:color="auto"/>
        <w:left w:val="none" w:sz="0" w:space="0" w:color="auto"/>
        <w:bottom w:val="none" w:sz="0" w:space="0" w:color="auto"/>
        <w:right w:val="none" w:sz="0" w:space="0" w:color="auto"/>
      </w:divBdr>
    </w:div>
    <w:div w:id="1548176489">
      <w:bodyDiv w:val="1"/>
      <w:marLeft w:val="0"/>
      <w:marRight w:val="0"/>
      <w:marTop w:val="0"/>
      <w:marBottom w:val="0"/>
      <w:divBdr>
        <w:top w:val="none" w:sz="0" w:space="0" w:color="auto"/>
        <w:left w:val="none" w:sz="0" w:space="0" w:color="auto"/>
        <w:bottom w:val="none" w:sz="0" w:space="0" w:color="auto"/>
        <w:right w:val="none" w:sz="0" w:space="0" w:color="auto"/>
      </w:divBdr>
    </w:div>
    <w:div w:id="1548250707">
      <w:bodyDiv w:val="1"/>
      <w:marLeft w:val="0"/>
      <w:marRight w:val="0"/>
      <w:marTop w:val="0"/>
      <w:marBottom w:val="0"/>
      <w:divBdr>
        <w:top w:val="none" w:sz="0" w:space="0" w:color="auto"/>
        <w:left w:val="none" w:sz="0" w:space="0" w:color="auto"/>
        <w:bottom w:val="none" w:sz="0" w:space="0" w:color="auto"/>
        <w:right w:val="none" w:sz="0" w:space="0" w:color="auto"/>
      </w:divBdr>
    </w:div>
    <w:div w:id="1548644472">
      <w:bodyDiv w:val="1"/>
      <w:marLeft w:val="0"/>
      <w:marRight w:val="0"/>
      <w:marTop w:val="0"/>
      <w:marBottom w:val="0"/>
      <w:divBdr>
        <w:top w:val="none" w:sz="0" w:space="0" w:color="auto"/>
        <w:left w:val="none" w:sz="0" w:space="0" w:color="auto"/>
        <w:bottom w:val="none" w:sz="0" w:space="0" w:color="auto"/>
        <w:right w:val="none" w:sz="0" w:space="0" w:color="auto"/>
      </w:divBdr>
    </w:div>
    <w:div w:id="1550803233">
      <w:bodyDiv w:val="1"/>
      <w:marLeft w:val="0"/>
      <w:marRight w:val="0"/>
      <w:marTop w:val="0"/>
      <w:marBottom w:val="0"/>
      <w:divBdr>
        <w:top w:val="none" w:sz="0" w:space="0" w:color="auto"/>
        <w:left w:val="none" w:sz="0" w:space="0" w:color="auto"/>
        <w:bottom w:val="none" w:sz="0" w:space="0" w:color="auto"/>
        <w:right w:val="none" w:sz="0" w:space="0" w:color="auto"/>
      </w:divBdr>
    </w:div>
    <w:div w:id="1553929738">
      <w:bodyDiv w:val="1"/>
      <w:marLeft w:val="0"/>
      <w:marRight w:val="0"/>
      <w:marTop w:val="0"/>
      <w:marBottom w:val="0"/>
      <w:divBdr>
        <w:top w:val="none" w:sz="0" w:space="0" w:color="auto"/>
        <w:left w:val="none" w:sz="0" w:space="0" w:color="auto"/>
        <w:bottom w:val="none" w:sz="0" w:space="0" w:color="auto"/>
        <w:right w:val="none" w:sz="0" w:space="0" w:color="auto"/>
      </w:divBdr>
    </w:div>
    <w:div w:id="1553998190">
      <w:bodyDiv w:val="1"/>
      <w:marLeft w:val="0"/>
      <w:marRight w:val="0"/>
      <w:marTop w:val="0"/>
      <w:marBottom w:val="0"/>
      <w:divBdr>
        <w:top w:val="none" w:sz="0" w:space="0" w:color="auto"/>
        <w:left w:val="none" w:sz="0" w:space="0" w:color="auto"/>
        <w:bottom w:val="none" w:sz="0" w:space="0" w:color="auto"/>
        <w:right w:val="none" w:sz="0" w:space="0" w:color="auto"/>
      </w:divBdr>
    </w:div>
    <w:div w:id="1553998653">
      <w:bodyDiv w:val="1"/>
      <w:marLeft w:val="0"/>
      <w:marRight w:val="0"/>
      <w:marTop w:val="0"/>
      <w:marBottom w:val="0"/>
      <w:divBdr>
        <w:top w:val="none" w:sz="0" w:space="0" w:color="auto"/>
        <w:left w:val="none" w:sz="0" w:space="0" w:color="auto"/>
        <w:bottom w:val="none" w:sz="0" w:space="0" w:color="auto"/>
        <w:right w:val="none" w:sz="0" w:space="0" w:color="auto"/>
      </w:divBdr>
    </w:div>
    <w:div w:id="1557083631">
      <w:bodyDiv w:val="1"/>
      <w:marLeft w:val="0"/>
      <w:marRight w:val="0"/>
      <w:marTop w:val="0"/>
      <w:marBottom w:val="0"/>
      <w:divBdr>
        <w:top w:val="none" w:sz="0" w:space="0" w:color="auto"/>
        <w:left w:val="none" w:sz="0" w:space="0" w:color="auto"/>
        <w:bottom w:val="none" w:sz="0" w:space="0" w:color="auto"/>
        <w:right w:val="none" w:sz="0" w:space="0" w:color="auto"/>
      </w:divBdr>
    </w:div>
    <w:div w:id="1557476301">
      <w:bodyDiv w:val="1"/>
      <w:marLeft w:val="0"/>
      <w:marRight w:val="0"/>
      <w:marTop w:val="0"/>
      <w:marBottom w:val="0"/>
      <w:divBdr>
        <w:top w:val="none" w:sz="0" w:space="0" w:color="auto"/>
        <w:left w:val="none" w:sz="0" w:space="0" w:color="auto"/>
        <w:bottom w:val="none" w:sz="0" w:space="0" w:color="auto"/>
        <w:right w:val="none" w:sz="0" w:space="0" w:color="auto"/>
      </w:divBdr>
    </w:div>
    <w:div w:id="1562669412">
      <w:bodyDiv w:val="1"/>
      <w:marLeft w:val="0"/>
      <w:marRight w:val="0"/>
      <w:marTop w:val="0"/>
      <w:marBottom w:val="0"/>
      <w:divBdr>
        <w:top w:val="none" w:sz="0" w:space="0" w:color="auto"/>
        <w:left w:val="none" w:sz="0" w:space="0" w:color="auto"/>
        <w:bottom w:val="none" w:sz="0" w:space="0" w:color="auto"/>
        <w:right w:val="none" w:sz="0" w:space="0" w:color="auto"/>
      </w:divBdr>
    </w:div>
    <w:div w:id="1563254009">
      <w:bodyDiv w:val="1"/>
      <w:marLeft w:val="0"/>
      <w:marRight w:val="0"/>
      <w:marTop w:val="0"/>
      <w:marBottom w:val="0"/>
      <w:divBdr>
        <w:top w:val="none" w:sz="0" w:space="0" w:color="auto"/>
        <w:left w:val="none" w:sz="0" w:space="0" w:color="auto"/>
        <w:bottom w:val="none" w:sz="0" w:space="0" w:color="auto"/>
        <w:right w:val="none" w:sz="0" w:space="0" w:color="auto"/>
      </w:divBdr>
    </w:div>
    <w:div w:id="1565485279">
      <w:bodyDiv w:val="1"/>
      <w:marLeft w:val="0"/>
      <w:marRight w:val="0"/>
      <w:marTop w:val="0"/>
      <w:marBottom w:val="0"/>
      <w:divBdr>
        <w:top w:val="none" w:sz="0" w:space="0" w:color="auto"/>
        <w:left w:val="none" w:sz="0" w:space="0" w:color="auto"/>
        <w:bottom w:val="none" w:sz="0" w:space="0" w:color="auto"/>
        <w:right w:val="none" w:sz="0" w:space="0" w:color="auto"/>
      </w:divBdr>
    </w:div>
    <w:div w:id="1565486106">
      <w:bodyDiv w:val="1"/>
      <w:marLeft w:val="0"/>
      <w:marRight w:val="0"/>
      <w:marTop w:val="0"/>
      <w:marBottom w:val="0"/>
      <w:divBdr>
        <w:top w:val="none" w:sz="0" w:space="0" w:color="auto"/>
        <w:left w:val="none" w:sz="0" w:space="0" w:color="auto"/>
        <w:bottom w:val="none" w:sz="0" w:space="0" w:color="auto"/>
        <w:right w:val="none" w:sz="0" w:space="0" w:color="auto"/>
      </w:divBdr>
    </w:div>
    <w:div w:id="1565752983">
      <w:bodyDiv w:val="1"/>
      <w:marLeft w:val="0"/>
      <w:marRight w:val="0"/>
      <w:marTop w:val="0"/>
      <w:marBottom w:val="0"/>
      <w:divBdr>
        <w:top w:val="none" w:sz="0" w:space="0" w:color="auto"/>
        <w:left w:val="none" w:sz="0" w:space="0" w:color="auto"/>
        <w:bottom w:val="none" w:sz="0" w:space="0" w:color="auto"/>
        <w:right w:val="none" w:sz="0" w:space="0" w:color="auto"/>
      </w:divBdr>
    </w:div>
    <w:div w:id="1573546950">
      <w:bodyDiv w:val="1"/>
      <w:marLeft w:val="0"/>
      <w:marRight w:val="0"/>
      <w:marTop w:val="0"/>
      <w:marBottom w:val="0"/>
      <w:divBdr>
        <w:top w:val="none" w:sz="0" w:space="0" w:color="auto"/>
        <w:left w:val="none" w:sz="0" w:space="0" w:color="auto"/>
        <w:bottom w:val="none" w:sz="0" w:space="0" w:color="auto"/>
        <w:right w:val="none" w:sz="0" w:space="0" w:color="auto"/>
      </w:divBdr>
    </w:div>
    <w:div w:id="1574001291">
      <w:bodyDiv w:val="1"/>
      <w:marLeft w:val="0"/>
      <w:marRight w:val="0"/>
      <w:marTop w:val="0"/>
      <w:marBottom w:val="0"/>
      <w:divBdr>
        <w:top w:val="none" w:sz="0" w:space="0" w:color="auto"/>
        <w:left w:val="none" w:sz="0" w:space="0" w:color="auto"/>
        <w:bottom w:val="none" w:sz="0" w:space="0" w:color="auto"/>
        <w:right w:val="none" w:sz="0" w:space="0" w:color="auto"/>
      </w:divBdr>
    </w:div>
    <w:div w:id="1575047787">
      <w:bodyDiv w:val="1"/>
      <w:marLeft w:val="0"/>
      <w:marRight w:val="0"/>
      <w:marTop w:val="0"/>
      <w:marBottom w:val="0"/>
      <w:divBdr>
        <w:top w:val="none" w:sz="0" w:space="0" w:color="auto"/>
        <w:left w:val="none" w:sz="0" w:space="0" w:color="auto"/>
        <w:bottom w:val="none" w:sz="0" w:space="0" w:color="auto"/>
        <w:right w:val="none" w:sz="0" w:space="0" w:color="auto"/>
      </w:divBdr>
    </w:div>
    <w:div w:id="1576932273">
      <w:bodyDiv w:val="1"/>
      <w:marLeft w:val="0"/>
      <w:marRight w:val="0"/>
      <w:marTop w:val="0"/>
      <w:marBottom w:val="0"/>
      <w:divBdr>
        <w:top w:val="none" w:sz="0" w:space="0" w:color="auto"/>
        <w:left w:val="none" w:sz="0" w:space="0" w:color="auto"/>
        <w:bottom w:val="none" w:sz="0" w:space="0" w:color="auto"/>
        <w:right w:val="none" w:sz="0" w:space="0" w:color="auto"/>
      </w:divBdr>
    </w:div>
    <w:div w:id="1577394634">
      <w:bodyDiv w:val="1"/>
      <w:marLeft w:val="0"/>
      <w:marRight w:val="0"/>
      <w:marTop w:val="0"/>
      <w:marBottom w:val="0"/>
      <w:divBdr>
        <w:top w:val="none" w:sz="0" w:space="0" w:color="auto"/>
        <w:left w:val="none" w:sz="0" w:space="0" w:color="auto"/>
        <w:bottom w:val="none" w:sz="0" w:space="0" w:color="auto"/>
        <w:right w:val="none" w:sz="0" w:space="0" w:color="auto"/>
      </w:divBdr>
    </w:div>
    <w:div w:id="1580746357">
      <w:bodyDiv w:val="1"/>
      <w:marLeft w:val="0"/>
      <w:marRight w:val="0"/>
      <w:marTop w:val="0"/>
      <w:marBottom w:val="0"/>
      <w:divBdr>
        <w:top w:val="none" w:sz="0" w:space="0" w:color="auto"/>
        <w:left w:val="none" w:sz="0" w:space="0" w:color="auto"/>
        <w:bottom w:val="none" w:sz="0" w:space="0" w:color="auto"/>
        <w:right w:val="none" w:sz="0" w:space="0" w:color="auto"/>
      </w:divBdr>
    </w:div>
    <w:div w:id="1581520589">
      <w:bodyDiv w:val="1"/>
      <w:marLeft w:val="0"/>
      <w:marRight w:val="0"/>
      <w:marTop w:val="0"/>
      <w:marBottom w:val="0"/>
      <w:divBdr>
        <w:top w:val="none" w:sz="0" w:space="0" w:color="auto"/>
        <w:left w:val="none" w:sz="0" w:space="0" w:color="auto"/>
        <w:bottom w:val="none" w:sz="0" w:space="0" w:color="auto"/>
        <w:right w:val="none" w:sz="0" w:space="0" w:color="auto"/>
      </w:divBdr>
    </w:div>
    <w:div w:id="1581671678">
      <w:bodyDiv w:val="1"/>
      <w:marLeft w:val="0"/>
      <w:marRight w:val="0"/>
      <w:marTop w:val="0"/>
      <w:marBottom w:val="0"/>
      <w:divBdr>
        <w:top w:val="none" w:sz="0" w:space="0" w:color="auto"/>
        <w:left w:val="none" w:sz="0" w:space="0" w:color="auto"/>
        <w:bottom w:val="none" w:sz="0" w:space="0" w:color="auto"/>
        <w:right w:val="none" w:sz="0" w:space="0" w:color="auto"/>
      </w:divBdr>
    </w:div>
    <w:div w:id="1582524390">
      <w:bodyDiv w:val="1"/>
      <w:marLeft w:val="0"/>
      <w:marRight w:val="0"/>
      <w:marTop w:val="0"/>
      <w:marBottom w:val="0"/>
      <w:divBdr>
        <w:top w:val="none" w:sz="0" w:space="0" w:color="auto"/>
        <w:left w:val="none" w:sz="0" w:space="0" w:color="auto"/>
        <w:bottom w:val="none" w:sz="0" w:space="0" w:color="auto"/>
        <w:right w:val="none" w:sz="0" w:space="0" w:color="auto"/>
      </w:divBdr>
    </w:div>
    <w:div w:id="1582832708">
      <w:bodyDiv w:val="1"/>
      <w:marLeft w:val="0"/>
      <w:marRight w:val="0"/>
      <w:marTop w:val="0"/>
      <w:marBottom w:val="0"/>
      <w:divBdr>
        <w:top w:val="none" w:sz="0" w:space="0" w:color="auto"/>
        <w:left w:val="none" w:sz="0" w:space="0" w:color="auto"/>
        <w:bottom w:val="none" w:sz="0" w:space="0" w:color="auto"/>
        <w:right w:val="none" w:sz="0" w:space="0" w:color="auto"/>
      </w:divBdr>
    </w:div>
    <w:div w:id="1583677714">
      <w:bodyDiv w:val="1"/>
      <w:marLeft w:val="0"/>
      <w:marRight w:val="0"/>
      <w:marTop w:val="0"/>
      <w:marBottom w:val="0"/>
      <w:divBdr>
        <w:top w:val="none" w:sz="0" w:space="0" w:color="auto"/>
        <w:left w:val="none" w:sz="0" w:space="0" w:color="auto"/>
        <w:bottom w:val="none" w:sz="0" w:space="0" w:color="auto"/>
        <w:right w:val="none" w:sz="0" w:space="0" w:color="auto"/>
      </w:divBdr>
    </w:div>
    <w:div w:id="1587423247">
      <w:bodyDiv w:val="1"/>
      <w:marLeft w:val="0"/>
      <w:marRight w:val="0"/>
      <w:marTop w:val="0"/>
      <w:marBottom w:val="0"/>
      <w:divBdr>
        <w:top w:val="none" w:sz="0" w:space="0" w:color="auto"/>
        <w:left w:val="none" w:sz="0" w:space="0" w:color="auto"/>
        <w:bottom w:val="none" w:sz="0" w:space="0" w:color="auto"/>
        <w:right w:val="none" w:sz="0" w:space="0" w:color="auto"/>
      </w:divBdr>
    </w:div>
    <w:div w:id="1591695748">
      <w:bodyDiv w:val="1"/>
      <w:marLeft w:val="0"/>
      <w:marRight w:val="0"/>
      <w:marTop w:val="0"/>
      <w:marBottom w:val="0"/>
      <w:divBdr>
        <w:top w:val="none" w:sz="0" w:space="0" w:color="auto"/>
        <w:left w:val="none" w:sz="0" w:space="0" w:color="auto"/>
        <w:bottom w:val="none" w:sz="0" w:space="0" w:color="auto"/>
        <w:right w:val="none" w:sz="0" w:space="0" w:color="auto"/>
      </w:divBdr>
    </w:div>
    <w:div w:id="1595016495">
      <w:bodyDiv w:val="1"/>
      <w:marLeft w:val="0"/>
      <w:marRight w:val="0"/>
      <w:marTop w:val="0"/>
      <w:marBottom w:val="0"/>
      <w:divBdr>
        <w:top w:val="none" w:sz="0" w:space="0" w:color="auto"/>
        <w:left w:val="none" w:sz="0" w:space="0" w:color="auto"/>
        <w:bottom w:val="none" w:sz="0" w:space="0" w:color="auto"/>
        <w:right w:val="none" w:sz="0" w:space="0" w:color="auto"/>
      </w:divBdr>
    </w:div>
    <w:div w:id="1597177997">
      <w:bodyDiv w:val="1"/>
      <w:marLeft w:val="0"/>
      <w:marRight w:val="0"/>
      <w:marTop w:val="0"/>
      <w:marBottom w:val="0"/>
      <w:divBdr>
        <w:top w:val="none" w:sz="0" w:space="0" w:color="auto"/>
        <w:left w:val="none" w:sz="0" w:space="0" w:color="auto"/>
        <w:bottom w:val="none" w:sz="0" w:space="0" w:color="auto"/>
        <w:right w:val="none" w:sz="0" w:space="0" w:color="auto"/>
      </w:divBdr>
      <w:divsChild>
        <w:div w:id="1404838927">
          <w:marLeft w:val="0"/>
          <w:marRight w:val="0"/>
          <w:marTop w:val="0"/>
          <w:marBottom w:val="0"/>
          <w:divBdr>
            <w:top w:val="none" w:sz="0" w:space="0" w:color="auto"/>
            <w:left w:val="none" w:sz="0" w:space="0" w:color="auto"/>
            <w:bottom w:val="none" w:sz="0" w:space="0" w:color="auto"/>
            <w:right w:val="none" w:sz="0" w:space="0" w:color="auto"/>
          </w:divBdr>
        </w:div>
      </w:divsChild>
    </w:div>
    <w:div w:id="1598753858">
      <w:bodyDiv w:val="1"/>
      <w:marLeft w:val="0"/>
      <w:marRight w:val="0"/>
      <w:marTop w:val="0"/>
      <w:marBottom w:val="0"/>
      <w:divBdr>
        <w:top w:val="none" w:sz="0" w:space="0" w:color="auto"/>
        <w:left w:val="none" w:sz="0" w:space="0" w:color="auto"/>
        <w:bottom w:val="none" w:sz="0" w:space="0" w:color="auto"/>
        <w:right w:val="none" w:sz="0" w:space="0" w:color="auto"/>
      </w:divBdr>
    </w:div>
    <w:div w:id="1598826085">
      <w:bodyDiv w:val="1"/>
      <w:marLeft w:val="0"/>
      <w:marRight w:val="0"/>
      <w:marTop w:val="0"/>
      <w:marBottom w:val="0"/>
      <w:divBdr>
        <w:top w:val="none" w:sz="0" w:space="0" w:color="auto"/>
        <w:left w:val="none" w:sz="0" w:space="0" w:color="auto"/>
        <w:bottom w:val="none" w:sz="0" w:space="0" w:color="auto"/>
        <w:right w:val="none" w:sz="0" w:space="0" w:color="auto"/>
      </w:divBdr>
    </w:div>
    <w:div w:id="1599949862">
      <w:bodyDiv w:val="1"/>
      <w:marLeft w:val="0"/>
      <w:marRight w:val="0"/>
      <w:marTop w:val="0"/>
      <w:marBottom w:val="0"/>
      <w:divBdr>
        <w:top w:val="none" w:sz="0" w:space="0" w:color="auto"/>
        <w:left w:val="none" w:sz="0" w:space="0" w:color="auto"/>
        <w:bottom w:val="none" w:sz="0" w:space="0" w:color="auto"/>
        <w:right w:val="none" w:sz="0" w:space="0" w:color="auto"/>
      </w:divBdr>
    </w:div>
    <w:div w:id="1602031335">
      <w:bodyDiv w:val="1"/>
      <w:marLeft w:val="0"/>
      <w:marRight w:val="0"/>
      <w:marTop w:val="0"/>
      <w:marBottom w:val="0"/>
      <w:divBdr>
        <w:top w:val="none" w:sz="0" w:space="0" w:color="auto"/>
        <w:left w:val="none" w:sz="0" w:space="0" w:color="auto"/>
        <w:bottom w:val="none" w:sz="0" w:space="0" w:color="auto"/>
        <w:right w:val="none" w:sz="0" w:space="0" w:color="auto"/>
      </w:divBdr>
    </w:div>
    <w:div w:id="1602715592">
      <w:bodyDiv w:val="1"/>
      <w:marLeft w:val="0"/>
      <w:marRight w:val="0"/>
      <w:marTop w:val="0"/>
      <w:marBottom w:val="0"/>
      <w:divBdr>
        <w:top w:val="none" w:sz="0" w:space="0" w:color="auto"/>
        <w:left w:val="none" w:sz="0" w:space="0" w:color="auto"/>
        <w:bottom w:val="none" w:sz="0" w:space="0" w:color="auto"/>
        <w:right w:val="none" w:sz="0" w:space="0" w:color="auto"/>
      </w:divBdr>
    </w:div>
    <w:div w:id="1604024331">
      <w:bodyDiv w:val="1"/>
      <w:marLeft w:val="0"/>
      <w:marRight w:val="0"/>
      <w:marTop w:val="0"/>
      <w:marBottom w:val="0"/>
      <w:divBdr>
        <w:top w:val="none" w:sz="0" w:space="0" w:color="auto"/>
        <w:left w:val="none" w:sz="0" w:space="0" w:color="auto"/>
        <w:bottom w:val="none" w:sz="0" w:space="0" w:color="auto"/>
        <w:right w:val="none" w:sz="0" w:space="0" w:color="auto"/>
      </w:divBdr>
    </w:div>
    <w:div w:id="1609892456">
      <w:bodyDiv w:val="1"/>
      <w:marLeft w:val="0"/>
      <w:marRight w:val="0"/>
      <w:marTop w:val="0"/>
      <w:marBottom w:val="0"/>
      <w:divBdr>
        <w:top w:val="none" w:sz="0" w:space="0" w:color="auto"/>
        <w:left w:val="none" w:sz="0" w:space="0" w:color="auto"/>
        <w:bottom w:val="none" w:sz="0" w:space="0" w:color="auto"/>
        <w:right w:val="none" w:sz="0" w:space="0" w:color="auto"/>
      </w:divBdr>
    </w:div>
    <w:div w:id="1611618486">
      <w:bodyDiv w:val="1"/>
      <w:marLeft w:val="0"/>
      <w:marRight w:val="0"/>
      <w:marTop w:val="0"/>
      <w:marBottom w:val="0"/>
      <w:divBdr>
        <w:top w:val="none" w:sz="0" w:space="0" w:color="auto"/>
        <w:left w:val="none" w:sz="0" w:space="0" w:color="auto"/>
        <w:bottom w:val="none" w:sz="0" w:space="0" w:color="auto"/>
        <w:right w:val="none" w:sz="0" w:space="0" w:color="auto"/>
      </w:divBdr>
    </w:div>
    <w:div w:id="1615672114">
      <w:bodyDiv w:val="1"/>
      <w:marLeft w:val="0"/>
      <w:marRight w:val="0"/>
      <w:marTop w:val="0"/>
      <w:marBottom w:val="0"/>
      <w:divBdr>
        <w:top w:val="none" w:sz="0" w:space="0" w:color="auto"/>
        <w:left w:val="none" w:sz="0" w:space="0" w:color="auto"/>
        <w:bottom w:val="none" w:sz="0" w:space="0" w:color="auto"/>
        <w:right w:val="none" w:sz="0" w:space="0" w:color="auto"/>
      </w:divBdr>
    </w:div>
    <w:div w:id="1616715930">
      <w:bodyDiv w:val="1"/>
      <w:marLeft w:val="0"/>
      <w:marRight w:val="0"/>
      <w:marTop w:val="0"/>
      <w:marBottom w:val="0"/>
      <w:divBdr>
        <w:top w:val="none" w:sz="0" w:space="0" w:color="auto"/>
        <w:left w:val="none" w:sz="0" w:space="0" w:color="auto"/>
        <w:bottom w:val="none" w:sz="0" w:space="0" w:color="auto"/>
        <w:right w:val="none" w:sz="0" w:space="0" w:color="auto"/>
      </w:divBdr>
    </w:div>
    <w:div w:id="1621108630">
      <w:bodyDiv w:val="1"/>
      <w:marLeft w:val="0"/>
      <w:marRight w:val="0"/>
      <w:marTop w:val="0"/>
      <w:marBottom w:val="0"/>
      <w:divBdr>
        <w:top w:val="none" w:sz="0" w:space="0" w:color="auto"/>
        <w:left w:val="none" w:sz="0" w:space="0" w:color="auto"/>
        <w:bottom w:val="none" w:sz="0" w:space="0" w:color="auto"/>
        <w:right w:val="none" w:sz="0" w:space="0" w:color="auto"/>
      </w:divBdr>
    </w:div>
    <w:div w:id="1622375916">
      <w:bodyDiv w:val="1"/>
      <w:marLeft w:val="0"/>
      <w:marRight w:val="0"/>
      <w:marTop w:val="0"/>
      <w:marBottom w:val="0"/>
      <w:divBdr>
        <w:top w:val="none" w:sz="0" w:space="0" w:color="auto"/>
        <w:left w:val="none" w:sz="0" w:space="0" w:color="auto"/>
        <w:bottom w:val="none" w:sz="0" w:space="0" w:color="auto"/>
        <w:right w:val="none" w:sz="0" w:space="0" w:color="auto"/>
      </w:divBdr>
    </w:div>
    <w:div w:id="1623731385">
      <w:bodyDiv w:val="1"/>
      <w:marLeft w:val="0"/>
      <w:marRight w:val="0"/>
      <w:marTop w:val="0"/>
      <w:marBottom w:val="0"/>
      <w:divBdr>
        <w:top w:val="none" w:sz="0" w:space="0" w:color="auto"/>
        <w:left w:val="none" w:sz="0" w:space="0" w:color="auto"/>
        <w:bottom w:val="none" w:sz="0" w:space="0" w:color="auto"/>
        <w:right w:val="none" w:sz="0" w:space="0" w:color="auto"/>
      </w:divBdr>
    </w:div>
    <w:div w:id="1629627356">
      <w:bodyDiv w:val="1"/>
      <w:marLeft w:val="0"/>
      <w:marRight w:val="0"/>
      <w:marTop w:val="0"/>
      <w:marBottom w:val="0"/>
      <w:divBdr>
        <w:top w:val="none" w:sz="0" w:space="0" w:color="auto"/>
        <w:left w:val="none" w:sz="0" w:space="0" w:color="auto"/>
        <w:bottom w:val="none" w:sz="0" w:space="0" w:color="auto"/>
        <w:right w:val="none" w:sz="0" w:space="0" w:color="auto"/>
      </w:divBdr>
    </w:div>
    <w:div w:id="1632058937">
      <w:bodyDiv w:val="1"/>
      <w:marLeft w:val="0"/>
      <w:marRight w:val="0"/>
      <w:marTop w:val="0"/>
      <w:marBottom w:val="0"/>
      <w:divBdr>
        <w:top w:val="none" w:sz="0" w:space="0" w:color="auto"/>
        <w:left w:val="none" w:sz="0" w:space="0" w:color="auto"/>
        <w:bottom w:val="none" w:sz="0" w:space="0" w:color="auto"/>
        <w:right w:val="none" w:sz="0" w:space="0" w:color="auto"/>
      </w:divBdr>
    </w:div>
    <w:div w:id="1634871707">
      <w:bodyDiv w:val="1"/>
      <w:marLeft w:val="0"/>
      <w:marRight w:val="0"/>
      <w:marTop w:val="0"/>
      <w:marBottom w:val="0"/>
      <w:divBdr>
        <w:top w:val="none" w:sz="0" w:space="0" w:color="auto"/>
        <w:left w:val="none" w:sz="0" w:space="0" w:color="auto"/>
        <w:bottom w:val="none" w:sz="0" w:space="0" w:color="auto"/>
        <w:right w:val="none" w:sz="0" w:space="0" w:color="auto"/>
      </w:divBdr>
    </w:div>
    <w:div w:id="1636376008">
      <w:bodyDiv w:val="1"/>
      <w:marLeft w:val="0"/>
      <w:marRight w:val="0"/>
      <w:marTop w:val="0"/>
      <w:marBottom w:val="0"/>
      <w:divBdr>
        <w:top w:val="none" w:sz="0" w:space="0" w:color="auto"/>
        <w:left w:val="none" w:sz="0" w:space="0" w:color="auto"/>
        <w:bottom w:val="none" w:sz="0" w:space="0" w:color="auto"/>
        <w:right w:val="none" w:sz="0" w:space="0" w:color="auto"/>
      </w:divBdr>
    </w:div>
    <w:div w:id="1637028461">
      <w:bodyDiv w:val="1"/>
      <w:marLeft w:val="0"/>
      <w:marRight w:val="0"/>
      <w:marTop w:val="0"/>
      <w:marBottom w:val="0"/>
      <w:divBdr>
        <w:top w:val="none" w:sz="0" w:space="0" w:color="auto"/>
        <w:left w:val="none" w:sz="0" w:space="0" w:color="auto"/>
        <w:bottom w:val="none" w:sz="0" w:space="0" w:color="auto"/>
        <w:right w:val="none" w:sz="0" w:space="0" w:color="auto"/>
      </w:divBdr>
    </w:div>
    <w:div w:id="1638031369">
      <w:bodyDiv w:val="1"/>
      <w:marLeft w:val="0"/>
      <w:marRight w:val="0"/>
      <w:marTop w:val="0"/>
      <w:marBottom w:val="0"/>
      <w:divBdr>
        <w:top w:val="none" w:sz="0" w:space="0" w:color="auto"/>
        <w:left w:val="none" w:sz="0" w:space="0" w:color="auto"/>
        <w:bottom w:val="none" w:sz="0" w:space="0" w:color="auto"/>
        <w:right w:val="none" w:sz="0" w:space="0" w:color="auto"/>
      </w:divBdr>
    </w:div>
    <w:div w:id="1639996188">
      <w:bodyDiv w:val="1"/>
      <w:marLeft w:val="0"/>
      <w:marRight w:val="0"/>
      <w:marTop w:val="0"/>
      <w:marBottom w:val="0"/>
      <w:divBdr>
        <w:top w:val="none" w:sz="0" w:space="0" w:color="auto"/>
        <w:left w:val="none" w:sz="0" w:space="0" w:color="auto"/>
        <w:bottom w:val="none" w:sz="0" w:space="0" w:color="auto"/>
        <w:right w:val="none" w:sz="0" w:space="0" w:color="auto"/>
      </w:divBdr>
    </w:div>
    <w:div w:id="1644920491">
      <w:bodyDiv w:val="1"/>
      <w:marLeft w:val="0"/>
      <w:marRight w:val="0"/>
      <w:marTop w:val="0"/>
      <w:marBottom w:val="0"/>
      <w:divBdr>
        <w:top w:val="none" w:sz="0" w:space="0" w:color="auto"/>
        <w:left w:val="none" w:sz="0" w:space="0" w:color="auto"/>
        <w:bottom w:val="none" w:sz="0" w:space="0" w:color="auto"/>
        <w:right w:val="none" w:sz="0" w:space="0" w:color="auto"/>
      </w:divBdr>
    </w:div>
    <w:div w:id="1649551008">
      <w:bodyDiv w:val="1"/>
      <w:marLeft w:val="0"/>
      <w:marRight w:val="0"/>
      <w:marTop w:val="0"/>
      <w:marBottom w:val="0"/>
      <w:divBdr>
        <w:top w:val="none" w:sz="0" w:space="0" w:color="auto"/>
        <w:left w:val="none" w:sz="0" w:space="0" w:color="auto"/>
        <w:bottom w:val="none" w:sz="0" w:space="0" w:color="auto"/>
        <w:right w:val="none" w:sz="0" w:space="0" w:color="auto"/>
      </w:divBdr>
    </w:div>
    <w:div w:id="1654748251">
      <w:bodyDiv w:val="1"/>
      <w:marLeft w:val="0"/>
      <w:marRight w:val="0"/>
      <w:marTop w:val="0"/>
      <w:marBottom w:val="0"/>
      <w:divBdr>
        <w:top w:val="none" w:sz="0" w:space="0" w:color="auto"/>
        <w:left w:val="none" w:sz="0" w:space="0" w:color="auto"/>
        <w:bottom w:val="none" w:sz="0" w:space="0" w:color="auto"/>
        <w:right w:val="none" w:sz="0" w:space="0" w:color="auto"/>
      </w:divBdr>
    </w:div>
    <w:div w:id="1655724149">
      <w:bodyDiv w:val="1"/>
      <w:marLeft w:val="0"/>
      <w:marRight w:val="0"/>
      <w:marTop w:val="0"/>
      <w:marBottom w:val="0"/>
      <w:divBdr>
        <w:top w:val="none" w:sz="0" w:space="0" w:color="auto"/>
        <w:left w:val="none" w:sz="0" w:space="0" w:color="auto"/>
        <w:bottom w:val="none" w:sz="0" w:space="0" w:color="auto"/>
        <w:right w:val="none" w:sz="0" w:space="0" w:color="auto"/>
      </w:divBdr>
    </w:div>
    <w:div w:id="1655836239">
      <w:bodyDiv w:val="1"/>
      <w:marLeft w:val="0"/>
      <w:marRight w:val="0"/>
      <w:marTop w:val="0"/>
      <w:marBottom w:val="0"/>
      <w:divBdr>
        <w:top w:val="none" w:sz="0" w:space="0" w:color="auto"/>
        <w:left w:val="none" w:sz="0" w:space="0" w:color="auto"/>
        <w:bottom w:val="none" w:sz="0" w:space="0" w:color="auto"/>
        <w:right w:val="none" w:sz="0" w:space="0" w:color="auto"/>
      </w:divBdr>
    </w:div>
    <w:div w:id="1660305544">
      <w:bodyDiv w:val="1"/>
      <w:marLeft w:val="0"/>
      <w:marRight w:val="0"/>
      <w:marTop w:val="0"/>
      <w:marBottom w:val="0"/>
      <w:divBdr>
        <w:top w:val="none" w:sz="0" w:space="0" w:color="auto"/>
        <w:left w:val="none" w:sz="0" w:space="0" w:color="auto"/>
        <w:bottom w:val="none" w:sz="0" w:space="0" w:color="auto"/>
        <w:right w:val="none" w:sz="0" w:space="0" w:color="auto"/>
      </w:divBdr>
    </w:div>
    <w:div w:id="1663049462">
      <w:bodyDiv w:val="1"/>
      <w:marLeft w:val="0"/>
      <w:marRight w:val="0"/>
      <w:marTop w:val="0"/>
      <w:marBottom w:val="0"/>
      <w:divBdr>
        <w:top w:val="none" w:sz="0" w:space="0" w:color="auto"/>
        <w:left w:val="none" w:sz="0" w:space="0" w:color="auto"/>
        <w:bottom w:val="none" w:sz="0" w:space="0" w:color="auto"/>
        <w:right w:val="none" w:sz="0" w:space="0" w:color="auto"/>
      </w:divBdr>
    </w:div>
    <w:div w:id="1666855259">
      <w:bodyDiv w:val="1"/>
      <w:marLeft w:val="0"/>
      <w:marRight w:val="0"/>
      <w:marTop w:val="0"/>
      <w:marBottom w:val="0"/>
      <w:divBdr>
        <w:top w:val="none" w:sz="0" w:space="0" w:color="auto"/>
        <w:left w:val="none" w:sz="0" w:space="0" w:color="auto"/>
        <w:bottom w:val="none" w:sz="0" w:space="0" w:color="auto"/>
        <w:right w:val="none" w:sz="0" w:space="0" w:color="auto"/>
      </w:divBdr>
    </w:div>
    <w:div w:id="1669090045">
      <w:bodyDiv w:val="1"/>
      <w:marLeft w:val="0"/>
      <w:marRight w:val="0"/>
      <w:marTop w:val="0"/>
      <w:marBottom w:val="0"/>
      <w:divBdr>
        <w:top w:val="none" w:sz="0" w:space="0" w:color="auto"/>
        <w:left w:val="none" w:sz="0" w:space="0" w:color="auto"/>
        <w:bottom w:val="none" w:sz="0" w:space="0" w:color="auto"/>
        <w:right w:val="none" w:sz="0" w:space="0" w:color="auto"/>
      </w:divBdr>
    </w:div>
    <w:div w:id="1669743975">
      <w:bodyDiv w:val="1"/>
      <w:marLeft w:val="0"/>
      <w:marRight w:val="0"/>
      <w:marTop w:val="0"/>
      <w:marBottom w:val="0"/>
      <w:divBdr>
        <w:top w:val="none" w:sz="0" w:space="0" w:color="auto"/>
        <w:left w:val="none" w:sz="0" w:space="0" w:color="auto"/>
        <w:bottom w:val="none" w:sz="0" w:space="0" w:color="auto"/>
        <w:right w:val="none" w:sz="0" w:space="0" w:color="auto"/>
      </w:divBdr>
    </w:div>
    <w:div w:id="1674800594">
      <w:bodyDiv w:val="1"/>
      <w:marLeft w:val="0"/>
      <w:marRight w:val="0"/>
      <w:marTop w:val="0"/>
      <w:marBottom w:val="0"/>
      <w:divBdr>
        <w:top w:val="none" w:sz="0" w:space="0" w:color="auto"/>
        <w:left w:val="none" w:sz="0" w:space="0" w:color="auto"/>
        <w:bottom w:val="none" w:sz="0" w:space="0" w:color="auto"/>
        <w:right w:val="none" w:sz="0" w:space="0" w:color="auto"/>
      </w:divBdr>
    </w:div>
    <w:div w:id="1675179660">
      <w:bodyDiv w:val="1"/>
      <w:marLeft w:val="0"/>
      <w:marRight w:val="0"/>
      <w:marTop w:val="0"/>
      <w:marBottom w:val="0"/>
      <w:divBdr>
        <w:top w:val="none" w:sz="0" w:space="0" w:color="auto"/>
        <w:left w:val="none" w:sz="0" w:space="0" w:color="auto"/>
        <w:bottom w:val="none" w:sz="0" w:space="0" w:color="auto"/>
        <w:right w:val="none" w:sz="0" w:space="0" w:color="auto"/>
      </w:divBdr>
    </w:div>
    <w:div w:id="1678730772">
      <w:bodyDiv w:val="1"/>
      <w:marLeft w:val="0"/>
      <w:marRight w:val="0"/>
      <w:marTop w:val="0"/>
      <w:marBottom w:val="0"/>
      <w:divBdr>
        <w:top w:val="none" w:sz="0" w:space="0" w:color="auto"/>
        <w:left w:val="none" w:sz="0" w:space="0" w:color="auto"/>
        <w:bottom w:val="none" w:sz="0" w:space="0" w:color="auto"/>
        <w:right w:val="none" w:sz="0" w:space="0" w:color="auto"/>
      </w:divBdr>
    </w:div>
    <w:div w:id="1680544874">
      <w:bodyDiv w:val="1"/>
      <w:marLeft w:val="0"/>
      <w:marRight w:val="0"/>
      <w:marTop w:val="0"/>
      <w:marBottom w:val="0"/>
      <w:divBdr>
        <w:top w:val="none" w:sz="0" w:space="0" w:color="auto"/>
        <w:left w:val="none" w:sz="0" w:space="0" w:color="auto"/>
        <w:bottom w:val="none" w:sz="0" w:space="0" w:color="auto"/>
        <w:right w:val="none" w:sz="0" w:space="0" w:color="auto"/>
      </w:divBdr>
    </w:div>
    <w:div w:id="1682314759">
      <w:bodyDiv w:val="1"/>
      <w:marLeft w:val="0"/>
      <w:marRight w:val="0"/>
      <w:marTop w:val="0"/>
      <w:marBottom w:val="0"/>
      <w:divBdr>
        <w:top w:val="none" w:sz="0" w:space="0" w:color="auto"/>
        <w:left w:val="none" w:sz="0" w:space="0" w:color="auto"/>
        <w:bottom w:val="none" w:sz="0" w:space="0" w:color="auto"/>
        <w:right w:val="none" w:sz="0" w:space="0" w:color="auto"/>
      </w:divBdr>
    </w:div>
    <w:div w:id="1682656226">
      <w:bodyDiv w:val="1"/>
      <w:marLeft w:val="0"/>
      <w:marRight w:val="0"/>
      <w:marTop w:val="0"/>
      <w:marBottom w:val="0"/>
      <w:divBdr>
        <w:top w:val="none" w:sz="0" w:space="0" w:color="auto"/>
        <w:left w:val="none" w:sz="0" w:space="0" w:color="auto"/>
        <w:bottom w:val="none" w:sz="0" w:space="0" w:color="auto"/>
        <w:right w:val="none" w:sz="0" w:space="0" w:color="auto"/>
      </w:divBdr>
    </w:div>
    <w:div w:id="1686442299">
      <w:bodyDiv w:val="1"/>
      <w:marLeft w:val="0"/>
      <w:marRight w:val="0"/>
      <w:marTop w:val="0"/>
      <w:marBottom w:val="0"/>
      <w:divBdr>
        <w:top w:val="none" w:sz="0" w:space="0" w:color="auto"/>
        <w:left w:val="none" w:sz="0" w:space="0" w:color="auto"/>
        <w:bottom w:val="none" w:sz="0" w:space="0" w:color="auto"/>
        <w:right w:val="none" w:sz="0" w:space="0" w:color="auto"/>
      </w:divBdr>
    </w:div>
    <w:div w:id="1688092784">
      <w:bodyDiv w:val="1"/>
      <w:marLeft w:val="0"/>
      <w:marRight w:val="0"/>
      <w:marTop w:val="0"/>
      <w:marBottom w:val="0"/>
      <w:divBdr>
        <w:top w:val="none" w:sz="0" w:space="0" w:color="auto"/>
        <w:left w:val="none" w:sz="0" w:space="0" w:color="auto"/>
        <w:bottom w:val="none" w:sz="0" w:space="0" w:color="auto"/>
        <w:right w:val="none" w:sz="0" w:space="0" w:color="auto"/>
      </w:divBdr>
    </w:div>
    <w:div w:id="1688287090">
      <w:bodyDiv w:val="1"/>
      <w:marLeft w:val="0"/>
      <w:marRight w:val="0"/>
      <w:marTop w:val="0"/>
      <w:marBottom w:val="0"/>
      <w:divBdr>
        <w:top w:val="none" w:sz="0" w:space="0" w:color="auto"/>
        <w:left w:val="none" w:sz="0" w:space="0" w:color="auto"/>
        <w:bottom w:val="none" w:sz="0" w:space="0" w:color="auto"/>
        <w:right w:val="none" w:sz="0" w:space="0" w:color="auto"/>
      </w:divBdr>
    </w:div>
    <w:div w:id="1696999920">
      <w:bodyDiv w:val="1"/>
      <w:marLeft w:val="0"/>
      <w:marRight w:val="0"/>
      <w:marTop w:val="0"/>
      <w:marBottom w:val="0"/>
      <w:divBdr>
        <w:top w:val="none" w:sz="0" w:space="0" w:color="auto"/>
        <w:left w:val="none" w:sz="0" w:space="0" w:color="auto"/>
        <w:bottom w:val="none" w:sz="0" w:space="0" w:color="auto"/>
        <w:right w:val="none" w:sz="0" w:space="0" w:color="auto"/>
      </w:divBdr>
    </w:div>
    <w:div w:id="1698307081">
      <w:bodyDiv w:val="1"/>
      <w:marLeft w:val="0"/>
      <w:marRight w:val="0"/>
      <w:marTop w:val="0"/>
      <w:marBottom w:val="0"/>
      <w:divBdr>
        <w:top w:val="none" w:sz="0" w:space="0" w:color="auto"/>
        <w:left w:val="none" w:sz="0" w:space="0" w:color="auto"/>
        <w:bottom w:val="none" w:sz="0" w:space="0" w:color="auto"/>
        <w:right w:val="none" w:sz="0" w:space="0" w:color="auto"/>
      </w:divBdr>
    </w:div>
    <w:div w:id="1698695667">
      <w:bodyDiv w:val="1"/>
      <w:marLeft w:val="0"/>
      <w:marRight w:val="0"/>
      <w:marTop w:val="0"/>
      <w:marBottom w:val="0"/>
      <w:divBdr>
        <w:top w:val="none" w:sz="0" w:space="0" w:color="auto"/>
        <w:left w:val="none" w:sz="0" w:space="0" w:color="auto"/>
        <w:bottom w:val="none" w:sz="0" w:space="0" w:color="auto"/>
        <w:right w:val="none" w:sz="0" w:space="0" w:color="auto"/>
      </w:divBdr>
    </w:div>
    <w:div w:id="1701397416">
      <w:bodyDiv w:val="1"/>
      <w:marLeft w:val="0"/>
      <w:marRight w:val="0"/>
      <w:marTop w:val="0"/>
      <w:marBottom w:val="0"/>
      <w:divBdr>
        <w:top w:val="none" w:sz="0" w:space="0" w:color="auto"/>
        <w:left w:val="none" w:sz="0" w:space="0" w:color="auto"/>
        <w:bottom w:val="none" w:sz="0" w:space="0" w:color="auto"/>
        <w:right w:val="none" w:sz="0" w:space="0" w:color="auto"/>
      </w:divBdr>
    </w:div>
    <w:div w:id="1702241090">
      <w:bodyDiv w:val="1"/>
      <w:marLeft w:val="0"/>
      <w:marRight w:val="0"/>
      <w:marTop w:val="0"/>
      <w:marBottom w:val="0"/>
      <w:divBdr>
        <w:top w:val="none" w:sz="0" w:space="0" w:color="auto"/>
        <w:left w:val="none" w:sz="0" w:space="0" w:color="auto"/>
        <w:bottom w:val="none" w:sz="0" w:space="0" w:color="auto"/>
        <w:right w:val="none" w:sz="0" w:space="0" w:color="auto"/>
      </w:divBdr>
    </w:div>
    <w:div w:id="1704938135">
      <w:bodyDiv w:val="1"/>
      <w:marLeft w:val="0"/>
      <w:marRight w:val="0"/>
      <w:marTop w:val="0"/>
      <w:marBottom w:val="0"/>
      <w:divBdr>
        <w:top w:val="none" w:sz="0" w:space="0" w:color="auto"/>
        <w:left w:val="none" w:sz="0" w:space="0" w:color="auto"/>
        <w:bottom w:val="none" w:sz="0" w:space="0" w:color="auto"/>
        <w:right w:val="none" w:sz="0" w:space="0" w:color="auto"/>
      </w:divBdr>
    </w:div>
    <w:div w:id="1706758065">
      <w:bodyDiv w:val="1"/>
      <w:marLeft w:val="0"/>
      <w:marRight w:val="0"/>
      <w:marTop w:val="0"/>
      <w:marBottom w:val="0"/>
      <w:divBdr>
        <w:top w:val="none" w:sz="0" w:space="0" w:color="auto"/>
        <w:left w:val="none" w:sz="0" w:space="0" w:color="auto"/>
        <w:bottom w:val="none" w:sz="0" w:space="0" w:color="auto"/>
        <w:right w:val="none" w:sz="0" w:space="0" w:color="auto"/>
      </w:divBdr>
    </w:div>
    <w:div w:id="1706827876">
      <w:bodyDiv w:val="1"/>
      <w:marLeft w:val="0"/>
      <w:marRight w:val="0"/>
      <w:marTop w:val="0"/>
      <w:marBottom w:val="0"/>
      <w:divBdr>
        <w:top w:val="none" w:sz="0" w:space="0" w:color="auto"/>
        <w:left w:val="none" w:sz="0" w:space="0" w:color="auto"/>
        <w:bottom w:val="none" w:sz="0" w:space="0" w:color="auto"/>
        <w:right w:val="none" w:sz="0" w:space="0" w:color="auto"/>
      </w:divBdr>
    </w:div>
    <w:div w:id="1707102400">
      <w:bodyDiv w:val="1"/>
      <w:marLeft w:val="0"/>
      <w:marRight w:val="0"/>
      <w:marTop w:val="0"/>
      <w:marBottom w:val="0"/>
      <w:divBdr>
        <w:top w:val="none" w:sz="0" w:space="0" w:color="auto"/>
        <w:left w:val="none" w:sz="0" w:space="0" w:color="auto"/>
        <w:bottom w:val="none" w:sz="0" w:space="0" w:color="auto"/>
        <w:right w:val="none" w:sz="0" w:space="0" w:color="auto"/>
      </w:divBdr>
    </w:div>
    <w:div w:id="1716003781">
      <w:bodyDiv w:val="1"/>
      <w:marLeft w:val="0"/>
      <w:marRight w:val="0"/>
      <w:marTop w:val="0"/>
      <w:marBottom w:val="0"/>
      <w:divBdr>
        <w:top w:val="none" w:sz="0" w:space="0" w:color="auto"/>
        <w:left w:val="none" w:sz="0" w:space="0" w:color="auto"/>
        <w:bottom w:val="none" w:sz="0" w:space="0" w:color="auto"/>
        <w:right w:val="none" w:sz="0" w:space="0" w:color="auto"/>
      </w:divBdr>
    </w:div>
    <w:div w:id="1716152779">
      <w:bodyDiv w:val="1"/>
      <w:marLeft w:val="0"/>
      <w:marRight w:val="0"/>
      <w:marTop w:val="0"/>
      <w:marBottom w:val="0"/>
      <w:divBdr>
        <w:top w:val="none" w:sz="0" w:space="0" w:color="auto"/>
        <w:left w:val="none" w:sz="0" w:space="0" w:color="auto"/>
        <w:bottom w:val="none" w:sz="0" w:space="0" w:color="auto"/>
        <w:right w:val="none" w:sz="0" w:space="0" w:color="auto"/>
      </w:divBdr>
    </w:div>
    <w:div w:id="1716538267">
      <w:bodyDiv w:val="1"/>
      <w:marLeft w:val="0"/>
      <w:marRight w:val="0"/>
      <w:marTop w:val="0"/>
      <w:marBottom w:val="0"/>
      <w:divBdr>
        <w:top w:val="none" w:sz="0" w:space="0" w:color="auto"/>
        <w:left w:val="none" w:sz="0" w:space="0" w:color="auto"/>
        <w:bottom w:val="none" w:sz="0" w:space="0" w:color="auto"/>
        <w:right w:val="none" w:sz="0" w:space="0" w:color="auto"/>
      </w:divBdr>
    </w:div>
    <w:div w:id="1716543710">
      <w:bodyDiv w:val="1"/>
      <w:marLeft w:val="0"/>
      <w:marRight w:val="0"/>
      <w:marTop w:val="0"/>
      <w:marBottom w:val="0"/>
      <w:divBdr>
        <w:top w:val="none" w:sz="0" w:space="0" w:color="auto"/>
        <w:left w:val="none" w:sz="0" w:space="0" w:color="auto"/>
        <w:bottom w:val="none" w:sz="0" w:space="0" w:color="auto"/>
        <w:right w:val="none" w:sz="0" w:space="0" w:color="auto"/>
      </w:divBdr>
    </w:div>
    <w:div w:id="1717316893">
      <w:bodyDiv w:val="1"/>
      <w:marLeft w:val="0"/>
      <w:marRight w:val="0"/>
      <w:marTop w:val="0"/>
      <w:marBottom w:val="0"/>
      <w:divBdr>
        <w:top w:val="none" w:sz="0" w:space="0" w:color="auto"/>
        <w:left w:val="none" w:sz="0" w:space="0" w:color="auto"/>
        <w:bottom w:val="none" w:sz="0" w:space="0" w:color="auto"/>
        <w:right w:val="none" w:sz="0" w:space="0" w:color="auto"/>
      </w:divBdr>
    </w:div>
    <w:div w:id="1718889928">
      <w:bodyDiv w:val="1"/>
      <w:marLeft w:val="0"/>
      <w:marRight w:val="0"/>
      <w:marTop w:val="0"/>
      <w:marBottom w:val="0"/>
      <w:divBdr>
        <w:top w:val="none" w:sz="0" w:space="0" w:color="auto"/>
        <w:left w:val="none" w:sz="0" w:space="0" w:color="auto"/>
        <w:bottom w:val="none" w:sz="0" w:space="0" w:color="auto"/>
        <w:right w:val="none" w:sz="0" w:space="0" w:color="auto"/>
      </w:divBdr>
    </w:div>
    <w:div w:id="1721977543">
      <w:bodyDiv w:val="1"/>
      <w:marLeft w:val="0"/>
      <w:marRight w:val="0"/>
      <w:marTop w:val="0"/>
      <w:marBottom w:val="0"/>
      <w:divBdr>
        <w:top w:val="none" w:sz="0" w:space="0" w:color="auto"/>
        <w:left w:val="none" w:sz="0" w:space="0" w:color="auto"/>
        <w:bottom w:val="none" w:sz="0" w:space="0" w:color="auto"/>
        <w:right w:val="none" w:sz="0" w:space="0" w:color="auto"/>
      </w:divBdr>
    </w:div>
    <w:div w:id="1722096887">
      <w:bodyDiv w:val="1"/>
      <w:marLeft w:val="0"/>
      <w:marRight w:val="0"/>
      <w:marTop w:val="0"/>
      <w:marBottom w:val="0"/>
      <w:divBdr>
        <w:top w:val="none" w:sz="0" w:space="0" w:color="auto"/>
        <w:left w:val="none" w:sz="0" w:space="0" w:color="auto"/>
        <w:bottom w:val="none" w:sz="0" w:space="0" w:color="auto"/>
        <w:right w:val="none" w:sz="0" w:space="0" w:color="auto"/>
      </w:divBdr>
    </w:div>
    <w:div w:id="1724449548">
      <w:bodyDiv w:val="1"/>
      <w:marLeft w:val="0"/>
      <w:marRight w:val="0"/>
      <w:marTop w:val="0"/>
      <w:marBottom w:val="0"/>
      <w:divBdr>
        <w:top w:val="none" w:sz="0" w:space="0" w:color="auto"/>
        <w:left w:val="none" w:sz="0" w:space="0" w:color="auto"/>
        <w:bottom w:val="none" w:sz="0" w:space="0" w:color="auto"/>
        <w:right w:val="none" w:sz="0" w:space="0" w:color="auto"/>
      </w:divBdr>
    </w:div>
    <w:div w:id="1733766910">
      <w:bodyDiv w:val="1"/>
      <w:marLeft w:val="0"/>
      <w:marRight w:val="0"/>
      <w:marTop w:val="0"/>
      <w:marBottom w:val="0"/>
      <w:divBdr>
        <w:top w:val="none" w:sz="0" w:space="0" w:color="auto"/>
        <w:left w:val="none" w:sz="0" w:space="0" w:color="auto"/>
        <w:bottom w:val="none" w:sz="0" w:space="0" w:color="auto"/>
        <w:right w:val="none" w:sz="0" w:space="0" w:color="auto"/>
      </w:divBdr>
    </w:div>
    <w:div w:id="1736393100">
      <w:bodyDiv w:val="1"/>
      <w:marLeft w:val="0"/>
      <w:marRight w:val="0"/>
      <w:marTop w:val="0"/>
      <w:marBottom w:val="0"/>
      <w:divBdr>
        <w:top w:val="none" w:sz="0" w:space="0" w:color="auto"/>
        <w:left w:val="none" w:sz="0" w:space="0" w:color="auto"/>
        <w:bottom w:val="none" w:sz="0" w:space="0" w:color="auto"/>
        <w:right w:val="none" w:sz="0" w:space="0" w:color="auto"/>
      </w:divBdr>
    </w:div>
    <w:div w:id="1736732963">
      <w:bodyDiv w:val="1"/>
      <w:marLeft w:val="0"/>
      <w:marRight w:val="0"/>
      <w:marTop w:val="0"/>
      <w:marBottom w:val="0"/>
      <w:divBdr>
        <w:top w:val="none" w:sz="0" w:space="0" w:color="auto"/>
        <w:left w:val="none" w:sz="0" w:space="0" w:color="auto"/>
        <w:bottom w:val="none" w:sz="0" w:space="0" w:color="auto"/>
        <w:right w:val="none" w:sz="0" w:space="0" w:color="auto"/>
      </w:divBdr>
    </w:div>
    <w:div w:id="1737245662">
      <w:bodyDiv w:val="1"/>
      <w:marLeft w:val="0"/>
      <w:marRight w:val="0"/>
      <w:marTop w:val="0"/>
      <w:marBottom w:val="0"/>
      <w:divBdr>
        <w:top w:val="none" w:sz="0" w:space="0" w:color="auto"/>
        <w:left w:val="none" w:sz="0" w:space="0" w:color="auto"/>
        <w:bottom w:val="none" w:sz="0" w:space="0" w:color="auto"/>
        <w:right w:val="none" w:sz="0" w:space="0" w:color="auto"/>
      </w:divBdr>
    </w:div>
    <w:div w:id="1737896409">
      <w:bodyDiv w:val="1"/>
      <w:marLeft w:val="0"/>
      <w:marRight w:val="0"/>
      <w:marTop w:val="0"/>
      <w:marBottom w:val="0"/>
      <w:divBdr>
        <w:top w:val="none" w:sz="0" w:space="0" w:color="auto"/>
        <w:left w:val="none" w:sz="0" w:space="0" w:color="auto"/>
        <w:bottom w:val="none" w:sz="0" w:space="0" w:color="auto"/>
        <w:right w:val="none" w:sz="0" w:space="0" w:color="auto"/>
      </w:divBdr>
    </w:div>
    <w:div w:id="1738702194">
      <w:bodyDiv w:val="1"/>
      <w:marLeft w:val="0"/>
      <w:marRight w:val="0"/>
      <w:marTop w:val="0"/>
      <w:marBottom w:val="0"/>
      <w:divBdr>
        <w:top w:val="none" w:sz="0" w:space="0" w:color="auto"/>
        <w:left w:val="none" w:sz="0" w:space="0" w:color="auto"/>
        <w:bottom w:val="none" w:sz="0" w:space="0" w:color="auto"/>
        <w:right w:val="none" w:sz="0" w:space="0" w:color="auto"/>
      </w:divBdr>
    </w:div>
    <w:div w:id="1741051270">
      <w:bodyDiv w:val="1"/>
      <w:marLeft w:val="0"/>
      <w:marRight w:val="0"/>
      <w:marTop w:val="0"/>
      <w:marBottom w:val="0"/>
      <w:divBdr>
        <w:top w:val="none" w:sz="0" w:space="0" w:color="auto"/>
        <w:left w:val="none" w:sz="0" w:space="0" w:color="auto"/>
        <w:bottom w:val="none" w:sz="0" w:space="0" w:color="auto"/>
        <w:right w:val="none" w:sz="0" w:space="0" w:color="auto"/>
      </w:divBdr>
    </w:div>
    <w:div w:id="1749690682">
      <w:bodyDiv w:val="1"/>
      <w:marLeft w:val="0"/>
      <w:marRight w:val="0"/>
      <w:marTop w:val="0"/>
      <w:marBottom w:val="0"/>
      <w:divBdr>
        <w:top w:val="none" w:sz="0" w:space="0" w:color="auto"/>
        <w:left w:val="none" w:sz="0" w:space="0" w:color="auto"/>
        <w:bottom w:val="none" w:sz="0" w:space="0" w:color="auto"/>
        <w:right w:val="none" w:sz="0" w:space="0" w:color="auto"/>
      </w:divBdr>
    </w:div>
    <w:div w:id="1753430815">
      <w:bodyDiv w:val="1"/>
      <w:marLeft w:val="0"/>
      <w:marRight w:val="0"/>
      <w:marTop w:val="0"/>
      <w:marBottom w:val="0"/>
      <w:divBdr>
        <w:top w:val="none" w:sz="0" w:space="0" w:color="auto"/>
        <w:left w:val="none" w:sz="0" w:space="0" w:color="auto"/>
        <w:bottom w:val="none" w:sz="0" w:space="0" w:color="auto"/>
        <w:right w:val="none" w:sz="0" w:space="0" w:color="auto"/>
      </w:divBdr>
    </w:div>
    <w:div w:id="1758483128">
      <w:bodyDiv w:val="1"/>
      <w:marLeft w:val="0"/>
      <w:marRight w:val="0"/>
      <w:marTop w:val="0"/>
      <w:marBottom w:val="0"/>
      <w:divBdr>
        <w:top w:val="none" w:sz="0" w:space="0" w:color="auto"/>
        <w:left w:val="none" w:sz="0" w:space="0" w:color="auto"/>
        <w:bottom w:val="none" w:sz="0" w:space="0" w:color="auto"/>
        <w:right w:val="none" w:sz="0" w:space="0" w:color="auto"/>
      </w:divBdr>
    </w:div>
    <w:div w:id="1759596163">
      <w:bodyDiv w:val="1"/>
      <w:marLeft w:val="0"/>
      <w:marRight w:val="0"/>
      <w:marTop w:val="0"/>
      <w:marBottom w:val="0"/>
      <w:divBdr>
        <w:top w:val="none" w:sz="0" w:space="0" w:color="auto"/>
        <w:left w:val="none" w:sz="0" w:space="0" w:color="auto"/>
        <w:bottom w:val="none" w:sz="0" w:space="0" w:color="auto"/>
        <w:right w:val="none" w:sz="0" w:space="0" w:color="auto"/>
      </w:divBdr>
    </w:div>
    <w:div w:id="1759864740">
      <w:bodyDiv w:val="1"/>
      <w:marLeft w:val="0"/>
      <w:marRight w:val="0"/>
      <w:marTop w:val="0"/>
      <w:marBottom w:val="0"/>
      <w:divBdr>
        <w:top w:val="none" w:sz="0" w:space="0" w:color="auto"/>
        <w:left w:val="none" w:sz="0" w:space="0" w:color="auto"/>
        <w:bottom w:val="none" w:sz="0" w:space="0" w:color="auto"/>
        <w:right w:val="none" w:sz="0" w:space="0" w:color="auto"/>
      </w:divBdr>
    </w:div>
    <w:div w:id="1761680754">
      <w:bodyDiv w:val="1"/>
      <w:marLeft w:val="0"/>
      <w:marRight w:val="0"/>
      <w:marTop w:val="0"/>
      <w:marBottom w:val="0"/>
      <w:divBdr>
        <w:top w:val="none" w:sz="0" w:space="0" w:color="auto"/>
        <w:left w:val="none" w:sz="0" w:space="0" w:color="auto"/>
        <w:bottom w:val="none" w:sz="0" w:space="0" w:color="auto"/>
        <w:right w:val="none" w:sz="0" w:space="0" w:color="auto"/>
      </w:divBdr>
    </w:div>
    <w:div w:id="1762212189">
      <w:bodyDiv w:val="1"/>
      <w:marLeft w:val="0"/>
      <w:marRight w:val="0"/>
      <w:marTop w:val="0"/>
      <w:marBottom w:val="0"/>
      <w:divBdr>
        <w:top w:val="none" w:sz="0" w:space="0" w:color="auto"/>
        <w:left w:val="none" w:sz="0" w:space="0" w:color="auto"/>
        <w:bottom w:val="none" w:sz="0" w:space="0" w:color="auto"/>
        <w:right w:val="none" w:sz="0" w:space="0" w:color="auto"/>
      </w:divBdr>
    </w:div>
    <w:div w:id="1764033576">
      <w:bodyDiv w:val="1"/>
      <w:marLeft w:val="0"/>
      <w:marRight w:val="0"/>
      <w:marTop w:val="0"/>
      <w:marBottom w:val="0"/>
      <w:divBdr>
        <w:top w:val="none" w:sz="0" w:space="0" w:color="auto"/>
        <w:left w:val="none" w:sz="0" w:space="0" w:color="auto"/>
        <w:bottom w:val="none" w:sz="0" w:space="0" w:color="auto"/>
        <w:right w:val="none" w:sz="0" w:space="0" w:color="auto"/>
      </w:divBdr>
    </w:div>
    <w:div w:id="1764374026">
      <w:bodyDiv w:val="1"/>
      <w:marLeft w:val="0"/>
      <w:marRight w:val="0"/>
      <w:marTop w:val="0"/>
      <w:marBottom w:val="0"/>
      <w:divBdr>
        <w:top w:val="none" w:sz="0" w:space="0" w:color="auto"/>
        <w:left w:val="none" w:sz="0" w:space="0" w:color="auto"/>
        <w:bottom w:val="none" w:sz="0" w:space="0" w:color="auto"/>
        <w:right w:val="none" w:sz="0" w:space="0" w:color="auto"/>
      </w:divBdr>
    </w:div>
    <w:div w:id="1767729193">
      <w:bodyDiv w:val="1"/>
      <w:marLeft w:val="0"/>
      <w:marRight w:val="0"/>
      <w:marTop w:val="0"/>
      <w:marBottom w:val="0"/>
      <w:divBdr>
        <w:top w:val="none" w:sz="0" w:space="0" w:color="auto"/>
        <w:left w:val="none" w:sz="0" w:space="0" w:color="auto"/>
        <w:bottom w:val="none" w:sz="0" w:space="0" w:color="auto"/>
        <w:right w:val="none" w:sz="0" w:space="0" w:color="auto"/>
      </w:divBdr>
    </w:div>
    <w:div w:id="1770079293">
      <w:bodyDiv w:val="1"/>
      <w:marLeft w:val="0"/>
      <w:marRight w:val="0"/>
      <w:marTop w:val="0"/>
      <w:marBottom w:val="0"/>
      <w:divBdr>
        <w:top w:val="none" w:sz="0" w:space="0" w:color="auto"/>
        <w:left w:val="none" w:sz="0" w:space="0" w:color="auto"/>
        <w:bottom w:val="none" w:sz="0" w:space="0" w:color="auto"/>
        <w:right w:val="none" w:sz="0" w:space="0" w:color="auto"/>
      </w:divBdr>
    </w:div>
    <w:div w:id="1778254572">
      <w:bodyDiv w:val="1"/>
      <w:marLeft w:val="0"/>
      <w:marRight w:val="0"/>
      <w:marTop w:val="0"/>
      <w:marBottom w:val="0"/>
      <w:divBdr>
        <w:top w:val="none" w:sz="0" w:space="0" w:color="auto"/>
        <w:left w:val="none" w:sz="0" w:space="0" w:color="auto"/>
        <w:bottom w:val="none" w:sz="0" w:space="0" w:color="auto"/>
        <w:right w:val="none" w:sz="0" w:space="0" w:color="auto"/>
      </w:divBdr>
    </w:div>
    <w:div w:id="1783063390">
      <w:bodyDiv w:val="1"/>
      <w:marLeft w:val="0"/>
      <w:marRight w:val="0"/>
      <w:marTop w:val="0"/>
      <w:marBottom w:val="0"/>
      <w:divBdr>
        <w:top w:val="none" w:sz="0" w:space="0" w:color="auto"/>
        <w:left w:val="none" w:sz="0" w:space="0" w:color="auto"/>
        <w:bottom w:val="none" w:sz="0" w:space="0" w:color="auto"/>
        <w:right w:val="none" w:sz="0" w:space="0" w:color="auto"/>
      </w:divBdr>
    </w:div>
    <w:div w:id="1784181745">
      <w:bodyDiv w:val="1"/>
      <w:marLeft w:val="0"/>
      <w:marRight w:val="0"/>
      <w:marTop w:val="0"/>
      <w:marBottom w:val="0"/>
      <w:divBdr>
        <w:top w:val="none" w:sz="0" w:space="0" w:color="auto"/>
        <w:left w:val="none" w:sz="0" w:space="0" w:color="auto"/>
        <w:bottom w:val="none" w:sz="0" w:space="0" w:color="auto"/>
        <w:right w:val="none" w:sz="0" w:space="0" w:color="auto"/>
      </w:divBdr>
    </w:div>
    <w:div w:id="1785616549">
      <w:bodyDiv w:val="1"/>
      <w:marLeft w:val="0"/>
      <w:marRight w:val="0"/>
      <w:marTop w:val="0"/>
      <w:marBottom w:val="0"/>
      <w:divBdr>
        <w:top w:val="none" w:sz="0" w:space="0" w:color="auto"/>
        <w:left w:val="none" w:sz="0" w:space="0" w:color="auto"/>
        <w:bottom w:val="none" w:sz="0" w:space="0" w:color="auto"/>
        <w:right w:val="none" w:sz="0" w:space="0" w:color="auto"/>
      </w:divBdr>
    </w:div>
    <w:div w:id="1787774452">
      <w:bodyDiv w:val="1"/>
      <w:marLeft w:val="0"/>
      <w:marRight w:val="0"/>
      <w:marTop w:val="0"/>
      <w:marBottom w:val="0"/>
      <w:divBdr>
        <w:top w:val="none" w:sz="0" w:space="0" w:color="auto"/>
        <w:left w:val="none" w:sz="0" w:space="0" w:color="auto"/>
        <w:bottom w:val="none" w:sz="0" w:space="0" w:color="auto"/>
        <w:right w:val="none" w:sz="0" w:space="0" w:color="auto"/>
      </w:divBdr>
    </w:div>
    <w:div w:id="1790587901">
      <w:bodyDiv w:val="1"/>
      <w:marLeft w:val="0"/>
      <w:marRight w:val="0"/>
      <w:marTop w:val="0"/>
      <w:marBottom w:val="0"/>
      <w:divBdr>
        <w:top w:val="none" w:sz="0" w:space="0" w:color="auto"/>
        <w:left w:val="none" w:sz="0" w:space="0" w:color="auto"/>
        <w:bottom w:val="none" w:sz="0" w:space="0" w:color="auto"/>
        <w:right w:val="none" w:sz="0" w:space="0" w:color="auto"/>
      </w:divBdr>
    </w:div>
    <w:div w:id="1791391252">
      <w:bodyDiv w:val="1"/>
      <w:marLeft w:val="0"/>
      <w:marRight w:val="0"/>
      <w:marTop w:val="0"/>
      <w:marBottom w:val="0"/>
      <w:divBdr>
        <w:top w:val="none" w:sz="0" w:space="0" w:color="auto"/>
        <w:left w:val="none" w:sz="0" w:space="0" w:color="auto"/>
        <w:bottom w:val="none" w:sz="0" w:space="0" w:color="auto"/>
        <w:right w:val="none" w:sz="0" w:space="0" w:color="auto"/>
      </w:divBdr>
    </w:div>
    <w:div w:id="1791436815">
      <w:bodyDiv w:val="1"/>
      <w:marLeft w:val="0"/>
      <w:marRight w:val="0"/>
      <w:marTop w:val="0"/>
      <w:marBottom w:val="0"/>
      <w:divBdr>
        <w:top w:val="none" w:sz="0" w:space="0" w:color="auto"/>
        <w:left w:val="none" w:sz="0" w:space="0" w:color="auto"/>
        <w:bottom w:val="none" w:sz="0" w:space="0" w:color="auto"/>
        <w:right w:val="none" w:sz="0" w:space="0" w:color="auto"/>
      </w:divBdr>
    </w:div>
    <w:div w:id="1797068941">
      <w:bodyDiv w:val="1"/>
      <w:marLeft w:val="0"/>
      <w:marRight w:val="0"/>
      <w:marTop w:val="0"/>
      <w:marBottom w:val="0"/>
      <w:divBdr>
        <w:top w:val="none" w:sz="0" w:space="0" w:color="auto"/>
        <w:left w:val="none" w:sz="0" w:space="0" w:color="auto"/>
        <w:bottom w:val="none" w:sz="0" w:space="0" w:color="auto"/>
        <w:right w:val="none" w:sz="0" w:space="0" w:color="auto"/>
      </w:divBdr>
    </w:div>
    <w:div w:id="1798721926">
      <w:bodyDiv w:val="1"/>
      <w:marLeft w:val="0"/>
      <w:marRight w:val="0"/>
      <w:marTop w:val="0"/>
      <w:marBottom w:val="0"/>
      <w:divBdr>
        <w:top w:val="none" w:sz="0" w:space="0" w:color="auto"/>
        <w:left w:val="none" w:sz="0" w:space="0" w:color="auto"/>
        <w:bottom w:val="none" w:sz="0" w:space="0" w:color="auto"/>
        <w:right w:val="none" w:sz="0" w:space="0" w:color="auto"/>
      </w:divBdr>
    </w:div>
    <w:div w:id="1800951069">
      <w:bodyDiv w:val="1"/>
      <w:marLeft w:val="0"/>
      <w:marRight w:val="0"/>
      <w:marTop w:val="0"/>
      <w:marBottom w:val="0"/>
      <w:divBdr>
        <w:top w:val="none" w:sz="0" w:space="0" w:color="auto"/>
        <w:left w:val="none" w:sz="0" w:space="0" w:color="auto"/>
        <w:bottom w:val="none" w:sz="0" w:space="0" w:color="auto"/>
        <w:right w:val="none" w:sz="0" w:space="0" w:color="auto"/>
      </w:divBdr>
    </w:div>
    <w:div w:id="1811702215">
      <w:bodyDiv w:val="1"/>
      <w:marLeft w:val="0"/>
      <w:marRight w:val="0"/>
      <w:marTop w:val="0"/>
      <w:marBottom w:val="0"/>
      <w:divBdr>
        <w:top w:val="none" w:sz="0" w:space="0" w:color="auto"/>
        <w:left w:val="none" w:sz="0" w:space="0" w:color="auto"/>
        <w:bottom w:val="none" w:sz="0" w:space="0" w:color="auto"/>
        <w:right w:val="none" w:sz="0" w:space="0" w:color="auto"/>
      </w:divBdr>
    </w:div>
    <w:div w:id="1814365911">
      <w:bodyDiv w:val="1"/>
      <w:marLeft w:val="0"/>
      <w:marRight w:val="0"/>
      <w:marTop w:val="0"/>
      <w:marBottom w:val="0"/>
      <w:divBdr>
        <w:top w:val="none" w:sz="0" w:space="0" w:color="auto"/>
        <w:left w:val="none" w:sz="0" w:space="0" w:color="auto"/>
        <w:bottom w:val="none" w:sz="0" w:space="0" w:color="auto"/>
        <w:right w:val="none" w:sz="0" w:space="0" w:color="auto"/>
      </w:divBdr>
    </w:div>
    <w:div w:id="1816412310">
      <w:bodyDiv w:val="1"/>
      <w:marLeft w:val="0"/>
      <w:marRight w:val="0"/>
      <w:marTop w:val="0"/>
      <w:marBottom w:val="0"/>
      <w:divBdr>
        <w:top w:val="none" w:sz="0" w:space="0" w:color="auto"/>
        <w:left w:val="none" w:sz="0" w:space="0" w:color="auto"/>
        <w:bottom w:val="none" w:sz="0" w:space="0" w:color="auto"/>
        <w:right w:val="none" w:sz="0" w:space="0" w:color="auto"/>
      </w:divBdr>
    </w:div>
    <w:div w:id="1818717101">
      <w:bodyDiv w:val="1"/>
      <w:marLeft w:val="0"/>
      <w:marRight w:val="0"/>
      <w:marTop w:val="0"/>
      <w:marBottom w:val="0"/>
      <w:divBdr>
        <w:top w:val="none" w:sz="0" w:space="0" w:color="auto"/>
        <w:left w:val="none" w:sz="0" w:space="0" w:color="auto"/>
        <w:bottom w:val="none" w:sz="0" w:space="0" w:color="auto"/>
        <w:right w:val="none" w:sz="0" w:space="0" w:color="auto"/>
      </w:divBdr>
    </w:div>
    <w:div w:id="1819574228">
      <w:bodyDiv w:val="1"/>
      <w:marLeft w:val="0"/>
      <w:marRight w:val="0"/>
      <w:marTop w:val="0"/>
      <w:marBottom w:val="0"/>
      <w:divBdr>
        <w:top w:val="none" w:sz="0" w:space="0" w:color="auto"/>
        <w:left w:val="none" w:sz="0" w:space="0" w:color="auto"/>
        <w:bottom w:val="none" w:sz="0" w:space="0" w:color="auto"/>
        <w:right w:val="none" w:sz="0" w:space="0" w:color="auto"/>
      </w:divBdr>
    </w:div>
    <w:div w:id="1820265828">
      <w:bodyDiv w:val="1"/>
      <w:marLeft w:val="0"/>
      <w:marRight w:val="0"/>
      <w:marTop w:val="0"/>
      <w:marBottom w:val="0"/>
      <w:divBdr>
        <w:top w:val="none" w:sz="0" w:space="0" w:color="auto"/>
        <w:left w:val="none" w:sz="0" w:space="0" w:color="auto"/>
        <w:bottom w:val="none" w:sz="0" w:space="0" w:color="auto"/>
        <w:right w:val="none" w:sz="0" w:space="0" w:color="auto"/>
      </w:divBdr>
    </w:div>
    <w:div w:id="1825124322">
      <w:bodyDiv w:val="1"/>
      <w:marLeft w:val="0"/>
      <w:marRight w:val="0"/>
      <w:marTop w:val="0"/>
      <w:marBottom w:val="0"/>
      <w:divBdr>
        <w:top w:val="none" w:sz="0" w:space="0" w:color="auto"/>
        <w:left w:val="none" w:sz="0" w:space="0" w:color="auto"/>
        <w:bottom w:val="none" w:sz="0" w:space="0" w:color="auto"/>
        <w:right w:val="none" w:sz="0" w:space="0" w:color="auto"/>
      </w:divBdr>
    </w:div>
    <w:div w:id="1826621938">
      <w:bodyDiv w:val="1"/>
      <w:marLeft w:val="0"/>
      <w:marRight w:val="0"/>
      <w:marTop w:val="0"/>
      <w:marBottom w:val="0"/>
      <w:divBdr>
        <w:top w:val="none" w:sz="0" w:space="0" w:color="auto"/>
        <w:left w:val="none" w:sz="0" w:space="0" w:color="auto"/>
        <w:bottom w:val="none" w:sz="0" w:space="0" w:color="auto"/>
        <w:right w:val="none" w:sz="0" w:space="0" w:color="auto"/>
      </w:divBdr>
    </w:div>
    <w:div w:id="1830174786">
      <w:bodyDiv w:val="1"/>
      <w:marLeft w:val="0"/>
      <w:marRight w:val="0"/>
      <w:marTop w:val="0"/>
      <w:marBottom w:val="0"/>
      <w:divBdr>
        <w:top w:val="none" w:sz="0" w:space="0" w:color="auto"/>
        <w:left w:val="none" w:sz="0" w:space="0" w:color="auto"/>
        <w:bottom w:val="none" w:sz="0" w:space="0" w:color="auto"/>
        <w:right w:val="none" w:sz="0" w:space="0" w:color="auto"/>
      </w:divBdr>
    </w:div>
    <w:div w:id="1830363141">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528574">
      <w:bodyDiv w:val="1"/>
      <w:marLeft w:val="0"/>
      <w:marRight w:val="0"/>
      <w:marTop w:val="0"/>
      <w:marBottom w:val="0"/>
      <w:divBdr>
        <w:top w:val="none" w:sz="0" w:space="0" w:color="auto"/>
        <w:left w:val="none" w:sz="0" w:space="0" w:color="auto"/>
        <w:bottom w:val="none" w:sz="0" w:space="0" w:color="auto"/>
        <w:right w:val="none" w:sz="0" w:space="0" w:color="auto"/>
      </w:divBdr>
    </w:div>
    <w:div w:id="1832675236">
      <w:bodyDiv w:val="1"/>
      <w:marLeft w:val="0"/>
      <w:marRight w:val="0"/>
      <w:marTop w:val="0"/>
      <w:marBottom w:val="0"/>
      <w:divBdr>
        <w:top w:val="none" w:sz="0" w:space="0" w:color="auto"/>
        <w:left w:val="none" w:sz="0" w:space="0" w:color="auto"/>
        <w:bottom w:val="none" w:sz="0" w:space="0" w:color="auto"/>
        <w:right w:val="none" w:sz="0" w:space="0" w:color="auto"/>
      </w:divBdr>
    </w:div>
    <w:div w:id="1834570026">
      <w:bodyDiv w:val="1"/>
      <w:marLeft w:val="0"/>
      <w:marRight w:val="0"/>
      <w:marTop w:val="0"/>
      <w:marBottom w:val="0"/>
      <w:divBdr>
        <w:top w:val="none" w:sz="0" w:space="0" w:color="auto"/>
        <w:left w:val="none" w:sz="0" w:space="0" w:color="auto"/>
        <w:bottom w:val="none" w:sz="0" w:space="0" w:color="auto"/>
        <w:right w:val="none" w:sz="0" w:space="0" w:color="auto"/>
      </w:divBdr>
    </w:div>
    <w:div w:id="1841656962">
      <w:bodyDiv w:val="1"/>
      <w:marLeft w:val="0"/>
      <w:marRight w:val="0"/>
      <w:marTop w:val="0"/>
      <w:marBottom w:val="0"/>
      <w:divBdr>
        <w:top w:val="none" w:sz="0" w:space="0" w:color="auto"/>
        <w:left w:val="none" w:sz="0" w:space="0" w:color="auto"/>
        <w:bottom w:val="none" w:sz="0" w:space="0" w:color="auto"/>
        <w:right w:val="none" w:sz="0" w:space="0" w:color="auto"/>
      </w:divBdr>
    </w:div>
    <w:div w:id="1845898455">
      <w:bodyDiv w:val="1"/>
      <w:marLeft w:val="0"/>
      <w:marRight w:val="0"/>
      <w:marTop w:val="0"/>
      <w:marBottom w:val="0"/>
      <w:divBdr>
        <w:top w:val="none" w:sz="0" w:space="0" w:color="auto"/>
        <w:left w:val="none" w:sz="0" w:space="0" w:color="auto"/>
        <w:bottom w:val="none" w:sz="0" w:space="0" w:color="auto"/>
        <w:right w:val="none" w:sz="0" w:space="0" w:color="auto"/>
      </w:divBdr>
    </w:div>
    <w:div w:id="1846047872">
      <w:bodyDiv w:val="1"/>
      <w:marLeft w:val="0"/>
      <w:marRight w:val="0"/>
      <w:marTop w:val="0"/>
      <w:marBottom w:val="0"/>
      <w:divBdr>
        <w:top w:val="none" w:sz="0" w:space="0" w:color="auto"/>
        <w:left w:val="none" w:sz="0" w:space="0" w:color="auto"/>
        <w:bottom w:val="none" w:sz="0" w:space="0" w:color="auto"/>
        <w:right w:val="none" w:sz="0" w:space="0" w:color="auto"/>
      </w:divBdr>
    </w:div>
    <w:div w:id="1849522320">
      <w:bodyDiv w:val="1"/>
      <w:marLeft w:val="0"/>
      <w:marRight w:val="0"/>
      <w:marTop w:val="0"/>
      <w:marBottom w:val="0"/>
      <w:divBdr>
        <w:top w:val="none" w:sz="0" w:space="0" w:color="auto"/>
        <w:left w:val="none" w:sz="0" w:space="0" w:color="auto"/>
        <w:bottom w:val="none" w:sz="0" w:space="0" w:color="auto"/>
        <w:right w:val="none" w:sz="0" w:space="0" w:color="auto"/>
      </w:divBdr>
    </w:div>
    <w:div w:id="1853568550">
      <w:bodyDiv w:val="1"/>
      <w:marLeft w:val="0"/>
      <w:marRight w:val="0"/>
      <w:marTop w:val="0"/>
      <w:marBottom w:val="0"/>
      <w:divBdr>
        <w:top w:val="none" w:sz="0" w:space="0" w:color="auto"/>
        <w:left w:val="none" w:sz="0" w:space="0" w:color="auto"/>
        <w:bottom w:val="none" w:sz="0" w:space="0" w:color="auto"/>
        <w:right w:val="none" w:sz="0" w:space="0" w:color="auto"/>
      </w:divBdr>
    </w:div>
    <w:div w:id="1858543975">
      <w:bodyDiv w:val="1"/>
      <w:marLeft w:val="0"/>
      <w:marRight w:val="0"/>
      <w:marTop w:val="0"/>
      <w:marBottom w:val="0"/>
      <w:divBdr>
        <w:top w:val="none" w:sz="0" w:space="0" w:color="auto"/>
        <w:left w:val="none" w:sz="0" w:space="0" w:color="auto"/>
        <w:bottom w:val="none" w:sz="0" w:space="0" w:color="auto"/>
        <w:right w:val="none" w:sz="0" w:space="0" w:color="auto"/>
      </w:divBdr>
    </w:div>
    <w:div w:id="1859351375">
      <w:bodyDiv w:val="1"/>
      <w:marLeft w:val="0"/>
      <w:marRight w:val="0"/>
      <w:marTop w:val="0"/>
      <w:marBottom w:val="0"/>
      <w:divBdr>
        <w:top w:val="none" w:sz="0" w:space="0" w:color="auto"/>
        <w:left w:val="none" w:sz="0" w:space="0" w:color="auto"/>
        <w:bottom w:val="none" w:sz="0" w:space="0" w:color="auto"/>
        <w:right w:val="none" w:sz="0" w:space="0" w:color="auto"/>
      </w:divBdr>
    </w:div>
    <w:div w:id="1859466490">
      <w:bodyDiv w:val="1"/>
      <w:marLeft w:val="0"/>
      <w:marRight w:val="0"/>
      <w:marTop w:val="0"/>
      <w:marBottom w:val="0"/>
      <w:divBdr>
        <w:top w:val="none" w:sz="0" w:space="0" w:color="auto"/>
        <w:left w:val="none" w:sz="0" w:space="0" w:color="auto"/>
        <w:bottom w:val="none" w:sz="0" w:space="0" w:color="auto"/>
        <w:right w:val="none" w:sz="0" w:space="0" w:color="auto"/>
      </w:divBdr>
    </w:div>
    <w:div w:id="1861969884">
      <w:bodyDiv w:val="1"/>
      <w:marLeft w:val="0"/>
      <w:marRight w:val="0"/>
      <w:marTop w:val="0"/>
      <w:marBottom w:val="0"/>
      <w:divBdr>
        <w:top w:val="none" w:sz="0" w:space="0" w:color="auto"/>
        <w:left w:val="none" w:sz="0" w:space="0" w:color="auto"/>
        <w:bottom w:val="none" w:sz="0" w:space="0" w:color="auto"/>
        <w:right w:val="none" w:sz="0" w:space="0" w:color="auto"/>
      </w:divBdr>
    </w:div>
    <w:div w:id="1863590039">
      <w:bodyDiv w:val="1"/>
      <w:marLeft w:val="0"/>
      <w:marRight w:val="0"/>
      <w:marTop w:val="0"/>
      <w:marBottom w:val="0"/>
      <w:divBdr>
        <w:top w:val="none" w:sz="0" w:space="0" w:color="auto"/>
        <w:left w:val="none" w:sz="0" w:space="0" w:color="auto"/>
        <w:bottom w:val="none" w:sz="0" w:space="0" w:color="auto"/>
        <w:right w:val="none" w:sz="0" w:space="0" w:color="auto"/>
      </w:divBdr>
    </w:div>
    <w:div w:id="1866601739">
      <w:bodyDiv w:val="1"/>
      <w:marLeft w:val="0"/>
      <w:marRight w:val="0"/>
      <w:marTop w:val="0"/>
      <w:marBottom w:val="0"/>
      <w:divBdr>
        <w:top w:val="none" w:sz="0" w:space="0" w:color="auto"/>
        <w:left w:val="none" w:sz="0" w:space="0" w:color="auto"/>
        <w:bottom w:val="none" w:sz="0" w:space="0" w:color="auto"/>
        <w:right w:val="none" w:sz="0" w:space="0" w:color="auto"/>
      </w:divBdr>
    </w:div>
    <w:div w:id="1866862955">
      <w:bodyDiv w:val="1"/>
      <w:marLeft w:val="0"/>
      <w:marRight w:val="0"/>
      <w:marTop w:val="0"/>
      <w:marBottom w:val="0"/>
      <w:divBdr>
        <w:top w:val="none" w:sz="0" w:space="0" w:color="auto"/>
        <w:left w:val="none" w:sz="0" w:space="0" w:color="auto"/>
        <w:bottom w:val="none" w:sz="0" w:space="0" w:color="auto"/>
        <w:right w:val="none" w:sz="0" w:space="0" w:color="auto"/>
      </w:divBdr>
    </w:div>
    <w:div w:id="1868055164">
      <w:bodyDiv w:val="1"/>
      <w:marLeft w:val="0"/>
      <w:marRight w:val="0"/>
      <w:marTop w:val="0"/>
      <w:marBottom w:val="0"/>
      <w:divBdr>
        <w:top w:val="none" w:sz="0" w:space="0" w:color="auto"/>
        <w:left w:val="none" w:sz="0" w:space="0" w:color="auto"/>
        <w:bottom w:val="none" w:sz="0" w:space="0" w:color="auto"/>
        <w:right w:val="none" w:sz="0" w:space="0" w:color="auto"/>
      </w:divBdr>
    </w:div>
    <w:div w:id="1868180361">
      <w:bodyDiv w:val="1"/>
      <w:marLeft w:val="0"/>
      <w:marRight w:val="0"/>
      <w:marTop w:val="0"/>
      <w:marBottom w:val="0"/>
      <w:divBdr>
        <w:top w:val="none" w:sz="0" w:space="0" w:color="auto"/>
        <w:left w:val="none" w:sz="0" w:space="0" w:color="auto"/>
        <w:bottom w:val="none" w:sz="0" w:space="0" w:color="auto"/>
        <w:right w:val="none" w:sz="0" w:space="0" w:color="auto"/>
      </w:divBdr>
    </w:div>
    <w:div w:id="1873304293">
      <w:bodyDiv w:val="1"/>
      <w:marLeft w:val="0"/>
      <w:marRight w:val="0"/>
      <w:marTop w:val="0"/>
      <w:marBottom w:val="0"/>
      <w:divBdr>
        <w:top w:val="none" w:sz="0" w:space="0" w:color="auto"/>
        <w:left w:val="none" w:sz="0" w:space="0" w:color="auto"/>
        <w:bottom w:val="none" w:sz="0" w:space="0" w:color="auto"/>
        <w:right w:val="none" w:sz="0" w:space="0" w:color="auto"/>
      </w:divBdr>
    </w:div>
    <w:div w:id="1874224182">
      <w:bodyDiv w:val="1"/>
      <w:marLeft w:val="0"/>
      <w:marRight w:val="0"/>
      <w:marTop w:val="0"/>
      <w:marBottom w:val="0"/>
      <w:divBdr>
        <w:top w:val="none" w:sz="0" w:space="0" w:color="auto"/>
        <w:left w:val="none" w:sz="0" w:space="0" w:color="auto"/>
        <w:bottom w:val="none" w:sz="0" w:space="0" w:color="auto"/>
        <w:right w:val="none" w:sz="0" w:space="0" w:color="auto"/>
      </w:divBdr>
    </w:div>
    <w:div w:id="1875262926">
      <w:bodyDiv w:val="1"/>
      <w:marLeft w:val="0"/>
      <w:marRight w:val="0"/>
      <w:marTop w:val="0"/>
      <w:marBottom w:val="0"/>
      <w:divBdr>
        <w:top w:val="none" w:sz="0" w:space="0" w:color="auto"/>
        <w:left w:val="none" w:sz="0" w:space="0" w:color="auto"/>
        <w:bottom w:val="none" w:sz="0" w:space="0" w:color="auto"/>
        <w:right w:val="none" w:sz="0" w:space="0" w:color="auto"/>
      </w:divBdr>
    </w:div>
    <w:div w:id="1876773568">
      <w:bodyDiv w:val="1"/>
      <w:marLeft w:val="0"/>
      <w:marRight w:val="0"/>
      <w:marTop w:val="0"/>
      <w:marBottom w:val="0"/>
      <w:divBdr>
        <w:top w:val="none" w:sz="0" w:space="0" w:color="auto"/>
        <w:left w:val="none" w:sz="0" w:space="0" w:color="auto"/>
        <w:bottom w:val="none" w:sz="0" w:space="0" w:color="auto"/>
        <w:right w:val="none" w:sz="0" w:space="0" w:color="auto"/>
      </w:divBdr>
    </w:div>
    <w:div w:id="1878152653">
      <w:bodyDiv w:val="1"/>
      <w:marLeft w:val="0"/>
      <w:marRight w:val="0"/>
      <w:marTop w:val="0"/>
      <w:marBottom w:val="0"/>
      <w:divBdr>
        <w:top w:val="none" w:sz="0" w:space="0" w:color="auto"/>
        <w:left w:val="none" w:sz="0" w:space="0" w:color="auto"/>
        <w:bottom w:val="none" w:sz="0" w:space="0" w:color="auto"/>
        <w:right w:val="none" w:sz="0" w:space="0" w:color="auto"/>
      </w:divBdr>
    </w:div>
    <w:div w:id="1878808722">
      <w:bodyDiv w:val="1"/>
      <w:marLeft w:val="0"/>
      <w:marRight w:val="0"/>
      <w:marTop w:val="0"/>
      <w:marBottom w:val="0"/>
      <w:divBdr>
        <w:top w:val="none" w:sz="0" w:space="0" w:color="auto"/>
        <w:left w:val="none" w:sz="0" w:space="0" w:color="auto"/>
        <w:bottom w:val="none" w:sz="0" w:space="0" w:color="auto"/>
        <w:right w:val="none" w:sz="0" w:space="0" w:color="auto"/>
      </w:divBdr>
    </w:div>
    <w:div w:id="1883859445">
      <w:bodyDiv w:val="1"/>
      <w:marLeft w:val="0"/>
      <w:marRight w:val="0"/>
      <w:marTop w:val="0"/>
      <w:marBottom w:val="0"/>
      <w:divBdr>
        <w:top w:val="none" w:sz="0" w:space="0" w:color="auto"/>
        <w:left w:val="none" w:sz="0" w:space="0" w:color="auto"/>
        <w:bottom w:val="none" w:sz="0" w:space="0" w:color="auto"/>
        <w:right w:val="none" w:sz="0" w:space="0" w:color="auto"/>
      </w:divBdr>
    </w:div>
    <w:div w:id="1884098439">
      <w:bodyDiv w:val="1"/>
      <w:marLeft w:val="0"/>
      <w:marRight w:val="0"/>
      <w:marTop w:val="0"/>
      <w:marBottom w:val="0"/>
      <w:divBdr>
        <w:top w:val="none" w:sz="0" w:space="0" w:color="auto"/>
        <w:left w:val="none" w:sz="0" w:space="0" w:color="auto"/>
        <w:bottom w:val="none" w:sz="0" w:space="0" w:color="auto"/>
        <w:right w:val="none" w:sz="0" w:space="0" w:color="auto"/>
      </w:divBdr>
    </w:div>
    <w:div w:id="1885483932">
      <w:bodyDiv w:val="1"/>
      <w:marLeft w:val="0"/>
      <w:marRight w:val="0"/>
      <w:marTop w:val="0"/>
      <w:marBottom w:val="0"/>
      <w:divBdr>
        <w:top w:val="none" w:sz="0" w:space="0" w:color="auto"/>
        <w:left w:val="none" w:sz="0" w:space="0" w:color="auto"/>
        <w:bottom w:val="none" w:sz="0" w:space="0" w:color="auto"/>
        <w:right w:val="none" w:sz="0" w:space="0" w:color="auto"/>
      </w:divBdr>
    </w:div>
    <w:div w:id="1891727072">
      <w:bodyDiv w:val="1"/>
      <w:marLeft w:val="0"/>
      <w:marRight w:val="0"/>
      <w:marTop w:val="0"/>
      <w:marBottom w:val="0"/>
      <w:divBdr>
        <w:top w:val="none" w:sz="0" w:space="0" w:color="auto"/>
        <w:left w:val="none" w:sz="0" w:space="0" w:color="auto"/>
        <w:bottom w:val="none" w:sz="0" w:space="0" w:color="auto"/>
        <w:right w:val="none" w:sz="0" w:space="0" w:color="auto"/>
      </w:divBdr>
    </w:div>
    <w:div w:id="1897352667">
      <w:bodyDiv w:val="1"/>
      <w:marLeft w:val="0"/>
      <w:marRight w:val="0"/>
      <w:marTop w:val="0"/>
      <w:marBottom w:val="0"/>
      <w:divBdr>
        <w:top w:val="none" w:sz="0" w:space="0" w:color="auto"/>
        <w:left w:val="none" w:sz="0" w:space="0" w:color="auto"/>
        <w:bottom w:val="none" w:sz="0" w:space="0" w:color="auto"/>
        <w:right w:val="none" w:sz="0" w:space="0" w:color="auto"/>
      </w:divBdr>
    </w:div>
    <w:div w:id="1899903197">
      <w:bodyDiv w:val="1"/>
      <w:marLeft w:val="0"/>
      <w:marRight w:val="0"/>
      <w:marTop w:val="0"/>
      <w:marBottom w:val="0"/>
      <w:divBdr>
        <w:top w:val="none" w:sz="0" w:space="0" w:color="auto"/>
        <w:left w:val="none" w:sz="0" w:space="0" w:color="auto"/>
        <w:bottom w:val="none" w:sz="0" w:space="0" w:color="auto"/>
        <w:right w:val="none" w:sz="0" w:space="0" w:color="auto"/>
      </w:divBdr>
    </w:div>
    <w:div w:id="1901091405">
      <w:bodyDiv w:val="1"/>
      <w:marLeft w:val="0"/>
      <w:marRight w:val="0"/>
      <w:marTop w:val="0"/>
      <w:marBottom w:val="0"/>
      <w:divBdr>
        <w:top w:val="none" w:sz="0" w:space="0" w:color="auto"/>
        <w:left w:val="none" w:sz="0" w:space="0" w:color="auto"/>
        <w:bottom w:val="none" w:sz="0" w:space="0" w:color="auto"/>
        <w:right w:val="none" w:sz="0" w:space="0" w:color="auto"/>
      </w:divBdr>
    </w:div>
    <w:div w:id="1907035525">
      <w:bodyDiv w:val="1"/>
      <w:marLeft w:val="0"/>
      <w:marRight w:val="0"/>
      <w:marTop w:val="0"/>
      <w:marBottom w:val="0"/>
      <w:divBdr>
        <w:top w:val="none" w:sz="0" w:space="0" w:color="auto"/>
        <w:left w:val="none" w:sz="0" w:space="0" w:color="auto"/>
        <w:bottom w:val="none" w:sz="0" w:space="0" w:color="auto"/>
        <w:right w:val="none" w:sz="0" w:space="0" w:color="auto"/>
      </w:divBdr>
    </w:div>
    <w:div w:id="1907718652">
      <w:bodyDiv w:val="1"/>
      <w:marLeft w:val="0"/>
      <w:marRight w:val="0"/>
      <w:marTop w:val="0"/>
      <w:marBottom w:val="0"/>
      <w:divBdr>
        <w:top w:val="none" w:sz="0" w:space="0" w:color="auto"/>
        <w:left w:val="none" w:sz="0" w:space="0" w:color="auto"/>
        <w:bottom w:val="none" w:sz="0" w:space="0" w:color="auto"/>
        <w:right w:val="none" w:sz="0" w:space="0" w:color="auto"/>
      </w:divBdr>
    </w:div>
    <w:div w:id="1908759927">
      <w:bodyDiv w:val="1"/>
      <w:marLeft w:val="0"/>
      <w:marRight w:val="0"/>
      <w:marTop w:val="0"/>
      <w:marBottom w:val="0"/>
      <w:divBdr>
        <w:top w:val="none" w:sz="0" w:space="0" w:color="auto"/>
        <w:left w:val="none" w:sz="0" w:space="0" w:color="auto"/>
        <w:bottom w:val="none" w:sz="0" w:space="0" w:color="auto"/>
        <w:right w:val="none" w:sz="0" w:space="0" w:color="auto"/>
      </w:divBdr>
    </w:div>
    <w:div w:id="1910114639">
      <w:bodyDiv w:val="1"/>
      <w:marLeft w:val="0"/>
      <w:marRight w:val="0"/>
      <w:marTop w:val="0"/>
      <w:marBottom w:val="0"/>
      <w:divBdr>
        <w:top w:val="none" w:sz="0" w:space="0" w:color="auto"/>
        <w:left w:val="none" w:sz="0" w:space="0" w:color="auto"/>
        <w:bottom w:val="none" w:sz="0" w:space="0" w:color="auto"/>
        <w:right w:val="none" w:sz="0" w:space="0" w:color="auto"/>
      </w:divBdr>
    </w:div>
    <w:div w:id="1913077752">
      <w:bodyDiv w:val="1"/>
      <w:marLeft w:val="0"/>
      <w:marRight w:val="0"/>
      <w:marTop w:val="0"/>
      <w:marBottom w:val="0"/>
      <w:divBdr>
        <w:top w:val="none" w:sz="0" w:space="0" w:color="auto"/>
        <w:left w:val="none" w:sz="0" w:space="0" w:color="auto"/>
        <w:bottom w:val="none" w:sz="0" w:space="0" w:color="auto"/>
        <w:right w:val="none" w:sz="0" w:space="0" w:color="auto"/>
      </w:divBdr>
    </w:div>
    <w:div w:id="1913656211">
      <w:bodyDiv w:val="1"/>
      <w:marLeft w:val="0"/>
      <w:marRight w:val="0"/>
      <w:marTop w:val="0"/>
      <w:marBottom w:val="0"/>
      <w:divBdr>
        <w:top w:val="none" w:sz="0" w:space="0" w:color="auto"/>
        <w:left w:val="none" w:sz="0" w:space="0" w:color="auto"/>
        <w:bottom w:val="none" w:sz="0" w:space="0" w:color="auto"/>
        <w:right w:val="none" w:sz="0" w:space="0" w:color="auto"/>
      </w:divBdr>
    </w:div>
    <w:div w:id="1915355179">
      <w:bodyDiv w:val="1"/>
      <w:marLeft w:val="0"/>
      <w:marRight w:val="0"/>
      <w:marTop w:val="0"/>
      <w:marBottom w:val="0"/>
      <w:divBdr>
        <w:top w:val="none" w:sz="0" w:space="0" w:color="auto"/>
        <w:left w:val="none" w:sz="0" w:space="0" w:color="auto"/>
        <w:bottom w:val="none" w:sz="0" w:space="0" w:color="auto"/>
        <w:right w:val="none" w:sz="0" w:space="0" w:color="auto"/>
      </w:divBdr>
    </w:div>
    <w:div w:id="1915431661">
      <w:bodyDiv w:val="1"/>
      <w:marLeft w:val="0"/>
      <w:marRight w:val="0"/>
      <w:marTop w:val="0"/>
      <w:marBottom w:val="0"/>
      <w:divBdr>
        <w:top w:val="none" w:sz="0" w:space="0" w:color="auto"/>
        <w:left w:val="none" w:sz="0" w:space="0" w:color="auto"/>
        <w:bottom w:val="none" w:sz="0" w:space="0" w:color="auto"/>
        <w:right w:val="none" w:sz="0" w:space="0" w:color="auto"/>
      </w:divBdr>
    </w:div>
    <w:div w:id="1922715343">
      <w:bodyDiv w:val="1"/>
      <w:marLeft w:val="0"/>
      <w:marRight w:val="0"/>
      <w:marTop w:val="0"/>
      <w:marBottom w:val="0"/>
      <w:divBdr>
        <w:top w:val="none" w:sz="0" w:space="0" w:color="auto"/>
        <w:left w:val="none" w:sz="0" w:space="0" w:color="auto"/>
        <w:bottom w:val="none" w:sz="0" w:space="0" w:color="auto"/>
        <w:right w:val="none" w:sz="0" w:space="0" w:color="auto"/>
      </w:divBdr>
    </w:div>
    <w:div w:id="1929578263">
      <w:bodyDiv w:val="1"/>
      <w:marLeft w:val="0"/>
      <w:marRight w:val="0"/>
      <w:marTop w:val="0"/>
      <w:marBottom w:val="0"/>
      <w:divBdr>
        <w:top w:val="none" w:sz="0" w:space="0" w:color="auto"/>
        <w:left w:val="none" w:sz="0" w:space="0" w:color="auto"/>
        <w:bottom w:val="none" w:sz="0" w:space="0" w:color="auto"/>
        <w:right w:val="none" w:sz="0" w:space="0" w:color="auto"/>
      </w:divBdr>
    </w:div>
    <w:div w:id="1929608471">
      <w:bodyDiv w:val="1"/>
      <w:marLeft w:val="0"/>
      <w:marRight w:val="0"/>
      <w:marTop w:val="0"/>
      <w:marBottom w:val="0"/>
      <w:divBdr>
        <w:top w:val="none" w:sz="0" w:space="0" w:color="auto"/>
        <w:left w:val="none" w:sz="0" w:space="0" w:color="auto"/>
        <w:bottom w:val="none" w:sz="0" w:space="0" w:color="auto"/>
        <w:right w:val="none" w:sz="0" w:space="0" w:color="auto"/>
      </w:divBdr>
    </w:div>
    <w:div w:id="1930312882">
      <w:bodyDiv w:val="1"/>
      <w:marLeft w:val="0"/>
      <w:marRight w:val="0"/>
      <w:marTop w:val="0"/>
      <w:marBottom w:val="0"/>
      <w:divBdr>
        <w:top w:val="none" w:sz="0" w:space="0" w:color="auto"/>
        <w:left w:val="none" w:sz="0" w:space="0" w:color="auto"/>
        <w:bottom w:val="none" w:sz="0" w:space="0" w:color="auto"/>
        <w:right w:val="none" w:sz="0" w:space="0" w:color="auto"/>
      </w:divBdr>
    </w:div>
    <w:div w:id="1932472874">
      <w:bodyDiv w:val="1"/>
      <w:marLeft w:val="0"/>
      <w:marRight w:val="0"/>
      <w:marTop w:val="0"/>
      <w:marBottom w:val="0"/>
      <w:divBdr>
        <w:top w:val="none" w:sz="0" w:space="0" w:color="auto"/>
        <w:left w:val="none" w:sz="0" w:space="0" w:color="auto"/>
        <w:bottom w:val="none" w:sz="0" w:space="0" w:color="auto"/>
        <w:right w:val="none" w:sz="0" w:space="0" w:color="auto"/>
      </w:divBdr>
    </w:div>
    <w:div w:id="1936329379">
      <w:bodyDiv w:val="1"/>
      <w:marLeft w:val="0"/>
      <w:marRight w:val="0"/>
      <w:marTop w:val="0"/>
      <w:marBottom w:val="0"/>
      <w:divBdr>
        <w:top w:val="none" w:sz="0" w:space="0" w:color="auto"/>
        <w:left w:val="none" w:sz="0" w:space="0" w:color="auto"/>
        <w:bottom w:val="none" w:sz="0" w:space="0" w:color="auto"/>
        <w:right w:val="none" w:sz="0" w:space="0" w:color="auto"/>
      </w:divBdr>
    </w:div>
    <w:div w:id="1939947873">
      <w:bodyDiv w:val="1"/>
      <w:marLeft w:val="0"/>
      <w:marRight w:val="0"/>
      <w:marTop w:val="0"/>
      <w:marBottom w:val="0"/>
      <w:divBdr>
        <w:top w:val="none" w:sz="0" w:space="0" w:color="auto"/>
        <w:left w:val="none" w:sz="0" w:space="0" w:color="auto"/>
        <w:bottom w:val="none" w:sz="0" w:space="0" w:color="auto"/>
        <w:right w:val="none" w:sz="0" w:space="0" w:color="auto"/>
      </w:divBdr>
    </w:div>
    <w:div w:id="1940677666">
      <w:bodyDiv w:val="1"/>
      <w:marLeft w:val="0"/>
      <w:marRight w:val="0"/>
      <w:marTop w:val="0"/>
      <w:marBottom w:val="0"/>
      <w:divBdr>
        <w:top w:val="none" w:sz="0" w:space="0" w:color="auto"/>
        <w:left w:val="none" w:sz="0" w:space="0" w:color="auto"/>
        <w:bottom w:val="none" w:sz="0" w:space="0" w:color="auto"/>
        <w:right w:val="none" w:sz="0" w:space="0" w:color="auto"/>
      </w:divBdr>
    </w:div>
    <w:div w:id="1943413877">
      <w:bodyDiv w:val="1"/>
      <w:marLeft w:val="0"/>
      <w:marRight w:val="0"/>
      <w:marTop w:val="0"/>
      <w:marBottom w:val="0"/>
      <w:divBdr>
        <w:top w:val="none" w:sz="0" w:space="0" w:color="auto"/>
        <w:left w:val="none" w:sz="0" w:space="0" w:color="auto"/>
        <w:bottom w:val="none" w:sz="0" w:space="0" w:color="auto"/>
        <w:right w:val="none" w:sz="0" w:space="0" w:color="auto"/>
      </w:divBdr>
    </w:div>
    <w:div w:id="1944339567">
      <w:bodyDiv w:val="1"/>
      <w:marLeft w:val="0"/>
      <w:marRight w:val="0"/>
      <w:marTop w:val="0"/>
      <w:marBottom w:val="0"/>
      <w:divBdr>
        <w:top w:val="none" w:sz="0" w:space="0" w:color="auto"/>
        <w:left w:val="none" w:sz="0" w:space="0" w:color="auto"/>
        <w:bottom w:val="none" w:sz="0" w:space="0" w:color="auto"/>
        <w:right w:val="none" w:sz="0" w:space="0" w:color="auto"/>
      </w:divBdr>
    </w:div>
    <w:div w:id="1946112413">
      <w:bodyDiv w:val="1"/>
      <w:marLeft w:val="0"/>
      <w:marRight w:val="0"/>
      <w:marTop w:val="0"/>
      <w:marBottom w:val="0"/>
      <w:divBdr>
        <w:top w:val="none" w:sz="0" w:space="0" w:color="auto"/>
        <w:left w:val="none" w:sz="0" w:space="0" w:color="auto"/>
        <w:bottom w:val="none" w:sz="0" w:space="0" w:color="auto"/>
        <w:right w:val="none" w:sz="0" w:space="0" w:color="auto"/>
      </w:divBdr>
    </w:div>
    <w:div w:id="1946306809">
      <w:bodyDiv w:val="1"/>
      <w:marLeft w:val="0"/>
      <w:marRight w:val="0"/>
      <w:marTop w:val="0"/>
      <w:marBottom w:val="0"/>
      <w:divBdr>
        <w:top w:val="none" w:sz="0" w:space="0" w:color="auto"/>
        <w:left w:val="none" w:sz="0" w:space="0" w:color="auto"/>
        <w:bottom w:val="none" w:sz="0" w:space="0" w:color="auto"/>
        <w:right w:val="none" w:sz="0" w:space="0" w:color="auto"/>
      </w:divBdr>
    </w:div>
    <w:div w:id="1948997860">
      <w:bodyDiv w:val="1"/>
      <w:marLeft w:val="0"/>
      <w:marRight w:val="0"/>
      <w:marTop w:val="0"/>
      <w:marBottom w:val="0"/>
      <w:divBdr>
        <w:top w:val="none" w:sz="0" w:space="0" w:color="auto"/>
        <w:left w:val="none" w:sz="0" w:space="0" w:color="auto"/>
        <w:bottom w:val="none" w:sz="0" w:space="0" w:color="auto"/>
        <w:right w:val="none" w:sz="0" w:space="0" w:color="auto"/>
      </w:divBdr>
    </w:div>
    <w:div w:id="1950892644">
      <w:bodyDiv w:val="1"/>
      <w:marLeft w:val="0"/>
      <w:marRight w:val="0"/>
      <w:marTop w:val="0"/>
      <w:marBottom w:val="0"/>
      <w:divBdr>
        <w:top w:val="none" w:sz="0" w:space="0" w:color="auto"/>
        <w:left w:val="none" w:sz="0" w:space="0" w:color="auto"/>
        <w:bottom w:val="none" w:sz="0" w:space="0" w:color="auto"/>
        <w:right w:val="none" w:sz="0" w:space="0" w:color="auto"/>
      </w:divBdr>
    </w:div>
    <w:div w:id="1951819471">
      <w:bodyDiv w:val="1"/>
      <w:marLeft w:val="0"/>
      <w:marRight w:val="0"/>
      <w:marTop w:val="0"/>
      <w:marBottom w:val="0"/>
      <w:divBdr>
        <w:top w:val="none" w:sz="0" w:space="0" w:color="auto"/>
        <w:left w:val="none" w:sz="0" w:space="0" w:color="auto"/>
        <w:bottom w:val="none" w:sz="0" w:space="0" w:color="auto"/>
        <w:right w:val="none" w:sz="0" w:space="0" w:color="auto"/>
      </w:divBdr>
    </w:div>
    <w:div w:id="1957562964">
      <w:bodyDiv w:val="1"/>
      <w:marLeft w:val="0"/>
      <w:marRight w:val="0"/>
      <w:marTop w:val="0"/>
      <w:marBottom w:val="0"/>
      <w:divBdr>
        <w:top w:val="none" w:sz="0" w:space="0" w:color="auto"/>
        <w:left w:val="none" w:sz="0" w:space="0" w:color="auto"/>
        <w:bottom w:val="none" w:sz="0" w:space="0" w:color="auto"/>
        <w:right w:val="none" w:sz="0" w:space="0" w:color="auto"/>
      </w:divBdr>
    </w:div>
    <w:div w:id="1961107381">
      <w:bodyDiv w:val="1"/>
      <w:marLeft w:val="0"/>
      <w:marRight w:val="0"/>
      <w:marTop w:val="0"/>
      <w:marBottom w:val="0"/>
      <w:divBdr>
        <w:top w:val="none" w:sz="0" w:space="0" w:color="auto"/>
        <w:left w:val="none" w:sz="0" w:space="0" w:color="auto"/>
        <w:bottom w:val="none" w:sz="0" w:space="0" w:color="auto"/>
        <w:right w:val="none" w:sz="0" w:space="0" w:color="auto"/>
      </w:divBdr>
    </w:div>
    <w:div w:id="1964001411">
      <w:bodyDiv w:val="1"/>
      <w:marLeft w:val="0"/>
      <w:marRight w:val="0"/>
      <w:marTop w:val="0"/>
      <w:marBottom w:val="0"/>
      <w:divBdr>
        <w:top w:val="none" w:sz="0" w:space="0" w:color="auto"/>
        <w:left w:val="none" w:sz="0" w:space="0" w:color="auto"/>
        <w:bottom w:val="none" w:sz="0" w:space="0" w:color="auto"/>
        <w:right w:val="none" w:sz="0" w:space="0" w:color="auto"/>
      </w:divBdr>
    </w:div>
    <w:div w:id="1965233807">
      <w:bodyDiv w:val="1"/>
      <w:marLeft w:val="0"/>
      <w:marRight w:val="0"/>
      <w:marTop w:val="0"/>
      <w:marBottom w:val="0"/>
      <w:divBdr>
        <w:top w:val="none" w:sz="0" w:space="0" w:color="auto"/>
        <w:left w:val="none" w:sz="0" w:space="0" w:color="auto"/>
        <w:bottom w:val="none" w:sz="0" w:space="0" w:color="auto"/>
        <w:right w:val="none" w:sz="0" w:space="0" w:color="auto"/>
      </w:divBdr>
    </w:div>
    <w:div w:id="1966497076">
      <w:bodyDiv w:val="1"/>
      <w:marLeft w:val="0"/>
      <w:marRight w:val="0"/>
      <w:marTop w:val="0"/>
      <w:marBottom w:val="0"/>
      <w:divBdr>
        <w:top w:val="none" w:sz="0" w:space="0" w:color="auto"/>
        <w:left w:val="none" w:sz="0" w:space="0" w:color="auto"/>
        <w:bottom w:val="none" w:sz="0" w:space="0" w:color="auto"/>
        <w:right w:val="none" w:sz="0" w:space="0" w:color="auto"/>
      </w:divBdr>
    </w:div>
    <w:div w:id="1970430526">
      <w:bodyDiv w:val="1"/>
      <w:marLeft w:val="0"/>
      <w:marRight w:val="0"/>
      <w:marTop w:val="0"/>
      <w:marBottom w:val="0"/>
      <w:divBdr>
        <w:top w:val="none" w:sz="0" w:space="0" w:color="auto"/>
        <w:left w:val="none" w:sz="0" w:space="0" w:color="auto"/>
        <w:bottom w:val="none" w:sz="0" w:space="0" w:color="auto"/>
        <w:right w:val="none" w:sz="0" w:space="0" w:color="auto"/>
      </w:divBdr>
    </w:div>
    <w:div w:id="1970814313">
      <w:bodyDiv w:val="1"/>
      <w:marLeft w:val="0"/>
      <w:marRight w:val="0"/>
      <w:marTop w:val="0"/>
      <w:marBottom w:val="0"/>
      <w:divBdr>
        <w:top w:val="none" w:sz="0" w:space="0" w:color="auto"/>
        <w:left w:val="none" w:sz="0" w:space="0" w:color="auto"/>
        <w:bottom w:val="none" w:sz="0" w:space="0" w:color="auto"/>
        <w:right w:val="none" w:sz="0" w:space="0" w:color="auto"/>
      </w:divBdr>
    </w:div>
    <w:div w:id="1972979636">
      <w:bodyDiv w:val="1"/>
      <w:marLeft w:val="0"/>
      <w:marRight w:val="0"/>
      <w:marTop w:val="0"/>
      <w:marBottom w:val="0"/>
      <w:divBdr>
        <w:top w:val="none" w:sz="0" w:space="0" w:color="auto"/>
        <w:left w:val="none" w:sz="0" w:space="0" w:color="auto"/>
        <w:bottom w:val="none" w:sz="0" w:space="0" w:color="auto"/>
        <w:right w:val="none" w:sz="0" w:space="0" w:color="auto"/>
      </w:divBdr>
    </w:div>
    <w:div w:id="1976372069">
      <w:bodyDiv w:val="1"/>
      <w:marLeft w:val="0"/>
      <w:marRight w:val="0"/>
      <w:marTop w:val="0"/>
      <w:marBottom w:val="0"/>
      <w:divBdr>
        <w:top w:val="none" w:sz="0" w:space="0" w:color="auto"/>
        <w:left w:val="none" w:sz="0" w:space="0" w:color="auto"/>
        <w:bottom w:val="none" w:sz="0" w:space="0" w:color="auto"/>
        <w:right w:val="none" w:sz="0" w:space="0" w:color="auto"/>
      </w:divBdr>
    </w:div>
    <w:div w:id="1976596491">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1989898669">
      <w:bodyDiv w:val="1"/>
      <w:marLeft w:val="0"/>
      <w:marRight w:val="0"/>
      <w:marTop w:val="0"/>
      <w:marBottom w:val="0"/>
      <w:divBdr>
        <w:top w:val="none" w:sz="0" w:space="0" w:color="auto"/>
        <w:left w:val="none" w:sz="0" w:space="0" w:color="auto"/>
        <w:bottom w:val="none" w:sz="0" w:space="0" w:color="auto"/>
        <w:right w:val="none" w:sz="0" w:space="0" w:color="auto"/>
      </w:divBdr>
    </w:div>
    <w:div w:id="1992754884">
      <w:bodyDiv w:val="1"/>
      <w:marLeft w:val="0"/>
      <w:marRight w:val="0"/>
      <w:marTop w:val="0"/>
      <w:marBottom w:val="0"/>
      <w:divBdr>
        <w:top w:val="none" w:sz="0" w:space="0" w:color="auto"/>
        <w:left w:val="none" w:sz="0" w:space="0" w:color="auto"/>
        <w:bottom w:val="none" w:sz="0" w:space="0" w:color="auto"/>
        <w:right w:val="none" w:sz="0" w:space="0" w:color="auto"/>
      </w:divBdr>
    </w:div>
    <w:div w:id="1996032287">
      <w:bodyDiv w:val="1"/>
      <w:marLeft w:val="0"/>
      <w:marRight w:val="0"/>
      <w:marTop w:val="0"/>
      <w:marBottom w:val="0"/>
      <w:divBdr>
        <w:top w:val="none" w:sz="0" w:space="0" w:color="auto"/>
        <w:left w:val="none" w:sz="0" w:space="0" w:color="auto"/>
        <w:bottom w:val="none" w:sz="0" w:space="0" w:color="auto"/>
        <w:right w:val="none" w:sz="0" w:space="0" w:color="auto"/>
      </w:divBdr>
    </w:div>
    <w:div w:id="1996301112">
      <w:bodyDiv w:val="1"/>
      <w:marLeft w:val="0"/>
      <w:marRight w:val="0"/>
      <w:marTop w:val="0"/>
      <w:marBottom w:val="0"/>
      <w:divBdr>
        <w:top w:val="none" w:sz="0" w:space="0" w:color="auto"/>
        <w:left w:val="none" w:sz="0" w:space="0" w:color="auto"/>
        <w:bottom w:val="none" w:sz="0" w:space="0" w:color="auto"/>
        <w:right w:val="none" w:sz="0" w:space="0" w:color="auto"/>
      </w:divBdr>
    </w:div>
    <w:div w:id="1996957541">
      <w:bodyDiv w:val="1"/>
      <w:marLeft w:val="0"/>
      <w:marRight w:val="0"/>
      <w:marTop w:val="0"/>
      <w:marBottom w:val="0"/>
      <w:divBdr>
        <w:top w:val="none" w:sz="0" w:space="0" w:color="auto"/>
        <w:left w:val="none" w:sz="0" w:space="0" w:color="auto"/>
        <w:bottom w:val="none" w:sz="0" w:space="0" w:color="auto"/>
        <w:right w:val="none" w:sz="0" w:space="0" w:color="auto"/>
      </w:divBdr>
    </w:div>
    <w:div w:id="1997565320">
      <w:bodyDiv w:val="1"/>
      <w:marLeft w:val="0"/>
      <w:marRight w:val="0"/>
      <w:marTop w:val="0"/>
      <w:marBottom w:val="0"/>
      <w:divBdr>
        <w:top w:val="none" w:sz="0" w:space="0" w:color="auto"/>
        <w:left w:val="none" w:sz="0" w:space="0" w:color="auto"/>
        <w:bottom w:val="none" w:sz="0" w:space="0" w:color="auto"/>
        <w:right w:val="none" w:sz="0" w:space="0" w:color="auto"/>
      </w:divBdr>
    </w:div>
    <w:div w:id="2001928265">
      <w:bodyDiv w:val="1"/>
      <w:marLeft w:val="0"/>
      <w:marRight w:val="0"/>
      <w:marTop w:val="0"/>
      <w:marBottom w:val="0"/>
      <w:divBdr>
        <w:top w:val="none" w:sz="0" w:space="0" w:color="auto"/>
        <w:left w:val="none" w:sz="0" w:space="0" w:color="auto"/>
        <w:bottom w:val="none" w:sz="0" w:space="0" w:color="auto"/>
        <w:right w:val="none" w:sz="0" w:space="0" w:color="auto"/>
      </w:divBdr>
    </w:div>
    <w:div w:id="2003192072">
      <w:bodyDiv w:val="1"/>
      <w:marLeft w:val="0"/>
      <w:marRight w:val="0"/>
      <w:marTop w:val="0"/>
      <w:marBottom w:val="0"/>
      <w:divBdr>
        <w:top w:val="none" w:sz="0" w:space="0" w:color="auto"/>
        <w:left w:val="none" w:sz="0" w:space="0" w:color="auto"/>
        <w:bottom w:val="none" w:sz="0" w:space="0" w:color="auto"/>
        <w:right w:val="none" w:sz="0" w:space="0" w:color="auto"/>
      </w:divBdr>
    </w:div>
    <w:div w:id="2005234211">
      <w:bodyDiv w:val="1"/>
      <w:marLeft w:val="0"/>
      <w:marRight w:val="0"/>
      <w:marTop w:val="0"/>
      <w:marBottom w:val="0"/>
      <w:divBdr>
        <w:top w:val="none" w:sz="0" w:space="0" w:color="auto"/>
        <w:left w:val="none" w:sz="0" w:space="0" w:color="auto"/>
        <w:bottom w:val="none" w:sz="0" w:space="0" w:color="auto"/>
        <w:right w:val="none" w:sz="0" w:space="0" w:color="auto"/>
      </w:divBdr>
    </w:div>
    <w:div w:id="2010524968">
      <w:bodyDiv w:val="1"/>
      <w:marLeft w:val="0"/>
      <w:marRight w:val="0"/>
      <w:marTop w:val="0"/>
      <w:marBottom w:val="0"/>
      <w:divBdr>
        <w:top w:val="none" w:sz="0" w:space="0" w:color="auto"/>
        <w:left w:val="none" w:sz="0" w:space="0" w:color="auto"/>
        <w:bottom w:val="none" w:sz="0" w:space="0" w:color="auto"/>
        <w:right w:val="none" w:sz="0" w:space="0" w:color="auto"/>
      </w:divBdr>
    </w:div>
    <w:div w:id="2011910404">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 w:id="2014842623">
      <w:bodyDiv w:val="1"/>
      <w:marLeft w:val="0"/>
      <w:marRight w:val="0"/>
      <w:marTop w:val="0"/>
      <w:marBottom w:val="0"/>
      <w:divBdr>
        <w:top w:val="none" w:sz="0" w:space="0" w:color="auto"/>
        <w:left w:val="none" w:sz="0" w:space="0" w:color="auto"/>
        <w:bottom w:val="none" w:sz="0" w:space="0" w:color="auto"/>
        <w:right w:val="none" w:sz="0" w:space="0" w:color="auto"/>
      </w:divBdr>
    </w:div>
    <w:div w:id="2015764794">
      <w:bodyDiv w:val="1"/>
      <w:marLeft w:val="0"/>
      <w:marRight w:val="0"/>
      <w:marTop w:val="0"/>
      <w:marBottom w:val="0"/>
      <w:divBdr>
        <w:top w:val="none" w:sz="0" w:space="0" w:color="auto"/>
        <w:left w:val="none" w:sz="0" w:space="0" w:color="auto"/>
        <w:bottom w:val="none" w:sz="0" w:space="0" w:color="auto"/>
        <w:right w:val="none" w:sz="0" w:space="0" w:color="auto"/>
      </w:divBdr>
    </w:div>
    <w:div w:id="2017724452">
      <w:bodyDiv w:val="1"/>
      <w:marLeft w:val="0"/>
      <w:marRight w:val="0"/>
      <w:marTop w:val="0"/>
      <w:marBottom w:val="0"/>
      <w:divBdr>
        <w:top w:val="none" w:sz="0" w:space="0" w:color="auto"/>
        <w:left w:val="none" w:sz="0" w:space="0" w:color="auto"/>
        <w:bottom w:val="none" w:sz="0" w:space="0" w:color="auto"/>
        <w:right w:val="none" w:sz="0" w:space="0" w:color="auto"/>
      </w:divBdr>
    </w:div>
    <w:div w:id="2019574614">
      <w:bodyDiv w:val="1"/>
      <w:marLeft w:val="0"/>
      <w:marRight w:val="0"/>
      <w:marTop w:val="0"/>
      <w:marBottom w:val="0"/>
      <w:divBdr>
        <w:top w:val="none" w:sz="0" w:space="0" w:color="auto"/>
        <w:left w:val="none" w:sz="0" w:space="0" w:color="auto"/>
        <w:bottom w:val="none" w:sz="0" w:space="0" w:color="auto"/>
        <w:right w:val="none" w:sz="0" w:space="0" w:color="auto"/>
      </w:divBdr>
    </w:div>
    <w:div w:id="2020161262">
      <w:bodyDiv w:val="1"/>
      <w:marLeft w:val="0"/>
      <w:marRight w:val="0"/>
      <w:marTop w:val="0"/>
      <w:marBottom w:val="0"/>
      <w:divBdr>
        <w:top w:val="none" w:sz="0" w:space="0" w:color="auto"/>
        <w:left w:val="none" w:sz="0" w:space="0" w:color="auto"/>
        <w:bottom w:val="none" w:sz="0" w:space="0" w:color="auto"/>
        <w:right w:val="none" w:sz="0" w:space="0" w:color="auto"/>
      </w:divBdr>
    </w:div>
    <w:div w:id="2022007379">
      <w:bodyDiv w:val="1"/>
      <w:marLeft w:val="0"/>
      <w:marRight w:val="0"/>
      <w:marTop w:val="0"/>
      <w:marBottom w:val="0"/>
      <w:divBdr>
        <w:top w:val="none" w:sz="0" w:space="0" w:color="auto"/>
        <w:left w:val="none" w:sz="0" w:space="0" w:color="auto"/>
        <w:bottom w:val="none" w:sz="0" w:space="0" w:color="auto"/>
        <w:right w:val="none" w:sz="0" w:space="0" w:color="auto"/>
      </w:divBdr>
    </w:div>
    <w:div w:id="2022778332">
      <w:bodyDiv w:val="1"/>
      <w:marLeft w:val="0"/>
      <w:marRight w:val="0"/>
      <w:marTop w:val="0"/>
      <w:marBottom w:val="0"/>
      <w:divBdr>
        <w:top w:val="none" w:sz="0" w:space="0" w:color="auto"/>
        <w:left w:val="none" w:sz="0" w:space="0" w:color="auto"/>
        <w:bottom w:val="none" w:sz="0" w:space="0" w:color="auto"/>
        <w:right w:val="none" w:sz="0" w:space="0" w:color="auto"/>
      </w:divBdr>
    </w:div>
    <w:div w:id="2023120463">
      <w:bodyDiv w:val="1"/>
      <w:marLeft w:val="0"/>
      <w:marRight w:val="0"/>
      <w:marTop w:val="0"/>
      <w:marBottom w:val="0"/>
      <w:divBdr>
        <w:top w:val="none" w:sz="0" w:space="0" w:color="auto"/>
        <w:left w:val="none" w:sz="0" w:space="0" w:color="auto"/>
        <w:bottom w:val="none" w:sz="0" w:space="0" w:color="auto"/>
        <w:right w:val="none" w:sz="0" w:space="0" w:color="auto"/>
      </w:divBdr>
    </w:div>
    <w:div w:id="2030570266">
      <w:bodyDiv w:val="1"/>
      <w:marLeft w:val="0"/>
      <w:marRight w:val="0"/>
      <w:marTop w:val="0"/>
      <w:marBottom w:val="0"/>
      <w:divBdr>
        <w:top w:val="none" w:sz="0" w:space="0" w:color="auto"/>
        <w:left w:val="none" w:sz="0" w:space="0" w:color="auto"/>
        <w:bottom w:val="none" w:sz="0" w:space="0" w:color="auto"/>
        <w:right w:val="none" w:sz="0" w:space="0" w:color="auto"/>
      </w:divBdr>
    </w:div>
    <w:div w:id="2034643522">
      <w:bodyDiv w:val="1"/>
      <w:marLeft w:val="0"/>
      <w:marRight w:val="0"/>
      <w:marTop w:val="0"/>
      <w:marBottom w:val="0"/>
      <w:divBdr>
        <w:top w:val="none" w:sz="0" w:space="0" w:color="auto"/>
        <w:left w:val="none" w:sz="0" w:space="0" w:color="auto"/>
        <w:bottom w:val="none" w:sz="0" w:space="0" w:color="auto"/>
        <w:right w:val="none" w:sz="0" w:space="0" w:color="auto"/>
      </w:divBdr>
    </w:div>
    <w:div w:id="2036349805">
      <w:bodyDiv w:val="1"/>
      <w:marLeft w:val="0"/>
      <w:marRight w:val="0"/>
      <w:marTop w:val="0"/>
      <w:marBottom w:val="0"/>
      <w:divBdr>
        <w:top w:val="none" w:sz="0" w:space="0" w:color="auto"/>
        <w:left w:val="none" w:sz="0" w:space="0" w:color="auto"/>
        <w:bottom w:val="none" w:sz="0" w:space="0" w:color="auto"/>
        <w:right w:val="none" w:sz="0" w:space="0" w:color="auto"/>
      </w:divBdr>
      <w:divsChild>
        <w:div w:id="182672305">
          <w:marLeft w:val="360"/>
          <w:marRight w:val="0"/>
          <w:marTop w:val="0"/>
          <w:marBottom w:val="0"/>
          <w:divBdr>
            <w:top w:val="none" w:sz="0" w:space="0" w:color="auto"/>
            <w:left w:val="none" w:sz="0" w:space="0" w:color="auto"/>
            <w:bottom w:val="none" w:sz="0" w:space="0" w:color="auto"/>
            <w:right w:val="none" w:sz="0" w:space="0" w:color="auto"/>
          </w:divBdr>
        </w:div>
        <w:div w:id="1207450745">
          <w:marLeft w:val="360"/>
          <w:marRight w:val="0"/>
          <w:marTop w:val="0"/>
          <w:marBottom w:val="0"/>
          <w:divBdr>
            <w:top w:val="none" w:sz="0" w:space="0" w:color="auto"/>
            <w:left w:val="none" w:sz="0" w:space="0" w:color="auto"/>
            <w:bottom w:val="none" w:sz="0" w:space="0" w:color="auto"/>
            <w:right w:val="none" w:sz="0" w:space="0" w:color="auto"/>
          </w:divBdr>
        </w:div>
        <w:div w:id="392969485">
          <w:marLeft w:val="360"/>
          <w:marRight w:val="0"/>
          <w:marTop w:val="0"/>
          <w:marBottom w:val="0"/>
          <w:divBdr>
            <w:top w:val="none" w:sz="0" w:space="0" w:color="auto"/>
            <w:left w:val="none" w:sz="0" w:space="0" w:color="auto"/>
            <w:bottom w:val="none" w:sz="0" w:space="0" w:color="auto"/>
            <w:right w:val="none" w:sz="0" w:space="0" w:color="auto"/>
          </w:divBdr>
        </w:div>
        <w:div w:id="594554615">
          <w:marLeft w:val="360"/>
          <w:marRight w:val="0"/>
          <w:marTop w:val="0"/>
          <w:marBottom w:val="0"/>
          <w:divBdr>
            <w:top w:val="none" w:sz="0" w:space="0" w:color="auto"/>
            <w:left w:val="none" w:sz="0" w:space="0" w:color="auto"/>
            <w:bottom w:val="none" w:sz="0" w:space="0" w:color="auto"/>
            <w:right w:val="none" w:sz="0" w:space="0" w:color="auto"/>
          </w:divBdr>
        </w:div>
        <w:div w:id="1425343031">
          <w:marLeft w:val="360"/>
          <w:marRight w:val="0"/>
          <w:marTop w:val="0"/>
          <w:marBottom w:val="0"/>
          <w:divBdr>
            <w:top w:val="none" w:sz="0" w:space="0" w:color="auto"/>
            <w:left w:val="none" w:sz="0" w:space="0" w:color="auto"/>
            <w:bottom w:val="none" w:sz="0" w:space="0" w:color="auto"/>
            <w:right w:val="none" w:sz="0" w:space="0" w:color="auto"/>
          </w:divBdr>
        </w:div>
      </w:divsChild>
    </w:div>
    <w:div w:id="2036880348">
      <w:bodyDiv w:val="1"/>
      <w:marLeft w:val="0"/>
      <w:marRight w:val="0"/>
      <w:marTop w:val="0"/>
      <w:marBottom w:val="0"/>
      <w:divBdr>
        <w:top w:val="none" w:sz="0" w:space="0" w:color="auto"/>
        <w:left w:val="none" w:sz="0" w:space="0" w:color="auto"/>
        <w:bottom w:val="none" w:sz="0" w:space="0" w:color="auto"/>
        <w:right w:val="none" w:sz="0" w:space="0" w:color="auto"/>
      </w:divBdr>
    </w:div>
    <w:div w:id="2037123509">
      <w:bodyDiv w:val="1"/>
      <w:marLeft w:val="0"/>
      <w:marRight w:val="0"/>
      <w:marTop w:val="0"/>
      <w:marBottom w:val="0"/>
      <w:divBdr>
        <w:top w:val="none" w:sz="0" w:space="0" w:color="auto"/>
        <w:left w:val="none" w:sz="0" w:space="0" w:color="auto"/>
        <w:bottom w:val="none" w:sz="0" w:space="0" w:color="auto"/>
        <w:right w:val="none" w:sz="0" w:space="0" w:color="auto"/>
      </w:divBdr>
    </w:div>
    <w:div w:id="2037582573">
      <w:bodyDiv w:val="1"/>
      <w:marLeft w:val="0"/>
      <w:marRight w:val="0"/>
      <w:marTop w:val="0"/>
      <w:marBottom w:val="0"/>
      <w:divBdr>
        <w:top w:val="none" w:sz="0" w:space="0" w:color="auto"/>
        <w:left w:val="none" w:sz="0" w:space="0" w:color="auto"/>
        <w:bottom w:val="none" w:sz="0" w:space="0" w:color="auto"/>
        <w:right w:val="none" w:sz="0" w:space="0" w:color="auto"/>
      </w:divBdr>
    </w:div>
    <w:div w:id="2038848507">
      <w:bodyDiv w:val="1"/>
      <w:marLeft w:val="0"/>
      <w:marRight w:val="0"/>
      <w:marTop w:val="0"/>
      <w:marBottom w:val="0"/>
      <w:divBdr>
        <w:top w:val="none" w:sz="0" w:space="0" w:color="auto"/>
        <w:left w:val="none" w:sz="0" w:space="0" w:color="auto"/>
        <w:bottom w:val="none" w:sz="0" w:space="0" w:color="auto"/>
        <w:right w:val="none" w:sz="0" w:space="0" w:color="auto"/>
      </w:divBdr>
    </w:div>
    <w:div w:id="2040471339">
      <w:bodyDiv w:val="1"/>
      <w:marLeft w:val="0"/>
      <w:marRight w:val="0"/>
      <w:marTop w:val="0"/>
      <w:marBottom w:val="0"/>
      <w:divBdr>
        <w:top w:val="none" w:sz="0" w:space="0" w:color="auto"/>
        <w:left w:val="none" w:sz="0" w:space="0" w:color="auto"/>
        <w:bottom w:val="none" w:sz="0" w:space="0" w:color="auto"/>
        <w:right w:val="none" w:sz="0" w:space="0" w:color="auto"/>
      </w:divBdr>
    </w:div>
    <w:div w:id="2041197970">
      <w:bodyDiv w:val="1"/>
      <w:marLeft w:val="0"/>
      <w:marRight w:val="0"/>
      <w:marTop w:val="0"/>
      <w:marBottom w:val="0"/>
      <w:divBdr>
        <w:top w:val="none" w:sz="0" w:space="0" w:color="auto"/>
        <w:left w:val="none" w:sz="0" w:space="0" w:color="auto"/>
        <w:bottom w:val="none" w:sz="0" w:space="0" w:color="auto"/>
        <w:right w:val="none" w:sz="0" w:space="0" w:color="auto"/>
      </w:divBdr>
    </w:div>
    <w:div w:id="2047026253">
      <w:bodyDiv w:val="1"/>
      <w:marLeft w:val="0"/>
      <w:marRight w:val="0"/>
      <w:marTop w:val="0"/>
      <w:marBottom w:val="0"/>
      <w:divBdr>
        <w:top w:val="none" w:sz="0" w:space="0" w:color="auto"/>
        <w:left w:val="none" w:sz="0" w:space="0" w:color="auto"/>
        <w:bottom w:val="none" w:sz="0" w:space="0" w:color="auto"/>
        <w:right w:val="none" w:sz="0" w:space="0" w:color="auto"/>
      </w:divBdr>
    </w:div>
    <w:div w:id="2047565108">
      <w:bodyDiv w:val="1"/>
      <w:marLeft w:val="0"/>
      <w:marRight w:val="0"/>
      <w:marTop w:val="0"/>
      <w:marBottom w:val="0"/>
      <w:divBdr>
        <w:top w:val="none" w:sz="0" w:space="0" w:color="auto"/>
        <w:left w:val="none" w:sz="0" w:space="0" w:color="auto"/>
        <w:bottom w:val="none" w:sz="0" w:space="0" w:color="auto"/>
        <w:right w:val="none" w:sz="0" w:space="0" w:color="auto"/>
      </w:divBdr>
    </w:div>
    <w:div w:id="2049142265">
      <w:bodyDiv w:val="1"/>
      <w:marLeft w:val="0"/>
      <w:marRight w:val="0"/>
      <w:marTop w:val="0"/>
      <w:marBottom w:val="0"/>
      <w:divBdr>
        <w:top w:val="none" w:sz="0" w:space="0" w:color="auto"/>
        <w:left w:val="none" w:sz="0" w:space="0" w:color="auto"/>
        <w:bottom w:val="none" w:sz="0" w:space="0" w:color="auto"/>
        <w:right w:val="none" w:sz="0" w:space="0" w:color="auto"/>
      </w:divBdr>
    </w:div>
    <w:div w:id="2050757347">
      <w:bodyDiv w:val="1"/>
      <w:marLeft w:val="0"/>
      <w:marRight w:val="0"/>
      <w:marTop w:val="0"/>
      <w:marBottom w:val="0"/>
      <w:divBdr>
        <w:top w:val="none" w:sz="0" w:space="0" w:color="auto"/>
        <w:left w:val="none" w:sz="0" w:space="0" w:color="auto"/>
        <w:bottom w:val="none" w:sz="0" w:space="0" w:color="auto"/>
        <w:right w:val="none" w:sz="0" w:space="0" w:color="auto"/>
      </w:divBdr>
    </w:div>
    <w:div w:id="2051952188">
      <w:bodyDiv w:val="1"/>
      <w:marLeft w:val="0"/>
      <w:marRight w:val="0"/>
      <w:marTop w:val="0"/>
      <w:marBottom w:val="0"/>
      <w:divBdr>
        <w:top w:val="none" w:sz="0" w:space="0" w:color="auto"/>
        <w:left w:val="none" w:sz="0" w:space="0" w:color="auto"/>
        <w:bottom w:val="none" w:sz="0" w:space="0" w:color="auto"/>
        <w:right w:val="none" w:sz="0" w:space="0" w:color="auto"/>
      </w:divBdr>
    </w:div>
    <w:div w:id="2053115541">
      <w:bodyDiv w:val="1"/>
      <w:marLeft w:val="0"/>
      <w:marRight w:val="0"/>
      <w:marTop w:val="0"/>
      <w:marBottom w:val="0"/>
      <w:divBdr>
        <w:top w:val="none" w:sz="0" w:space="0" w:color="auto"/>
        <w:left w:val="none" w:sz="0" w:space="0" w:color="auto"/>
        <w:bottom w:val="none" w:sz="0" w:space="0" w:color="auto"/>
        <w:right w:val="none" w:sz="0" w:space="0" w:color="auto"/>
      </w:divBdr>
    </w:div>
    <w:div w:id="2056737157">
      <w:bodyDiv w:val="1"/>
      <w:marLeft w:val="0"/>
      <w:marRight w:val="0"/>
      <w:marTop w:val="0"/>
      <w:marBottom w:val="0"/>
      <w:divBdr>
        <w:top w:val="none" w:sz="0" w:space="0" w:color="auto"/>
        <w:left w:val="none" w:sz="0" w:space="0" w:color="auto"/>
        <w:bottom w:val="none" w:sz="0" w:space="0" w:color="auto"/>
        <w:right w:val="none" w:sz="0" w:space="0" w:color="auto"/>
      </w:divBdr>
    </w:div>
    <w:div w:id="2056806380">
      <w:bodyDiv w:val="1"/>
      <w:marLeft w:val="0"/>
      <w:marRight w:val="0"/>
      <w:marTop w:val="0"/>
      <w:marBottom w:val="0"/>
      <w:divBdr>
        <w:top w:val="none" w:sz="0" w:space="0" w:color="auto"/>
        <w:left w:val="none" w:sz="0" w:space="0" w:color="auto"/>
        <w:bottom w:val="none" w:sz="0" w:space="0" w:color="auto"/>
        <w:right w:val="none" w:sz="0" w:space="0" w:color="auto"/>
      </w:divBdr>
    </w:div>
    <w:div w:id="2062627983">
      <w:bodyDiv w:val="1"/>
      <w:marLeft w:val="0"/>
      <w:marRight w:val="0"/>
      <w:marTop w:val="0"/>
      <w:marBottom w:val="0"/>
      <w:divBdr>
        <w:top w:val="none" w:sz="0" w:space="0" w:color="auto"/>
        <w:left w:val="none" w:sz="0" w:space="0" w:color="auto"/>
        <w:bottom w:val="none" w:sz="0" w:space="0" w:color="auto"/>
        <w:right w:val="none" w:sz="0" w:space="0" w:color="auto"/>
      </w:divBdr>
    </w:div>
    <w:div w:id="2064795286">
      <w:bodyDiv w:val="1"/>
      <w:marLeft w:val="0"/>
      <w:marRight w:val="0"/>
      <w:marTop w:val="0"/>
      <w:marBottom w:val="0"/>
      <w:divBdr>
        <w:top w:val="none" w:sz="0" w:space="0" w:color="auto"/>
        <w:left w:val="none" w:sz="0" w:space="0" w:color="auto"/>
        <w:bottom w:val="none" w:sz="0" w:space="0" w:color="auto"/>
        <w:right w:val="none" w:sz="0" w:space="0" w:color="auto"/>
      </w:divBdr>
    </w:div>
    <w:div w:id="2067726757">
      <w:bodyDiv w:val="1"/>
      <w:marLeft w:val="0"/>
      <w:marRight w:val="0"/>
      <w:marTop w:val="0"/>
      <w:marBottom w:val="0"/>
      <w:divBdr>
        <w:top w:val="none" w:sz="0" w:space="0" w:color="auto"/>
        <w:left w:val="none" w:sz="0" w:space="0" w:color="auto"/>
        <w:bottom w:val="none" w:sz="0" w:space="0" w:color="auto"/>
        <w:right w:val="none" w:sz="0" w:space="0" w:color="auto"/>
      </w:divBdr>
    </w:div>
    <w:div w:id="2068185431">
      <w:bodyDiv w:val="1"/>
      <w:marLeft w:val="0"/>
      <w:marRight w:val="0"/>
      <w:marTop w:val="0"/>
      <w:marBottom w:val="0"/>
      <w:divBdr>
        <w:top w:val="none" w:sz="0" w:space="0" w:color="auto"/>
        <w:left w:val="none" w:sz="0" w:space="0" w:color="auto"/>
        <w:bottom w:val="none" w:sz="0" w:space="0" w:color="auto"/>
        <w:right w:val="none" w:sz="0" w:space="0" w:color="auto"/>
      </w:divBdr>
    </w:div>
    <w:div w:id="2074236095">
      <w:bodyDiv w:val="1"/>
      <w:marLeft w:val="0"/>
      <w:marRight w:val="0"/>
      <w:marTop w:val="0"/>
      <w:marBottom w:val="0"/>
      <w:divBdr>
        <w:top w:val="none" w:sz="0" w:space="0" w:color="auto"/>
        <w:left w:val="none" w:sz="0" w:space="0" w:color="auto"/>
        <w:bottom w:val="none" w:sz="0" w:space="0" w:color="auto"/>
        <w:right w:val="none" w:sz="0" w:space="0" w:color="auto"/>
      </w:divBdr>
    </w:div>
    <w:div w:id="2074423706">
      <w:bodyDiv w:val="1"/>
      <w:marLeft w:val="0"/>
      <w:marRight w:val="0"/>
      <w:marTop w:val="0"/>
      <w:marBottom w:val="0"/>
      <w:divBdr>
        <w:top w:val="none" w:sz="0" w:space="0" w:color="auto"/>
        <w:left w:val="none" w:sz="0" w:space="0" w:color="auto"/>
        <w:bottom w:val="none" w:sz="0" w:space="0" w:color="auto"/>
        <w:right w:val="none" w:sz="0" w:space="0" w:color="auto"/>
      </w:divBdr>
    </w:div>
    <w:div w:id="2077313292">
      <w:bodyDiv w:val="1"/>
      <w:marLeft w:val="0"/>
      <w:marRight w:val="0"/>
      <w:marTop w:val="0"/>
      <w:marBottom w:val="0"/>
      <w:divBdr>
        <w:top w:val="none" w:sz="0" w:space="0" w:color="auto"/>
        <w:left w:val="none" w:sz="0" w:space="0" w:color="auto"/>
        <w:bottom w:val="none" w:sz="0" w:space="0" w:color="auto"/>
        <w:right w:val="none" w:sz="0" w:space="0" w:color="auto"/>
      </w:divBdr>
    </w:div>
    <w:div w:id="2077774036">
      <w:bodyDiv w:val="1"/>
      <w:marLeft w:val="0"/>
      <w:marRight w:val="0"/>
      <w:marTop w:val="0"/>
      <w:marBottom w:val="0"/>
      <w:divBdr>
        <w:top w:val="none" w:sz="0" w:space="0" w:color="auto"/>
        <w:left w:val="none" w:sz="0" w:space="0" w:color="auto"/>
        <w:bottom w:val="none" w:sz="0" w:space="0" w:color="auto"/>
        <w:right w:val="none" w:sz="0" w:space="0" w:color="auto"/>
      </w:divBdr>
    </w:div>
    <w:div w:id="2078549786">
      <w:bodyDiv w:val="1"/>
      <w:marLeft w:val="0"/>
      <w:marRight w:val="0"/>
      <w:marTop w:val="0"/>
      <w:marBottom w:val="0"/>
      <w:divBdr>
        <w:top w:val="none" w:sz="0" w:space="0" w:color="auto"/>
        <w:left w:val="none" w:sz="0" w:space="0" w:color="auto"/>
        <w:bottom w:val="none" w:sz="0" w:space="0" w:color="auto"/>
        <w:right w:val="none" w:sz="0" w:space="0" w:color="auto"/>
      </w:divBdr>
    </w:div>
    <w:div w:id="2079744275">
      <w:bodyDiv w:val="1"/>
      <w:marLeft w:val="0"/>
      <w:marRight w:val="0"/>
      <w:marTop w:val="0"/>
      <w:marBottom w:val="0"/>
      <w:divBdr>
        <w:top w:val="none" w:sz="0" w:space="0" w:color="auto"/>
        <w:left w:val="none" w:sz="0" w:space="0" w:color="auto"/>
        <w:bottom w:val="none" w:sz="0" w:space="0" w:color="auto"/>
        <w:right w:val="none" w:sz="0" w:space="0" w:color="auto"/>
      </w:divBdr>
    </w:div>
    <w:div w:id="2081319883">
      <w:bodyDiv w:val="1"/>
      <w:marLeft w:val="0"/>
      <w:marRight w:val="0"/>
      <w:marTop w:val="0"/>
      <w:marBottom w:val="0"/>
      <w:divBdr>
        <w:top w:val="none" w:sz="0" w:space="0" w:color="auto"/>
        <w:left w:val="none" w:sz="0" w:space="0" w:color="auto"/>
        <w:bottom w:val="none" w:sz="0" w:space="0" w:color="auto"/>
        <w:right w:val="none" w:sz="0" w:space="0" w:color="auto"/>
      </w:divBdr>
    </w:div>
    <w:div w:id="2087532369">
      <w:bodyDiv w:val="1"/>
      <w:marLeft w:val="0"/>
      <w:marRight w:val="0"/>
      <w:marTop w:val="0"/>
      <w:marBottom w:val="0"/>
      <w:divBdr>
        <w:top w:val="none" w:sz="0" w:space="0" w:color="auto"/>
        <w:left w:val="none" w:sz="0" w:space="0" w:color="auto"/>
        <w:bottom w:val="none" w:sz="0" w:space="0" w:color="auto"/>
        <w:right w:val="none" w:sz="0" w:space="0" w:color="auto"/>
      </w:divBdr>
    </w:div>
    <w:div w:id="2090807191">
      <w:bodyDiv w:val="1"/>
      <w:marLeft w:val="0"/>
      <w:marRight w:val="0"/>
      <w:marTop w:val="0"/>
      <w:marBottom w:val="0"/>
      <w:divBdr>
        <w:top w:val="none" w:sz="0" w:space="0" w:color="auto"/>
        <w:left w:val="none" w:sz="0" w:space="0" w:color="auto"/>
        <w:bottom w:val="none" w:sz="0" w:space="0" w:color="auto"/>
        <w:right w:val="none" w:sz="0" w:space="0" w:color="auto"/>
      </w:divBdr>
    </w:div>
    <w:div w:id="2091077778">
      <w:bodyDiv w:val="1"/>
      <w:marLeft w:val="0"/>
      <w:marRight w:val="0"/>
      <w:marTop w:val="0"/>
      <w:marBottom w:val="0"/>
      <w:divBdr>
        <w:top w:val="none" w:sz="0" w:space="0" w:color="auto"/>
        <w:left w:val="none" w:sz="0" w:space="0" w:color="auto"/>
        <w:bottom w:val="none" w:sz="0" w:space="0" w:color="auto"/>
        <w:right w:val="none" w:sz="0" w:space="0" w:color="auto"/>
      </w:divBdr>
    </w:div>
    <w:div w:id="2091153972">
      <w:bodyDiv w:val="1"/>
      <w:marLeft w:val="0"/>
      <w:marRight w:val="0"/>
      <w:marTop w:val="0"/>
      <w:marBottom w:val="0"/>
      <w:divBdr>
        <w:top w:val="none" w:sz="0" w:space="0" w:color="auto"/>
        <w:left w:val="none" w:sz="0" w:space="0" w:color="auto"/>
        <w:bottom w:val="none" w:sz="0" w:space="0" w:color="auto"/>
        <w:right w:val="none" w:sz="0" w:space="0" w:color="auto"/>
      </w:divBdr>
    </w:div>
    <w:div w:id="2091539083">
      <w:bodyDiv w:val="1"/>
      <w:marLeft w:val="0"/>
      <w:marRight w:val="0"/>
      <w:marTop w:val="0"/>
      <w:marBottom w:val="0"/>
      <w:divBdr>
        <w:top w:val="none" w:sz="0" w:space="0" w:color="auto"/>
        <w:left w:val="none" w:sz="0" w:space="0" w:color="auto"/>
        <w:bottom w:val="none" w:sz="0" w:space="0" w:color="auto"/>
        <w:right w:val="none" w:sz="0" w:space="0" w:color="auto"/>
      </w:divBdr>
    </w:div>
    <w:div w:id="2096896977">
      <w:bodyDiv w:val="1"/>
      <w:marLeft w:val="0"/>
      <w:marRight w:val="0"/>
      <w:marTop w:val="0"/>
      <w:marBottom w:val="0"/>
      <w:divBdr>
        <w:top w:val="none" w:sz="0" w:space="0" w:color="auto"/>
        <w:left w:val="none" w:sz="0" w:space="0" w:color="auto"/>
        <w:bottom w:val="none" w:sz="0" w:space="0" w:color="auto"/>
        <w:right w:val="none" w:sz="0" w:space="0" w:color="auto"/>
      </w:divBdr>
    </w:div>
    <w:div w:id="2099714671">
      <w:bodyDiv w:val="1"/>
      <w:marLeft w:val="0"/>
      <w:marRight w:val="0"/>
      <w:marTop w:val="0"/>
      <w:marBottom w:val="0"/>
      <w:divBdr>
        <w:top w:val="none" w:sz="0" w:space="0" w:color="auto"/>
        <w:left w:val="none" w:sz="0" w:space="0" w:color="auto"/>
        <w:bottom w:val="none" w:sz="0" w:space="0" w:color="auto"/>
        <w:right w:val="none" w:sz="0" w:space="0" w:color="auto"/>
      </w:divBdr>
    </w:div>
    <w:div w:id="2100102765">
      <w:bodyDiv w:val="1"/>
      <w:marLeft w:val="0"/>
      <w:marRight w:val="0"/>
      <w:marTop w:val="0"/>
      <w:marBottom w:val="0"/>
      <w:divBdr>
        <w:top w:val="none" w:sz="0" w:space="0" w:color="auto"/>
        <w:left w:val="none" w:sz="0" w:space="0" w:color="auto"/>
        <w:bottom w:val="none" w:sz="0" w:space="0" w:color="auto"/>
        <w:right w:val="none" w:sz="0" w:space="0" w:color="auto"/>
      </w:divBdr>
    </w:div>
    <w:div w:id="2102484504">
      <w:bodyDiv w:val="1"/>
      <w:marLeft w:val="0"/>
      <w:marRight w:val="0"/>
      <w:marTop w:val="0"/>
      <w:marBottom w:val="0"/>
      <w:divBdr>
        <w:top w:val="none" w:sz="0" w:space="0" w:color="auto"/>
        <w:left w:val="none" w:sz="0" w:space="0" w:color="auto"/>
        <w:bottom w:val="none" w:sz="0" w:space="0" w:color="auto"/>
        <w:right w:val="none" w:sz="0" w:space="0" w:color="auto"/>
      </w:divBdr>
    </w:div>
    <w:div w:id="2104449267">
      <w:bodyDiv w:val="1"/>
      <w:marLeft w:val="0"/>
      <w:marRight w:val="0"/>
      <w:marTop w:val="0"/>
      <w:marBottom w:val="0"/>
      <w:divBdr>
        <w:top w:val="none" w:sz="0" w:space="0" w:color="auto"/>
        <w:left w:val="none" w:sz="0" w:space="0" w:color="auto"/>
        <w:bottom w:val="none" w:sz="0" w:space="0" w:color="auto"/>
        <w:right w:val="none" w:sz="0" w:space="0" w:color="auto"/>
      </w:divBdr>
    </w:div>
    <w:div w:id="2106807256">
      <w:bodyDiv w:val="1"/>
      <w:marLeft w:val="0"/>
      <w:marRight w:val="0"/>
      <w:marTop w:val="0"/>
      <w:marBottom w:val="0"/>
      <w:divBdr>
        <w:top w:val="none" w:sz="0" w:space="0" w:color="auto"/>
        <w:left w:val="none" w:sz="0" w:space="0" w:color="auto"/>
        <w:bottom w:val="none" w:sz="0" w:space="0" w:color="auto"/>
        <w:right w:val="none" w:sz="0" w:space="0" w:color="auto"/>
      </w:divBdr>
    </w:div>
    <w:div w:id="2108690538">
      <w:bodyDiv w:val="1"/>
      <w:marLeft w:val="0"/>
      <w:marRight w:val="0"/>
      <w:marTop w:val="0"/>
      <w:marBottom w:val="0"/>
      <w:divBdr>
        <w:top w:val="none" w:sz="0" w:space="0" w:color="auto"/>
        <w:left w:val="none" w:sz="0" w:space="0" w:color="auto"/>
        <w:bottom w:val="none" w:sz="0" w:space="0" w:color="auto"/>
        <w:right w:val="none" w:sz="0" w:space="0" w:color="auto"/>
      </w:divBdr>
    </w:div>
    <w:div w:id="2114469686">
      <w:bodyDiv w:val="1"/>
      <w:marLeft w:val="0"/>
      <w:marRight w:val="0"/>
      <w:marTop w:val="0"/>
      <w:marBottom w:val="0"/>
      <w:divBdr>
        <w:top w:val="none" w:sz="0" w:space="0" w:color="auto"/>
        <w:left w:val="none" w:sz="0" w:space="0" w:color="auto"/>
        <w:bottom w:val="none" w:sz="0" w:space="0" w:color="auto"/>
        <w:right w:val="none" w:sz="0" w:space="0" w:color="auto"/>
      </w:divBdr>
    </w:div>
    <w:div w:id="2117796233">
      <w:bodyDiv w:val="1"/>
      <w:marLeft w:val="0"/>
      <w:marRight w:val="0"/>
      <w:marTop w:val="0"/>
      <w:marBottom w:val="0"/>
      <w:divBdr>
        <w:top w:val="none" w:sz="0" w:space="0" w:color="auto"/>
        <w:left w:val="none" w:sz="0" w:space="0" w:color="auto"/>
        <w:bottom w:val="none" w:sz="0" w:space="0" w:color="auto"/>
        <w:right w:val="none" w:sz="0" w:space="0" w:color="auto"/>
      </w:divBdr>
    </w:div>
    <w:div w:id="2118407102">
      <w:bodyDiv w:val="1"/>
      <w:marLeft w:val="0"/>
      <w:marRight w:val="0"/>
      <w:marTop w:val="0"/>
      <w:marBottom w:val="0"/>
      <w:divBdr>
        <w:top w:val="none" w:sz="0" w:space="0" w:color="auto"/>
        <w:left w:val="none" w:sz="0" w:space="0" w:color="auto"/>
        <w:bottom w:val="none" w:sz="0" w:space="0" w:color="auto"/>
        <w:right w:val="none" w:sz="0" w:space="0" w:color="auto"/>
      </w:divBdr>
    </w:div>
    <w:div w:id="2118670628">
      <w:bodyDiv w:val="1"/>
      <w:marLeft w:val="0"/>
      <w:marRight w:val="0"/>
      <w:marTop w:val="0"/>
      <w:marBottom w:val="0"/>
      <w:divBdr>
        <w:top w:val="none" w:sz="0" w:space="0" w:color="auto"/>
        <w:left w:val="none" w:sz="0" w:space="0" w:color="auto"/>
        <w:bottom w:val="none" w:sz="0" w:space="0" w:color="auto"/>
        <w:right w:val="none" w:sz="0" w:space="0" w:color="auto"/>
      </w:divBdr>
    </w:div>
    <w:div w:id="2121143439">
      <w:bodyDiv w:val="1"/>
      <w:marLeft w:val="0"/>
      <w:marRight w:val="0"/>
      <w:marTop w:val="0"/>
      <w:marBottom w:val="0"/>
      <w:divBdr>
        <w:top w:val="none" w:sz="0" w:space="0" w:color="auto"/>
        <w:left w:val="none" w:sz="0" w:space="0" w:color="auto"/>
        <w:bottom w:val="none" w:sz="0" w:space="0" w:color="auto"/>
        <w:right w:val="none" w:sz="0" w:space="0" w:color="auto"/>
      </w:divBdr>
    </w:div>
    <w:div w:id="2121223268">
      <w:bodyDiv w:val="1"/>
      <w:marLeft w:val="0"/>
      <w:marRight w:val="0"/>
      <w:marTop w:val="0"/>
      <w:marBottom w:val="0"/>
      <w:divBdr>
        <w:top w:val="none" w:sz="0" w:space="0" w:color="auto"/>
        <w:left w:val="none" w:sz="0" w:space="0" w:color="auto"/>
        <w:bottom w:val="none" w:sz="0" w:space="0" w:color="auto"/>
        <w:right w:val="none" w:sz="0" w:space="0" w:color="auto"/>
      </w:divBdr>
    </w:div>
    <w:div w:id="2123723828">
      <w:bodyDiv w:val="1"/>
      <w:marLeft w:val="0"/>
      <w:marRight w:val="0"/>
      <w:marTop w:val="0"/>
      <w:marBottom w:val="0"/>
      <w:divBdr>
        <w:top w:val="none" w:sz="0" w:space="0" w:color="auto"/>
        <w:left w:val="none" w:sz="0" w:space="0" w:color="auto"/>
        <w:bottom w:val="none" w:sz="0" w:space="0" w:color="auto"/>
        <w:right w:val="none" w:sz="0" w:space="0" w:color="auto"/>
      </w:divBdr>
    </w:div>
    <w:div w:id="2126927199">
      <w:bodyDiv w:val="1"/>
      <w:marLeft w:val="0"/>
      <w:marRight w:val="0"/>
      <w:marTop w:val="0"/>
      <w:marBottom w:val="0"/>
      <w:divBdr>
        <w:top w:val="none" w:sz="0" w:space="0" w:color="auto"/>
        <w:left w:val="none" w:sz="0" w:space="0" w:color="auto"/>
        <w:bottom w:val="none" w:sz="0" w:space="0" w:color="auto"/>
        <w:right w:val="none" w:sz="0" w:space="0" w:color="auto"/>
      </w:divBdr>
    </w:div>
    <w:div w:id="2128888916">
      <w:bodyDiv w:val="1"/>
      <w:marLeft w:val="0"/>
      <w:marRight w:val="0"/>
      <w:marTop w:val="0"/>
      <w:marBottom w:val="0"/>
      <w:divBdr>
        <w:top w:val="none" w:sz="0" w:space="0" w:color="auto"/>
        <w:left w:val="none" w:sz="0" w:space="0" w:color="auto"/>
        <w:bottom w:val="none" w:sz="0" w:space="0" w:color="auto"/>
        <w:right w:val="none" w:sz="0" w:space="0" w:color="auto"/>
      </w:divBdr>
    </w:div>
    <w:div w:id="2131628804">
      <w:bodyDiv w:val="1"/>
      <w:marLeft w:val="0"/>
      <w:marRight w:val="0"/>
      <w:marTop w:val="0"/>
      <w:marBottom w:val="0"/>
      <w:divBdr>
        <w:top w:val="none" w:sz="0" w:space="0" w:color="auto"/>
        <w:left w:val="none" w:sz="0" w:space="0" w:color="auto"/>
        <w:bottom w:val="none" w:sz="0" w:space="0" w:color="auto"/>
        <w:right w:val="none" w:sz="0" w:space="0" w:color="auto"/>
      </w:divBdr>
    </w:div>
    <w:div w:id="2133012057">
      <w:bodyDiv w:val="1"/>
      <w:marLeft w:val="0"/>
      <w:marRight w:val="0"/>
      <w:marTop w:val="0"/>
      <w:marBottom w:val="0"/>
      <w:divBdr>
        <w:top w:val="none" w:sz="0" w:space="0" w:color="auto"/>
        <w:left w:val="none" w:sz="0" w:space="0" w:color="auto"/>
        <w:bottom w:val="none" w:sz="0" w:space="0" w:color="auto"/>
        <w:right w:val="none" w:sz="0" w:space="0" w:color="auto"/>
      </w:divBdr>
    </w:div>
    <w:div w:id="2134903087">
      <w:bodyDiv w:val="1"/>
      <w:marLeft w:val="0"/>
      <w:marRight w:val="0"/>
      <w:marTop w:val="0"/>
      <w:marBottom w:val="0"/>
      <w:divBdr>
        <w:top w:val="none" w:sz="0" w:space="0" w:color="auto"/>
        <w:left w:val="none" w:sz="0" w:space="0" w:color="auto"/>
        <w:bottom w:val="none" w:sz="0" w:space="0" w:color="auto"/>
        <w:right w:val="none" w:sz="0" w:space="0" w:color="auto"/>
      </w:divBdr>
    </w:div>
    <w:div w:id="2136215090">
      <w:bodyDiv w:val="1"/>
      <w:marLeft w:val="0"/>
      <w:marRight w:val="0"/>
      <w:marTop w:val="0"/>
      <w:marBottom w:val="0"/>
      <w:divBdr>
        <w:top w:val="none" w:sz="0" w:space="0" w:color="auto"/>
        <w:left w:val="none" w:sz="0" w:space="0" w:color="auto"/>
        <w:bottom w:val="none" w:sz="0" w:space="0" w:color="auto"/>
        <w:right w:val="none" w:sz="0" w:space="0" w:color="auto"/>
      </w:divBdr>
    </w:div>
    <w:div w:id="2136823278">
      <w:bodyDiv w:val="1"/>
      <w:marLeft w:val="0"/>
      <w:marRight w:val="0"/>
      <w:marTop w:val="0"/>
      <w:marBottom w:val="0"/>
      <w:divBdr>
        <w:top w:val="none" w:sz="0" w:space="0" w:color="auto"/>
        <w:left w:val="none" w:sz="0" w:space="0" w:color="auto"/>
        <w:bottom w:val="none" w:sz="0" w:space="0" w:color="auto"/>
        <w:right w:val="none" w:sz="0" w:space="0" w:color="auto"/>
      </w:divBdr>
    </w:div>
    <w:div w:id="2139643138">
      <w:bodyDiv w:val="1"/>
      <w:marLeft w:val="0"/>
      <w:marRight w:val="0"/>
      <w:marTop w:val="0"/>
      <w:marBottom w:val="0"/>
      <w:divBdr>
        <w:top w:val="none" w:sz="0" w:space="0" w:color="auto"/>
        <w:left w:val="none" w:sz="0" w:space="0" w:color="auto"/>
        <w:bottom w:val="none" w:sz="0" w:space="0" w:color="auto"/>
        <w:right w:val="none" w:sz="0" w:space="0" w:color="auto"/>
      </w:divBdr>
    </w:div>
    <w:div w:id="2140874112">
      <w:bodyDiv w:val="1"/>
      <w:marLeft w:val="0"/>
      <w:marRight w:val="0"/>
      <w:marTop w:val="0"/>
      <w:marBottom w:val="0"/>
      <w:divBdr>
        <w:top w:val="none" w:sz="0" w:space="0" w:color="auto"/>
        <w:left w:val="none" w:sz="0" w:space="0" w:color="auto"/>
        <w:bottom w:val="none" w:sz="0" w:space="0" w:color="auto"/>
        <w:right w:val="none" w:sz="0" w:space="0" w:color="auto"/>
      </w:divBdr>
    </w:div>
    <w:div w:id="21425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3_1563" TargetMode="External"/><Relationship Id="rId3" Type="http://schemas.openxmlformats.org/officeDocument/2006/relationships/hyperlink" Target="https://mfin.gov.hr/istaknute-teme/koncesije-i-drzavne-potpore/drzavne-potpore/pravila-o-drzavnim-potporama/461" TargetMode="External"/><Relationship Id="rId7" Type="http://schemas.openxmlformats.org/officeDocument/2006/relationships/hyperlink" Target="https://mfin.gov.hr/istaknute-teme/koncesije-i-drzavne-potpore/drzavne-potpore/drzavne-potpore-za-podrsku-gospodarstvu-tijekom-pandemije-covid-a-19/3044" TargetMode="External"/><Relationship Id="rId12" Type="http://schemas.openxmlformats.org/officeDocument/2006/relationships/hyperlink" Target="https://www.consilium.europa.eu/media/ny3j24sm/much-more-than-a-market-report-by-enrico-letta.pdf" TargetMode="External"/><Relationship Id="rId2" Type="http://schemas.openxmlformats.org/officeDocument/2006/relationships/hyperlink" Target="https://mfin.gov.hr/istaknute-teme/koncesije-i-drzavne-potpore/drzavne-potpore/objava-podataka-o-dodijeljenim-drzavnim-potporama-i-potporama-male-vrijednosti/3555" TargetMode="External"/><Relationship Id="rId1" Type="http://schemas.openxmlformats.org/officeDocument/2006/relationships/hyperlink" Target="https://mfin.gov.hr/istaknute-teme/koncesije-i-drzavne-potpore/drzavne-potpore/transparentnost-potpora/465" TargetMode="External"/><Relationship Id="rId6" Type="http://schemas.openxmlformats.org/officeDocument/2006/relationships/hyperlink" Target="https://competition-policy.ec.europa.eu/state-aid/coronavirus_en" TargetMode="External"/><Relationship Id="rId11" Type="http://schemas.openxmlformats.org/officeDocument/2006/relationships/hyperlink" Target="https://commission.europa.eu/topics/strengthening-european-competitiveness/eu-competitiveness-looking-ahead_en" TargetMode="External"/><Relationship Id="rId5" Type="http://schemas.openxmlformats.org/officeDocument/2006/relationships/hyperlink" Target="https://competition-policy.ec.europa.eu/state-aid/scoreboard_en" TargetMode="External"/><Relationship Id="rId10" Type="http://schemas.openxmlformats.org/officeDocument/2006/relationships/hyperlink" Target="https://mfin.gov.hr/istaknute-teme/koncesije-i-drzavne-potpore/drzavne-potpore/transparentnost-potpora/465" TargetMode="External"/><Relationship Id="rId4" Type="http://schemas.openxmlformats.org/officeDocument/2006/relationships/hyperlink" Target="https://competition-policy.ec.europa.eu/state-aid/legislation_en" TargetMode="External"/><Relationship Id="rId9" Type="http://schemas.openxmlformats.org/officeDocument/2006/relationships/hyperlink" Target="https://mfin.gov.hr/istaknute-teme/koncesije-i-drzavne-potpore/drzavne-potpore/drzavne-potpore-gospodarstvu-nakon-ruske-agresije-na-ukrajinu/32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20POSAO%202024\2023%20Gl%20o%20DP%20ukupno%202024-1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f21\Home\rsneler\My%20Documents\ROMANA%202024-09-03\01%20GODI&#352;NJA%20IZVJE&#352;&#262;A%202024-10-08\2023%20MF%20GI%20o%20DP%202023%20421-01-23-01-4\2023%20Gl%20o%20DP%20ukupno%202024-1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15908495124952E-2"/>
          <c:y val="8.6330957083741264E-2"/>
          <c:w val="0.91933858360594034"/>
          <c:h val="0.77338129496402874"/>
        </c:manualLayout>
      </c:layout>
      <c:lineChart>
        <c:grouping val="standard"/>
        <c:varyColors val="0"/>
        <c:ser>
          <c:idx val="0"/>
          <c:order val="0"/>
          <c:tx>
            <c:strRef>
              <c:f>'[2023 Gl o DP ukupno 2024-10-17.xlsx]1 tab i sl udio dp'!$A$26</c:f>
              <c:strCache>
                <c:ptCount val="1"/>
                <c:pt idx="0">
                  <c:v>Udio potpora u BDP-u</c:v>
                </c:pt>
              </c:strCache>
            </c:strRef>
          </c:tx>
          <c:spPr>
            <a:ln w="25400">
              <a:solidFill>
                <a:srgbClr val="000080"/>
              </a:solidFill>
              <a:prstDash val="solid"/>
            </a:ln>
          </c:spPr>
          <c:marker>
            <c:symbol val="diamond"/>
            <c:size val="5"/>
            <c:spPr>
              <a:solidFill>
                <a:srgbClr val="00FFFF"/>
              </a:solidFill>
              <a:ln>
                <a:solidFill>
                  <a:srgbClr val="3366FF"/>
                </a:solidFill>
                <a:prstDash val="solid"/>
              </a:ln>
            </c:spPr>
          </c:marker>
          <c:cat>
            <c:strRef>
              <c:f>'[2023 Gl o DP ukupno 2024-10-17.xlsx]1 tab i sl udio dp'!$M$24:$W$25</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'[2023 Gl o DP ukupno 2024-10-17.xlsx]1 tab i sl udio dp'!$M$26:$W$26</c:f>
              <c:numCache>
                <c:formatCode>0.00%</c:formatCode>
                <c:ptCount val="11"/>
                <c:pt idx="0">
                  <c:v>2.5417987528091556E-2</c:v>
                </c:pt>
                <c:pt idx="1">
                  <c:v>2.6688677331997184E-2</c:v>
                </c:pt>
                <c:pt idx="2">
                  <c:v>2.8708209072359124E-2</c:v>
                </c:pt>
                <c:pt idx="3">
                  <c:v>3.2082771409305468E-2</c:v>
                </c:pt>
                <c:pt idx="4">
                  <c:v>3.3347746102509707E-2</c:v>
                </c:pt>
                <c:pt idx="5">
                  <c:v>3.6387825695396767E-2</c:v>
                </c:pt>
                <c:pt idx="6">
                  <c:v>3.6591643459444774E-2</c:v>
                </c:pt>
                <c:pt idx="7">
                  <c:v>6.1078726016843755E-2</c:v>
                </c:pt>
                <c:pt idx="8">
                  <c:v>4.9952421410365336E-2</c:v>
                </c:pt>
                <c:pt idx="9">
                  <c:v>4.4096353823877846E-2</c:v>
                </c:pt>
                <c:pt idx="10">
                  <c:v>3.9695574850925827E-2</c:v>
                </c:pt>
              </c:numCache>
            </c:numRef>
          </c:val>
          <c:smooth val="0"/>
          <c:extLst>
            <c:ext xmlns:c16="http://schemas.microsoft.com/office/drawing/2014/chart" uri="{C3380CC4-5D6E-409C-BE32-E72D297353CC}">
              <c16:uniqueId val="{0000000F-2F7F-4ACE-BC1F-2653675BD13A}"/>
            </c:ext>
          </c:extLst>
        </c:ser>
        <c:dLbls>
          <c:showLegendKey val="0"/>
          <c:showVal val="0"/>
          <c:showCatName val="0"/>
          <c:showSerName val="0"/>
          <c:showPercent val="0"/>
          <c:showBubbleSize val="0"/>
        </c:dLbls>
        <c:marker val="1"/>
        <c:smooth val="0"/>
        <c:axId val="108278912"/>
        <c:axId val="108280448"/>
      </c:lineChart>
      <c:catAx>
        <c:axId val="1082789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08280448"/>
        <c:crosses val="autoZero"/>
        <c:auto val="1"/>
        <c:lblAlgn val="ctr"/>
        <c:lblOffset val="100"/>
        <c:tickLblSkip val="1"/>
        <c:tickMarkSkip val="1"/>
        <c:noMultiLvlLbl val="0"/>
      </c:catAx>
      <c:valAx>
        <c:axId val="108280448"/>
        <c:scaling>
          <c:orientation val="minMax"/>
          <c:max val="6.5000000000000016E-2"/>
          <c:min val="0.02"/>
        </c:scaling>
        <c:delete val="0"/>
        <c:axPos val="l"/>
        <c:majorGridlines>
          <c:spPr>
            <a:ln w="3175">
              <a:solidFill>
                <a:srgbClr val="969696"/>
              </a:solidFill>
              <a:prstDash val="sysDash"/>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sr-Latn-RS"/>
          </a:p>
        </c:txPr>
        <c:crossAx val="108278912"/>
        <c:crosses val="autoZero"/>
        <c:crossBetween val="between"/>
        <c:majorUnit val="5.0000000000000001E-3"/>
      </c:valAx>
      <c:spPr>
        <a:gradFill rotWithShape="0">
          <a:gsLst>
            <a:gs pos="0">
              <a:srgbClr val="C0C0C0">
                <a:gamma/>
                <a:tint val="6275"/>
                <a:invGamma/>
              </a:srgbClr>
            </a:gs>
            <a:gs pos="100000">
              <a:srgbClr val="C0C0C0"/>
            </a:gs>
          </a:gsLst>
          <a:lin ang="5400000" scaled="1"/>
        </a:gradFill>
        <a:ln w="25400">
          <a:noFill/>
        </a:ln>
      </c:spPr>
    </c:plotArea>
    <c:legend>
      <c:legendPos val="r"/>
      <c:legendEntry>
        <c:idx val="0"/>
        <c:txPr>
          <a:bodyPr/>
          <a:lstStyle/>
          <a:p>
            <a:pPr>
              <a:defRPr i="1"/>
            </a:pPr>
            <a:endParaRPr lang="sr-Latn-RS"/>
          </a:p>
        </c:txPr>
      </c:legendEntry>
      <c:layout>
        <c:manualLayout>
          <c:xMode val="edge"/>
          <c:yMode val="edge"/>
          <c:x val="7.9927076370139516E-2"/>
          <c:y val="0.11091897714740055"/>
          <c:w val="0.26027849881499104"/>
          <c:h val="0.18185590807663696"/>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i="1"/>
          </a:pPr>
          <a:endParaRPr lang="sr-Latn-R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40"/>
      <c:depthPercent val="100"/>
      <c:rAngAx val="1"/>
    </c:view3D>
    <c:floor>
      <c:thickness val="0"/>
    </c:floor>
    <c:sideWall>
      <c:thickness val="0"/>
    </c:sideWall>
    <c:backWall>
      <c:thickness val="0"/>
    </c:backWall>
    <c:plotArea>
      <c:layout>
        <c:manualLayout>
          <c:layoutTarget val="inner"/>
          <c:xMode val="edge"/>
          <c:yMode val="edge"/>
          <c:x val="8.539154183970428E-2"/>
          <c:y val="3.0662020905923345E-2"/>
          <c:w val="0.68087998969453967"/>
          <c:h val="0.8813983374029466"/>
        </c:manualLayout>
      </c:layout>
      <c:bar3DChart>
        <c:barDir val="col"/>
        <c:grouping val="stacked"/>
        <c:varyColors val="0"/>
        <c:ser>
          <c:idx val="0"/>
          <c:order val="0"/>
          <c:tx>
            <c:strRef>
              <c:f>'tab horizontalne'!$A$48</c:f>
              <c:strCache>
                <c:ptCount val="1"/>
                <c:pt idx="0">
                  <c:v>Istraživanje i razvoj i inovacije</c:v>
                </c:pt>
              </c:strCache>
            </c:strRef>
          </c:tx>
          <c:spPr>
            <a:solidFill>
              <a:srgbClr val="FFFFCC"/>
            </a:solidFill>
            <a:ln>
              <a:solidFill>
                <a:sysClr val="windowText" lastClr="000000"/>
              </a:solidFill>
            </a:ln>
          </c:spPr>
          <c:invertIfNegative val="1"/>
          <c:cat>
            <c:strRef>
              <c:f>'tab horizontalne'!$F$47:$H$47</c:f>
              <c:strCache>
                <c:ptCount val="3"/>
                <c:pt idx="0">
                  <c:v>2021.</c:v>
                </c:pt>
                <c:pt idx="1">
                  <c:v>2022.</c:v>
                </c:pt>
                <c:pt idx="2">
                  <c:v>2023.</c:v>
                </c:pt>
              </c:strCache>
            </c:strRef>
          </c:cat>
          <c:val>
            <c:numRef>
              <c:f>'tab horizontalne'!$F$48:$H$48</c:f>
              <c:numCache>
                <c:formatCode>0.0%</c:formatCode>
                <c:ptCount val="3"/>
                <c:pt idx="0">
                  <c:v>0.25796199867462744</c:v>
                </c:pt>
                <c:pt idx="1">
                  <c:v>0.3609618026043</c:v>
                </c:pt>
                <c:pt idx="2">
                  <c:v>0.72242205829131845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ysClr val="windowText" lastClr="000000"/>
                    </a:solidFill>
                  </a:ln>
                </c14:spPr>
              </c14:invertSolidFillFmt>
            </c:ext>
            <c:ext xmlns:c16="http://schemas.microsoft.com/office/drawing/2014/chart" uri="{C3380CC4-5D6E-409C-BE32-E72D297353CC}">
              <c16:uniqueId val="{00000000-80EA-4B92-8B55-F8B3741EE430}"/>
            </c:ext>
          </c:extLst>
        </c:ser>
        <c:ser>
          <c:idx val="2"/>
          <c:order val="2"/>
          <c:tx>
            <c:strRef>
              <c:f>'tab horizontalne'!$A$49</c:f>
              <c:strCache>
                <c:ptCount val="1"/>
                <c:pt idx="0">
                  <c:v>Mali i srednji poduzetnici</c:v>
                </c:pt>
              </c:strCache>
            </c:strRef>
          </c:tx>
          <c:spPr>
            <a:solidFill>
              <a:schemeClr val="bg1">
                <a:lumMod val="75000"/>
              </a:schemeClr>
            </a:solidFill>
            <a:ln>
              <a:solidFill>
                <a:sysClr val="windowText" lastClr="000000"/>
              </a:solidFill>
            </a:ln>
          </c:spPr>
          <c:invertIfNegative val="0"/>
          <c:dPt>
            <c:idx val="0"/>
            <c:invertIfNegative val="0"/>
            <c:bubble3D val="0"/>
            <c:spPr>
              <a:solidFill>
                <a:schemeClr val="accent3">
                  <a:lumMod val="40000"/>
                  <a:lumOff val="60000"/>
                </a:schemeClr>
              </a:solidFill>
              <a:ln>
                <a:solidFill>
                  <a:sysClr val="windowText" lastClr="000000"/>
                </a:solidFill>
              </a:ln>
            </c:spPr>
            <c:extLst>
              <c:ext xmlns:c16="http://schemas.microsoft.com/office/drawing/2014/chart" uri="{C3380CC4-5D6E-409C-BE32-E72D297353CC}">
                <c16:uniqueId val="{00000002-80EA-4B92-8B55-F8B3741EE430}"/>
              </c:ext>
            </c:extLst>
          </c:dPt>
          <c:dPt>
            <c:idx val="1"/>
            <c:invertIfNegative val="0"/>
            <c:bubble3D val="0"/>
            <c:spPr>
              <a:solidFill>
                <a:schemeClr val="accent3">
                  <a:lumMod val="60000"/>
                  <a:lumOff val="40000"/>
                </a:schemeClr>
              </a:solidFill>
              <a:ln>
                <a:solidFill>
                  <a:sysClr val="windowText" lastClr="000000"/>
                </a:solidFill>
              </a:ln>
            </c:spPr>
            <c:extLst>
              <c:ext xmlns:c16="http://schemas.microsoft.com/office/drawing/2014/chart" uri="{C3380CC4-5D6E-409C-BE32-E72D297353CC}">
                <c16:uniqueId val="{00000004-80EA-4B92-8B55-F8B3741EE430}"/>
              </c:ext>
            </c:extLst>
          </c:dPt>
          <c:dPt>
            <c:idx val="2"/>
            <c:invertIfNegative val="0"/>
            <c:bubble3D val="0"/>
            <c:spPr>
              <a:solidFill>
                <a:schemeClr val="accent3">
                  <a:lumMod val="40000"/>
                  <a:lumOff val="60000"/>
                </a:schemeClr>
              </a:solidFill>
              <a:ln>
                <a:solidFill>
                  <a:sysClr val="windowText" lastClr="000000"/>
                </a:solidFill>
              </a:ln>
            </c:spPr>
            <c:extLst>
              <c:ext xmlns:c16="http://schemas.microsoft.com/office/drawing/2014/chart" uri="{C3380CC4-5D6E-409C-BE32-E72D297353CC}">
                <c16:uniqueId val="{00000006-80EA-4B92-8B55-F8B3741EE430}"/>
              </c:ext>
            </c:extLst>
          </c:dPt>
          <c:val>
            <c:numRef>
              <c:f>'tab horizontalne'!$F$49:$H$49</c:f>
              <c:numCache>
                <c:formatCode>0.0%</c:formatCode>
                <c:ptCount val="3"/>
                <c:pt idx="0">
                  <c:v>0.48691328584805893</c:v>
                </c:pt>
                <c:pt idx="1">
                  <c:v>2.8025025001391257E-2</c:v>
                </c:pt>
                <c:pt idx="2">
                  <c:v>2.9287451925305304E-2</c:v>
                </c:pt>
              </c:numCache>
            </c:numRef>
          </c:val>
          <c:extLst>
            <c:ext xmlns:c16="http://schemas.microsoft.com/office/drawing/2014/chart" uri="{C3380CC4-5D6E-409C-BE32-E72D297353CC}">
              <c16:uniqueId val="{00000007-80EA-4B92-8B55-F8B3741EE430}"/>
            </c:ext>
          </c:extLst>
        </c:ser>
        <c:ser>
          <c:idx val="3"/>
          <c:order val="3"/>
          <c:tx>
            <c:strRef>
              <c:f>'tab horizontalne'!$A$50</c:f>
              <c:strCache>
                <c:ptCount val="1"/>
                <c:pt idx="0">
                  <c:v>Usavršavanje</c:v>
                </c:pt>
              </c:strCache>
            </c:strRef>
          </c:tx>
          <c:spPr>
            <a:solidFill>
              <a:schemeClr val="tx1"/>
            </a:solidFill>
            <a:ln>
              <a:solidFill>
                <a:sysClr val="windowText" lastClr="000000"/>
              </a:solidFill>
            </a:ln>
          </c:spPr>
          <c:invertIfNegative val="0"/>
          <c:val>
            <c:numRef>
              <c:f>'tab horizontalne'!$F$50:$H$50</c:f>
              <c:numCache>
                <c:formatCode>0.0%</c:formatCode>
                <c:ptCount val="3"/>
                <c:pt idx="0">
                  <c:v>1.1291021712980775E-2</c:v>
                </c:pt>
                <c:pt idx="1">
                  <c:v>3.7010388609095772E-2</c:v>
                </c:pt>
                <c:pt idx="2">
                  <c:v>1.0931206759851447E-4</c:v>
                </c:pt>
              </c:numCache>
            </c:numRef>
          </c:val>
          <c:extLst>
            <c:ext xmlns:c16="http://schemas.microsoft.com/office/drawing/2014/chart" uri="{C3380CC4-5D6E-409C-BE32-E72D297353CC}">
              <c16:uniqueId val="{00000008-80EA-4B92-8B55-F8B3741EE430}"/>
            </c:ext>
          </c:extLst>
        </c:ser>
        <c:ser>
          <c:idx val="4"/>
          <c:order val="4"/>
          <c:tx>
            <c:strRef>
              <c:f>'tab horizontalne'!$A$51</c:f>
              <c:strCache>
                <c:ptCount val="1"/>
                <c:pt idx="0">
                  <c:v>Zapošljavanje</c:v>
                </c:pt>
              </c:strCache>
            </c:strRef>
          </c:tx>
          <c:spPr>
            <a:solidFill>
              <a:schemeClr val="accent2">
                <a:lumMod val="40000"/>
                <a:lumOff val="60000"/>
              </a:schemeClr>
            </a:solidFill>
            <a:ln>
              <a:solidFill>
                <a:sysClr val="windowText" lastClr="000000"/>
              </a:solidFill>
            </a:ln>
          </c:spPr>
          <c:invertIfNegative val="0"/>
          <c:val>
            <c:numRef>
              <c:f>'tab horizontalne'!$F$51:$H$51</c:f>
              <c:numCache>
                <c:formatCode>0.0%</c:formatCode>
                <c:ptCount val="3"/>
                <c:pt idx="0">
                  <c:v>0.16687093442517889</c:v>
                </c:pt>
                <c:pt idx="1">
                  <c:v>0.3817840234309165</c:v>
                </c:pt>
                <c:pt idx="2">
                  <c:v>0.15830727554021065</c:v>
                </c:pt>
              </c:numCache>
            </c:numRef>
          </c:val>
          <c:extLst>
            <c:ext xmlns:c16="http://schemas.microsoft.com/office/drawing/2014/chart" uri="{C3380CC4-5D6E-409C-BE32-E72D297353CC}">
              <c16:uniqueId val="{00000009-80EA-4B92-8B55-F8B3741EE430}"/>
            </c:ext>
          </c:extLst>
        </c:ser>
        <c:ser>
          <c:idx val="5"/>
          <c:order val="5"/>
          <c:tx>
            <c:strRef>
              <c:f>'tab horizontalne'!$A$52</c:f>
              <c:strCache>
                <c:ptCount val="1"/>
                <c:pt idx="0">
                  <c:v>Kultura</c:v>
                </c:pt>
              </c:strCache>
            </c:strRef>
          </c:tx>
          <c:spPr>
            <a:solidFill>
              <a:srgbClr val="558ED5"/>
            </a:solidFill>
            <a:ln>
              <a:solidFill>
                <a:sysClr val="windowText" lastClr="000000"/>
              </a:solidFill>
            </a:ln>
          </c:spPr>
          <c:invertIfNegative val="1"/>
          <c:val>
            <c:numRef>
              <c:f>'tab horizontalne'!$F$52:$H$52</c:f>
              <c:numCache>
                <c:formatCode>0.0%</c:formatCode>
                <c:ptCount val="3"/>
                <c:pt idx="0">
                  <c:v>7.6962759339153988E-2</c:v>
                </c:pt>
                <c:pt idx="1">
                  <c:v>0.19221876035429647</c:v>
                </c:pt>
                <c:pt idx="2">
                  <c:v>8.9873902175567247E-2</c:v>
                </c:pt>
              </c:numCache>
            </c:numRef>
          </c:val>
          <c:extLst>
            <c:ext xmlns:c14="http://schemas.microsoft.com/office/drawing/2007/8/2/chart" uri="{6F2FDCE9-48DA-4B69-8628-5D25D57E5C99}">
              <c14:invertSolidFillFmt>
                <c14:spPr xmlns:c14="http://schemas.microsoft.com/office/drawing/2007/8/2/chart">
                  <a:solidFill>
                    <a:srgbClr val="FFFFFF"/>
                  </a:solidFill>
                  <a:ln>
                    <a:solidFill>
                      <a:sysClr val="windowText" lastClr="000000"/>
                    </a:solidFill>
                  </a:ln>
                </c14:spPr>
              </c14:invertSolidFillFmt>
            </c:ext>
            <c:ext xmlns:c16="http://schemas.microsoft.com/office/drawing/2014/chart" uri="{C3380CC4-5D6E-409C-BE32-E72D297353CC}">
              <c16:uniqueId val="{0000000A-80EA-4B92-8B55-F8B3741EE430}"/>
            </c:ext>
          </c:extLst>
        </c:ser>
        <c:dLbls>
          <c:showLegendKey val="0"/>
          <c:showVal val="0"/>
          <c:showCatName val="0"/>
          <c:showSerName val="0"/>
          <c:showPercent val="0"/>
          <c:showBubbleSize val="0"/>
        </c:dLbls>
        <c:gapWidth val="74"/>
        <c:gapDepth val="171"/>
        <c:shape val="box"/>
        <c:axId val="111439872"/>
        <c:axId val="111441408"/>
        <c:axId val="0"/>
        <c:extLst>
          <c:ext xmlns:c15="http://schemas.microsoft.com/office/drawing/2012/chart" uri="{02D57815-91ED-43cb-92C2-25804820EDAC}">
            <c15:filteredBarSeries>
              <c15:ser>
                <c:idx val="1"/>
                <c:order val="1"/>
                <c:tx>
                  <c:strRef>
                    <c:extLst>
                      <c:ext uri="{02D57815-91ED-43cb-92C2-25804820EDAC}">
                        <c15:formulaRef>
                          <c15:sqref>'tab horizontalne'!#REF!</c15:sqref>
                        </c15:formulaRef>
                      </c:ext>
                    </c:extLst>
                    <c:strCache>
                      <c:ptCount val="1"/>
                      <c:pt idx="0">
                        <c:v>#REF!</c:v>
                      </c:pt>
                    </c:strCache>
                  </c:strRef>
                </c:tx>
                <c:spPr>
                  <a:pattFill prst="wdDnDiag"/>
                  <a:ln>
                    <a:solidFill>
                      <a:sysClr val="windowText" lastClr="000000"/>
                    </a:solidFill>
                  </a:ln>
                </c:spPr>
                <c:invertIfNegative val="0"/>
                <c:val>
                  <c:numRef>
                    <c:extLst>
                      <c:ext uri="{02D57815-91ED-43cb-92C2-25804820EDAC}">
                        <c15:formulaRef>
                          <c15:sqref>'tab horizontalne'!#REF!</c15:sqref>
                        </c15:formulaRef>
                      </c:ext>
                    </c:extLst>
                    <c:numCache>
                      <c:formatCode>General</c:formatCode>
                      <c:ptCount val="1"/>
                      <c:pt idx="0">
                        <c:v>1</c:v>
                      </c:pt>
                    </c:numCache>
                  </c:numRef>
                </c:val>
                <c:extLst>
                  <c:ext xmlns:c16="http://schemas.microsoft.com/office/drawing/2014/chart" uri="{C3380CC4-5D6E-409C-BE32-E72D297353CC}">
                    <c16:uniqueId val="{0000000B-80EA-4B92-8B55-F8B3741EE430}"/>
                  </c:ext>
                </c:extLst>
              </c15:ser>
            </c15:filteredBarSeries>
          </c:ext>
        </c:extLst>
      </c:bar3DChart>
      <c:catAx>
        <c:axId val="111439872"/>
        <c:scaling>
          <c:orientation val="minMax"/>
        </c:scaling>
        <c:delete val="0"/>
        <c:axPos val="b"/>
        <c:numFmt formatCode="General" sourceLinked="1"/>
        <c:majorTickMark val="out"/>
        <c:minorTickMark val="none"/>
        <c:tickLblPos val="nextTo"/>
        <c:txPr>
          <a:bodyPr rot="0" vert="horz"/>
          <a:lstStyle/>
          <a:p>
            <a:pPr>
              <a:defRPr sz="900"/>
            </a:pPr>
            <a:endParaRPr lang="sr-Latn-RS"/>
          </a:p>
        </c:txPr>
        <c:crossAx val="111441408"/>
        <c:crosses val="autoZero"/>
        <c:auto val="1"/>
        <c:lblAlgn val="ctr"/>
        <c:lblOffset val="100"/>
        <c:noMultiLvlLbl val="0"/>
      </c:catAx>
      <c:valAx>
        <c:axId val="111441408"/>
        <c:scaling>
          <c:orientation val="minMax"/>
        </c:scaling>
        <c:delete val="0"/>
        <c:axPos val="l"/>
        <c:majorGridlines/>
        <c:numFmt formatCode="0.0%" sourceLinked="1"/>
        <c:majorTickMark val="out"/>
        <c:minorTickMark val="none"/>
        <c:tickLblPos val="nextTo"/>
        <c:txPr>
          <a:bodyPr rot="0" vert="horz"/>
          <a:lstStyle/>
          <a:p>
            <a:pPr>
              <a:defRPr sz="900"/>
            </a:pPr>
            <a:endParaRPr lang="sr-Latn-RS"/>
          </a:p>
        </c:txPr>
        <c:crossAx val="111439872"/>
        <c:crosses val="autoZero"/>
        <c:crossBetween val="between"/>
      </c:valAx>
      <c:spPr>
        <a:noFill/>
        <a:ln w="25400">
          <a:noFill/>
        </a:ln>
      </c:spPr>
    </c:plotArea>
    <c:legend>
      <c:legendPos val="r"/>
      <c:layout>
        <c:manualLayout>
          <c:xMode val="edge"/>
          <c:yMode val="edge"/>
          <c:x val="0.76606634723329514"/>
          <c:y val="1.8196568404156094E-2"/>
          <c:w val="0.21966728627182347"/>
          <c:h val="0.91286643539362122"/>
        </c:manualLayout>
      </c:layout>
      <c:overlay val="0"/>
      <c:txPr>
        <a:bodyPr/>
        <a:lstStyle/>
        <a:p>
          <a:pPr>
            <a:defRPr sz="1000" i="1"/>
          </a:pPr>
          <a:endParaRPr lang="sr-Latn-RS"/>
        </a:p>
      </c:txPr>
    </c:legend>
    <c:plotVisOnly val="1"/>
    <c:dispBlanksAs val="gap"/>
    <c:showDLblsOverMax val="0"/>
  </c:chart>
  <c:txPr>
    <a:bodyPr/>
    <a:lstStyle/>
    <a:p>
      <a:pPr>
        <a:defRPr sz="8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sr-Latn-R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171155451844226E-2"/>
          <c:y val="0.12648772677000278"/>
          <c:w val="0.85533529411245313"/>
          <c:h val="0.69336513753390894"/>
        </c:manualLayout>
      </c:layout>
      <c:barChart>
        <c:barDir val="col"/>
        <c:grouping val="clustered"/>
        <c:varyColors val="0"/>
        <c:ser>
          <c:idx val="0"/>
          <c:order val="0"/>
          <c:tx>
            <c:strRef>
              <c:f>'tab horizontalne'!$A$68</c:f>
              <c:strCache>
                <c:ptCount val="1"/>
                <c:pt idx="0">
                  <c:v>2021.</c:v>
                </c:pt>
              </c:strCache>
            </c:strRef>
          </c:tx>
          <c:spPr>
            <a:solidFill>
              <a:srgbClr val="9999FF"/>
            </a:solidFill>
            <a:ln w="12700">
              <a:solidFill>
                <a:srgbClr val="000000"/>
              </a:solidFill>
              <a:prstDash val="solid"/>
            </a:ln>
          </c:spPr>
          <c:invertIfNegative val="0"/>
          <c:dLbls>
            <c:spPr>
              <a:noFill/>
              <a:ln w="3175">
                <a:solidFill>
                  <a:schemeClr val="tx2"/>
                </a:solidFill>
              </a:ln>
            </c:spPr>
            <c:txPr>
              <a:bodyPr rot="0" vert="horz"/>
              <a:lstStyle/>
              <a:p>
                <a:pPr algn="ctr">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horizontalne'!$B$67:$F$67</c:f>
              <c:strCache>
                <c:ptCount val="4"/>
                <c:pt idx="0">
                  <c:v>A1</c:v>
                </c:pt>
                <c:pt idx="1">
                  <c:v>A2</c:v>
                </c:pt>
                <c:pt idx="2">
                  <c:v>C1</c:v>
                </c:pt>
                <c:pt idx="3">
                  <c:v>D</c:v>
                </c:pt>
              </c:strCache>
            </c:strRef>
          </c:cat>
          <c:val>
            <c:numRef>
              <c:f>'tab horizontalne'!$B$68:$F$68</c:f>
              <c:numCache>
                <c:formatCode>0.0</c:formatCode>
                <c:ptCount val="4"/>
                <c:pt idx="0">
                  <c:v>97.775793720322795</c:v>
                </c:pt>
                <c:pt idx="1">
                  <c:v>0.73343281313797104</c:v>
                </c:pt>
                <c:pt idx="2" formatCode="0.00">
                  <c:v>1.9865912572134582E-3</c:v>
                </c:pt>
                <c:pt idx="3">
                  <c:v>1.488786875282027</c:v>
                </c:pt>
              </c:numCache>
            </c:numRef>
          </c:val>
          <c:extLst>
            <c:ext xmlns:c16="http://schemas.microsoft.com/office/drawing/2014/chart" uri="{C3380CC4-5D6E-409C-BE32-E72D297353CC}">
              <c16:uniqueId val="{00000000-C449-4137-8F28-F29D5FAAE93B}"/>
            </c:ext>
          </c:extLst>
        </c:ser>
        <c:ser>
          <c:idx val="1"/>
          <c:order val="1"/>
          <c:tx>
            <c:strRef>
              <c:f>'tab horizontalne'!$A$69</c:f>
              <c:strCache>
                <c:ptCount val="1"/>
                <c:pt idx="0">
                  <c:v>2022.</c:v>
                </c:pt>
              </c:strCache>
            </c:strRef>
          </c:tx>
          <c:spPr>
            <a:solidFill>
              <a:srgbClr val="FFFFCC"/>
            </a:solidFill>
            <a:ln w="12700">
              <a:solidFill>
                <a:srgbClr val="000000"/>
              </a:solidFill>
              <a:prstDash val="solid"/>
            </a:ln>
          </c:spPr>
          <c:invertIfNegative val="0"/>
          <c:dLbls>
            <c:spPr>
              <a:noFill/>
              <a:ln w="3175">
                <a:solidFill>
                  <a:schemeClr val="tx2"/>
                </a:solidFill>
              </a:ln>
            </c:spPr>
            <c:txPr>
              <a:bodyPr rot="0" vert="horz"/>
              <a:lstStyle/>
              <a:p>
                <a:pPr algn="ctr">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horizontalne'!$B$67:$F$67</c:f>
              <c:strCache>
                <c:ptCount val="4"/>
                <c:pt idx="0">
                  <c:v>A1</c:v>
                </c:pt>
                <c:pt idx="1">
                  <c:v>A2</c:v>
                </c:pt>
                <c:pt idx="2">
                  <c:v>C1</c:v>
                </c:pt>
                <c:pt idx="3">
                  <c:v>D</c:v>
                </c:pt>
              </c:strCache>
            </c:strRef>
          </c:cat>
          <c:val>
            <c:numRef>
              <c:f>'tab horizontalne'!$B$69:$F$69</c:f>
              <c:numCache>
                <c:formatCode>0.0</c:formatCode>
                <c:ptCount val="4"/>
                <c:pt idx="0">
                  <c:v>96.343025949269872</c:v>
                </c:pt>
                <c:pt idx="1">
                  <c:v>2.0934954552445193</c:v>
                </c:pt>
                <c:pt idx="2">
                  <c:v>2.4303951374598811E-2</c:v>
                </c:pt>
                <c:pt idx="3">
                  <c:v>1.5391746441110294</c:v>
                </c:pt>
              </c:numCache>
            </c:numRef>
          </c:val>
          <c:extLst>
            <c:ext xmlns:c16="http://schemas.microsoft.com/office/drawing/2014/chart" uri="{C3380CC4-5D6E-409C-BE32-E72D297353CC}">
              <c16:uniqueId val="{00000001-C449-4137-8F28-F29D5FAAE93B}"/>
            </c:ext>
          </c:extLst>
        </c:ser>
        <c:ser>
          <c:idx val="3"/>
          <c:order val="2"/>
          <c:tx>
            <c:strRef>
              <c:f>'tab horizontalne'!$A$70</c:f>
              <c:strCache>
                <c:ptCount val="1"/>
                <c:pt idx="0">
                  <c:v>2023.</c:v>
                </c:pt>
              </c:strCache>
            </c:strRef>
          </c:tx>
          <c:spPr>
            <a:ln>
              <a:solidFill>
                <a:srgbClr val="000000"/>
              </a:solidFill>
            </a:ln>
          </c:spPr>
          <c:invertIfNegative val="0"/>
          <c:dLbls>
            <c:spPr>
              <a:noFill/>
              <a:ln>
                <a:solidFill>
                  <a:schemeClr val="tx2"/>
                </a:solidFill>
              </a:ln>
              <a:effectLst/>
            </c:spPr>
            <c:txPr>
              <a:bodyPr rot="0" vert="horz"/>
              <a:lstStyle/>
              <a:p>
                <a:pPr algn="ctr">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horizontalne'!$B$67:$F$67</c:f>
              <c:strCache>
                <c:ptCount val="4"/>
                <c:pt idx="0">
                  <c:v>A1</c:v>
                </c:pt>
                <c:pt idx="1">
                  <c:v>A2</c:v>
                </c:pt>
                <c:pt idx="2">
                  <c:v>C1</c:v>
                </c:pt>
                <c:pt idx="3">
                  <c:v>D</c:v>
                </c:pt>
              </c:strCache>
            </c:strRef>
          </c:cat>
          <c:val>
            <c:numRef>
              <c:f>'tab horizontalne'!$B$70:$F$70</c:f>
              <c:numCache>
                <c:formatCode>0.0</c:formatCode>
                <c:ptCount val="4"/>
                <c:pt idx="0">
                  <c:v>98.830952062819861</c:v>
                </c:pt>
                <c:pt idx="1">
                  <c:v>0</c:v>
                </c:pt>
                <c:pt idx="2">
                  <c:v>0.41060656034982423</c:v>
                </c:pt>
                <c:pt idx="3">
                  <c:v>0.75844137683030766</c:v>
                </c:pt>
              </c:numCache>
            </c:numRef>
          </c:val>
          <c:extLst>
            <c:ext xmlns:c16="http://schemas.microsoft.com/office/drawing/2014/chart" uri="{C3380CC4-5D6E-409C-BE32-E72D297353CC}">
              <c16:uniqueId val="{00000002-C449-4137-8F28-F29D5FAAE93B}"/>
            </c:ext>
          </c:extLst>
        </c:ser>
        <c:dLbls>
          <c:showLegendKey val="0"/>
          <c:showVal val="0"/>
          <c:showCatName val="0"/>
          <c:showSerName val="0"/>
          <c:showPercent val="0"/>
          <c:showBubbleSize val="0"/>
        </c:dLbls>
        <c:gapWidth val="150"/>
        <c:axId val="110660992"/>
        <c:axId val="110670976"/>
      </c:barChart>
      <c:catAx>
        <c:axId val="1106609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10670976"/>
        <c:crossesAt val="0"/>
        <c:auto val="0"/>
        <c:lblAlgn val="ctr"/>
        <c:lblOffset val="100"/>
        <c:noMultiLvlLbl val="0"/>
      </c:catAx>
      <c:valAx>
        <c:axId val="110670976"/>
        <c:scaling>
          <c:orientation val="minMax"/>
          <c:max val="100"/>
          <c:min val="0"/>
        </c:scaling>
        <c:delete val="0"/>
        <c:axPos val="l"/>
        <c:majorGridlines>
          <c:spPr>
            <a:ln w="3175">
              <a:solidFill>
                <a:srgbClr val="969696"/>
              </a:solidFill>
              <a:prstDash val="sysDash"/>
            </a:ln>
          </c:spPr>
        </c:majorGridlines>
        <c:minorGridlines>
          <c:spPr>
            <a:ln w="3175">
              <a:solidFill>
                <a:srgbClr val="000000"/>
              </a:solidFill>
              <a:prstDash val="solid"/>
            </a:ln>
          </c:spPr>
        </c:minorGridlines>
        <c:numFmt formatCode="0.0" sourceLinked="0"/>
        <c:majorTickMark val="out"/>
        <c:minorTickMark val="none"/>
        <c:tickLblPos val="nextTo"/>
        <c:spPr>
          <a:ln w="3175">
            <a:solidFill>
              <a:srgbClr val="969696"/>
            </a:solidFill>
            <a:prstDash val="sysDash"/>
          </a:ln>
        </c:spPr>
        <c:txPr>
          <a:bodyPr rot="0" vert="horz"/>
          <a:lstStyle/>
          <a:p>
            <a:pPr>
              <a:defRPr/>
            </a:pPr>
            <a:endParaRPr lang="sr-Latn-RS"/>
          </a:p>
        </c:txPr>
        <c:crossAx val="110660992"/>
        <c:crosses val="autoZero"/>
        <c:crossBetween val="between"/>
        <c:minorUnit val="20"/>
      </c:valAx>
      <c:spPr>
        <a:gradFill rotWithShape="0">
          <a:gsLst>
            <a:gs pos="0">
              <a:srgbClr val="C0C0C0">
                <a:gamma/>
                <a:tint val="0"/>
                <a:invGamma/>
              </a:srgbClr>
            </a:gs>
            <a:gs pos="100000">
              <a:srgbClr val="C0C0C0"/>
            </a:gs>
          </a:gsLst>
          <a:lin ang="5400000" scaled="1"/>
        </a:gradFill>
        <a:ln w="25400">
          <a:noFill/>
        </a:ln>
      </c:spPr>
    </c:plotArea>
    <c:legend>
      <c:legendPos val="r"/>
      <c:layout>
        <c:manualLayout>
          <c:xMode val="edge"/>
          <c:yMode val="edge"/>
          <c:x val="0.52704147097379095"/>
          <c:y val="0.13197225415738884"/>
          <c:w val="0.45410915972879345"/>
          <c:h val="0.25419667611971036"/>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1000" i="1"/>
          </a:pPr>
          <a:endParaRPr lang="sr-Latn-R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4"/>
      <c:hPercent val="55"/>
      <c:rotY val="23"/>
      <c:depthPercent val="100"/>
      <c:rAngAx val="1"/>
    </c:view3D>
    <c:floor>
      <c:thickness val="0"/>
      <c:spPr>
        <a:solidFill>
          <a:schemeClr val="bg1"/>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7.2220636557267681E-2"/>
          <c:y val="2.3216562874290161E-2"/>
          <c:w val="0.86366107838695083"/>
          <c:h val="0.91588585731884242"/>
        </c:manualLayout>
      </c:layout>
      <c:bar3DChart>
        <c:barDir val="col"/>
        <c:grouping val="clustered"/>
        <c:varyColors val="0"/>
        <c:ser>
          <c:idx val="0"/>
          <c:order val="0"/>
          <c:tx>
            <c:strRef>
              <c:f>'tab regionalne'!$A$17</c:f>
              <c:strCache>
                <c:ptCount val="1"/>
                <c:pt idx="0">
                  <c:v>A1 subvencije</c:v>
                </c:pt>
              </c:strCache>
            </c:strRef>
          </c:tx>
          <c:invertIfNegative val="0"/>
          <c:dLbls>
            <c:dLbl>
              <c:idx val="0"/>
              <c:layout>
                <c:manualLayout>
                  <c:x val="-1.650479191291188E-3"/>
                  <c:y val="-6.6145144321413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93-4719-A92C-926B2203090D}"/>
                </c:ext>
              </c:extLst>
            </c:dLbl>
            <c:dLbl>
              <c:idx val="1"/>
              <c:layout>
                <c:manualLayout>
                  <c:x val="-8.2523959564559397E-3"/>
                  <c:y val="-6.9452401537483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93-4719-A92C-926B2203090D}"/>
                </c:ext>
              </c:extLst>
            </c:dLbl>
            <c:dLbl>
              <c:idx val="2"/>
              <c:layout>
                <c:manualLayout>
                  <c:x val="-4.9514375738735645E-3"/>
                  <c:y val="-4.6301601024989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93-4719-A92C-926B220309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regionalne'!$B$16:$D$16</c:f>
              <c:strCache>
                <c:ptCount val="3"/>
                <c:pt idx="0">
                  <c:v>2021.</c:v>
                </c:pt>
                <c:pt idx="1">
                  <c:v>2022.</c:v>
                </c:pt>
                <c:pt idx="2">
                  <c:v>2023.</c:v>
                </c:pt>
              </c:strCache>
            </c:strRef>
          </c:cat>
          <c:val>
            <c:numRef>
              <c:f>'tab regionalne'!$B$17:$D$17</c:f>
              <c:numCache>
                <c:formatCode>#,##0.0</c:formatCode>
                <c:ptCount val="3"/>
                <c:pt idx="0">
                  <c:v>14.635347481584709</c:v>
                </c:pt>
                <c:pt idx="1">
                  <c:v>2.6333503072533015</c:v>
                </c:pt>
                <c:pt idx="2">
                  <c:v>9.8439162299999996</c:v>
                </c:pt>
              </c:numCache>
            </c:numRef>
          </c:val>
          <c:extLst>
            <c:ext xmlns:c16="http://schemas.microsoft.com/office/drawing/2014/chart" uri="{C3380CC4-5D6E-409C-BE32-E72D297353CC}">
              <c16:uniqueId val="{00000003-DD93-4719-A92C-926B2203090D}"/>
            </c:ext>
          </c:extLst>
        </c:ser>
        <c:ser>
          <c:idx val="1"/>
          <c:order val="1"/>
          <c:tx>
            <c:strRef>
              <c:f>'tab regionalne'!$A$18</c:f>
              <c:strCache>
                <c:ptCount val="1"/>
                <c:pt idx="0">
                  <c:v>A2 porezne olakšice</c:v>
                </c:pt>
              </c:strCache>
            </c:strRef>
          </c:tx>
          <c:invertIfNegative val="0"/>
          <c:dLbls>
            <c:dLbl>
              <c:idx val="0"/>
              <c:layout>
                <c:manualLayout>
                  <c:x val="2.1456321146825486E-2"/>
                  <c:y val="-9.7605430233382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93-4719-A92C-926B2203090D}"/>
                </c:ext>
              </c:extLst>
            </c:dLbl>
            <c:dLbl>
              <c:idx val="1"/>
              <c:layout>
                <c:manualLayout>
                  <c:x val="1.1553354339038256E-2"/>
                  <c:y val="-4.2994343808918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93-4719-A92C-926B2203090D}"/>
                </c:ext>
              </c:extLst>
            </c:dLbl>
            <c:dLbl>
              <c:idx val="2"/>
              <c:layout>
                <c:manualLayout>
                  <c:x val="6.3719115492999551E-2"/>
                  <c:y val="2.3934613747605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93-4719-A92C-926B220309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regionalne'!$B$16:$D$16</c:f>
              <c:strCache>
                <c:ptCount val="3"/>
                <c:pt idx="0">
                  <c:v>2021.</c:v>
                </c:pt>
                <c:pt idx="1">
                  <c:v>2022.</c:v>
                </c:pt>
                <c:pt idx="2">
                  <c:v>2023.</c:v>
                </c:pt>
              </c:strCache>
            </c:strRef>
          </c:cat>
          <c:val>
            <c:numRef>
              <c:f>'tab regionalne'!$B$18:$D$18</c:f>
              <c:numCache>
                <c:formatCode>#,##0.0</c:formatCode>
                <c:ptCount val="3"/>
                <c:pt idx="0">
                  <c:v>70.823542209834756</c:v>
                </c:pt>
                <c:pt idx="1">
                  <c:v>101.45676095958591</c:v>
                </c:pt>
                <c:pt idx="2">
                  <c:v>117.44423526</c:v>
                </c:pt>
              </c:numCache>
            </c:numRef>
          </c:val>
          <c:extLst>
            <c:ext xmlns:c16="http://schemas.microsoft.com/office/drawing/2014/chart" uri="{C3380CC4-5D6E-409C-BE32-E72D297353CC}">
              <c16:uniqueId val="{00000007-DD93-4719-A92C-926B2203090D}"/>
            </c:ext>
          </c:extLst>
        </c:ser>
        <c:ser>
          <c:idx val="3"/>
          <c:order val="3"/>
          <c:tx>
            <c:strRef>
              <c:f>'tab regionalne'!$A$20</c:f>
              <c:strCache>
                <c:ptCount val="1"/>
                <c:pt idx="0">
                  <c:v>C1 povoljni zajmovi</c:v>
                </c:pt>
              </c:strCache>
            </c:strRef>
          </c:tx>
          <c:invertIfNegative val="0"/>
          <c:dLbls>
            <c:dLbl>
              <c:idx val="0"/>
              <c:layout>
                <c:manualLayout>
                  <c:x val="2.4757187869367821E-2"/>
                  <c:y val="-4.9608858241060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93-4719-A92C-926B2203090D}"/>
                </c:ext>
              </c:extLst>
            </c:dLbl>
            <c:dLbl>
              <c:idx val="1"/>
              <c:layout>
                <c:manualLayout>
                  <c:x val="1.9805750295494258E-2"/>
                  <c:y val="-4.960885824105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93-4719-A92C-926B2203090D}"/>
                </c:ext>
              </c:extLst>
            </c:dLbl>
            <c:dLbl>
              <c:idx val="2"/>
              <c:layout>
                <c:manualLayout>
                  <c:x val="2.3106708678076512E-2"/>
                  <c:y val="-5.6223372673201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93-4719-A92C-926B220309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regionalne'!$B$16:$D$16</c:f>
              <c:strCache>
                <c:ptCount val="3"/>
                <c:pt idx="0">
                  <c:v>2021.</c:v>
                </c:pt>
                <c:pt idx="1">
                  <c:v>2022.</c:v>
                </c:pt>
                <c:pt idx="2">
                  <c:v>2023.</c:v>
                </c:pt>
              </c:strCache>
            </c:strRef>
          </c:cat>
          <c:val>
            <c:numRef>
              <c:f>'tab regionalne'!$B$20:$D$20</c:f>
              <c:numCache>
                <c:formatCode>#,##0.0</c:formatCode>
                <c:ptCount val="3"/>
                <c:pt idx="0">
                  <c:v>0.15560446744973125</c:v>
                </c:pt>
                <c:pt idx="1">
                  <c:v>2.8842599084212623</c:v>
                </c:pt>
                <c:pt idx="2">
                  <c:v>20.756343690000001</c:v>
                </c:pt>
              </c:numCache>
            </c:numRef>
          </c:val>
          <c:extLst>
            <c:ext xmlns:c16="http://schemas.microsoft.com/office/drawing/2014/chart" uri="{C3380CC4-5D6E-409C-BE32-E72D297353CC}">
              <c16:uniqueId val="{0000000B-DD93-4719-A92C-926B2203090D}"/>
            </c:ext>
          </c:extLst>
        </c:ser>
        <c:ser>
          <c:idx val="4"/>
          <c:order val="4"/>
          <c:tx>
            <c:strRef>
              <c:f>'tab regionalne'!$A$21</c:f>
              <c:strCache>
                <c:ptCount val="1"/>
                <c:pt idx="0">
                  <c:v>D jamstva</c:v>
                </c:pt>
              </c:strCache>
            </c:strRef>
          </c:tx>
          <c:invertIfNegative val="0"/>
          <c:dLbls>
            <c:dLbl>
              <c:idx val="0"/>
              <c:layout>
                <c:manualLayout>
                  <c:x val="4.1913051589096507E-2"/>
                  <c:y val="-4.3073877524501258E-2"/>
                </c:manualLayout>
              </c:layout>
              <c:showLegendKey val="0"/>
              <c:showVal val="1"/>
              <c:showCatName val="0"/>
              <c:showSerName val="0"/>
              <c:showPercent val="0"/>
              <c:showBubbleSize val="0"/>
              <c:extLst>
                <c:ext xmlns:c15="http://schemas.microsoft.com/office/drawing/2012/chart" uri="{CE6537A1-D6FC-4f65-9D91-7224C49458BB}">
                  <c15:layout>
                    <c:manualLayout>
                      <c:w val="5.0567849360616028E-2"/>
                      <c:h val="4.4612320138949418E-2"/>
                    </c:manualLayout>
                  </c15:layout>
                </c:ext>
                <c:ext xmlns:c16="http://schemas.microsoft.com/office/drawing/2014/chart" uri="{C3380CC4-5D6E-409C-BE32-E72D297353CC}">
                  <c16:uniqueId val="{0000000C-DD93-4719-A92C-926B2203090D}"/>
                </c:ext>
              </c:extLst>
            </c:dLbl>
            <c:dLbl>
              <c:idx val="1"/>
              <c:layout>
                <c:manualLayout>
                  <c:x val="2.4819495172770985E-2"/>
                  <c:y val="-6.461086068110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93-4719-A92C-926B2203090D}"/>
                </c:ext>
              </c:extLst>
            </c:dLbl>
            <c:dLbl>
              <c:idx val="2"/>
              <c:layout>
                <c:manualLayout>
                  <c:x val="3.8603785566060429E-2"/>
                  <c:y val="-4.6150428050429897E-2"/>
                </c:manualLayout>
              </c:layout>
              <c:spPr>
                <a:noFill/>
                <a:ln>
                  <a:noFill/>
                </a:ln>
                <a:effectLst/>
              </c:spPr>
              <c:txPr>
                <a:bodyPr/>
                <a:lstStyle/>
                <a:p>
                  <a:pPr>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5.0567849360616028E-2"/>
                      <c:h val="5.6919222735534444E-2"/>
                    </c:manualLayout>
                  </c15:layout>
                </c:ext>
                <c:ext xmlns:c16="http://schemas.microsoft.com/office/drawing/2014/chart" uri="{C3380CC4-5D6E-409C-BE32-E72D297353CC}">
                  <c16:uniqueId val="{0000000E-DD93-4719-A92C-926B220309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regionalne'!$B$16:$D$16</c:f>
              <c:strCache>
                <c:ptCount val="3"/>
                <c:pt idx="0">
                  <c:v>2021.</c:v>
                </c:pt>
                <c:pt idx="1">
                  <c:v>2022.</c:v>
                </c:pt>
                <c:pt idx="2">
                  <c:v>2023.</c:v>
                </c:pt>
              </c:strCache>
            </c:strRef>
          </c:cat>
          <c:val>
            <c:numRef>
              <c:f>'tab regionalne'!$B$21:$D$21</c:f>
              <c:numCache>
                <c:formatCode>#,##0.0</c:formatCode>
                <c:ptCount val="3"/>
                <c:pt idx="0">
                  <c:v>0</c:v>
                </c:pt>
                <c:pt idx="1">
                  <c:v>0</c:v>
                </c:pt>
                <c:pt idx="2">
                  <c:v>0.1115684</c:v>
                </c:pt>
              </c:numCache>
            </c:numRef>
          </c:val>
          <c:extLst>
            <c:ext xmlns:c16="http://schemas.microsoft.com/office/drawing/2014/chart" uri="{C3380CC4-5D6E-409C-BE32-E72D297353CC}">
              <c16:uniqueId val="{0000000F-DD93-4719-A92C-926B2203090D}"/>
            </c:ext>
          </c:extLst>
        </c:ser>
        <c:dLbls>
          <c:showLegendKey val="0"/>
          <c:showVal val="0"/>
          <c:showCatName val="0"/>
          <c:showSerName val="0"/>
          <c:showPercent val="0"/>
          <c:showBubbleSize val="0"/>
        </c:dLbls>
        <c:gapWidth val="150"/>
        <c:shape val="box"/>
        <c:axId val="111632768"/>
        <c:axId val="111634304"/>
        <c:axId val="0"/>
        <c:extLst>
          <c:ext xmlns:c15="http://schemas.microsoft.com/office/drawing/2012/chart" uri="{02D57815-91ED-43cb-92C2-25804820EDAC}">
            <c15:filteredBarSeries>
              <c15:ser>
                <c:idx val="2"/>
                <c:order val="2"/>
                <c:tx>
                  <c:strRef>
                    <c:extLst>
                      <c:ext uri="{02D57815-91ED-43cb-92C2-25804820EDAC}">
                        <c15:formulaRef>
                          <c15:sqref>'tab regionalne'!$A$19</c15:sqref>
                        </c15:formulaRef>
                      </c:ext>
                    </c:extLst>
                    <c:strCache>
                      <c:ptCount val="1"/>
                      <c:pt idx="0">
                        <c:v>B1 Kapitalna ulaganja</c:v>
                      </c:pt>
                    </c:strCache>
                  </c:strRef>
                </c:tx>
                <c:invertIfNegative val="0"/>
                <c:dLbls>
                  <c:dLbl>
                    <c:idx val="0"/>
                    <c:layout>
                      <c:manualLayout>
                        <c:x val="1.6504791912911879E-2"/>
                        <c:y val="-6.283788710534264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10-DD93-4719-A92C-926B2203090D}"/>
                      </c:ext>
                    </c:extLst>
                  </c:dLbl>
                  <c:dLbl>
                    <c:idx val="1"/>
                    <c:layout>
                      <c:manualLayout>
                        <c:x val="1.4854312721620692E-2"/>
                        <c:y val="-5.6223372673201322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11-DD93-4719-A92C-926B2203090D}"/>
                      </c:ext>
                    </c:extLst>
                  </c:dLbl>
                  <c:dLbl>
                    <c:idx val="2"/>
                    <c:layout>
                      <c:manualLayout>
                        <c:x val="1.8155271104202949E-2"/>
                        <c:y val="-5.953062988927198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12-DD93-4719-A92C-926B2203090D}"/>
                      </c:ext>
                    </c:extLst>
                  </c:dLbl>
                  <c:spPr>
                    <a:noFill/>
                    <a:ln>
                      <a:noFill/>
                    </a:ln>
                    <a:effectLst/>
                  </c:spPr>
                  <c:showLegendKey val="0"/>
                  <c:showVal val="1"/>
                  <c:showCatName val="0"/>
                  <c:showSerName val="0"/>
                  <c:showPercent val="0"/>
                  <c:showBubbleSize val="0"/>
                  <c:showLeaderLines val="0"/>
                  <c:extLst>
                    <c:ext uri="{CE6537A1-D6FC-4f65-9D91-7224C49458BB}">
                      <c15:showLeaderLines val="0"/>
                    </c:ext>
                  </c:extLst>
                </c:dLbls>
                <c:cat>
                  <c:strRef>
                    <c:extLst>
                      <c:ext uri="{02D57815-91ED-43cb-92C2-25804820EDAC}">
                        <c15:formulaRef>
                          <c15:sqref>'tab regionalne'!$B$16:$D$16</c15:sqref>
                        </c15:formulaRef>
                      </c:ext>
                    </c:extLst>
                    <c:strCache>
                      <c:ptCount val="3"/>
                      <c:pt idx="0">
                        <c:v>2021.</c:v>
                      </c:pt>
                      <c:pt idx="1">
                        <c:v>2022.</c:v>
                      </c:pt>
                      <c:pt idx="2">
                        <c:v>2023.</c:v>
                      </c:pt>
                    </c:strCache>
                  </c:strRef>
                </c:cat>
                <c:val>
                  <c:numRef>
                    <c:extLst>
                      <c:ext uri="{02D57815-91ED-43cb-92C2-25804820EDAC}">
                        <c15:formulaRef>
                          <c15:sqref>'tab regionalne'!$B$19:$D$19</c15:sqref>
                        </c15:formulaRef>
                      </c:ext>
                    </c:extLst>
                    <c:numCache>
                      <c:formatCode>#,##0.0</c:formatCode>
                      <c:ptCount val="3"/>
                      <c:pt idx="0">
                        <c:v>0</c:v>
                      </c:pt>
                      <c:pt idx="1">
                        <c:v>0</c:v>
                      </c:pt>
                      <c:pt idx="2">
                        <c:v>0</c:v>
                      </c:pt>
                    </c:numCache>
                  </c:numRef>
                </c:val>
                <c:extLst>
                  <c:ext xmlns:c16="http://schemas.microsoft.com/office/drawing/2014/chart" uri="{C3380CC4-5D6E-409C-BE32-E72D297353CC}">
                    <c16:uniqueId val="{00000013-DD93-4719-A92C-926B2203090D}"/>
                  </c:ext>
                </c:extLst>
              </c15:ser>
            </c15:filteredBarSeries>
          </c:ext>
        </c:extLst>
      </c:bar3DChart>
      <c:catAx>
        <c:axId val="1116327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a:pPr>
            <a:endParaRPr lang="sr-Latn-RS"/>
          </a:p>
        </c:txPr>
        <c:crossAx val="111634304"/>
        <c:crosses val="autoZero"/>
        <c:auto val="1"/>
        <c:lblAlgn val="ctr"/>
        <c:lblOffset val="100"/>
        <c:tickLblSkip val="1"/>
        <c:tickMarkSkip val="1"/>
        <c:noMultiLvlLbl val="0"/>
      </c:catAx>
      <c:valAx>
        <c:axId val="111634304"/>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a:pPr>
            <a:endParaRPr lang="sr-Latn-RS"/>
          </a:p>
        </c:txPr>
        <c:crossAx val="111632768"/>
        <c:crosses val="autoZero"/>
        <c:crossBetween val="between"/>
      </c:valAx>
      <c:spPr>
        <a:noFill/>
        <a:ln w="25400">
          <a:noFill/>
        </a:ln>
      </c:spPr>
    </c:plotArea>
    <c:legend>
      <c:legendPos val="b"/>
      <c:layout>
        <c:manualLayout>
          <c:xMode val="edge"/>
          <c:yMode val="edge"/>
          <c:x val="0.83066404943008187"/>
          <c:y val="4.1701462709831431E-2"/>
          <c:w val="0.15838352181897944"/>
          <c:h val="0.84336132337701331"/>
        </c:manualLayout>
      </c:layout>
      <c:overlay val="0"/>
      <c:spPr>
        <a:solidFill>
          <a:srgbClr val="FFFFFF"/>
        </a:solidFill>
        <a:ln w="3175">
          <a:solidFill>
            <a:srgbClr val="000000"/>
          </a:solidFill>
          <a:prstDash val="solid"/>
        </a:ln>
      </c:spPr>
      <c:txPr>
        <a:bodyPr/>
        <a:lstStyle/>
        <a:p>
          <a:pPr>
            <a:defRPr sz="900" i="1"/>
          </a:pPr>
          <a:endParaRPr lang="sr-Latn-R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30"/>
      <c:rAngAx val="1"/>
    </c:view3D>
    <c:floor>
      <c:thickness val="0"/>
    </c:floor>
    <c:sideWall>
      <c:thickness val="0"/>
      <c:spPr>
        <a:noFill/>
      </c:spPr>
    </c:sideWall>
    <c:backWall>
      <c:thickness val="0"/>
      <c:spPr>
        <a:noFill/>
      </c:spPr>
    </c:backWall>
    <c:plotArea>
      <c:layout>
        <c:manualLayout>
          <c:layoutTarget val="inner"/>
          <c:xMode val="edge"/>
          <c:yMode val="edge"/>
          <c:x val="8.8032841116467087E-2"/>
          <c:y val="4.2883428679178721E-2"/>
          <c:w val="0.67660211105057078"/>
          <c:h val="0.86035468046216124"/>
        </c:manualLayout>
      </c:layout>
      <c:bar3DChart>
        <c:barDir val="col"/>
        <c:grouping val="percentStacked"/>
        <c:varyColors val="0"/>
        <c:ser>
          <c:idx val="0"/>
          <c:order val="0"/>
          <c:tx>
            <c:strRef>
              <c:f>'tab sektorske'!$A$41</c:f>
              <c:strCache>
                <c:ptCount val="1"/>
                <c:pt idx="0">
                  <c:v>Poštanske usluge</c:v>
                </c:pt>
              </c:strCache>
            </c:strRef>
          </c:tx>
          <c:spPr>
            <a:solidFill>
              <a:schemeClr val="tx1"/>
            </a:solidFill>
          </c:spPr>
          <c:invertIfNegative val="0"/>
          <c:cat>
            <c:strRef>
              <c:f>'tab sektorske'!$B$40:$D$40</c:f>
              <c:strCache>
                <c:ptCount val="3"/>
                <c:pt idx="0">
                  <c:v>udio (%) 2021.</c:v>
                </c:pt>
                <c:pt idx="1">
                  <c:v>udio (%) 2022.</c:v>
                </c:pt>
                <c:pt idx="2">
                  <c:v>udio (%) 2023.</c:v>
                </c:pt>
              </c:strCache>
            </c:strRef>
          </c:cat>
          <c:val>
            <c:numRef>
              <c:f>'tab sektorske'!$B$41:$D$41</c:f>
              <c:numCache>
                <c:formatCode>0.00%</c:formatCode>
                <c:ptCount val="3"/>
                <c:pt idx="0">
                  <c:v>2.1593512388509855E-2</c:v>
                </c:pt>
                <c:pt idx="1">
                  <c:v>2.1897549262117542E-2</c:v>
                </c:pt>
                <c:pt idx="2">
                  <c:v>1.7402882244589954E-2</c:v>
                </c:pt>
              </c:numCache>
            </c:numRef>
          </c:val>
          <c:extLst>
            <c:ext xmlns:c16="http://schemas.microsoft.com/office/drawing/2014/chart" uri="{C3380CC4-5D6E-409C-BE32-E72D297353CC}">
              <c16:uniqueId val="{00000000-1F4B-42AC-9E48-15E32AA2773D}"/>
            </c:ext>
          </c:extLst>
        </c:ser>
        <c:ser>
          <c:idx val="1"/>
          <c:order val="1"/>
          <c:tx>
            <c:strRef>
              <c:f>'tab sektorske'!$A$43</c:f>
              <c:strCache>
                <c:ptCount val="1"/>
                <c:pt idx="0">
                  <c:v>Promet</c:v>
                </c:pt>
              </c:strCache>
            </c:strRef>
          </c:tx>
          <c:spPr>
            <a:solidFill>
              <a:srgbClr val="FFFF99"/>
            </a:solidFill>
            <a:ln>
              <a:solidFill>
                <a:srgbClr val="002060"/>
              </a:solidFill>
            </a:ln>
          </c:spPr>
          <c:invertIfNegative val="0"/>
          <c:cat>
            <c:strRef>
              <c:f>'tab sektorske'!$B$40:$D$40</c:f>
              <c:strCache>
                <c:ptCount val="3"/>
                <c:pt idx="0">
                  <c:v>udio (%) 2021.</c:v>
                </c:pt>
                <c:pt idx="1">
                  <c:v>udio (%) 2022.</c:v>
                </c:pt>
                <c:pt idx="2">
                  <c:v>udio (%) 2023.</c:v>
                </c:pt>
              </c:strCache>
            </c:strRef>
          </c:cat>
          <c:val>
            <c:numRef>
              <c:f>'tab sektorske'!$B$43:$D$43</c:f>
              <c:numCache>
                <c:formatCode>0.00%</c:formatCode>
                <c:ptCount val="3"/>
                <c:pt idx="0">
                  <c:v>0.27477541639998093</c:v>
                </c:pt>
                <c:pt idx="1">
                  <c:v>0.33927058450129782</c:v>
                </c:pt>
                <c:pt idx="2">
                  <c:v>0.37772266415650807</c:v>
                </c:pt>
              </c:numCache>
            </c:numRef>
          </c:val>
          <c:extLst>
            <c:ext xmlns:c16="http://schemas.microsoft.com/office/drawing/2014/chart" uri="{C3380CC4-5D6E-409C-BE32-E72D297353CC}">
              <c16:uniqueId val="{00000001-1F4B-42AC-9E48-15E32AA2773D}"/>
            </c:ext>
          </c:extLst>
        </c:ser>
        <c:ser>
          <c:idx val="2"/>
          <c:order val="2"/>
          <c:tx>
            <c:strRef>
              <c:f>'tab sektorske'!$A$44</c:f>
              <c:strCache>
                <c:ptCount val="1"/>
                <c:pt idx="0">
                  <c:v>Brodogradnja</c:v>
                </c:pt>
              </c:strCache>
            </c:strRef>
          </c:tx>
          <c:spPr>
            <a:solidFill>
              <a:srgbClr val="CCCCFF"/>
            </a:solidFill>
            <a:ln>
              <a:solidFill>
                <a:srgbClr val="002060"/>
              </a:solidFill>
            </a:ln>
          </c:spPr>
          <c:invertIfNegative val="0"/>
          <c:cat>
            <c:strRef>
              <c:f>'tab sektorske'!$B$40:$D$40</c:f>
              <c:strCache>
                <c:ptCount val="3"/>
                <c:pt idx="0">
                  <c:v>udio (%) 2021.</c:v>
                </c:pt>
                <c:pt idx="1">
                  <c:v>udio (%) 2022.</c:v>
                </c:pt>
                <c:pt idx="2">
                  <c:v>udio (%) 2023.</c:v>
                </c:pt>
              </c:strCache>
            </c:strRef>
          </c:cat>
          <c:val>
            <c:numRef>
              <c:f>'tab sektorske'!$B$44:$D$44</c:f>
              <c:numCache>
                <c:formatCode>0.00%</c:formatCode>
                <c:ptCount val="3"/>
                <c:pt idx="0">
                  <c:v>0.15868483986148127</c:v>
                </c:pt>
                <c:pt idx="1">
                  <c:v>0.10129904876936861</c:v>
                </c:pt>
                <c:pt idx="2">
                  <c:v>3.4716558227702775E-2</c:v>
                </c:pt>
              </c:numCache>
            </c:numRef>
          </c:val>
          <c:extLst>
            <c:ext xmlns:c16="http://schemas.microsoft.com/office/drawing/2014/chart" uri="{C3380CC4-5D6E-409C-BE32-E72D297353CC}">
              <c16:uniqueId val="{00000002-1F4B-42AC-9E48-15E32AA2773D}"/>
            </c:ext>
          </c:extLst>
        </c:ser>
        <c:ser>
          <c:idx val="3"/>
          <c:order val="3"/>
          <c:tx>
            <c:strRef>
              <c:f>'tab sektorske'!$A$45</c:f>
              <c:strCache>
                <c:ptCount val="1"/>
                <c:pt idx="0">
                  <c:v>Turizam</c:v>
                </c:pt>
              </c:strCache>
            </c:strRef>
          </c:tx>
          <c:invertIfNegative val="0"/>
          <c:dPt>
            <c:idx val="2"/>
            <c:invertIfNegative val="0"/>
            <c:bubble3D val="0"/>
            <c:spPr>
              <a:ln>
                <a:solidFill>
                  <a:srgbClr val="002060"/>
                </a:solidFill>
              </a:ln>
            </c:spPr>
            <c:extLst>
              <c:ext xmlns:c16="http://schemas.microsoft.com/office/drawing/2014/chart" uri="{C3380CC4-5D6E-409C-BE32-E72D297353CC}">
                <c16:uniqueId val="{00000004-1F4B-42AC-9E48-15E32AA2773D}"/>
              </c:ext>
            </c:extLst>
          </c:dPt>
          <c:cat>
            <c:strRef>
              <c:f>'tab sektorske'!$B$40:$D$40</c:f>
              <c:strCache>
                <c:ptCount val="3"/>
                <c:pt idx="0">
                  <c:v>udio (%) 2021.</c:v>
                </c:pt>
                <c:pt idx="1">
                  <c:v>udio (%) 2022.</c:v>
                </c:pt>
                <c:pt idx="2">
                  <c:v>udio (%) 2023.</c:v>
                </c:pt>
              </c:strCache>
            </c:strRef>
          </c:cat>
          <c:val>
            <c:numRef>
              <c:f>'tab sektorske'!$B$45:$D$45</c:f>
              <c:numCache>
                <c:formatCode>0.00%</c:formatCode>
                <c:ptCount val="3"/>
                <c:pt idx="0">
                  <c:v>1.5344089793162291E-3</c:v>
                </c:pt>
                <c:pt idx="1">
                  <c:v>1.2065916897884884E-3</c:v>
                </c:pt>
                <c:pt idx="2">
                  <c:v>0.15371131076987254</c:v>
                </c:pt>
              </c:numCache>
            </c:numRef>
          </c:val>
          <c:extLst>
            <c:ext xmlns:c16="http://schemas.microsoft.com/office/drawing/2014/chart" uri="{C3380CC4-5D6E-409C-BE32-E72D297353CC}">
              <c16:uniqueId val="{00000005-1F4B-42AC-9E48-15E32AA2773D}"/>
            </c:ext>
          </c:extLst>
        </c:ser>
        <c:ser>
          <c:idx val="4"/>
          <c:order val="4"/>
          <c:tx>
            <c:strRef>
              <c:f>'tab sektorske'!$A$47</c:f>
              <c:strCache>
                <c:ptCount val="1"/>
                <c:pt idx="0">
                  <c:v>Radiotelevizijsko emitiranje i audiovizualna industrija</c:v>
                </c:pt>
              </c:strCache>
            </c:strRef>
          </c:tx>
          <c:spPr>
            <a:solidFill>
              <a:schemeClr val="bg1">
                <a:lumMod val="95000"/>
              </a:schemeClr>
            </a:solidFill>
            <a:ln w="3175">
              <a:solidFill>
                <a:srgbClr val="002060"/>
              </a:solidFill>
            </a:ln>
          </c:spPr>
          <c:invertIfNegative val="0"/>
          <c:cat>
            <c:strRef>
              <c:f>'tab sektorske'!$B$40:$D$40</c:f>
              <c:strCache>
                <c:ptCount val="3"/>
                <c:pt idx="0">
                  <c:v>udio (%) 2021.</c:v>
                </c:pt>
                <c:pt idx="1">
                  <c:v>udio (%) 2022.</c:v>
                </c:pt>
                <c:pt idx="2">
                  <c:v>udio (%) 2023.</c:v>
                </c:pt>
              </c:strCache>
            </c:strRef>
          </c:cat>
          <c:val>
            <c:numRef>
              <c:f>'tab sektorske'!$B$47:$D$47</c:f>
              <c:numCache>
                <c:formatCode>0.00%</c:formatCode>
                <c:ptCount val="3"/>
                <c:pt idx="0">
                  <c:v>0.26339210260935553</c:v>
                </c:pt>
                <c:pt idx="1">
                  <c:v>0.2534909301064322</c:v>
                </c:pt>
                <c:pt idx="2">
                  <c:v>0.18124394794330348</c:v>
                </c:pt>
              </c:numCache>
            </c:numRef>
          </c:val>
          <c:extLst>
            <c:ext xmlns:c16="http://schemas.microsoft.com/office/drawing/2014/chart" uri="{C3380CC4-5D6E-409C-BE32-E72D297353CC}">
              <c16:uniqueId val="{00000006-1F4B-42AC-9E48-15E32AA2773D}"/>
            </c:ext>
          </c:extLst>
        </c:ser>
        <c:ser>
          <c:idx val="6"/>
          <c:order val="5"/>
          <c:tx>
            <c:strRef>
              <c:f>'tab sektorske'!$A$46</c:f>
              <c:strCache>
                <c:ptCount val="1"/>
                <c:pt idx="0">
                  <c:v>Sanacija i restrukturiranje</c:v>
                </c:pt>
              </c:strCache>
            </c:strRef>
          </c:tx>
          <c:spPr>
            <a:solidFill>
              <a:schemeClr val="tx2">
                <a:lumMod val="40000"/>
                <a:lumOff val="60000"/>
              </a:schemeClr>
            </a:solidFill>
            <a:ln w="9525">
              <a:solidFill>
                <a:srgbClr val="002060"/>
              </a:solidFill>
            </a:ln>
          </c:spPr>
          <c:invertIfNegative val="0"/>
          <c:cat>
            <c:strRef>
              <c:f>'tab sektorske'!$B$40:$D$40</c:f>
              <c:strCache>
                <c:ptCount val="3"/>
                <c:pt idx="0">
                  <c:v>udio (%) 2021.</c:v>
                </c:pt>
                <c:pt idx="1">
                  <c:v>udio (%) 2022.</c:v>
                </c:pt>
                <c:pt idx="2">
                  <c:v>udio (%) 2023.</c:v>
                </c:pt>
              </c:strCache>
            </c:strRef>
          </c:cat>
          <c:val>
            <c:numRef>
              <c:f>'tab sektorske'!$B$46:$D$46</c:f>
              <c:numCache>
                <c:formatCode>0.00%</c:formatCode>
                <c:ptCount val="3"/>
                <c:pt idx="0">
                  <c:v>0</c:v>
                </c:pt>
                <c:pt idx="1">
                  <c:v>0</c:v>
                </c:pt>
                <c:pt idx="2">
                  <c:v>1.0602380446269311E-2</c:v>
                </c:pt>
              </c:numCache>
            </c:numRef>
          </c:val>
          <c:extLst>
            <c:ext xmlns:c16="http://schemas.microsoft.com/office/drawing/2014/chart" uri="{C3380CC4-5D6E-409C-BE32-E72D297353CC}">
              <c16:uniqueId val="{00000007-1F4B-42AC-9E48-15E32AA2773D}"/>
            </c:ext>
          </c:extLst>
        </c:ser>
        <c:ser>
          <c:idx val="5"/>
          <c:order val="6"/>
          <c:tx>
            <c:strRef>
              <c:f>'tab sektorske'!$A$42</c:f>
              <c:strCache>
                <c:ptCount val="1"/>
                <c:pt idx="0">
                  <c:v>Zaštita okoliša i očuvanje energije</c:v>
                </c:pt>
              </c:strCache>
            </c:strRef>
          </c:tx>
          <c:spPr>
            <a:solidFill>
              <a:srgbClr val="FF0000"/>
            </a:solidFill>
            <a:ln>
              <a:solidFill>
                <a:srgbClr val="002060"/>
              </a:solidFill>
            </a:ln>
          </c:spPr>
          <c:invertIfNegative val="0"/>
          <c:val>
            <c:numRef>
              <c:f>'tab sektorske'!$B$42:$D$42</c:f>
              <c:numCache>
                <c:formatCode>0.00%</c:formatCode>
                <c:ptCount val="3"/>
                <c:pt idx="0">
                  <c:v>0.2800197197613562</c:v>
                </c:pt>
                <c:pt idx="1">
                  <c:v>0.28283529567099536</c:v>
                </c:pt>
                <c:pt idx="2">
                  <c:v>0.21778933102472989</c:v>
                </c:pt>
              </c:numCache>
            </c:numRef>
          </c:val>
          <c:extLst>
            <c:ext xmlns:c16="http://schemas.microsoft.com/office/drawing/2014/chart" uri="{C3380CC4-5D6E-409C-BE32-E72D297353CC}">
              <c16:uniqueId val="{00000008-1F4B-42AC-9E48-15E32AA2773D}"/>
            </c:ext>
          </c:extLst>
        </c:ser>
        <c:ser>
          <c:idx val="7"/>
          <c:order val="7"/>
          <c:tx>
            <c:strRef>
              <c:f>'tab sektorske'!$A$48</c:f>
              <c:strCache>
                <c:ptCount val="1"/>
                <c:pt idx="0">
                  <c:v>Razvoj širokopojasnih mreža</c:v>
                </c:pt>
              </c:strCache>
            </c:strRef>
          </c:tx>
          <c:spPr>
            <a:ln>
              <a:solidFill>
                <a:srgbClr val="002060"/>
              </a:solidFill>
            </a:ln>
          </c:spPr>
          <c:invertIfNegative val="0"/>
          <c:val>
            <c:numRef>
              <c:f>'tab sektorske'!$B$48:$D$48</c:f>
              <c:numCache>
                <c:formatCode>0.00%</c:formatCode>
                <c:ptCount val="3"/>
                <c:pt idx="0">
                  <c:v>0</c:v>
                </c:pt>
                <c:pt idx="1">
                  <c:v>0</c:v>
                </c:pt>
                <c:pt idx="2">
                  <c:v>6.8109251870241303E-3</c:v>
                </c:pt>
              </c:numCache>
            </c:numRef>
          </c:val>
          <c:extLst>
            <c:ext xmlns:c16="http://schemas.microsoft.com/office/drawing/2014/chart" uri="{C3380CC4-5D6E-409C-BE32-E72D297353CC}">
              <c16:uniqueId val="{00000009-1F4B-42AC-9E48-15E32AA2773D}"/>
            </c:ext>
          </c:extLst>
        </c:ser>
        <c:dLbls>
          <c:showLegendKey val="0"/>
          <c:showVal val="0"/>
          <c:showCatName val="0"/>
          <c:showSerName val="0"/>
          <c:showPercent val="0"/>
          <c:showBubbleSize val="0"/>
        </c:dLbls>
        <c:gapWidth val="79"/>
        <c:gapDepth val="31"/>
        <c:shape val="box"/>
        <c:axId val="111975808"/>
        <c:axId val="111981696"/>
        <c:axId val="0"/>
      </c:bar3DChart>
      <c:catAx>
        <c:axId val="111975808"/>
        <c:scaling>
          <c:orientation val="minMax"/>
        </c:scaling>
        <c:delete val="0"/>
        <c:axPos val="b"/>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sr-Latn-RS"/>
          </a:p>
        </c:txPr>
        <c:crossAx val="111981696"/>
        <c:crosses val="autoZero"/>
        <c:auto val="1"/>
        <c:lblAlgn val="ctr"/>
        <c:lblOffset val="100"/>
        <c:noMultiLvlLbl val="0"/>
      </c:catAx>
      <c:valAx>
        <c:axId val="111981696"/>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sr-Latn-RS"/>
          </a:p>
        </c:txPr>
        <c:crossAx val="111975808"/>
        <c:crosses val="autoZero"/>
        <c:crossBetween val="between"/>
      </c:valAx>
      <c:spPr>
        <a:ln>
          <a:solidFill>
            <a:srgbClr val="002060"/>
          </a:solidFill>
        </a:ln>
      </c:spPr>
    </c:plotArea>
    <c:legend>
      <c:legendPos val="r"/>
      <c:layout>
        <c:manualLayout>
          <c:xMode val="edge"/>
          <c:yMode val="edge"/>
          <c:x val="0.76851606121502547"/>
          <c:y val="3.4680340507842078E-2"/>
          <c:w val="0.23148393878497453"/>
          <c:h val="0.94261913668670905"/>
        </c:manualLayout>
      </c:layout>
      <c:overlay val="0"/>
      <c:txPr>
        <a:bodyPr/>
        <a:lstStyle/>
        <a:p>
          <a:pPr>
            <a:defRPr sz="800" i="1">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spPr>
    <a:ln>
      <a:solidFill>
        <a:srgbClr val="00206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791842674388294E-2"/>
          <c:y val="7.6099427785785323E-2"/>
          <c:w val="0.90108696228449758"/>
          <c:h val="0.81060905913033832"/>
        </c:manualLayout>
      </c:layout>
      <c:lineChart>
        <c:grouping val="standard"/>
        <c:varyColors val="0"/>
        <c:ser>
          <c:idx val="0"/>
          <c:order val="0"/>
          <c:tx>
            <c:strRef>
              <c:f>'dp - bez polj, rib, prometa 2'!$A$69</c:f>
              <c:strCache>
                <c:ptCount val="1"/>
                <c:pt idx="0">
                  <c:v>udio potpora za industriju i usluge u ukupnim potporama</c:v>
                </c:pt>
              </c:strCache>
            </c:strRef>
          </c:tx>
          <c:spPr>
            <a:ln w="25400">
              <a:solidFill>
                <a:srgbClr val="000080"/>
              </a:solidFill>
              <a:prstDash val="solid"/>
            </a:ln>
          </c:spPr>
          <c:marker>
            <c:symbol val="diamond"/>
            <c:size val="5"/>
            <c:spPr>
              <a:solidFill>
                <a:srgbClr val="0000FF"/>
              </a:solidFill>
              <a:ln>
                <a:solidFill>
                  <a:srgbClr val="99CCFF"/>
                </a:solidFill>
                <a:prstDash val="solid"/>
              </a:ln>
            </c:spPr>
          </c:marker>
          <c:cat>
            <c:strRef>
              <c:f>'dp - bez polj, rib, prometa 2'!$M$68:$W$68</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'dp - bez polj, rib, prometa 2'!$M$69:$W$69</c:f>
              <c:numCache>
                <c:formatCode>0.00%</c:formatCode>
                <c:ptCount val="11"/>
                <c:pt idx="0">
                  <c:v>0.65382408394130664</c:v>
                </c:pt>
                <c:pt idx="1">
                  <c:v>0.64539308263954853</c:v>
                </c:pt>
                <c:pt idx="2">
                  <c:v>0.50606484012716935</c:v>
                </c:pt>
                <c:pt idx="3">
                  <c:v>0.56670082056940685</c:v>
                </c:pt>
                <c:pt idx="4">
                  <c:v>0.58067036046773823</c:v>
                </c:pt>
                <c:pt idx="5">
                  <c:v>0.56685228934638321</c:v>
                </c:pt>
                <c:pt idx="6">
                  <c:v>0.55734183676851778</c:v>
                </c:pt>
                <c:pt idx="7">
                  <c:v>0.66938879178971467</c:v>
                </c:pt>
                <c:pt idx="8">
                  <c:v>0.65799567913752732</c:v>
                </c:pt>
                <c:pt idx="9">
                  <c:v>0.67718245825495638</c:v>
                </c:pt>
                <c:pt idx="10">
                  <c:v>0.64816670413143784</c:v>
                </c:pt>
              </c:numCache>
            </c:numRef>
          </c:val>
          <c:smooth val="0"/>
          <c:extLst>
            <c:ext xmlns:c16="http://schemas.microsoft.com/office/drawing/2014/chart" uri="{C3380CC4-5D6E-409C-BE32-E72D297353CC}">
              <c16:uniqueId val="{0000000B-3BC2-40CC-B047-17CA434D45DF}"/>
            </c:ext>
          </c:extLst>
        </c:ser>
        <c:ser>
          <c:idx val="1"/>
          <c:order val="1"/>
          <c:tx>
            <c:strRef>
              <c:f>'dp - bez polj, rib, prometa 2'!$A$70</c:f>
              <c:strCache>
                <c:ptCount val="1"/>
                <c:pt idx="0">
                  <c:v>udio poljoprivrede i ribarstva u ukupnim potporama</c:v>
                </c:pt>
              </c:strCache>
            </c:strRef>
          </c:tx>
          <c:spPr>
            <a:ln w="25400">
              <a:solidFill>
                <a:srgbClr val="FF00FF"/>
              </a:solidFill>
              <a:prstDash val="solid"/>
            </a:ln>
          </c:spPr>
          <c:marker>
            <c:symbol val="diamond"/>
            <c:size val="5"/>
            <c:spPr>
              <a:solidFill>
                <a:srgbClr val="FF99CC"/>
              </a:solidFill>
              <a:ln>
                <a:solidFill>
                  <a:srgbClr val="FF9900"/>
                </a:solidFill>
                <a:prstDash val="solid"/>
              </a:ln>
            </c:spPr>
          </c:marker>
          <c:cat>
            <c:strRef>
              <c:f>'dp - bez polj, rib, prometa 2'!$M$68:$W$68</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'dp - bez polj, rib, prometa 2'!$M$70:$W$70</c:f>
              <c:numCache>
                <c:formatCode>0.00%</c:formatCode>
                <c:ptCount val="11"/>
                <c:pt idx="0">
                  <c:v>0.34617591605869336</c:v>
                </c:pt>
                <c:pt idx="1">
                  <c:v>0.35460691736045147</c:v>
                </c:pt>
                <c:pt idx="2">
                  <c:v>0.49393515987283076</c:v>
                </c:pt>
                <c:pt idx="3">
                  <c:v>0.4332991794305931</c:v>
                </c:pt>
                <c:pt idx="4">
                  <c:v>0.41932963953226166</c:v>
                </c:pt>
                <c:pt idx="5">
                  <c:v>0.43314771065361679</c:v>
                </c:pt>
                <c:pt idx="6">
                  <c:v>0.44265816323148216</c:v>
                </c:pt>
                <c:pt idx="7">
                  <c:v>0.33061120821028522</c:v>
                </c:pt>
                <c:pt idx="8">
                  <c:v>0.34200943793872202</c:v>
                </c:pt>
                <c:pt idx="9">
                  <c:v>0.32282004536393644</c:v>
                </c:pt>
                <c:pt idx="10">
                  <c:v>0.35182051230553751</c:v>
                </c:pt>
              </c:numCache>
            </c:numRef>
          </c:val>
          <c:smooth val="0"/>
          <c:extLst>
            <c:ext xmlns:c16="http://schemas.microsoft.com/office/drawing/2014/chart" uri="{C3380CC4-5D6E-409C-BE32-E72D297353CC}">
              <c16:uniqueId val="{00000016-3BC2-40CC-B047-17CA434D45DF}"/>
            </c:ext>
          </c:extLst>
        </c:ser>
        <c:dLbls>
          <c:showLegendKey val="0"/>
          <c:showVal val="0"/>
          <c:showCatName val="0"/>
          <c:showSerName val="0"/>
          <c:showPercent val="0"/>
          <c:showBubbleSize val="0"/>
        </c:dLbls>
        <c:marker val="1"/>
        <c:smooth val="0"/>
        <c:axId val="108484480"/>
        <c:axId val="108486016"/>
      </c:lineChart>
      <c:catAx>
        <c:axId val="1084844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08486016"/>
        <c:crosses val="autoZero"/>
        <c:auto val="1"/>
        <c:lblAlgn val="ctr"/>
        <c:lblOffset val="100"/>
        <c:tickLblSkip val="1"/>
        <c:tickMarkSkip val="1"/>
        <c:noMultiLvlLbl val="0"/>
      </c:catAx>
      <c:valAx>
        <c:axId val="108486016"/>
        <c:scaling>
          <c:orientation val="minMax"/>
          <c:min val="0"/>
        </c:scaling>
        <c:delete val="0"/>
        <c:axPos val="l"/>
        <c:majorGridlines>
          <c:spPr>
            <a:ln w="3175">
              <a:solidFill>
                <a:srgbClr val="969696"/>
              </a:solidFill>
              <a:prstDash val="sysDash"/>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sr-Latn-RS"/>
          </a:p>
        </c:txPr>
        <c:crossAx val="108484480"/>
        <c:crosses val="autoZero"/>
        <c:crossBetween val="between"/>
      </c:valAx>
      <c:spPr>
        <a:gradFill rotWithShape="0">
          <a:gsLst>
            <a:gs pos="0">
              <a:srgbClr val="C0C0C0">
                <a:gamma/>
                <a:tint val="0"/>
                <a:invGamma/>
              </a:srgbClr>
            </a:gs>
            <a:gs pos="100000">
              <a:srgbClr val="C0C0C0"/>
            </a:gs>
          </a:gsLst>
          <a:lin ang="5400000" scaled="1"/>
        </a:gradFill>
        <a:ln w="25400">
          <a:noFill/>
        </a:ln>
      </c:spPr>
    </c:plotArea>
    <c:legend>
      <c:legendPos val="r"/>
      <c:layout>
        <c:manualLayout>
          <c:xMode val="edge"/>
          <c:yMode val="edge"/>
          <c:x val="0.41304325933899938"/>
          <c:y val="0.68278766478693476"/>
          <c:w val="0.5711352646520067"/>
          <c:h val="0.15108922642947775"/>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i="1"/>
          </a:pPr>
          <a:endParaRPr lang="sr-Latn-RS"/>
        </a:p>
      </c:txPr>
    </c:legend>
    <c:plotVisOnly val="1"/>
    <c:dispBlanksAs val="gap"/>
    <c:showDLblsOverMax val="0"/>
  </c:chart>
  <c:spPr>
    <a:solidFill>
      <a:srgbClr val="FFFFFF"/>
    </a:solidFill>
    <a:ln w="9525">
      <a:noFill/>
    </a:ln>
    <a:effectLst>
      <a:outerShdw dist="35921" dir="2700000" algn="br">
        <a:srgbClr val="000000"/>
      </a:outerShdw>
    </a:effectLst>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572601043917133E-2"/>
          <c:y val="4.7242352999713896E-2"/>
          <c:w val="0.92374473827563996"/>
          <c:h val="0.79084029069230666"/>
        </c:manualLayout>
      </c:layout>
      <c:bar3DChart>
        <c:barDir val="col"/>
        <c:grouping val="percentStacked"/>
        <c:varyColors val="0"/>
        <c:ser>
          <c:idx val="0"/>
          <c:order val="0"/>
          <c:tx>
            <c:strRef>
              <c:f>'sl poljop - indust i usluge'!$C$15</c:f>
              <c:strCache>
                <c:ptCount val="1"/>
                <c:pt idx="0">
                  <c:v>Poljoprivreda i ribarstvo</c:v>
                </c:pt>
              </c:strCache>
            </c:strRef>
          </c:tx>
          <c:spPr>
            <a:solidFill>
              <a:schemeClr val="accent1">
                <a:lumMod val="60000"/>
                <a:lumOff val="40000"/>
              </a:schemeClr>
            </a:solidFill>
            <a:ln>
              <a:solidFill>
                <a:srgbClr val="4F81BD"/>
              </a:solidFill>
            </a:ln>
          </c:spPr>
          <c:invertIfNegative val="0"/>
          <c:dLbls>
            <c:spPr>
              <a:noFill/>
            </c:spPr>
            <c:txPr>
              <a:bodyPr rot="-5400000" vert="horz"/>
              <a:lstStyle/>
              <a:p>
                <a:pPr algn="ctr">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 poljop - indust i usluge'!$N$14:$X$14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'sl poljop - indust i usluge'!$N$15:$X$15</c:f>
              <c:numCache>
                <c:formatCode>#,##0.0</c:formatCode>
                <c:ptCount val="11"/>
                <c:pt idx="0">
                  <c:v>392.34189395447606</c:v>
                </c:pt>
                <c:pt idx="1">
                  <c:v>421.15601566129135</c:v>
                </c:pt>
                <c:pt idx="2">
                  <c:v>647.4749485699117</c:v>
                </c:pt>
                <c:pt idx="3">
                  <c:v>656.68591147388679</c:v>
                </c:pt>
                <c:pt idx="4">
                  <c:v>691.07439113411635</c:v>
                </c:pt>
                <c:pt idx="5">
                  <c:v>817.62558895746224</c:v>
                </c:pt>
                <c:pt idx="6">
                  <c:v>886.20346406529961</c:v>
                </c:pt>
                <c:pt idx="7">
                  <c:v>1019.2978963434865</c:v>
                </c:pt>
                <c:pt idx="8">
                  <c:v>1005.4116060853407</c:v>
                </c:pt>
                <c:pt idx="9">
                  <c:v>973.28794550268753</c:v>
                </c:pt>
                <c:pt idx="10">
                  <c:v>1067.9658189300001</c:v>
                </c:pt>
              </c:numCache>
            </c:numRef>
          </c:val>
          <c:extLst>
            <c:ext xmlns:c16="http://schemas.microsoft.com/office/drawing/2014/chart" uri="{C3380CC4-5D6E-409C-BE32-E72D297353CC}">
              <c16:uniqueId val="{00000000-6228-4CCA-BEA8-6ABCBC0AF3DD}"/>
            </c:ext>
          </c:extLst>
        </c:ser>
        <c:ser>
          <c:idx val="1"/>
          <c:order val="1"/>
          <c:tx>
            <c:strRef>
              <c:f>'sl poljop - indust i usluge'!$C$16</c:f>
              <c:strCache>
                <c:ptCount val="1"/>
                <c:pt idx="0">
                  <c:v>Industrija i usluge</c:v>
                </c:pt>
              </c:strCache>
            </c:strRef>
          </c:tx>
          <c:spPr>
            <a:solidFill>
              <a:srgbClr val="FFFF99"/>
            </a:solidFill>
            <a:ln w="0">
              <a:solidFill>
                <a:srgbClr val="4F81BD"/>
              </a:solidFill>
            </a:ln>
          </c:spPr>
          <c:invertIfNegative val="0"/>
          <c:dLbls>
            <c:spPr>
              <a:noFill/>
            </c:spPr>
            <c:txPr>
              <a:bodyPr rot="-5400000" vert="horz"/>
              <a:lstStyle/>
              <a:p>
                <a:pPr algn="ctr">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 poljop - indust i usluge'!$N$14:$X$14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'sl poljop - indust i usluge'!$N$16:$X$16</c:f>
              <c:numCache>
                <c:formatCode>#,##0.0</c:formatCode>
                <c:ptCount val="11"/>
                <c:pt idx="0">
                  <c:v>741.01798394054015</c:v>
                </c:pt>
                <c:pt idx="1">
                  <c:v>766.51403543698984</c:v>
                </c:pt>
                <c:pt idx="2">
                  <c:v>663.37514101798388</c:v>
                </c:pt>
                <c:pt idx="3">
                  <c:v>858.86256553188662</c:v>
                </c:pt>
                <c:pt idx="4">
                  <c:v>956.97126551197823</c:v>
                </c:pt>
                <c:pt idx="5">
                  <c:v>1070.0112814387153</c:v>
                </c:pt>
                <c:pt idx="6">
                  <c:v>1115.8006503417612</c:v>
                </c:pt>
                <c:pt idx="7">
                  <c:v>2063.7733094432278</c:v>
                </c:pt>
                <c:pt idx="8">
                  <c:v>1934.2733513225828</c:v>
                </c:pt>
                <c:pt idx="9">
                  <c:v>2041.704506105249</c:v>
                </c:pt>
                <c:pt idx="10">
                  <c:v>1967.6729873499999</c:v>
                </c:pt>
              </c:numCache>
            </c:numRef>
          </c:val>
          <c:extLst>
            <c:ext xmlns:c16="http://schemas.microsoft.com/office/drawing/2014/chart" uri="{C3380CC4-5D6E-409C-BE32-E72D297353CC}">
              <c16:uniqueId val="{00000001-6228-4CCA-BEA8-6ABCBC0AF3DD}"/>
            </c:ext>
          </c:extLst>
        </c:ser>
        <c:dLbls>
          <c:showLegendKey val="0"/>
          <c:showVal val="0"/>
          <c:showCatName val="0"/>
          <c:showSerName val="0"/>
          <c:showPercent val="0"/>
          <c:showBubbleSize val="0"/>
        </c:dLbls>
        <c:gapWidth val="126"/>
        <c:gapDepth val="80"/>
        <c:shape val="box"/>
        <c:axId val="109268992"/>
        <c:axId val="109270528"/>
        <c:axId val="0"/>
      </c:bar3DChart>
      <c:catAx>
        <c:axId val="109268992"/>
        <c:scaling>
          <c:orientation val="minMax"/>
        </c:scaling>
        <c:delete val="0"/>
        <c:axPos val="b"/>
        <c:numFmt formatCode="General" sourceLinked="1"/>
        <c:majorTickMark val="out"/>
        <c:minorTickMark val="none"/>
        <c:tickLblPos val="nextTo"/>
        <c:txPr>
          <a:bodyPr rot="0" vert="horz"/>
          <a:lstStyle/>
          <a:p>
            <a:pPr>
              <a:defRPr/>
            </a:pPr>
            <a:endParaRPr lang="sr-Latn-RS"/>
          </a:p>
        </c:txPr>
        <c:crossAx val="109270528"/>
        <c:crosses val="autoZero"/>
        <c:auto val="1"/>
        <c:lblAlgn val="ctr"/>
        <c:lblOffset val="100"/>
        <c:noMultiLvlLbl val="0"/>
      </c:catAx>
      <c:valAx>
        <c:axId val="109270528"/>
        <c:scaling>
          <c:orientation val="minMax"/>
        </c:scaling>
        <c:delete val="0"/>
        <c:axPos val="l"/>
        <c:majorGridlines/>
        <c:numFmt formatCode="0%" sourceLinked="1"/>
        <c:majorTickMark val="out"/>
        <c:minorTickMark val="none"/>
        <c:tickLblPos val="nextTo"/>
        <c:txPr>
          <a:bodyPr rot="0" vert="horz"/>
          <a:lstStyle/>
          <a:p>
            <a:pPr>
              <a:defRPr/>
            </a:pPr>
            <a:endParaRPr lang="sr-Latn-RS"/>
          </a:p>
        </c:txPr>
        <c:crossAx val="109268992"/>
        <c:crosses val="autoZero"/>
        <c:crossBetween val="between"/>
      </c:valAx>
      <c:spPr>
        <a:noFill/>
        <a:ln w="25400">
          <a:noFill/>
        </a:ln>
      </c:spPr>
    </c:plotArea>
    <c:legend>
      <c:legendPos val="r"/>
      <c:layout>
        <c:manualLayout>
          <c:xMode val="edge"/>
          <c:yMode val="edge"/>
          <c:x val="5.8392340455875616E-2"/>
          <c:y val="0.93125250338968291"/>
          <c:w val="0.8409787804737574"/>
          <c:h val="6.6066350710900501E-2"/>
        </c:manualLayout>
      </c:layout>
      <c:overlay val="0"/>
      <c:spPr>
        <a:noFill/>
        <a:ln w="0" cmpd="sng">
          <a:solidFill>
            <a:schemeClr val="tx1"/>
          </a:solidFill>
        </a:ln>
      </c:spPr>
      <c:txPr>
        <a:bodyPr/>
        <a:lstStyle/>
        <a:p>
          <a:pPr>
            <a:defRPr sz="900" i="1"/>
          </a:pPr>
          <a:endParaRPr lang="sr-Latn-RS"/>
        </a:p>
      </c:txPr>
    </c:legend>
    <c:plotVisOnly val="1"/>
    <c:dispBlanksAs val="gap"/>
    <c:showDLblsOverMax val="0"/>
  </c:chart>
  <c:txPr>
    <a:bodyPr/>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5"/>
      <c:rotY val="20"/>
      <c:depthPercent val="14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1534094253081058E-2"/>
          <c:y val="2.4326075630288786E-2"/>
          <c:w val="0.94000000000000017"/>
          <c:h val="0.89123998542529947"/>
        </c:manualLayout>
      </c:layout>
      <c:bar3DChart>
        <c:barDir val="col"/>
        <c:grouping val="clustered"/>
        <c:varyColors val="0"/>
        <c:ser>
          <c:idx val="0"/>
          <c:order val="0"/>
          <c:spPr>
            <a:gradFill rotWithShape="0">
              <a:gsLst>
                <a:gs pos="0">
                  <a:srgbClr val="9999FF">
                    <a:gamma/>
                    <a:shade val="46275"/>
                    <a:invGamma/>
                  </a:srgbClr>
                </a:gs>
                <a:gs pos="50000">
                  <a:srgbClr val="9999FF"/>
                </a:gs>
                <a:gs pos="100000">
                  <a:srgbClr val="9999FF">
                    <a:gamma/>
                    <a:shade val="46275"/>
                    <a:invGamma/>
                  </a:srgbClr>
                </a:gs>
              </a:gsLst>
              <a:lin ang="5400000" scaled="1"/>
            </a:gradFill>
            <a:ln w="12700">
              <a:solidFill>
                <a:srgbClr val="000000"/>
              </a:solidFill>
              <a:prstDash val="solid"/>
            </a:ln>
          </c:spPr>
          <c:invertIfNegative val="0"/>
          <c:dLbls>
            <c:dLbl>
              <c:idx val="0"/>
              <c:layout>
                <c:manualLayout>
                  <c:x val="3.5187886129618415E-2"/>
                  <c:y val="-7.9347590847770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81-43A8-AE1D-B90724F31D08}"/>
                </c:ext>
              </c:extLst>
            </c:dLbl>
            <c:dLbl>
              <c:idx val="1"/>
              <c:layout>
                <c:manualLayout>
                  <c:x val="1.1812987954208268E-2"/>
                  <c:y val="-6.5689261502913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81-43A8-AE1D-B90724F31D08}"/>
                </c:ext>
              </c:extLst>
            </c:dLbl>
            <c:dLbl>
              <c:idx val="2"/>
              <c:layout>
                <c:manualLayout>
                  <c:x val="2.3523286095780419E-2"/>
                  <c:y val="-6.7508769834815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81-43A8-AE1D-B90724F31D08}"/>
                </c:ext>
              </c:extLst>
            </c:dLbl>
            <c:dLbl>
              <c:idx val="3"/>
              <c:layout>
                <c:manualLayout>
                  <c:x val="2.3275577225367862E-2"/>
                  <c:y val="-7.3797380311135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81-43A8-AE1D-B90724F31D08}"/>
                </c:ext>
              </c:extLst>
            </c:dLbl>
            <c:dLbl>
              <c:idx val="4"/>
              <c:layout>
                <c:manualLayout>
                  <c:x val="2.3027711423899012E-2"/>
                  <c:y val="-5.9378418790267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81-43A8-AE1D-B90724F31D08}"/>
                </c:ext>
              </c:extLst>
            </c:dLbl>
            <c:spPr>
              <a:solidFill>
                <a:srgbClr val="FFFFFF"/>
              </a:solidFill>
              <a:ln w="3175">
                <a:solidFill>
                  <a:srgbClr val="000000"/>
                </a:solidFill>
                <a:prstDash val="solid"/>
              </a:ln>
              <a:effectLst>
                <a:outerShdw dist="35921" dir="2700000" algn="br">
                  <a:srgbClr val="000000"/>
                </a:outerShdw>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instrumenti udio'!$B$33:$F$33</c:f>
              <c:strCache>
                <c:ptCount val="5"/>
                <c:pt idx="0">
                  <c:v>A1</c:v>
                </c:pt>
                <c:pt idx="1">
                  <c:v>A2</c:v>
                </c:pt>
                <c:pt idx="2">
                  <c:v>B</c:v>
                </c:pt>
                <c:pt idx="3">
                  <c:v>C1</c:v>
                </c:pt>
                <c:pt idx="4">
                  <c:v>D</c:v>
                </c:pt>
              </c:strCache>
            </c:strRef>
          </c:cat>
          <c:val>
            <c:numRef>
              <c:f>'tab instrumenti udio'!$B$34:$F$34</c:f>
              <c:numCache>
                <c:formatCode>0.0%</c:formatCode>
                <c:ptCount val="5"/>
                <c:pt idx="0">
                  <c:v>0.65247579168261127</c:v>
                </c:pt>
                <c:pt idx="1">
                  <c:v>7.5998986711701785E-2</c:v>
                </c:pt>
                <c:pt idx="2">
                  <c:v>6.6932180294199006E-2</c:v>
                </c:pt>
                <c:pt idx="3">
                  <c:v>6.1925711198284369E-2</c:v>
                </c:pt>
                <c:pt idx="4">
                  <c:v>0.14266733011320357</c:v>
                </c:pt>
              </c:numCache>
            </c:numRef>
          </c:val>
          <c:extLst>
            <c:ext xmlns:c16="http://schemas.microsoft.com/office/drawing/2014/chart" uri="{C3380CC4-5D6E-409C-BE32-E72D297353CC}">
              <c16:uniqueId val="{00000005-1681-43A8-AE1D-B90724F31D08}"/>
            </c:ext>
          </c:extLst>
        </c:ser>
        <c:dLbls>
          <c:showLegendKey val="0"/>
          <c:showVal val="0"/>
          <c:showCatName val="0"/>
          <c:showSerName val="0"/>
          <c:showPercent val="0"/>
          <c:showBubbleSize val="0"/>
        </c:dLbls>
        <c:gapWidth val="200"/>
        <c:gapDepth val="0"/>
        <c:shape val="box"/>
        <c:axId val="108318080"/>
        <c:axId val="108328064"/>
        <c:axId val="0"/>
      </c:bar3DChart>
      <c:catAx>
        <c:axId val="1083180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r-Latn-RS"/>
          </a:p>
        </c:txPr>
        <c:crossAx val="108328064"/>
        <c:crosses val="autoZero"/>
        <c:auto val="1"/>
        <c:lblAlgn val="ctr"/>
        <c:lblOffset val="100"/>
        <c:tickLblSkip val="1"/>
        <c:tickMarkSkip val="1"/>
        <c:noMultiLvlLbl val="0"/>
      </c:catAx>
      <c:valAx>
        <c:axId val="108328064"/>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r-Latn-RS"/>
          </a:p>
        </c:txPr>
        <c:crossAx val="108318080"/>
        <c:crosses val="autoZero"/>
        <c:crossBetween val="between"/>
        <c:majorUnit val="0.1"/>
      </c:valAx>
      <c:spPr>
        <a:noFill/>
        <a:ln w="25400">
          <a:noFill/>
        </a:ln>
      </c:spPr>
    </c:plotArea>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3175">
      <a:solidFill>
        <a:srgbClr val="000000"/>
      </a:solidFill>
      <a:prstDash val="solid"/>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80"/>
      <c:hPercent val="52"/>
      <c:rotY val="100"/>
      <c:depthPercent val="100"/>
      <c:rAngAx val="1"/>
    </c:view3D>
    <c:floor>
      <c:thickness val="0"/>
      <c:spPr>
        <a:ln w="3175">
          <a:solidFill>
            <a:srgbClr val="000000"/>
          </a:solidFill>
          <a:prstDash val="solid"/>
        </a:ln>
      </c:spPr>
    </c:floor>
    <c:sideWall>
      <c:thickness val="0"/>
      <c:spPr>
        <a:ln w="25400">
          <a:noFill/>
        </a:ln>
      </c:spPr>
    </c:sideWall>
    <c:backWall>
      <c:thickness val="0"/>
      <c:spPr>
        <a:ln w="25400">
          <a:noFill/>
        </a:ln>
      </c:spPr>
    </c:backWall>
    <c:plotArea>
      <c:layout>
        <c:manualLayout>
          <c:layoutTarget val="inner"/>
          <c:xMode val="edge"/>
          <c:yMode val="edge"/>
          <c:x val="2.6965681142558793E-2"/>
          <c:y val="4.9639960716677714E-2"/>
          <c:w val="0.90667398937184018"/>
          <c:h val="0.88375259835579167"/>
        </c:manualLayout>
      </c:layout>
      <c:bar3DChart>
        <c:barDir val="col"/>
        <c:grouping val="clustered"/>
        <c:varyColors val="0"/>
        <c:ser>
          <c:idx val="1"/>
          <c:order val="0"/>
          <c:tx>
            <c:strRef>
              <c:f>'tab instrumenti 2'!$A$22</c:f>
              <c:strCache>
                <c:ptCount val="1"/>
                <c:pt idx="0">
                  <c:v>2021. udio (%)</c:v>
                </c:pt>
              </c:strCache>
            </c:strRef>
          </c:tx>
          <c:spPr>
            <a:solidFill>
              <a:schemeClr val="tx2">
                <a:lumMod val="60000"/>
                <a:lumOff val="40000"/>
              </a:schemeClr>
            </a:solidFill>
            <a:ln w="12700">
              <a:solidFill>
                <a:srgbClr val="000000"/>
              </a:solidFill>
              <a:prstDash val="solid"/>
            </a:ln>
          </c:spPr>
          <c:invertIfNegative val="0"/>
          <c:dLbls>
            <c:dLbl>
              <c:idx val="0"/>
              <c:layout>
                <c:manualLayout>
                  <c:x val="3.3593054439710023E-3"/>
                  <c:y val="-7.0195000792686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95-4805-A5BB-273590616499}"/>
                </c:ext>
              </c:extLst>
            </c:dLbl>
            <c:dLbl>
              <c:idx val="1"/>
              <c:layout>
                <c:manualLayout>
                  <c:x val="9.3933481834747989E-3"/>
                  <c:y val="-6.7813507371981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95-4805-A5BB-273590616499}"/>
                </c:ext>
              </c:extLst>
            </c:dLbl>
            <c:dLbl>
              <c:idx val="2"/>
              <c:layout>
                <c:manualLayout>
                  <c:x val="1.6913678813404137E-2"/>
                  <c:y val="-8.374431649367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95-4805-A5BB-273590616499}"/>
                </c:ext>
              </c:extLst>
            </c:dLbl>
            <c:dLbl>
              <c:idx val="3"/>
              <c:layout>
                <c:manualLayout>
                  <c:x val="3.2901085654957272E-2"/>
                  <c:y val="-8.792184114569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95-4805-A5BB-273590616499}"/>
                </c:ext>
              </c:extLst>
            </c:dLbl>
            <c:dLbl>
              <c:idx val="4"/>
              <c:layout>
                <c:manualLayout>
                  <c:x val="1.2657350680115739E-2"/>
                  <c:y val="-6.2815885430428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95-4805-A5BB-273590616499}"/>
                </c:ext>
              </c:extLst>
            </c:dLbl>
            <c:numFmt formatCode="0.0%" sourceLinked="0"/>
            <c:spPr>
              <a:solidFill>
                <a:schemeClr val="bg1"/>
              </a:solidFill>
              <a:ln w="0">
                <a:solidFill>
                  <a:schemeClr val="tx1"/>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instrumenti 2'!$B$21:$F$21</c:f>
              <c:strCache>
                <c:ptCount val="5"/>
                <c:pt idx="0">
                  <c:v>A1</c:v>
                </c:pt>
                <c:pt idx="1">
                  <c:v>A2</c:v>
                </c:pt>
                <c:pt idx="2">
                  <c:v>B</c:v>
                </c:pt>
                <c:pt idx="3">
                  <c:v>C1</c:v>
                </c:pt>
                <c:pt idx="4">
                  <c:v>D</c:v>
                </c:pt>
              </c:strCache>
            </c:strRef>
          </c:cat>
          <c:val>
            <c:numRef>
              <c:f>'tab instrumenti 2'!$B$22:$F$22</c:f>
              <c:numCache>
                <c:formatCode>0.0%</c:formatCode>
                <c:ptCount val="5"/>
                <c:pt idx="0">
                  <c:v>0.68646601624846015</c:v>
                </c:pt>
                <c:pt idx="1">
                  <c:v>5.7950179438947813E-2</c:v>
                </c:pt>
                <c:pt idx="2">
                  <c:v>7.5757747598572289E-2</c:v>
                </c:pt>
                <c:pt idx="3">
                  <c:v>5.8313775133803036E-2</c:v>
                </c:pt>
                <c:pt idx="4">
                  <c:v>0.12151228158021669</c:v>
                </c:pt>
              </c:numCache>
            </c:numRef>
          </c:val>
          <c:extLst>
            <c:ext xmlns:c16="http://schemas.microsoft.com/office/drawing/2014/chart" uri="{C3380CC4-5D6E-409C-BE32-E72D297353CC}">
              <c16:uniqueId val="{00000005-C695-4805-A5BB-273590616499}"/>
            </c:ext>
          </c:extLst>
        </c:ser>
        <c:ser>
          <c:idx val="2"/>
          <c:order val="1"/>
          <c:tx>
            <c:strRef>
              <c:f>'tab instrumenti 2'!$A$23</c:f>
              <c:strCache>
                <c:ptCount val="1"/>
                <c:pt idx="0">
                  <c:v>2022. udio (%)</c:v>
                </c:pt>
              </c:strCache>
            </c:strRef>
          </c:tx>
          <c:spPr>
            <a:solidFill>
              <a:srgbClr val="FFFFCC"/>
            </a:solidFill>
            <a:ln w="12700">
              <a:solidFill>
                <a:srgbClr val="000000"/>
              </a:solidFill>
              <a:prstDash val="solid"/>
            </a:ln>
          </c:spPr>
          <c:invertIfNegative val="0"/>
          <c:dLbls>
            <c:dLbl>
              <c:idx val="0"/>
              <c:layout>
                <c:manualLayout>
                  <c:x val="3.7748947823038781E-2"/>
                  <c:y val="-8.172409237435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95-4805-A5BB-273590616499}"/>
                </c:ext>
              </c:extLst>
            </c:dLbl>
            <c:dLbl>
              <c:idx val="1"/>
              <c:layout>
                <c:manualLayout>
                  <c:x val="2.87576362235436E-2"/>
                  <c:y val="-8.6647834732425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95-4805-A5BB-273590616499}"/>
                </c:ext>
              </c:extLst>
            </c:dLbl>
            <c:dLbl>
              <c:idx val="2"/>
              <c:layout>
                <c:manualLayout>
                  <c:x val="3.6368526456773034E-2"/>
                  <c:y val="-7.8998837393647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95-4805-A5BB-273590616499}"/>
                </c:ext>
              </c:extLst>
            </c:dLbl>
            <c:dLbl>
              <c:idx val="3"/>
              <c:layout>
                <c:manualLayout>
                  <c:x val="3.9615955427849743E-2"/>
                  <c:y val="-6.1242768849574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95-4805-A5BB-273590616499}"/>
                </c:ext>
              </c:extLst>
            </c:dLbl>
            <c:dLbl>
              <c:idx val="4"/>
              <c:layout>
                <c:manualLayout>
                  <c:x val="4.1368556907628397E-2"/>
                  <c:y val="-8.3007187021085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695-4805-A5BB-273590616499}"/>
                </c:ext>
              </c:extLst>
            </c:dLbl>
            <c:spPr>
              <a:solidFill>
                <a:schemeClr val="bg1"/>
              </a:solidFill>
              <a:ln w="0">
                <a:solidFill>
                  <a:sysClr val="windowText" lastClr="000000"/>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 instrumenti 2'!$B$21:$F$21</c:f>
              <c:strCache>
                <c:ptCount val="5"/>
                <c:pt idx="0">
                  <c:v>A1</c:v>
                </c:pt>
                <c:pt idx="1">
                  <c:v>A2</c:v>
                </c:pt>
                <c:pt idx="2">
                  <c:v>B</c:v>
                </c:pt>
                <c:pt idx="3">
                  <c:v>C1</c:v>
                </c:pt>
                <c:pt idx="4">
                  <c:v>D</c:v>
                </c:pt>
              </c:strCache>
            </c:strRef>
          </c:cat>
          <c:val>
            <c:numRef>
              <c:f>'tab instrumenti 2'!$B$23:$F$23</c:f>
              <c:numCache>
                <c:formatCode>0.0%</c:formatCode>
                <c:ptCount val="5"/>
                <c:pt idx="0">
                  <c:v>0.72513327310516174</c:v>
                </c:pt>
                <c:pt idx="1">
                  <c:v>6.4365290941728326E-2</c:v>
                </c:pt>
                <c:pt idx="2">
                  <c:v>8.5321503341371535E-2</c:v>
                </c:pt>
                <c:pt idx="3">
                  <c:v>3.5691930567703256E-2</c:v>
                </c:pt>
                <c:pt idx="4">
                  <c:v>8.9488002044034953E-2</c:v>
                </c:pt>
              </c:numCache>
            </c:numRef>
          </c:val>
          <c:extLst>
            <c:ext xmlns:c16="http://schemas.microsoft.com/office/drawing/2014/chart" uri="{C3380CC4-5D6E-409C-BE32-E72D297353CC}">
              <c16:uniqueId val="{0000000B-C695-4805-A5BB-273590616499}"/>
            </c:ext>
          </c:extLst>
        </c:ser>
        <c:ser>
          <c:idx val="3"/>
          <c:order val="2"/>
          <c:tx>
            <c:strRef>
              <c:f>'tab instrumenti 2'!$A$24</c:f>
              <c:strCache>
                <c:ptCount val="1"/>
                <c:pt idx="0">
                  <c:v>2023. udio (%)</c:v>
                </c:pt>
              </c:strCache>
            </c:strRef>
          </c:tx>
          <c:spPr>
            <a:solidFill>
              <a:schemeClr val="tx2">
                <a:lumMod val="20000"/>
                <a:lumOff val="80000"/>
              </a:schemeClr>
            </a:solidFill>
            <a:ln w="12700">
              <a:solidFill>
                <a:srgbClr val="000000"/>
              </a:solidFill>
              <a:prstDash val="solid"/>
            </a:ln>
          </c:spPr>
          <c:invertIfNegative val="0"/>
          <c:dLbls>
            <c:dLbl>
              <c:idx val="0"/>
              <c:layout>
                <c:manualLayout>
                  <c:x val="9.1415004422157151E-2"/>
                  <c:y val="-5.7762960092929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695-4805-A5BB-273590616499}"/>
                </c:ext>
              </c:extLst>
            </c:dLbl>
            <c:dLbl>
              <c:idx val="1"/>
              <c:layout>
                <c:manualLayout>
                  <c:x val="4.5435880111177454E-2"/>
                  <c:y val="-6.065768332506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695-4805-A5BB-273590616499}"/>
                </c:ext>
              </c:extLst>
            </c:dLbl>
            <c:dLbl>
              <c:idx val="2"/>
              <c:layout>
                <c:manualLayout>
                  <c:x val="5.2510149261239487E-2"/>
                  <c:y val="-7.039634307456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695-4805-A5BB-273590616499}"/>
                </c:ext>
              </c:extLst>
            </c:dLbl>
            <c:dLbl>
              <c:idx val="3"/>
              <c:layout>
                <c:manualLayout>
                  <c:x val="5.5790411206704853E-2"/>
                  <c:y val="-5.5436241610738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695-4805-A5BB-273590616499}"/>
                </c:ext>
              </c:extLst>
            </c:dLbl>
            <c:dLbl>
              <c:idx val="4"/>
              <c:layout>
                <c:manualLayout>
                  <c:x val="6.8422742805656217E-2"/>
                  <c:y val="-5.3446335147703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695-4805-A5BB-273590616499}"/>
                </c:ext>
              </c:extLst>
            </c:dLbl>
            <c:spPr>
              <a:solidFill>
                <a:sysClr val="window" lastClr="FFFFFF"/>
              </a:solidFill>
              <a:ln>
                <a:solidFill>
                  <a:sysClr val="windowText" lastClr="000000">
                    <a:lumMod val="65000"/>
                    <a:lumOff val="35000"/>
                  </a:sysClr>
                </a:solidFill>
              </a:ln>
              <a:effectLst/>
            </c:sp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'tab instrumenti 2'!$B$21:$F$21</c:f>
              <c:strCache>
                <c:ptCount val="5"/>
                <c:pt idx="0">
                  <c:v>A1</c:v>
                </c:pt>
                <c:pt idx="1">
                  <c:v>A2</c:v>
                </c:pt>
                <c:pt idx="2">
                  <c:v>B</c:v>
                </c:pt>
                <c:pt idx="3">
                  <c:v>C1</c:v>
                </c:pt>
                <c:pt idx="4">
                  <c:v>D</c:v>
                </c:pt>
              </c:strCache>
            </c:strRef>
          </c:cat>
          <c:val>
            <c:numRef>
              <c:f>'tab instrumenti 2'!$B$24:$F$24</c:f>
              <c:numCache>
                <c:formatCode>0.0%</c:formatCode>
                <c:ptCount val="5"/>
                <c:pt idx="0">
                  <c:v>0.65247579168261127</c:v>
                </c:pt>
                <c:pt idx="1">
                  <c:v>7.5998986711701799E-2</c:v>
                </c:pt>
                <c:pt idx="2">
                  <c:v>6.6932180294199006E-2</c:v>
                </c:pt>
                <c:pt idx="3">
                  <c:v>6.1925711198284376E-2</c:v>
                </c:pt>
                <c:pt idx="4">
                  <c:v>0.14266733011320359</c:v>
                </c:pt>
              </c:numCache>
            </c:numRef>
          </c:val>
          <c:extLst>
            <c:ext xmlns:c16="http://schemas.microsoft.com/office/drawing/2014/chart" uri="{C3380CC4-5D6E-409C-BE32-E72D297353CC}">
              <c16:uniqueId val="{00000011-C695-4805-A5BB-273590616499}"/>
            </c:ext>
          </c:extLst>
        </c:ser>
        <c:dLbls>
          <c:showLegendKey val="0"/>
          <c:showVal val="0"/>
          <c:showCatName val="0"/>
          <c:showSerName val="0"/>
          <c:showPercent val="0"/>
          <c:showBubbleSize val="0"/>
        </c:dLbls>
        <c:gapWidth val="120"/>
        <c:gapDepth val="70"/>
        <c:shape val="box"/>
        <c:axId val="108667648"/>
        <c:axId val="108669184"/>
        <c:axId val="0"/>
      </c:bar3DChart>
      <c:catAx>
        <c:axId val="1086676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r-Latn-RS"/>
          </a:p>
        </c:txPr>
        <c:crossAx val="108669184"/>
        <c:crosses val="autoZero"/>
        <c:auto val="1"/>
        <c:lblAlgn val="ctr"/>
        <c:lblOffset val="100"/>
        <c:tickLblSkip val="1"/>
        <c:tickMarkSkip val="1"/>
        <c:noMultiLvlLbl val="0"/>
      </c:catAx>
      <c:valAx>
        <c:axId val="108669184"/>
        <c:scaling>
          <c:orientation val="minMax"/>
          <c:max val="0.9"/>
        </c:scaling>
        <c:delete val="0"/>
        <c:axPos val="r"/>
        <c:majorGridlines>
          <c:spPr>
            <a:ln w="3175">
              <a:solidFill>
                <a:srgbClr val="000000"/>
              </a:solidFill>
              <a:prstDash val="sysDash"/>
            </a:ln>
            <a:effectLst/>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r-Latn-RS"/>
          </a:p>
        </c:txPr>
        <c:crossAx val="108667648"/>
        <c:crosses val="max"/>
        <c:crossBetween val="between"/>
      </c:valAx>
      <c:spPr>
        <a:noFill/>
        <a:ln w="25400">
          <a:noFill/>
        </a:ln>
      </c:spPr>
    </c:plotArea>
    <c:legend>
      <c:legendPos val="r"/>
      <c:layout>
        <c:manualLayout>
          <c:xMode val="edge"/>
          <c:yMode val="edge"/>
          <c:x val="0.38938773814223088"/>
          <c:y val="3.7485381537532565E-2"/>
          <c:w val="0.46865746797324309"/>
          <c:h val="0.14621301966883768"/>
        </c:manualLayout>
      </c:layout>
      <c:overlay val="0"/>
      <c:spPr>
        <a:solidFill>
          <a:srgbClr val="FFFFFF"/>
        </a:solidFill>
        <a:ln w="3175">
          <a:solidFill>
            <a:srgbClr val="000000"/>
          </a:solidFill>
          <a:prstDash val="solid"/>
        </a:ln>
      </c:spPr>
      <c:txPr>
        <a:bodyPr/>
        <a:lstStyle/>
        <a:p>
          <a:pPr>
            <a:defRPr sz="900" i="1"/>
          </a:pPr>
          <a:endParaRPr lang="sr-Latn-R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00067714799162E-2"/>
          <c:y val="6.4748201438848921E-2"/>
          <c:w val="0.89606038771063212"/>
          <c:h val="0.82374100719424459"/>
        </c:manualLayout>
      </c:layout>
      <c:lineChart>
        <c:grouping val="standard"/>
        <c:varyColors val="0"/>
        <c:ser>
          <c:idx val="0"/>
          <c:order val="0"/>
          <c:tx>
            <c:strRef>
              <c:f>'tab poljoprivreda'!$A$51</c:f>
              <c:strCache>
                <c:ptCount val="1"/>
                <c:pt idx="0">
                  <c:v>Državne potpore dodijeljene poljoprivredi i ribarstvu</c:v>
                </c:pt>
              </c:strCache>
            </c:strRef>
          </c:tx>
          <c:spPr>
            <a:ln w="38100">
              <a:solidFill>
                <a:srgbClr val="000080"/>
              </a:solidFill>
              <a:prstDash val="solid"/>
            </a:ln>
          </c:spPr>
          <c:marker>
            <c:symbol val="diamond"/>
            <c:size val="5"/>
            <c:spPr>
              <a:solidFill>
                <a:srgbClr val="00FFFF"/>
              </a:solidFill>
              <a:ln>
                <a:solidFill>
                  <a:srgbClr val="3366FF"/>
                </a:solidFill>
                <a:prstDash val="solid"/>
              </a:ln>
            </c:spPr>
          </c:marker>
          <c:cat>
            <c:strRef>
              <c:f>'tab poljoprivreda'!$L$48:$V$49</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'tab poljoprivreda'!$L$51:$V$51</c:f>
              <c:numCache>
                <c:formatCode>#,##0.0</c:formatCode>
                <c:ptCount val="11"/>
                <c:pt idx="0">
                  <c:v>392.34189395447606</c:v>
                </c:pt>
                <c:pt idx="1">
                  <c:v>421.15601566129135</c:v>
                </c:pt>
                <c:pt idx="2">
                  <c:v>647.4749485699117</c:v>
                </c:pt>
                <c:pt idx="3">
                  <c:v>656.68591147388679</c:v>
                </c:pt>
                <c:pt idx="4">
                  <c:v>691.07439113411635</c:v>
                </c:pt>
                <c:pt idx="5">
                  <c:v>817.62558895746224</c:v>
                </c:pt>
                <c:pt idx="6">
                  <c:v>886.20346406529961</c:v>
                </c:pt>
                <c:pt idx="7">
                  <c:v>1019.2978963434865</c:v>
                </c:pt>
                <c:pt idx="8">
                  <c:v>1005.4116060853407</c:v>
                </c:pt>
                <c:pt idx="9">
                  <c:v>973.28794550268753</c:v>
                </c:pt>
                <c:pt idx="10">
                  <c:v>1067.9658189300001</c:v>
                </c:pt>
              </c:numCache>
            </c:numRef>
          </c:val>
          <c:smooth val="0"/>
          <c:extLst>
            <c:ext xmlns:c16="http://schemas.microsoft.com/office/drawing/2014/chart" uri="{C3380CC4-5D6E-409C-BE32-E72D297353CC}">
              <c16:uniqueId val="{0000000C-8282-4C58-8D06-3C7AB4656E83}"/>
            </c:ext>
          </c:extLst>
        </c:ser>
        <c:dLbls>
          <c:showLegendKey val="0"/>
          <c:showVal val="0"/>
          <c:showCatName val="0"/>
          <c:showSerName val="0"/>
          <c:showPercent val="0"/>
          <c:showBubbleSize val="0"/>
        </c:dLbls>
        <c:marker val="1"/>
        <c:smooth val="0"/>
        <c:axId val="110361216"/>
        <c:axId val="110846336"/>
      </c:lineChart>
      <c:catAx>
        <c:axId val="110361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10846336"/>
        <c:crosses val="autoZero"/>
        <c:auto val="1"/>
        <c:lblAlgn val="ctr"/>
        <c:lblOffset val="100"/>
        <c:tickLblSkip val="1"/>
        <c:tickMarkSkip val="1"/>
        <c:noMultiLvlLbl val="0"/>
      </c:catAx>
      <c:valAx>
        <c:axId val="110846336"/>
        <c:scaling>
          <c:orientation val="minMax"/>
          <c:max val="1200"/>
          <c:min val="0"/>
        </c:scaling>
        <c:delete val="0"/>
        <c:axPos val="l"/>
        <c:majorGridlines>
          <c:spPr>
            <a:ln w="3175">
              <a:solidFill>
                <a:srgbClr val="969696"/>
              </a:solidFill>
              <a:prstDash val="sysDash"/>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sr-Latn-RS"/>
          </a:p>
        </c:txPr>
        <c:crossAx val="110361216"/>
        <c:crosses val="autoZero"/>
        <c:crossBetween val="between"/>
        <c:majorUnit val="200"/>
      </c:valAx>
      <c:spPr>
        <a:gradFill rotWithShape="0">
          <a:gsLst>
            <a:gs pos="0">
              <a:srgbClr val="C0C0C0">
                <a:gamma/>
                <a:tint val="6275"/>
                <a:invGamma/>
              </a:srgbClr>
            </a:gs>
            <a:gs pos="100000">
              <a:srgbClr val="C0C0C0"/>
            </a:gs>
          </a:gsLst>
          <a:lin ang="5400000" scaled="1"/>
        </a:gradFill>
        <a:ln w="25400">
          <a:noFill/>
        </a:ln>
      </c:spPr>
    </c:plotArea>
    <c:legend>
      <c:legendPos val="r"/>
      <c:layout>
        <c:manualLayout>
          <c:xMode val="edge"/>
          <c:yMode val="edge"/>
          <c:x val="0.53858911149895849"/>
          <c:y val="0.65920662333812652"/>
          <c:w val="0.38805698317332388"/>
          <c:h val="0.17325630745110571"/>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900" i="1"/>
          </a:pPr>
          <a:endParaRPr lang="sr-Latn-RS"/>
        </a:p>
      </c:txPr>
    </c:legend>
    <c:plotVisOnly val="1"/>
    <c:dispBlanksAs val="gap"/>
    <c:showDLblsOverMax val="0"/>
  </c:chart>
  <c:spPr>
    <a:solidFill>
      <a:srgbClr val="FFFFFF"/>
    </a:solidFill>
    <a:ln w="12700">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55203482574103E-2"/>
          <c:y val="6.2162370290510742E-2"/>
          <c:w val="0.85674395504055445"/>
          <c:h val="0.82199949945132167"/>
        </c:manualLayout>
      </c:layout>
      <c:lineChart>
        <c:grouping val="standard"/>
        <c:varyColors val="0"/>
        <c:ser>
          <c:idx val="0"/>
          <c:order val="0"/>
          <c:tx>
            <c:strRef>
              <c:f>'tab poljoprivreda'!$A$19</c:f>
              <c:strCache>
                <c:ptCount val="1"/>
                <c:pt idx="0">
                  <c:v>Udio poljoprivrede i ribarstva u ukupnim potporama</c:v>
                </c:pt>
              </c:strCache>
            </c:strRef>
          </c:tx>
          <c:cat>
            <c:strRef>
              <c:f>'tab poljoprivreda'!$M$17:$W$18</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'tab poljoprivreda'!$M$19:$W$19</c:f>
              <c:numCache>
                <c:formatCode>0.00%</c:formatCode>
                <c:ptCount val="11"/>
                <c:pt idx="0">
                  <c:v>0.34617591605869336</c:v>
                </c:pt>
                <c:pt idx="1">
                  <c:v>0.35460691736045147</c:v>
                </c:pt>
                <c:pt idx="2">
                  <c:v>0.49393515987283076</c:v>
                </c:pt>
                <c:pt idx="3">
                  <c:v>0.4332991794305931</c:v>
                </c:pt>
                <c:pt idx="4">
                  <c:v>0.41932963953226166</c:v>
                </c:pt>
                <c:pt idx="5">
                  <c:v>0.43314771065361679</c:v>
                </c:pt>
                <c:pt idx="6">
                  <c:v>0.44265816323148216</c:v>
                </c:pt>
                <c:pt idx="7">
                  <c:v>0.33061120821028522</c:v>
                </c:pt>
                <c:pt idx="8">
                  <c:v>0.34200768785930541</c:v>
                </c:pt>
                <c:pt idx="9">
                  <c:v>0.32281923714759536</c:v>
                </c:pt>
                <c:pt idx="10">
                  <c:v>0.35182500988272503</c:v>
                </c:pt>
              </c:numCache>
            </c:numRef>
          </c:val>
          <c:smooth val="0"/>
          <c:extLst>
            <c:ext xmlns:c16="http://schemas.microsoft.com/office/drawing/2014/chart" uri="{C3380CC4-5D6E-409C-BE32-E72D297353CC}">
              <c16:uniqueId val="{00000003-E57F-4F69-A0C3-2DB925B9CCDD}"/>
            </c:ext>
          </c:extLst>
        </c:ser>
        <c:dLbls>
          <c:showLegendKey val="0"/>
          <c:showVal val="0"/>
          <c:showCatName val="0"/>
          <c:showSerName val="0"/>
          <c:showPercent val="0"/>
          <c:showBubbleSize val="0"/>
        </c:dLbls>
        <c:marker val="1"/>
        <c:smooth val="0"/>
        <c:axId val="108623360"/>
        <c:axId val="108624896"/>
      </c:lineChart>
      <c:catAx>
        <c:axId val="1086233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08624896"/>
        <c:crosses val="autoZero"/>
        <c:auto val="1"/>
        <c:lblAlgn val="ctr"/>
        <c:lblOffset val="100"/>
        <c:tickLblSkip val="1"/>
        <c:tickMarkSkip val="1"/>
        <c:noMultiLvlLbl val="0"/>
      </c:catAx>
      <c:valAx>
        <c:axId val="108624896"/>
        <c:scaling>
          <c:orientation val="minMax"/>
          <c:max val="0.60000000000000009"/>
          <c:min val="0"/>
        </c:scaling>
        <c:delete val="0"/>
        <c:axPos val="l"/>
        <c:majorGridlines>
          <c:spPr>
            <a:ln w="3175">
              <a:solidFill>
                <a:srgbClr val="969696"/>
              </a:solidFill>
              <a:prstDash val="sysDash"/>
            </a:ln>
          </c:spPr>
        </c:majorGridlines>
        <c:numFmt formatCode="0.0%" sourceLinked="0"/>
        <c:majorTickMark val="out"/>
        <c:minorTickMark val="none"/>
        <c:tickLblPos val="nextTo"/>
        <c:spPr>
          <a:ln w="3175">
            <a:solidFill>
              <a:srgbClr val="000000"/>
            </a:solidFill>
            <a:prstDash val="solid"/>
          </a:ln>
        </c:spPr>
        <c:txPr>
          <a:bodyPr rot="0" vert="horz"/>
          <a:lstStyle/>
          <a:p>
            <a:pPr>
              <a:defRPr/>
            </a:pPr>
            <a:endParaRPr lang="sr-Latn-RS"/>
          </a:p>
        </c:txPr>
        <c:crossAx val="108623360"/>
        <c:crosses val="autoZero"/>
        <c:crossBetween val="between"/>
        <c:majorUnit val="0.1"/>
        <c:minorUnit val="0.01"/>
      </c:valAx>
      <c:spPr>
        <a:gradFill>
          <a:gsLst>
            <a:gs pos="0">
              <a:schemeClr val="bg1">
                <a:lumMod val="95000"/>
              </a:schemeClr>
            </a:gs>
            <a:gs pos="100000">
              <a:srgbClr val="C0C0C0"/>
            </a:gs>
          </a:gsLst>
          <a:lin ang="5400000" scaled="1"/>
        </a:gradFill>
        <a:ln w="0">
          <a:solidFill>
            <a:schemeClr val="tx1"/>
          </a:solidFill>
        </a:ln>
      </c:spPr>
    </c:plotArea>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089626613652338E-2"/>
          <c:y val="8.9487880442181325E-2"/>
          <c:w val="0.89824167238191144"/>
          <c:h val="0.81845291166707856"/>
        </c:manualLayout>
      </c:layout>
      <c:lineChart>
        <c:grouping val="standard"/>
        <c:varyColors val="0"/>
        <c:ser>
          <c:idx val="0"/>
          <c:order val="0"/>
          <c:tx>
            <c:strRef>
              <c:f>'sl. industr i usluge'!$A$19</c:f>
              <c:strCache>
                <c:ptCount val="1"/>
                <c:pt idx="0">
                  <c:v>Horizontalni ciljevi</c:v>
                </c:pt>
              </c:strCache>
            </c:strRef>
          </c:tx>
          <c:spPr>
            <a:ln w="34925" cmpd="sng">
              <a:solidFill>
                <a:srgbClr val="000080"/>
              </a:solidFill>
              <a:prstDash val="solid"/>
            </a:ln>
          </c:spPr>
          <c:marker>
            <c:symbol val="diamond"/>
            <c:size val="7"/>
            <c:spPr>
              <a:solidFill>
                <a:srgbClr val="FF00FF"/>
              </a:solidFill>
              <a:ln>
                <a:solidFill>
                  <a:srgbClr val="000080"/>
                </a:solidFill>
                <a:prstDash val="solid"/>
              </a:ln>
            </c:spPr>
          </c:marker>
          <c:cat>
            <c:strRef>
              <c:f>'sl. industr i usluge'!$L$12:$V$12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'sl. industr i usluge'!$L$19:$V$19</c:f>
              <c:numCache>
                <c:formatCode>#,##0.0</c:formatCode>
                <c:ptCount val="11"/>
                <c:pt idx="0">
                  <c:v>169.20830844780676</c:v>
                </c:pt>
                <c:pt idx="1">
                  <c:v>188.91764549737871</c:v>
                </c:pt>
                <c:pt idx="2">
                  <c:v>138.23080496383304</c:v>
                </c:pt>
                <c:pt idx="3">
                  <c:v>216.98851947707215</c:v>
                </c:pt>
                <c:pt idx="4">
                  <c:v>593.54967151104916</c:v>
                </c:pt>
                <c:pt idx="5">
                  <c:v>308.59380184484701</c:v>
                </c:pt>
                <c:pt idx="6">
                  <c:v>329.23219855332138</c:v>
                </c:pt>
                <c:pt idx="7">
                  <c:v>586.87371424779349</c:v>
                </c:pt>
                <c:pt idx="8">
                  <c:v>495.51163907226754</c:v>
                </c:pt>
                <c:pt idx="9">
                  <c:v>327.30703535470167</c:v>
                </c:pt>
                <c:pt idx="10">
                  <c:v>562.18917826999996</c:v>
                </c:pt>
              </c:numCache>
            </c:numRef>
          </c:val>
          <c:smooth val="0"/>
          <c:extLst>
            <c:ext xmlns:c16="http://schemas.microsoft.com/office/drawing/2014/chart" uri="{C3380CC4-5D6E-409C-BE32-E72D297353CC}">
              <c16:uniqueId val="{0000000B-621C-4DB8-B222-ED49F53ADBD6}"/>
            </c:ext>
          </c:extLst>
        </c:ser>
        <c:ser>
          <c:idx val="1"/>
          <c:order val="1"/>
          <c:tx>
            <c:strRef>
              <c:f>'sl. industr i usluge'!$A$20</c:f>
              <c:strCache>
                <c:ptCount val="1"/>
                <c:pt idx="0">
                  <c:v>Posebni sektori</c:v>
                </c:pt>
              </c:strCache>
            </c:strRef>
          </c:tx>
          <c:spPr>
            <a:ln w="28575" cmpd="sng">
              <a:solidFill>
                <a:srgbClr val="FF00FF"/>
              </a:solidFill>
              <a:prstDash val="solid"/>
            </a:ln>
          </c:spPr>
          <c:marker>
            <c:symbol val="diamond"/>
            <c:size val="5"/>
            <c:spPr>
              <a:solidFill>
                <a:srgbClr val="FF00FF"/>
              </a:solidFill>
              <a:ln>
                <a:solidFill>
                  <a:srgbClr val="FF00FF"/>
                </a:solidFill>
                <a:prstDash val="solid"/>
              </a:ln>
            </c:spPr>
          </c:marker>
          <c:dPt>
            <c:idx val="5"/>
            <c:marker>
              <c:spPr>
                <a:solidFill>
                  <a:srgbClr val="FF00FF">
                    <a:alpha val="75000"/>
                  </a:srgbClr>
                </a:solidFill>
                <a:ln>
                  <a:solidFill>
                    <a:srgbClr val="FF00FF"/>
                  </a:solidFill>
                  <a:prstDash val="solid"/>
                </a:ln>
              </c:spPr>
            </c:marker>
            <c:bubble3D val="0"/>
            <c:extLst>
              <c:ext xmlns:c16="http://schemas.microsoft.com/office/drawing/2014/chart" uri="{C3380CC4-5D6E-409C-BE32-E72D297353CC}">
                <c16:uniqueId val="{0000000C-621C-4DB8-B222-ED49F53ADBD6}"/>
              </c:ext>
            </c:extLst>
          </c:dPt>
          <c:cat>
            <c:strRef>
              <c:f>'sl. industr i usluge'!$L$12:$V$12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'sl. industr i usluge'!$L$20:$V$20</c:f>
              <c:numCache>
                <c:formatCode>#,##0.0</c:formatCode>
                <c:ptCount val="11"/>
                <c:pt idx="0">
                  <c:v>571.80967549273339</c:v>
                </c:pt>
                <c:pt idx="1">
                  <c:v>577.59638993961107</c:v>
                </c:pt>
                <c:pt idx="2">
                  <c:v>525.14433605415081</c:v>
                </c:pt>
                <c:pt idx="3">
                  <c:v>641.87404605481447</c:v>
                </c:pt>
                <c:pt idx="4">
                  <c:v>363.42159400092902</c:v>
                </c:pt>
                <c:pt idx="5">
                  <c:v>761.41747959386817</c:v>
                </c:pt>
                <c:pt idx="6">
                  <c:v>786.5684517884398</c:v>
                </c:pt>
                <c:pt idx="7">
                  <c:v>966.39458490941661</c:v>
                </c:pt>
                <c:pt idx="8">
                  <c:v>584.25625441900593</c:v>
                </c:pt>
                <c:pt idx="9">
                  <c:v>604.17218748423909</c:v>
                </c:pt>
                <c:pt idx="10">
                  <c:v>848.86597359999985</c:v>
                </c:pt>
              </c:numCache>
            </c:numRef>
          </c:val>
          <c:smooth val="0"/>
          <c:extLst>
            <c:ext xmlns:c16="http://schemas.microsoft.com/office/drawing/2014/chart" uri="{C3380CC4-5D6E-409C-BE32-E72D297353CC}">
              <c16:uniqueId val="{00000016-621C-4DB8-B222-ED49F53ADBD6}"/>
            </c:ext>
          </c:extLst>
        </c:ser>
        <c:ser>
          <c:idx val="2"/>
          <c:order val="2"/>
          <c:tx>
            <c:strRef>
              <c:f>'sl. industr i usluge'!$A$21</c:f>
              <c:strCache>
                <c:ptCount val="1"/>
                <c:pt idx="0">
                  <c:v>COVID-19</c:v>
                </c:pt>
              </c:strCache>
            </c:strRef>
          </c:tx>
          <c:cat>
            <c:strRef>
              <c:f>'sl. industr i usluge'!$L$12:$V$12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'sl. industr i usluge'!$L$21:$V$21</c:f>
              <c:numCache>
                <c:formatCode>General</c:formatCode>
                <c:ptCount val="11"/>
                <c:pt idx="7" formatCode="#,##0.0">
                  <c:v>510.50501028601764</c:v>
                </c:pt>
                <c:pt idx="8" formatCode="#,##0.0">
                  <c:v>854.50545783130929</c:v>
                </c:pt>
                <c:pt idx="9" formatCode="#,##0.0">
                  <c:v>1110.2252832663082</c:v>
                </c:pt>
                <c:pt idx="10" formatCode="#,##0.0">
                  <c:v>556.61783547999994</c:v>
                </c:pt>
              </c:numCache>
            </c:numRef>
          </c:val>
          <c:smooth val="0"/>
          <c:extLst>
            <c:ext xmlns:c16="http://schemas.microsoft.com/office/drawing/2014/chart" uri="{C3380CC4-5D6E-409C-BE32-E72D297353CC}">
              <c16:uniqueId val="{00000018-621C-4DB8-B222-ED49F53ADBD6}"/>
            </c:ext>
          </c:extLst>
        </c:ser>
        <c:dLbls>
          <c:showLegendKey val="0"/>
          <c:showVal val="0"/>
          <c:showCatName val="0"/>
          <c:showSerName val="0"/>
          <c:showPercent val="0"/>
          <c:showBubbleSize val="0"/>
        </c:dLbls>
        <c:marker val="1"/>
        <c:smooth val="0"/>
        <c:axId val="108742912"/>
        <c:axId val="108769280"/>
      </c:lineChart>
      <c:catAx>
        <c:axId val="1087429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r-Latn-RS"/>
          </a:p>
        </c:txPr>
        <c:crossAx val="108769280"/>
        <c:crosses val="autoZero"/>
        <c:auto val="1"/>
        <c:lblAlgn val="ctr"/>
        <c:lblOffset val="100"/>
        <c:tickLblSkip val="1"/>
        <c:tickMarkSkip val="1"/>
        <c:noMultiLvlLbl val="0"/>
      </c:catAx>
      <c:valAx>
        <c:axId val="108769280"/>
        <c:scaling>
          <c:orientation val="minMax"/>
          <c:max val="120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r-Latn-RS"/>
          </a:p>
        </c:txPr>
        <c:crossAx val="108742912"/>
        <c:crosses val="autoZero"/>
        <c:crossBetween val="between"/>
      </c:valAx>
      <c:spPr>
        <a:gradFill>
          <a:gsLst>
            <a:gs pos="0">
              <a:srgbClr val="FFFFFF"/>
            </a:gs>
            <a:gs pos="100000">
              <a:srgbClr val="C0C0C0"/>
            </a:gs>
          </a:gsLst>
          <a:lin ang="5400000" scaled="1"/>
        </a:gradFill>
        <a:ln w="12700">
          <a:solidFill>
            <a:srgbClr val="C0C0C0"/>
          </a:solidFill>
          <a:prstDash val="solid"/>
        </a:ln>
      </c:spPr>
    </c:plotArea>
    <c:legend>
      <c:legendPos val="r"/>
      <c:layout>
        <c:manualLayout>
          <c:xMode val="edge"/>
          <c:yMode val="edge"/>
          <c:x val="0.12660535033833353"/>
          <c:y val="8.1864254351888655E-2"/>
          <c:w val="0.34262350565563027"/>
          <c:h val="0.27194989262705799"/>
        </c:manualLayout>
      </c:layout>
      <c:overlay val="0"/>
      <c:spPr>
        <a:solidFill>
          <a:srgbClr val="FFFFFF"/>
        </a:solidFill>
        <a:ln w="3175">
          <a:solidFill>
            <a:srgbClr val="000000"/>
          </a:solidFill>
          <a:prstDash val="solid"/>
        </a:ln>
      </c:spPr>
      <c:txPr>
        <a:bodyPr/>
        <a:lstStyle/>
        <a:p>
          <a:pPr>
            <a:defRPr sz="900" i="1"/>
          </a:pPr>
          <a:endParaRPr lang="sr-Latn-R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986436129272106E-2"/>
          <c:y val="4.0072859744990891E-2"/>
          <c:w val="0.91417663235781532"/>
          <c:h val="0.84499691636906038"/>
        </c:manualLayout>
      </c:layout>
      <c:lineChart>
        <c:grouping val="standard"/>
        <c:varyColors val="0"/>
        <c:ser>
          <c:idx val="0"/>
          <c:order val="0"/>
          <c:tx>
            <c:strRef>
              <c:f>'tab horizontalne'!$A$100:$B$100</c:f>
              <c:strCache>
                <c:ptCount val="2"/>
                <c:pt idx="0">
                  <c:v>Potpore horizontalnim ciljevima</c:v>
                </c:pt>
              </c:strCache>
            </c:strRef>
          </c:tx>
          <c:cat>
            <c:strRef>
              <c:f>'tab horizontalne'!$M$96:$W$96</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'tab horizontalne'!$M$100:$W$100</c:f>
              <c:numCache>
                <c:formatCode>#,##0.0</c:formatCode>
                <c:ptCount val="11"/>
                <c:pt idx="0">
                  <c:v>62.963700311898592</c:v>
                </c:pt>
                <c:pt idx="1">
                  <c:v>104.53248390735948</c:v>
                </c:pt>
                <c:pt idx="2">
                  <c:v>54.217267237374742</c:v>
                </c:pt>
                <c:pt idx="3">
                  <c:v>94.578273276262522</c:v>
                </c:pt>
                <c:pt idx="4">
                  <c:v>247.29444555046783</c:v>
                </c:pt>
                <c:pt idx="5">
                  <c:v>122.64914725595594</c:v>
                </c:pt>
                <c:pt idx="6">
                  <c:v>114.16815979826133</c:v>
                </c:pt>
                <c:pt idx="7">
                  <c:v>325.84776693874841</c:v>
                </c:pt>
                <c:pt idx="8" formatCode="0.0">
                  <c:v>285.94842703696327</c:v>
                </c:pt>
                <c:pt idx="9" formatCode="0.0">
                  <c:v>99.545833244409053</c:v>
                </c:pt>
                <c:pt idx="10" formatCode="0.0">
                  <c:v>267.67035554999995</c:v>
                </c:pt>
              </c:numCache>
            </c:numRef>
          </c:val>
          <c:smooth val="0"/>
          <c:extLst>
            <c:ext xmlns:c16="http://schemas.microsoft.com/office/drawing/2014/chart" uri="{C3380CC4-5D6E-409C-BE32-E72D297353CC}">
              <c16:uniqueId val="{00000000-84DC-44A3-85DF-5457EA1A095D}"/>
            </c:ext>
          </c:extLst>
        </c:ser>
        <c:ser>
          <c:idx val="1"/>
          <c:order val="1"/>
          <c:tx>
            <c:strRef>
              <c:f>'tab horizontalne'!$A$101:$B$101</c:f>
              <c:strCache>
                <c:ptCount val="2"/>
                <c:pt idx="0">
                  <c:v>Horizontalne i regionalne potpore, te potpore na lokalnoj razini</c:v>
                </c:pt>
              </c:strCache>
            </c:strRef>
          </c:tx>
          <c:cat>
            <c:strRef>
              <c:f>'tab horizontalne'!$M$96:$W$96</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'tab horizontalne'!$M$101:$W$101</c:f>
              <c:numCache>
                <c:formatCode>#,##0.0</c:formatCode>
                <c:ptCount val="11"/>
                <c:pt idx="0">
                  <c:v>169.20830844780676</c:v>
                </c:pt>
                <c:pt idx="1">
                  <c:v>188.91764549737871</c:v>
                </c:pt>
                <c:pt idx="2">
                  <c:v>138.23080496383304</c:v>
                </c:pt>
                <c:pt idx="3">
                  <c:v>216.98851947707215</c:v>
                </c:pt>
                <c:pt idx="4">
                  <c:v>593.54967151104916</c:v>
                </c:pt>
                <c:pt idx="5">
                  <c:v>308.59380184484701</c:v>
                </c:pt>
                <c:pt idx="6">
                  <c:v>329.23219855332138</c:v>
                </c:pt>
                <c:pt idx="7">
                  <c:v>586.87371424779349</c:v>
                </c:pt>
                <c:pt idx="8" formatCode="0.0">
                  <c:v>495.5116390722676</c:v>
                </c:pt>
                <c:pt idx="9" formatCode="0.0">
                  <c:v>327.30703535470167</c:v>
                </c:pt>
                <c:pt idx="10" formatCode="0.0">
                  <c:v>562.18917826999996</c:v>
                </c:pt>
              </c:numCache>
            </c:numRef>
          </c:val>
          <c:smooth val="0"/>
          <c:extLst>
            <c:ext xmlns:c16="http://schemas.microsoft.com/office/drawing/2014/chart" uri="{C3380CC4-5D6E-409C-BE32-E72D297353CC}">
              <c16:uniqueId val="{00000001-84DC-44A3-85DF-5457EA1A095D}"/>
            </c:ext>
          </c:extLst>
        </c:ser>
        <c:dLbls>
          <c:showLegendKey val="0"/>
          <c:showVal val="0"/>
          <c:showCatName val="0"/>
          <c:showSerName val="0"/>
          <c:showPercent val="0"/>
          <c:showBubbleSize val="0"/>
        </c:dLbls>
        <c:marker val="1"/>
        <c:smooth val="0"/>
        <c:axId val="111472000"/>
        <c:axId val="111219840"/>
      </c:lineChart>
      <c:catAx>
        <c:axId val="111472000"/>
        <c:scaling>
          <c:orientation val="minMax"/>
        </c:scaling>
        <c:delete val="0"/>
        <c:axPos val="b"/>
        <c:numFmt formatCode="General" sourceLinked="1"/>
        <c:majorTickMark val="out"/>
        <c:minorTickMark val="none"/>
        <c:tickLblPos val="nextTo"/>
        <c:txPr>
          <a:bodyPr rot="0" vert="horz"/>
          <a:lstStyle/>
          <a:p>
            <a:pPr>
              <a:defRPr/>
            </a:pPr>
            <a:endParaRPr lang="sr-Latn-RS"/>
          </a:p>
        </c:txPr>
        <c:crossAx val="111219840"/>
        <c:crosses val="autoZero"/>
        <c:auto val="1"/>
        <c:lblAlgn val="ctr"/>
        <c:lblOffset val="100"/>
        <c:noMultiLvlLbl val="0"/>
      </c:catAx>
      <c:valAx>
        <c:axId val="111219840"/>
        <c:scaling>
          <c:orientation val="minMax"/>
        </c:scaling>
        <c:delete val="0"/>
        <c:axPos val="l"/>
        <c:majorGridlines/>
        <c:numFmt formatCode="#,##0.0" sourceLinked="1"/>
        <c:majorTickMark val="out"/>
        <c:minorTickMark val="none"/>
        <c:tickLblPos val="nextTo"/>
        <c:txPr>
          <a:bodyPr rot="0" vert="horz"/>
          <a:lstStyle/>
          <a:p>
            <a:pPr>
              <a:defRPr/>
            </a:pPr>
            <a:endParaRPr lang="sr-Latn-RS"/>
          </a:p>
        </c:txPr>
        <c:crossAx val="111472000"/>
        <c:crosses val="autoZero"/>
        <c:crossBetween val="between"/>
      </c:valAx>
      <c:spPr>
        <a:solidFill>
          <a:sysClr val="window" lastClr="FFFFFF">
            <a:lumMod val="85000"/>
            <a:alpha val="47000"/>
          </a:sysClr>
        </a:solidFill>
        <a:ln>
          <a:solidFill>
            <a:schemeClr val="tx1"/>
          </a:solidFill>
        </a:ln>
        <a:effectLst>
          <a:outerShdw blurRad="50800" dist="50800" dir="5400000" sx="1000" sy="1000" algn="ctr" rotWithShape="0">
            <a:srgbClr val="000000"/>
          </a:outerShdw>
        </a:effectLst>
      </c:spPr>
    </c:plotArea>
    <c:legend>
      <c:legendPos val="r"/>
      <c:layout>
        <c:manualLayout>
          <c:xMode val="edge"/>
          <c:yMode val="edge"/>
          <c:x val="8.7190096276554177E-2"/>
          <c:y val="6.3098866079853974E-2"/>
          <c:w val="0.30053824583944649"/>
          <c:h val="0.33251546432095347"/>
        </c:manualLayout>
      </c:layout>
      <c:overlay val="0"/>
      <c:spPr>
        <a:solidFill>
          <a:schemeClr val="bg1"/>
        </a:solidFill>
        <a:ln>
          <a:solidFill>
            <a:schemeClr val="tx1"/>
          </a:solidFill>
        </a:ln>
      </c:spPr>
      <c:txPr>
        <a:bodyPr/>
        <a:lstStyle/>
        <a:p>
          <a:pPr>
            <a:defRPr sz="700" i="1"/>
          </a:pPr>
          <a:endParaRPr lang="sr-Latn-RS"/>
        </a:p>
      </c:txPr>
    </c:legend>
    <c:plotVisOnly val="1"/>
    <c:dispBlanksAs val="gap"/>
    <c:showDLblsOverMax val="0"/>
  </c:chart>
  <c:txPr>
    <a:bodyPr/>
    <a:lstStyle/>
    <a:p>
      <a:pPr>
        <a:defRPr sz="8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AZJMDCZ6QSYZ-1849078857-42910</_dlc_DocId>
    <_dlc_DocIdUrl xmlns="a494813a-d0d8-4dad-94cb-0d196f36ba15">
      <Url>https://ekoordinacije.vlada.hr/koordinacija-gospodarstvo/_layouts/15/DocIdRedir.aspx?ID=AZJMDCZ6QSYZ-1849078857-42910</Url>
      <Description>AZJMDCZ6QSYZ-1849078857-42910</Description>
    </_dlc_DocIdUrl>
  </documentManagement>
</p:properties>
</file>

<file path=customXml/itemProps1.xml><?xml version="1.0" encoding="utf-8"?>
<ds:datastoreItem xmlns:ds="http://schemas.openxmlformats.org/officeDocument/2006/customXml" ds:itemID="{884A3519-401E-4A21-B5F1-75DFF30046A2}">
  <ds:schemaRefs>
    <ds:schemaRef ds:uri="http://schemas.openxmlformats.org/officeDocument/2006/bibliography"/>
  </ds:schemaRefs>
</ds:datastoreItem>
</file>

<file path=customXml/itemProps2.xml><?xml version="1.0" encoding="utf-8"?>
<ds:datastoreItem xmlns:ds="http://schemas.openxmlformats.org/officeDocument/2006/customXml" ds:itemID="{870E4803-EF95-4B37-817A-45E6ECE5E740}"/>
</file>

<file path=customXml/itemProps3.xml><?xml version="1.0" encoding="utf-8"?>
<ds:datastoreItem xmlns:ds="http://schemas.openxmlformats.org/officeDocument/2006/customXml" ds:itemID="{ADDEB4D0-6813-49DD-AF66-F1E4C331A38A}"/>
</file>

<file path=customXml/itemProps4.xml><?xml version="1.0" encoding="utf-8"?>
<ds:datastoreItem xmlns:ds="http://schemas.openxmlformats.org/officeDocument/2006/customXml" ds:itemID="{1B21EBDC-6C3A-414B-A51D-BC7F47303560}"/>
</file>

<file path=customXml/itemProps5.xml><?xml version="1.0" encoding="utf-8"?>
<ds:datastoreItem xmlns:ds="http://schemas.openxmlformats.org/officeDocument/2006/customXml" ds:itemID="{B8F48DD8-4672-4C54-ACFB-4AE9C1919E62}"/>
</file>

<file path=docProps/app.xml><?xml version="1.0" encoding="utf-8"?>
<Properties xmlns="http://schemas.openxmlformats.org/officeDocument/2006/extended-properties" xmlns:vt="http://schemas.openxmlformats.org/officeDocument/2006/docPropsVTypes">
  <Template>Normal.dotm</Template>
  <TotalTime>200</TotalTime>
  <Pages>72</Pages>
  <Words>28485</Words>
  <Characters>162368</Characters>
  <Application>Microsoft Office Word</Application>
  <DocSecurity>0</DocSecurity>
  <Lines>1353</Lines>
  <Paragraphs>380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Šneler</dc:creator>
  <cp:keywords/>
  <dc:description/>
  <cp:lastModifiedBy>Maja Lebarović</cp:lastModifiedBy>
  <cp:revision>33</cp:revision>
  <cp:lastPrinted>2024-12-11T15:39:00Z</cp:lastPrinted>
  <dcterms:created xsi:type="dcterms:W3CDTF">2024-11-06T12:03:00Z</dcterms:created>
  <dcterms:modified xsi:type="dcterms:W3CDTF">2024-12-11T15:42:00Z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704edde2-1823-49fd-9961-e39879f44edb</vt:lpwstr>
  </property>
</Properties>
</file>