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7D087" w14:textId="77777777" w:rsidR="009F6DEC" w:rsidRPr="009F6DEC" w:rsidRDefault="009F6DEC" w:rsidP="009F6DEC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F6DEC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FEDB58A" wp14:editId="29FC51BC">
            <wp:extent cx="504825" cy="685800"/>
            <wp:effectExtent l="0" t="0" r="9525" b="0"/>
            <wp:docPr id="1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7AEB2" w14:textId="77777777" w:rsidR="009F6DEC" w:rsidRPr="009F6DEC" w:rsidRDefault="009F6DEC" w:rsidP="009F6DEC">
      <w:pPr>
        <w:spacing w:before="60" w:after="1680"/>
        <w:jc w:val="center"/>
        <w:rPr>
          <w:sz w:val="28"/>
        </w:rPr>
      </w:pPr>
      <w:r w:rsidRPr="009F6DEC">
        <w:rPr>
          <w:sz w:val="28"/>
        </w:rPr>
        <w:t>VLADA REPUBLIKE HRVATSKE</w:t>
      </w:r>
    </w:p>
    <w:p w14:paraId="0515D2D6" w14:textId="78BE244B" w:rsidR="009F6DEC" w:rsidRPr="009F6DEC" w:rsidRDefault="009F6DEC" w:rsidP="009F6DEC">
      <w:pPr>
        <w:spacing w:after="200" w:line="276" w:lineRule="auto"/>
        <w:jc w:val="right"/>
        <w:rPr>
          <w:rFonts w:eastAsia="Calibri"/>
          <w:lang w:eastAsia="en-US"/>
        </w:rPr>
      </w:pPr>
      <w:r w:rsidRPr="009F6DEC">
        <w:rPr>
          <w:rFonts w:eastAsia="Calibri"/>
          <w:lang w:eastAsia="en-US"/>
        </w:rPr>
        <w:t xml:space="preserve">Zagreb, </w:t>
      </w:r>
      <w:r w:rsidR="006016A4">
        <w:rPr>
          <w:rFonts w:eastAsia="Calibri"/>
          <w:lang w:eastAsia="en-US"/>
        </w:rPr>
        <w:t>27</w:t>
      </w:r>
      <w:r w:rsidRPr="009F6DEC">
        <w:rPr>
          <w:rFonts w:eastAsia="Calibri"/>
          <w:lang w:eastAsia="en-US"/>
        </w:rPr>
        <w:t>. prosinca 2024.</w:t>
      </w:r>
    </w:p>
    <w:p w14:paraId="31460C12" w14:textId="77777777" w:rsidR="009F6DEC" w:rsidRPr="009F6DEC" w:rsidRDefault="009F6DEC" w:rsidP="009F6DEC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14:paraId="6749EE72" w14:textId="77777777" w:rsidR="009F6DEC" w:rsidRPr="009F6DEC" w:rsidRDefault="009F6DEC" w:rsidP="009F6DE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A4D7870" w14:textId="77777777" w:rsidR="009F6DEC" w:rsidRPr="009F6DEC" w:rsidRDefault="009F6DEC" w:rsidP="009F6DE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F6DEC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4"/>
      </w:tblGrid>
      <w:tr w:rsidR="009F6DEC" w:rsidRPr="009F6DEC" w14:paraId="1DAE31C8" w14:textId="77777777" w:rsidTr="00810D91">
        <w:tc>
          <w:tcPr>
            <w:tcW w:w="1951" w:type="dxa"/>
            <w:hideMark/>
          </w:tcPr>
          <w:p w14:paraId="29121F2E" w14:textId="77777777" w:rsidR="009F6DEC" w:rsidRPr="009F6DEC" w:rsidRDefault="009F6DEC" w:rsidP="009F6DEC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9F6DEC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9F6DEC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14:paraId="3742EDEB" w14:textId="77777777" w:rsidR="009F6DEC" w:rsidRPr="009F6DEC" w:rsidRDefault="009F6DEC" w:rsidP="009F6DEC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9F6DEC">
              <w:rPr>
                <w:rFonts w:eastAsia="Calibri"/>
                <w:lang w:eastAsia="en-US"/>
              </w:rPr>
              <w:t>Ministarstvo gospodarstva</w:t>
            </w:r>
          </w:p>
        </w:tc>
      </w:tr>
    </w:tbl>
    <w:p w14:paraId="3EB87E3A" w14:textId="77777777" w:rsidR="009F6DEC" w:rsidRPr="009F6DEC" w:rsidRDefault="009F6DEC" w:rsidP="009F6DE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F6DEC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7136"/>
      </w:tblGrid>
      <w:tr w:rsidR="009F6DEC" w:rsidRPr="009F6DEC" w14:paraId="7DB5770D" w14:textId="77777777" w:rsidTr="00810D91">
        <w:tc>
          <w:tcPr>
            <w:tcW w:w="1951" w:type="dxa"/>
            <w:hideMark/>
          </w:tcPr>
          <w:p w14:paraId="46CF563B" w14:textId="77777777" w:rsidR="009F6DEC" w:rsidRPr="009F6DEC" w:rsidRDefault="009F6DEC" w:rsidP="009F6DEC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9F6DEC">
              <w:rPr>
                <w:rFonts w:eastAsia="Calibri"/>
                <w:b/>
                <w:smallCaps/>
                <w:lang w:eastAsia="en-US"/>
              </w:rPr>
              <w:t>Predmet</w:t>
            </w:r>
            <w:r w:rsidRPr="009F6DEC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14:paraId="1B2BE323" w14:textId="3F2AB409" w:rsidR="009F6DEC" w:rsidRPr="009F6DEC" w:rsidRDefault="009F6DEC" w:rsidP="009F6DEC">
            <w:pPr>
              <w:spacing w:after="200" w:line="360" w:lineRule="auto"/>
              <w:ind w:right="890"/>
              <w:jc w:val="both"/>
              <w:rPr>
                <w:rFonts w:eastAsia="Calibri"/>
                <w:bCs/>
                <w:color w:val="231F20"/>
                <w:lang w:eastAsia="en-US"/>
              </w:rPr>
            </w:pPr>
            <w:r w:rsidRPr="009F6DEC">
              <w:rPr>
                <w:rFonts w:eastAsia="Calibri"/>
                <w:lang w:eastAsia="en-US"/>
              </w:rPr>
              <w:t xml:space="preserve">Prijedlog </w:t>
            </w:r>
            <w:r w:rsidR="00BA020F" w:rsidRPr="00BA020F">
              <w:rPr>
                <w:rFonts w:eastAsia="Calibri"/>
                <w:lang w:eastAsia="en-US"/>
              </w:rPr>
              <w:t>o davanju prethodne suglasnosti za sklapanje ugovora o međusobnom prijeboju između Republ</w:t>
            </w:r>
            <w:r w:rsidR="00037B05">
              <w:rPr>
                <w:rFonts w:eastAsia="Calibri"/>
                <w:lang w:eastAsia="en-US"/>
              </w:rPr>
              <w:t>ike  Hrvatske i društva Hrvatska elektroprivreda</w:t>
            </w:r>
            <w:r w:rsidR="00BA020F" w:rsidRPr="00BA020F">
              <w:rPr>
                <w:rFonts w:eastAsia="Calibri"/>
                <w:lang w:eastAsia="en-US"/>
              </w:rPr>
              <w:t xml:space="preserve"> d.d.</w:t>
            </w:r>
          </w:p>
        </w:tc>
      </w:tr>
    </w:tbl>
    <w:p w14:paraId="35A5168C" w14:textId="77777777" w:rsidR="009F6DEC" w:rsidRPr="009F6DEC" w:rsidRDefault="009F6DEC" w:rsidP="009F6DE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F6DEC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</w:t>
      </w:r>
    </w:p>
    <w:p w14:paraId="195ED732" w14:textId="77777777" w:rsidR="009F6DEC" w:rsidRPr="009F6DEC" w:rsidRDefault="009F6DEC" w:rsidP="009F6DE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67266F0" w14:textId="77777777" w:rsidR="009F6DEC" w:rsidRPr="009F6DEC" w:rsidRDefault="009F6DEC" w:rsidP="009F6DE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DE3F3DB" w14:textId="77777777" w:rsidR="009F6DEC" w:rsidRPr="009F6DEC" w:rsidRDefault="009F6DEC" w:rsidP="009F6DE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3D0EFD43" w14:textId="77777777" w:rsidR="009F6DEC" w:rsidRPr="009F6DEC" w:rsidRDefault="009F6DEC" w:rsidP="009F6DE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0316D1FA" w14:textId="77777777" w:rsidR="009F6DEC" w:rsidRPr="009F6DEC" w:rsidRDefault="009F6DEC" w:rsidP="009F6DEC">
      <w:pPr>
        <w:tabs>
          <w:tab w:val="center" w:pos="4536"/>
          <w:tab w:val="right" w:pos="9072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82271C" w14:textId="77777777" w:rsidR="009F6DEC" w:rsidRPr="009F6DEC" w:rsidRDefault="009F6DEC" w:rsidP="009F6DE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52314FF" w14:textId="77777777" w:rsidR="009F6DEC" w:rsidRPr="009F6DEC" w:rsidRDefault="009F6DEC" w:rsidP="009F6DEC">
      <w:pPr>
        <w:tabs>
          <w:tab w:val="center" w:pos="4536"/>
          <w:tab w:val="right" w:pos="9072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DE9517A" w14:textId="77777777" w:rsidR="009F6DEC" w:rsidRPr="009F6DEC" w:rsidRDefault="009F6DEC" w:rsidP="009F6DE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AE7A32B" w14:textId="77777777" w:rsidR="009F6DEC" w:rsidRPr="009F6DEC" w:rsidRDefault="009F6DEC" w:rsidP="009F6DE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36B6709" w14:textId="77777777" w:rsidR="009F6DEC" w:rsidRPr="009F6DEC" w:rsidRDefault="009F6DEC" w:rsidP="009F6DE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A5CA9DE" w14:textId="77777777" w:rsidR="009F6DEC" w:rsidRPr="009F6DEC" w:rsidRDefault="009F6DEC" w:rsidP="009F6DEC">
      <w:pPr>
        <w:pBdr>
          <w:top w:val="single" w:sz="4" w:space="1" w:color="404040"/>
        </w:pBdr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eastAsia="Calibri"/>
          <w:color w:val="404040"/>
          <w:spacing w:val="20"/>
          <w:sz w:val="20"/>
          <w:szCs w:val="22"/>
          <w:lang w:eastAsia="en-US"/>
        </w:rPr>
      </w:pPr>
      <w:r w:rsidRPr="009F6DEC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| 10000 Zagreb | tel. 01 4569 222 | vlada.gov.hr</w:t>
      </w:r>
    </w:p>
    <w:p w14:paraId="7F9DEDB1" w14:textId="77777777" w:rsidR="009F6DEC" w:rsidRDefault="009F6DEC" w:rsidP="003842E5">
      <w:pPr>
        <w:jc w:val="right"/>
        <w:outlineLvl w:val="0"/>
        <w:rPr>
          <w:i/>
        </w:rPr>
      </w:pPr>
    </w:p>
    <w:p w14:paraId="769F6F6E" w14:textId="77777777" w:rsidR="009F6DEC" w:rsidRDefault="009F6DEC" w:rsidP="003842E5">
      <w:pPr>
        <w:jc w:val="right"/>
        <w:outlineLvl w:val="0"/>
        <w:rPr>
          <w:i/>
        </w:rPr>
      </w:pPr>
    </w:p>
    <w:p w14:paraId="2470E898" w14:textId="1A7EEB28" w:rsidR="002546E5" w:rsidRDefault="002546E5" w:rsidP="003D34A6">
      <w:pPr>
        <w:jc w:val="right"/>
        <w:outlineLvl w:val="0"/>
        <w:rPr>
          <w:i/>
        </w:rPr>
      </w:pPr>
      <w:r w:rsidRPr="003E3D1E">
        <w:rPr>
          <w:i/>
        </w:rPr>
        <w:t xml:space="preserve">Prijedlog </w:t>
      </w:r>
    </w:p>
    <w:p w14:paraId="12102517" w14:textId="77777777" w:rsidR="003D34A6" w:rsidRPr="003E3D1E" w:rsidRDefault="003D34A6" w:rsidP="003D34A6">
      <w:pPr>
        <w:jc w:val="right"/>
        <w:outlineLvl w:val="0"/>
        <w:rPr>
          <w:i/>
        </w:rPr>
      </w:pPr>
    </w:p>
    <w:p w14:paraId="1A97E83C" w14:textId="77777777" w:rsidR="00A62171" w:rsidRPr="003E3D1E" w:rsidRDefault="00A62171" w:rsidP="003842E5">
      <w:pPr>
        <w:jc w:val="right"/>
        <w:rPr>
          <w:i/>
        </w:rPr>
      </w:pPr>
    </w:p>
    <w:p w14:paraId="7FEAC5CE" w14:textId="77777777" w:rsidR="00927039" w:rsidRDefault="00927039" w:rsidP="00927039">
      <w:pPr>
        <w:jc w:val="both"/>
      </w:pPr>
    </w:p>
    <w:p w14:paraId="50B5178B" w14:textId="7ABE577D" w:rsidR="002546E5" w:rsidRPr="003E3D1E" w:rsidRDefault="00927039" w:rsidP="00927039">
      <w:pPr>
        <w:jc w:val="both"/>
      </w:pPr>
      <w:r w:rsidRPr="00927039">
        <w:t>Na temelju članka 8. i članka 31. stavka 2. Zakona o Vladi Republike Hrvatske („Narodne novine“, br. 150/11., 119/14., 93/16., 116/18., 80/22. i 78/24.), Vlada Republike Hrvatske je na sjednici održanoj ___________________ 2024. donijela</w:t>
      </w:r>
    </w:p>
    <w:p w14:paraId="4E550FDA" w14:textId="77777777" w:rsidR="00BD14DA" w:rsidRPr="003E3D1E" w:rsidRDefault="00BD14DA" w:rsidP="003842E5">
      <w:pPr>
        <w:ind w:firstLine="1416"/>
        <w:jc w:val="both"/>
      </w:pPr>
    </w:p>
    <w:p w14:paraId="304E0EAA" w14:textId="77777777" w:rsidR="00BD14DA" w:rsidRPr="003E3D1E" w:rsidRDefault="00BD14DA" w:rsidP="003842E5">
      <w:pPr>
        <w:ind w:firstLine="1416"/>
        <w:jc w:val="both"/>
      </w:pPr>
    </w:p>
    <w:p w14:paraId="3D955BE3" w14:textId="77777777" w:rsidR="00A62171" w:rsidRPr="003E3D1E" w:rsidRDefault="00A62171" w:rsidP="003842E5">
      <w:pPr>
        <w:jc w:val="both"/>
      </w:pPr>
    </w:p>
    <w:p w14:paraId="25F2DBEC" w14:textId="5760C6FF" w:rsidR="002546E5" w:rsidRPr="003E3D1E" w:rsidRDefault="002546E5" w:rsidP="003842E5">
      <w:pPr>
        <w:jc w:val="center"/>
        <w:outlineLvl w:val="0"/>
        <w:rPr>
          <w:b/>
        </w:rPr>
      </w:pPr>
      <w:r w:rsidRPr="003E3D1E">
        <w:rPr>
          <w:b/>
        </w:rPr>
        <w:t xml:space="preserve">O D L U K U </w:t>
      </w:r>
    </w:p>
    <w:p w14:paraId="1E257E7C" w14:textId="2E4FABAE" w:rsidR="005F6383" w:rsidRPr="003E3D1E" w:rsidRDefault="00927039" w:rsidP="003842E5">
      <w:pPr>
        <w:jc w:val="center"/>
        <w:rPr>
          <w:b/>
        </w:rPr>
      </w:pPr>
      <w:r>
        <w:rPr>
          <w:b/>
        </w:rPr>
        <w:t xml:space="preserve">o davanju prethodne suglasnosti </w:t>
      </w:r>
      <w:r w:rsidR="00BC61D8">
        <w:rPr>
          <w:b/>
        </w:rPr>
        <w:t>za sklapanje u</w:t>
      </w:r>
      <w:r w:rsidRPr="00927039">
        <w:rPr>
          <w:b/>
        </w:rPr>
        <w:t>govor</w:t>
      </w:r>
      <w:r w:rsidR="00BC61D8">
        <w:rPr>
          <w:b/>
        </w:rPr>
        <w:t>a</w:t>
      </w:r>
      <w:r w:rsidRPr="00927039">
        <w:rPr>
          <w:b/>
        </w:rPr>
        <w:t xml:space="preserve"> o međusobnom prijeboju između Republike  Hrvatske i društva Hrvatsk</w:t>
      </w:r>
      <w:r>
        <w:rPr>
          <w:b/>
        </w:rPr>
        <w:t xml:space="preserve">e </w:t>
      </w:r>
      <w:r w:rsidRPr="00927039">
        <w:rPr>
          <w:b/>
        </w:rPr>
        <w:t>elektroprivrede d.d.</w:t>
      </w:r>
    </w:p>
    <w:p w14:paraId="1F721F29" w14:textId="77777777" w:rsidR="00A62171" w:rsidRPr="003E3D1E" w:rsidRDefault="00A62171" w:rsidP="003842E5">
      <w:pPr>
        <w:jc w:val="center"/>
        <w:rPr>
          <w:b/>
        </w:rPr>
      </w:pPr>
    </w:p>
    <w:p w14:paraId="78221FA3" w14:textId="77777777" w:rsidR="00D95B3B" w:rsidRPr="003E3D1E" w:rsidRDefault="002546E5" w:rsidP="005C06B6">
      <w:pPr>
        <w:jc w:val="center"/>
        <w:outlineLvl w:val="0"/>
        <w:rPr>
          <w:b/>
        </w:rPr>
      </w:pPr>
      <w:r w:rsidRPr="003E3D1E">
        <w:rPr>
          <w:b/>
        </w:rPr>
        <w:t>I.</w:t>
      </w:r>
    </w:p>
    <w:p w14:paraId="5024B5D0" w14:textId="77777777" w:rsidR="00DA5E8F" w:rsidRPr="003E3D1E" w:rsidRDefault="00DA5E8F" w:rsidP="005C06B6">
      <w:pPr>
        <w:jc w:val="center"/>
        <w:outlineLvl w:val="0"/>
        <w:rPr>
          <w:b/>
        </w:rPr>
      </w:pPr>
    </w:p>
    <w:p w14:paraId="556A02DC" w14:textId="198353C1" w:rsidR="00AF2B25" w:rsidRPr="003E3D1E" w:rsidRDefault="00BC61D8" w:rsidP="00AF2B25">
      <w:pPr>
        <w:jc w:val="both"/>
      </w:pPr>
      <w:r>
        <w:t xml:space="preserve">Daje se prethodna suglasnost </w:t>
      </w:r>
      <w:r w:rsidR="007E3BCD">
        <w:t>z</w:t>
      </w:r>
      <w:r>
        <w:t>a sklapanje u</w:t>
      </w:r>
      <w:r w:rsidR="00E243A0" w:rsidRPr="003E3D1E">
        <w:t>govora o međusobnom p</w:t>
      </w:r>
      <w:r w:rsidR="001A65E6" w:rsidRPr="003E3D1E">
        <w:t>ri</w:t>
      </w:r>
      <w:r w:rsidR="00E243A0" w:rsidRPr="003E3D1E">
        <w:t>jeboju</w:t>
      </w:r>
      <w:r w:rsidR="00AF2B25" w:rsidRPr="003E3D1E">
        <w:t xml:space="preserve"> između Republike  Hrvatske  i društva  HRVATSKA  ELEKTROPRIVREDA d.d.</w:t>
      </w:r>
      <w:r w:rsidR="00985A49">
        <w:t xml:space="preserve">, </w:t>
      </w:r>
      <w:r w:rsidR="00C200A0">
        <w:t>u tekstu koj</w:t>
      </w:r>
      <w:r w:rsidR="00662B4E">
        <w:t>i</w:t>
      </w:r>
      <w:r w:rsidR="00C200A0">
        <w:t xml:space="preserve"> je Vladi Republike Hrvatske </w:t>
      </w:r>
      <w:r w:rsidR="00CB5616">
        <w:t>dostavilo Ministarstvo go</w:t>
      </w:r>
      <w:r w:rsidR="008E6E42">
        <w:t xml:space="preserve">spodarstva </w:t>
      </w:r>
      <w:r w:rsidR="00E7187B">
        <w:t>aktom</w:t>
      </w:r>
      <w:r w:rsidR="008E6E42">
        <w:t xml:space="preserve"> KLASA</w:t>
      </w:r>
      <w:r w:rsidR="004C0431">
        <w:t>:</w:t>
      </w:r>
      <w:r w:rsidR="008E6E42">
        <w:t xml:space="preserve"> 011-01/25-01/896, URBROJ</w:t>
      </w:r>
      <w:r w:rsidR="004C0431">
        <w:t>:</w:t>
      </w:r>
      <w:r w:rsidR="008E6E42">
        <w:t xml:space="preserve"> </w:t>
      </w:r>
      <w:r w:rsidR="00E15738">
        <w:t>526-06-24-2 od 12. prosinca 2024</w:t>
      </w:r>
      <w:r w:rsidR="00662B4E">
        <w:t>.</w:t>
      </w:r>
      <w:r w:rsidR="00E7187B">
        <w:t>,</w:t>
      </w:r>
      <w:r w:rsidR="00AF2B25" w:rsidRPr="003E3D1E">
        <w:t xml:space="preserve"> </w:t>
      </w:r>
      <w:r w:rsidR="007E3BCD">
        <w:t xml:space="preserve">a </w:t>
      </w:r>
      <w:r w:rsidR="00615098" w:rsidRPr="003E3D1E">
        <w:t>koj</w:t>
      </w:r>
      <w:r w:rsidR="00E243A0" w:rsidRPr="003E3D1E">
        <w:t>im</w:t>
      </w:r>
      <w:r w:rsidR="00615098" w:rsidRPr="003E3D1E">
        <w:t xml:space="preserve"> se </w:t>
      </w:r>
      <w:r w:rsidR="001A65E6" w:rsidRPr="003E3D1E">
        <w:t xml:space="preserve">prebijaju </w:t>
      </w:r>
      <w:r w:rsidR="00AF2B25" w:rsidRPr="003E3D1E">
        <w:t>međusobn</w:t>
      </w:r>
      <w:r w:rsidR="00615098" w:rsidRPr="003E3D1E">
        <w:t>a</w:t>
      </w:r>
      <w:r w:rsidR="00AF2B25" w:rsidRPr="003E3D1E">
        <w:t xml:space="preserve"> potraživanja i obvez</w:t>
      </w:r>
      <w:r w:rsidR="00615098" w:rsidRPr="003E3D1E">
        <w:t>e</w:t>
      </w:r>
      <w:r w:rsidR="00AF2B25" w:rsidRPr="003E3D1E">
        <w:t>.</w:t>
      </w:r>
    </w:p>
    <w:p w14:paraId="07D32651" w14:textId="77777777" w:rsidR="001A65E6" w:rsidRPr="003E3D1E" w:rsidRDefault="001A65E6" w:rsidP="00AF2B25">
      <w:pPr>
        <w:jc w:val="both"/>
      </w:pPr>
    </w:p>
    <w:p w14:paraId="1974D291" w14:textId="77777777" w:rsidR="003E3D1E" w:rsidRPr="003E3D1E" w:rsidRDefault="003E3D1E" w:rsidP="00AF2B25">
      <w:pPr>
        <w:jc w:val="both"/>
      </w:pPr>
    </w:p>
    <w:p w14:paraId="58A63E2E" w14:textId="671685BC" w:rsidR="00D24FFB" w:rsidRDefault="00730F9B" w:rsidP="00AF2B25">
      <w:pPr>
        <w:ind w:left="3540" w:firstLine="708"/>
        <w:jc w:val="both"/>
      </w:pPr>
      <w:r w:rsidRPr="003E3D1E">
        <w:t>II.</w:t>
      </w:r>
    </w:p>
    <w:p w14:paraId="6615581C" w14:textId="77777777" w:rsidR="004C29CF" w:rsidRPr="003E3D1E" w:rsidRDefault="004C29CF" w:rsidP="00AF2B25">
      <w:pPr>
        <w:ind w:left="3540" w:firstLine="708"/>
        <w:jc w:val="both"/>
      </w:pPr>
    </w:p>
    <w:p w14:paraId="7062230A" w14:textId="680EE8FA" w:rsidR="00730F9B" w:rsidRPr="00797770" w:rsidRDefault="00791709" w:rsidP="00730F9B">
      <w:pPr>
        <w:jc w:val="both"/>
      </w:pPr>
      <w:bookmarkStart w:id="0" w:name="_Hlk185507230"/>
      <w:r w:rsidRPr="00791709">
        <w:rPr>
          <w:bCs/>
        </w:rPr>
        <w:t>Temeljem Ugovora iz točke I. ove Odluke, obveze društva HRVATSKA ELEKTROPRIVREDA d.d. prema Republici Hrvatskoj, Ministarstvu gospodarstva u iznosu od 120.450.000,00 USD (preračunato u euro po srednjem tečaju Hrvatske narodne banke na dan provedbe kompenzacije što iznosi 114.040.901,34 eura) s osnove klirinškog duga temeljem Sporazuma između Vlade Republike Hrvatske i Vlade Ruske Federacije o reguliranju obveza bivšeg SSSR-a po obračunima vezanim uz robnu razmjenu između bivšeg SSSR-a i bivše SFRJ („Narodne novine – Međunarodni ugovori“, broj 7/07.)</w:t>
      </w:r>
      <w:r w:rsidR="00D028AA">
        <w:rPr>
          <w:bCs/>
        </w:rPr>
        <w:t>,</w:t>
      </w:r>
      <w:r w:rsidRPr="00791709">
        <w:rPr>
          <w:bCs/>
        </w:rPr>
        <w:t xml:space="preserve"> Ugovora </w:t>
      </w:r>
      <w:r w:rsidR="00D028AA">
        <w:rPr>
          <w:bCs/>
        </w:rPr>
        <w:t>broj 25/101/07 između TEHNOPROMEXPORTA i HEP Proizvodnje d.o.o. od 17. rujna 2007. godine za isporuku energetskog otoka Bloka C Termoelektrane Sisak u vrijednosti od USD 105.000.000,00 te dodatku V Ugovoru između TEHNOPROMEXPORTA i HEP Proizvodnje d.o.o. od 14.04.2011. kojim se regulira plaćanje iz kliringa USD 15.450.000,00</w:t>
      </w:r>
      <w:r w:rsidRPr="00791709">
        <w:rPr>
          <w:bCs/>
        </w:rPr>
        <w:t xml:space="preserve"> prebijaju se s obvezama koje Republika Hrvatska, Ministarstvo gospodarstva ima prema društvu Hrvatska elektroprivreda d.d. u iznosu od 114.040.901,34 eura s osnove nadoknada razlike za toplinsku energiju temeljem </w:t>
      </w:r>
      <w:r w:rsidR="00797770" w:rsidRPr="00797770">
        <w:rPr>
          <w:bCs/>
        </w:rPr>
        <w:t>Uredb</w:t>
      </w:r>
      <w:r w:rsidR="00D53077">
        <w:rPr>
          <w:bCs/>
        </w:rPr>
        <w:t>e</w:t>
      </w:r>
      <w:r w:rsidR="00797770" w:rsidRPr="00797770">
        <w:rPr>
          <w:bCs/>
        </w:rPr>
        <w:t xml:space="preserve"> o otklanjanju poremećaja na domaćem tržištu energije („NN”, br. 104/22</w:t>
      </w:r>
      <w:r w:rsidR="00322688">
        <w:rPr>
          <w:bCs/>
        </w:rPr>
        <w:t>, 106/22</w:t>
      </w:r>
      <w:r w:rsidR="00C66868">
        <w:rPr>
          <w:bCs/>
        </w:rPr>
        <w:t>,</w:t>
      </w:r>
      <w:r w:rsidR="00322688">
        <w:rPr>
          <w:bCs/>
        </w:rPr>
        <w:t xml:space="preserve"> </w:t>
      </w:r>
      <w:r w:rsidR="00C66868" w:rsidRPr="00C66868">
        <w:rPr>
          <w:bCs/>
        </w:rPr>
        <w:t>121/22 i 156/22</w:t>
      </w:r>
      <w:r w:rsidR="00797770" w:rsidRPr="00797770">
        <w:rPr>
          <w:bCs/>
        </w:rPr>
        <w:t>)</w:t>
      </w:r>
      <w:bookmarkEnd w:id="0"/>
      <w:r w:rsidR="00797770" w:rsidRPr="00797770">
        <w:rPr>
          <w:bCs/>
        </w:rPr>
        <w:t xml:space="preserve"> </w:t>
      </w:r>
      <w:r w:rsidR="00322688">
        <w:rPr>
          <w:bCs/>
        </w:rPr>
        <w:t xml:space="preserve">i </w:t>
      </w:r>
      <w:r w:rsidR="00730F9B" w:rsidRPr="003E3D1E">
        <w:rPr>
          <w:bCs/>
        </w:rPr>
        <w:t xml:space="preserve">Uredbe o otklanjanju poremećaja na domaćem tržištu </w:t>
      </w:r>
      <w:r w:rsidR="008D6ED6">
        <w:rPr>
          <w:bCs/>
        </w:rPr>
        <w:t xml:space="preserve">energije </w:t>
      </w:r>
      <w:r w:rsidR="00730F9B" w:rsidRPr="003E3D1E">
        <w:rPr>
          <w:bCs/>
        </w:rPr>
        <w:t>(</w:t>
      </w:r>
      <w:bookmarkStart w:id="1" w:name="_Hlk185506958"/>
      <w:r w:rsidR="00730F9B" w:rsidRPr="003E3D1E">
        <w:rPr>
          <w:bCs/>
        </w:rPr>
        <w:t xml:space="preserve">„NN”, br.  </w:t>
      </w:r>
      <w:bookmarkEnd w:id="1"/>
      <w:r w:rsidR="00730F9B" w:rsidRPr="003E3D1E">
        <w:rPr>
          <w:bCs/>
        </w:rPr>
        <w:t>31/23., 74/23., 107/23., 122/23., 32/24</w:t>
      </w:r>
      <w:r w:rsidR="00797770">
        <w:rPr>
          <w:bCs/>
        </w:rPr>
        <w:t xml:space="preserve">, </w:t>
      </w:r>
      <w:r w:rsidR="00730F9B" w:rsidRPr="003E3D1E">
        <w:rPr>
          <w:bCs/>
        </w:rPr>
        <w:t>104/24</w:t>
      </w:r>
      <w:r w:rsidR="00797770">
        <w:rPr>
          <w:bCs/>
        </w:rPr>
        <w:t xml:space="preserve"> i 132/24</w:t>
      </w:r>
      <w:r w:rsidR="00730F9B" w:rsidRPr="003E3D1E">
        <w:rPr>
          <w:bCs/>
        </w:rPr>
        <w:t xml:space="preserve">), </w:t>
      </w:r>
      <w:r w:rsidRPr="00791709">
        <w:rPr>
          <w:bCs/>
        </w:rPr>
        <w:t>a sve u skladu sa sklopljenim Ugovorom o ustupanju potraživanja (Ugovor o cesiji) između društva Hrvatska elektroprivreda d.d. i društva HEP - Toplinarstvo d.o.o.</w:t>
      </w:r>
    </w:p>
    <w:p w14:paraId="1AE00756" w14:textId="77777777" w:rsidR="008F3D07" w:rsidRDefault="008F3D07" w:rsidP="00AD6287">
      <w:pPr>
        <w:jc w:val="both"/>
      </w:pPr>
    </w:p>
    <w:p w14:paraId="7FE73436" w14:textId="6D741F42" w:rsidR="00730F9B" w:rsidRPr="003E3D1E" w:rsidRDefault="008F3D07" w:rsidP="008F3D07">
      <w:pPr>
        <w:jc w:val="center"/>
      </w:pPr>
      <w:r>
        <w:t>III.</w:t>
      </w:r>
    </w:p>
    <w:p w14:paraId="63CAE5F0" w14:textId="77777777" w:rsidR="00730F9B" w:rsidRPr="003E3D1E" w:rsidRDefault="00730F9B" w:rsidP="00AD6287">
      <w:pPr>
        <w:jc w:val="both"/>
      </w:pPr>
    </w:p>
    <w:p w14:paraId="0FC99492" w14:textId="35F2D7BE" w:rsidR="00D25192" w:rsidRPr="00D25192" w:rsidRDefault="001C440F" w:rsidP="00797770">
      <w:pPr>
        <w:pStyle w:val="NormalWeb"/>
        <w:shd w:val="clear" w:color="auto" w:fill="FFFFFF"/>
        <w:jc w:val="both"/>
        <w:rPr>
          <w:rFonts w:ascii="Calibri" w:hAnsi="Calibri" w:cs="Calibri"/>
          <w:color w:val="000000"/>
        </w:rPr>
      </w:pPr>
      <w:r w:rsidRPr="00797770">
        <w:rPr>
          <w:sz w:val="23"/>
          <w:szCs w:val="23"/>
        </w:rPr>
        <w:t>Ugovorne strane suglasno utvrđuju da iznos mogućih kamata na međusobna potraživanja koja se rješavaju ov</w:t>
      </w:r>
      <w:r w:rsidR="008F3D07" w:rsidRPr="00797770">
        <w:rPr>
          <w:sz w:val="23"/>
          <w:szCs w:val="23"/>
        </w:rPr>
        <w:t>im Ugovorom</w:t>
      </w:r>
      <w:r w:rsidRPr="00797770">
        <w:rPr>
          <w:sz w:val="23"/>
          <w:szCs w:val="23"/>
        </w:rPr>
        <w:t xml:space="preserve"> nije uključen u međusobnu kalkulaciju, </w:t>
      </w:r>
      <w:r w:rsidR="00D25192" w:rsidRPr="00797770">
        <w:rPr>
          <w:sz w:val="23"/>
          <w:szCs w:val="23"/>
        </w:rPr>
        <w:t>u</w:t>
      </w:r>
      <w:r w:rsidRPr="00797770">
        <w:rPr>
          <w:sz w:val="23"/>
          <w:szCs w:val="23"/>
        </w:rPr>
        <w:t xml:space="preserve"> skladu s načelom </w:t>
      </w:r>
      <w:r w:rsidR="00D25192" w:rsidRPr="00797770">
        <w:rPr>
          <w:sz w:val="23"/>
          <w:szCs w:val="23"/>
        </w:rPr>
        <w:t xml:space="preserve"> jednake vrijednosti činidaba </w:t>
      </w:r>
      <w:r w:rsidR="003A3AFB" w:rsidRPr="00797770">
        <w:rPr>
          <w:sz w:val="23"/>
          <w:szCs w:val="23"/>
        </w:rPr>
        <w:t xml:space="preserve">temeljem </w:t>
      </w:r>
      <w:r w:rsidR="00D25192" w:rsidRPr="00797770">
        <w:rPr>
          <w:sz w:val="23"/>
          <w:szCs w:val="23"/>
        </w:rPr>
        <w:t>Zakona o obveznim odnosima.</w:t>
      </w:r>
      <w:r w:rsidRPr="00797770">
        <w:rPr>
          <w:sz w:val="23"/>
          <w:szCs w:val="23"/>
        </w:rPr>
        <w:t xml:space="preserve"> </w:t>
      </w:r>
    </w:p>
    <w:p w14:paraId="43556148" w14:textId="77777777" w:rsidR="00D25192" w:rsidRPr="00D25192" w:rsidRDefault="00D25192" w:rsidP="00D25192">
      <w:pPr>
        <w:shd w:val="clear" w:color="auto" w:fill="FFFFFF"/>
        <w:rPr>
          <w:rFonts w:ascii="Calibri" w:hAnsi="Calibri" w:cs="Calibri"/>
          <w:color w:val="000000"/>
        </w:rPr>
      </w:pPr>
    </w:p>
    <w:p w14:paraId="5F1F08F0" w14:textId="77777777" w:rsidR="008F3D07" w:rsidRDefault="008F3D07" w:rsidP="00DA5E8F">
      <w:pPr>
        <w:jc w:val="center"/>
        <w:outlineLvl w:val="0"/>
        <w:rPr>
          <w:b/>
        </w:rPr>
      </w:pPr>
    </w:p>
    <w:p w14:paraId="4BE12A08" w14:textId="77777777" w:rsidR="008F3D07" w:rsidRDefault="008F3D07" w:rsidP="00DA5E8F">
      <w:pPr>
        <w:jc w:val="center"/>
        <w:outlineLvl w:val="0"/>
        <w:rPr>
          <w:b/>
        </w:rPr>
      </w:pPr>
    </w:p>
    <w:p w14:paraId="1A4304A3" w14:textId="77777777" w:rsidR="004C29CF" w:rsidRDefault="004C29CF" w:rsidP="00DA5E8F">
      <w:pPr>
        <w:jc w:val="center"/>
        <w:outlineLvl w:val="0"/>
        <w:rPr>
          <w:b/>
        </w:rPr>
      </w:pPr>
    </w:p>
    <w:p w14:paraId="122C36FD" w14:textId="77777777" w:rsidR="004C29CF" w:rsidRDefault="004C29CF" w:rsidP="00DA5E8F">
      <w:pPr>
        <w:jc w:val="center"/>
        <w:outlineLvl w:val="0"/>
        <w:rPr>
          <w:b/>
        </w:rPr>
      </w:pPr>
    </w:p>
    <w:p w14:paraId="33E8050D" w14:textId="77777777" w:rsidR="004C29CF" w:rsidRDefault="004C29CF" w:rsidP="00DA5E8F">
      <w:pPr>
        <w:jc w:val="center"/>
        <w:outlineLvl w:val="0"/>
        <w:rPr>
          <w:b/>
        </w:rPr>
      </w:pPr>
    </w:p>
    <w:p w14:paraId="30714790" w14:textId="45464593" w:rsidR="00DA5E8F" w:rsidRPr="003E3D1E" w:rsidRDefault="00DA5E8F" w:rsidP="00DA5E8F">
      <w:pPr>
        <w:jc w:val="center"/>
        <w:outlineLvl w:val="0"/>
        <w:rPr>
          <w:b/>
        </w:rPr>
      </w:pPr>
      <w:r w:rsidRPr="003E3D1E">
        <w:rPr>
          <w:b/>
        </w:rPr>
        <w:t>I</w:t>
      </w:r>
      <w:r w:rsidR="008F3D07">
        <w:rPr>
          <w:b/>
        </w:rPr>
        <w:t>V</w:t>
      </w:r>
      <w:r w:rsidRPr="003E3D1E">
        <w:rPr>
          <w:b/>
        </w:rPr>
        <w:t>.</w:t>
      </w:r>
    </w:p>
    <w:p w14:paraId="04D3369C" w14:textId="77777777" w:rsidR="00D95B3B" w:rsidRPr="003E3D1E" w:rsidRDefault="00D95B3B" w:rsidP="003842E5">
      <w:pPr>
        <w:jc w:val="center"/>
        <w:outlineLvl w:val="0"/>
        <w:rPr>
          <w:b/>
        </w:rPr>
      </w:pPr>
    </w:p>
    <w:p w14:paraId="35E2A33D" w14:textId="57778D70" w:rsidR="00D95B3B" w:rsidRPr="003E3D1E" w:rsidRDefault="00D95B3B" w:rsidP="00D95B3B">
      <w:pPr>
        <w:jc w:val="both"/>
      </w:pPr>
      <w:r w:rsidRPr="003E3D1E">
        <w:t xml:space="preserve">Daje se suglasnost </w:t>
      </w:r>
      <w:r w:rsidR="00122BF7">
        <w:t>m</w:t>
      </w:r>
      <w:r w:rsidRPr="003E3D1E">
        <w:t>inist</w:t>
      </w:r>
      <w:r w:rsidR="008D6ED6">
        <w:t>ru</w:t>
      </w:r>
      <w:r w:rsidRPr="003E3D1E">
        <w:t xml:space="preserve"> </w:t>
      </w:r>
      <w:r w:rsidR="00044298" w:rsidRPr="003E3D1E">
        <w:t xml:space="preserve">gospodarstva </w:t>
      </w:r>
      <w:r w:rsidRPr="003E3D1E">
        <w:t>da s</w:t>
      </w:r>
      <w:r w:rsidR="00E243A0" w:rsidRPr="003E3D1E">
        <w:t xml:space="preserve"> </w:t>
      </w:r>
      <w:r w:rsidR="00044298" w:rsidRPr="003E3D1E">
        <w:t>društvom</w:t>
      </w:r>
      <w:r w:rsidRPr="003E3D1E">
        <w:t xml:space="preserve"> </w:t>
      </w:r>
      <w:r w:rsidR="00A31652" w:rsidRPr="003E3D1E">
        <w:t>HRVATSK</w:t>
      </w:r>
      <w:r w:rsidR="00044298" w:rsidRPr="003E3D1E">
        <w:t>A</w:t>
      </w:r>
      <w:r w:rsidR="00A31652" w:rsidRPr="003E3D1E">
        <w:t xml:space="preserve"> ELEKTROPRIVRED</w:t>
      </w:r>
      <w:r w:rsidR="00044298" w:rsidRPr="003E3D1E">
        <w:t>A</w:t>
      </w:r>
      <w:r w:rsidR="00A31652" w:rsidRPr="003E3D1E">
        <w:t xml:space="preserve"> d.d.</w:t>
      </w:r>
      <w:r w:rsidR="00E243A0" w:rsidRPr="003E3D1E">
        <w:t xml:space="preserve"> sklopi </w:t>
      </w:r>
      <w:r w:rsidR="00122BF7">
        <w:t>u</w:t>
      </w:r>
      <w:r w:rsidR="009022CD" w:rsidRPr="009022CD">
        <w:t>govor iz točke I. ove Odluke.</w:t>
      </w:r>
    </w:p>
    <w:p w14:paraId="529D2736" w14:textId="77777777" w:rsidR="00DC357B" w:rsidRPr="003E3D1E" w:rsidRDefault="00DC357B" w:rsidP="003842E5">
      <w:pPr>
        <w:jc w:val="both"/>
      </w:pPr>
    </w:p>
    <w:p w14:paraId="71F62A77" w14:textId="77777777" w:rsidR="00BD14DA" w:rsidRPr="003E3D1E" w:rsidRDefault="00BD14DA" w:rsidP="005B09B3">
      <w:pPr>
        <w:jc w:val="both"/>
      </w:pPr>
    </w:p>
    <w:p w14:paraId="0BC80DFF" w14:textId="136AE1EA" w:rsidR="00E13F1E" w:rsidRPr="003E3D1E" w:rsidRDefault="00E243A0" w:rsidP="003842E5">
      <w:pPr>
        <w:jc w:val="center"/>
        <w:rPr>
          <w:b/>
        </w:rPr>
      </w:pPr>
      <w:r w:rsidRPr="003E3D1E">
        <w:rPr>
          <w:b/>
        </w:rPr>
        <w:t>V</w:t>
      </w:r>
      <w:r w:rsidR="00E13F1E" w:rsidRPr="003E3D1E">
        <w:rPr>
          <w:b/>
        </w:rPr>
        <w:t>.</w:t>
      </w:r>
    </w:p>
    <w:p w14:paraId="14CD9F5E" w14:textId="77777777" w:rsidR="005B09B3" w:rsidRPr="003E3D1E" w:rsidRDefault="005B09B3" w:rsidP="005C06B6">
      <w:pPr>
        <w:jc w:val="both"/>
      </w:pPr>
    </w:p>
    <w:p w14:paraId="2F67A7AD" w14:textId="72647B6A" w:rsidR="00B50BB3" w:rsidRPr="003E3D1E" w:rsidRDefault="00B50BB3" w:rsidP="00B50BB3">
      <w:pPr>
        <w:jc w:val="both"/>
      </w:pPr>
      <w:r w:rsidRPr="003E3D1E">
        <w:t xml:space="preserve">Zadužuju se Ministarstvo </w:t>
      </w:r>
      <w:r w:rsidR="00044298" w:rsidRPr="003E3D1E">
        <w:t>gospodarstva</w:t>
      </w:r>
      <w:r w:rsidRPr="003E3D1E">
        <w:t xml:space="preserve"> i</w:t>
      </w:r>
      <w:r w:rsidR="00B64339" w:rsidRPr="003E3D1E">
        <w:t xml:space="preserve"> </w:t>
      </w:r>
      <w:r w:rsidR="009022CD">
        <w:t xml:space="preserve">društvo </w:t>
      </w:r>
      <w:r w:rsidR="00044298" w:rsidRPr="003E3D1E">
        <w:t xml:space="preserve">HRVATSKA ELEKTROPRIVREDA d.d. </w:t>
      </w:r>
      <w:r w:rsidR="00B71351">
        <w:t xml:space="preserve">da </w:t>
      </w:r>
      <w:r w:rsidR="00B64339" w:rsidRPr="003E3D1E">
        <w:t>o</w:t>
      </w:r>
      <w:r w:rsidR="000534E2" w:rsidRPr="003E3D1E">
        <w:t>v</w:t>
      </w:r>
      <w:r w:rsidR="00B64339" w:rsidRPr="003E3D1E">
        <w:t>u Odluku</w:t>
      </w:r>
      <w:r w:rsidR="000534E2" w:rsidRPr="003E3D1E">
        <w:t xml:space="preserve"> </w:t>
      </w:r>
      <w:r w:rsidRPr="003E3D1E">
        <w:t>prove</w:t>
      </w:r>
      <w:r w:rsidR="00B71351">
        <w:t>du</w:t>
      </w:r>
      <w:r w:rsidRPr="003E3D1E">
        <w:t xml:space="preserve"> </w:t>
      </w:r>
      <w:r w:rsidR="000534E2" w:rsidRPr="003E3D1E">
        <w:t>u svojim</w:t>
      </w:r>
      <w:r w:rsidRPr="003E3D1E">
        <w:t xml:space="preserve"> poslovnim knjigama. </w:t>
      </w:r>
    </w:p>
    <w:p w14:paraId="3698591C" w14:textId="77777777" w:rsidR="005B09B3" w:rsidRPr="003E3D1E" w:rsidRDefault="005B09B3" w:rsidP="003842E5">
      <w:pPr>
        <w:ind w:firstLine="1416"/>
        <w:jc w:val="both"/>
      </w:pPr>
    </w:p>
    <w:p w14:paraId="0D9F6908" w14:textId="06697DF7" w:rsidR="002546E5" w:rsidRPr="003E3D1E" w:rsidRDefault="00DA5E8F" w:rsidP="003842E5">
      <w:pPr>
        <w:jc w:val="center"/>
        <w:outlineLvl w:val="0"/>
        <w:rPr>
          <w:b/>
        </w:rPr>
      </w:pPr>
      <w:r w:rsidRPr="003E3D1E">
        <w:rPr>
          <w:b/>
        </w:rPr>
        <w:t>V</w:t>
      </w:r>
      <w:r w:rsidR="008F3D07">
        <w:rPr>
          <w:b/>
        </w:rPr>
        <w:t>I</w:t>
      </w:r>
      <w:r w:rsidR="002546E5" w:rsidRPr="003E3D1E">
        <w:rPr>
          <w:b/>
        </w:rPr>
        <w:t>.</w:t>
      </w:r>
    </w:p>
    <w:p w14:paraId="378D13ED" w14:textId="77777777" w:rsidR="00A62171" w:rsidRPr="003E3D1E" w:rsidRDefault="00A62171" w:rsidP="003842E5">
      <w:pPr>
        <w:jc w:val="center"/>
        <w:outlineLvl w:val="0"/>
        <w:rPr>
          <w:b/>
        </w:rPr>
      </w:pPr>
    </w:p>
    <w:p w14:paraId="3A423188" w14:textId="77777777" w:rsidR="00B50BB3" w:rsidRPr="003E3D1E" w:rsidRDefault="00B50BB3" w:rsidP="00F95733">
      <w:pPr>
        <w:jc w:val="both"/>
        <w:outlineLvl w:val="0"/>
      </w:pPr>
      <w:r w:rsidRPr="003E3D1E">
        <w:t>Ova Odluka stupa na snagu danom donošenja.</w:t>
      </w:r>
    </w:p>
    <w:p w14:paraId="1872FE5C" w14:textId="77777777" w:rsidR="00B50BB3" w:rsidRPr="003E3D1E" w:rsidRDefault="00B50BB3" w:rsidP="00B50BB3">
      <w:pPr>
        <w:jc w:val="both"/>
      </w:pPr>
    </w:p>
    <w:p w14:paraId="0E94BBA2" w14:textId="77777777" w:rsidR="005C06B6" w:rsidRPr="003E3D1E" w:rsidRDefault="005C06B6" w:rsidP="00024F28">
      <w:pPr>
        <w:jc w:val="both"/>
      </w:pPr>
    </w:p>
    <w:p w14:paraId="7AEEEFC5" w14:textId="77777777" w:rsidR="005B09B3" w:rsidRPr="003E3D1E" w:rsidRDefault="005B09B3" w:rsidP="003842E5">
      <w:pPr>
        <w:jc w:val="both"/>
        <w:outlineLvl w:val="0"/>
      </w:pPr>
    </w:p>
    <w:p w14:paraId="3B714211" w14:textId="77777777" w:rsidR="00B50BB3" w:rsidRPr="003E3D1E" w:rsidRDefault="00B50BB3" w:rsidP="003842E5">
      <w:pPr>
        <w:jc w:val="both"/>
        <w:outlineLvl w:val="0"/>
      </w:pPr>
    </w:p>
    <w:p w14:paraId="0300566E" w14:textId="77777777" w:rsidR="00A62171" w:rsidRPr="003E3D1E" w:rsidRDefault="00A62171" w:rsidP="003842E5">
      <w:pPr>
        <w:jc w:val="both"/>
      </w:pPr>
    </w:p>
    <w:p w14:paraId="3F005BAE" w14:textId="77777777" w:rsidR="002546E5" w:rsidRPr="003E3D1E" w:rsidRDefault="002546E5" w:rsidP="003842E5">
      <w:pPr>
        <w:jc w:val="both"/>
      </w:pPr>
      <w:r w:rsidRPr="003E3D1E">
        <w:t>Klasa:</w:t>
      </w:r>
    </w:p>
    <w:p w14:paraId="0BC9F204" w14:textId="77777777" w:rsidR="002546E5" w:rsidRPr="003E3D1E" w:rsidRDefault="002546E5" w:rsidP="003842E5">
      <w:pPr>
        <w:jc w:val="both"/>
      </w:pPr>
      <w:proofErr w:type="spellStart"/>
      <w:r w:rsidRPr="003E3D1E">
        <w:t>Urbroj</w:t>
      </w:r>
      <w:proofErr w:type="spellEnd"/>
      <w:r w:rsidRPr="003E3D1E">
        <w:t>:</w:t>
      </w:r>
    </w:p>
    <w:tbl>
      <w:tblPr>
        <w:tblpPr w:leftFromText="180" w:rightFromText="180" w:vertAnchor="text" w:horzAnchor="margin" w:tblpXSpec="right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5"/>
      </w:tblGrid>
      <w:tr w:rsidR="003E3D1E" w:rsidRPr="003E3D1E" w14:paraId="47A519DC" w14:textId="77777777" w:rsidTr="005C06B6"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638BA" w14:textId="77777777" w:rsidR="005C06B6" w:rsidRPr="003E3D1E" w:rsidRDefault="005C06B6" w:rsidP="005C06B6">
            <w:pPr>
              <w:jc w:val="center"/>
            </w:pPr>
            <w:r w:rsidRPr="003E3D1E">
              <w:t>PREDSJEDNIK</w:t>
            </w:r>
          </w:p>
          <w:p w14:paraId="4FCB1707" w14:textId="77777777" w:rsidR="005C06B6" w:rsidRPr="003E3D1E" w:rsidRDefault="005C06B6" w:rsidP="005C06B6">
            <w:pPr>
              <w:jc w:val="center"/>
            </w:pPr>
          </w:p>
          <w:p w14:paraId="3D3F511E" w14:textId="77777777" w:rsidR="005C06B6" w:rsidRPr="003E3D1E" w:rsidRDefault="005C06B6" w:rsidP="005C06B6">
            <w:pPr>
              <w:jc w:val="center"/>
            </w:pPr>
            <w:r w:rsidRPr="003E3D1E">
              <w:t xml:space="preserve">mr. </w:t>
            </w:r>
            <w:proofErr w:type="spellStart"/>
            <w:r w:rsidRPr="003E3D1E">
              <w:t>sc</w:t>
            </w:r>
            <w:proofErr w:type="spellEnd"/>
            <w:r w:rsidRPr="003E3D1E">
              <w:t>. Andrej Plenković</w:t>
            </w:r>
          </w:p>
          <w:p w14:paraId="4117C31D" w14:textId="77777777" w:rsidR="005C06B6" w:rsidRPr="003E3D1E" w:rsidRDefault="005C06B6" w:rsidP="005C06B6">
            <w:pPr>
              <w:jc w:val="center"/>
            </w:pPr>
          </w:p>
        </w:tc>
      </w:tr>
    </w:tbl>
    <w:p w14:paraId="23DDDD19" w14:textId="77777777" w:rsidR="00F07ABC" w:rsidRPr="003E3D1E" w:rsidRDefault="00F07ABC" w:rsidP="003842E5">
      <w:pPr>
        <w:jc w:val="both"/>
      </w:pPr>
    </w:p>
    <w:p w14:paraId="1177C933" w14:textId="77777777" w:rsidR="002546E5" w:rsidRPr="003E3D1E" w:rsidRDefault="002546E5" w:rsidP="003842E5">
      <w:pPr>
        <w:jc w:val="both"/>
      </w:pPr>
      <w:r w:rsidRPr="003E3D1E">
        <w:t>Zagreb,</w:t>
      </w:r>
    </w:p>
    <w:p w14:paraId="3B6E5716" w14:textId="77777777" w:rsidR="00BD14DA" w:rsidRPr="003E3D1E" w:rsidRDefault="00BD14DA" w:rsidP="003842E5">
      <w:pPr>
        <w:jc w:val="both"/>
      </w:pPr>
    </w:p>
    <w:p w14:paraId="130FAB41" w14:textId="77777777" w:rsidR="00BD14DA" w:rsidRPr="003E3D1E" w:rsidRDefault="00BD14DA" w:rsidP="003842E5">
      <w:pPr>
        <w:jc w:val="both"/>
      </w:pPr>
    </w:p>
    <w:p w14:paraId="5B29A24C" w14:textId="77777777" w:rsidR="00BD14DA" w:rsidRPr="003E3D1E" w:rsidRDefault="00BD14DA" w:rsidP="003842E5">
      <w:pPr>
        <w:jc w:val="both"/>
      </w:pPr>
    </w:p>
    <w:p w14:paraId="67441499" w14:textId="77777777" w:rsidR="00E2193C" w:rsidRPr="003E3D1E" w:rsidRDefault="00E2193C" w:rsidP="003842E5">
      <w:pPr>
        <w:jc w:val="both"/>
      </w:pPr>
    </w:p>
    <w:p w14:paraId="39D72D5D" w14:textId="77777777" w:rsidR="005A770B" w:rsidRPr="003E3D1E" w:rsidRDefault="005A770B" w:rsidP="005A770B">
      <w:pPr>
        <w:pStyle w:val="NormalWeb"/>
      </w:pPr>
    </w:p>
    <w:p w14:paraId="0EF42553" w14:textId="77777777" w:rsidR="00BD14DA" w:rsidRPr="003E3D1E" w:rsidRDefault="00BD14DA" w:rsidP="005A770B">
      <w:pPr>
        <w:pStyle w:val="NormalWeb"/>
      </w:pPr>
    </w:p>
    <w:p w14:paraId="4748A124" w14:textId="77777777" w:rsidR="00BD14DA" w:rsidRPr="003E3D1E" w:rsidRDefault="00BD14DA" w:rsidP="005A770B">
      <w:pPr>
        <w:pStyle w:val="NormalWeb"/>
      </w:pPr>
    </w:p>
    <w:p w14:paraId="485AC090" w14:textId="77777777" w:rsidR="00BD14DA" w:rsidRPr="003E3D1E" w:rsidRDefault="00BD14DA" w:rsidP="005A770B">
      <w:pPr>
        <w:pStyle w:val="NormalWeb"/>
      </w:pPr>
    </w:p>
    <w:p w14:paraId="5C9A3006" w14:textId="77777777" w:rsidR="00BD14DA" w:rsidRPr="003E3D1E" w:rsidRDefault="00BD14DA" w:rsidP="005A770B">
      <w:pPr>
        <w:pStyle w:val="NormalWeb"/>
      </w:pPr>
    </w:p>
    <w:p w14:paraId="22313C9C" w14:textId="77777777" w:rsidR="00BD14DA" w:rsidRPr="003E3D1E" w:rsidRDefault="00BD14DA" w:rsidP="005A770B">
      <w:pPr>
        <w:pStyle w:val="NormalWeb"/>
      </w:pPr>
    </w:p>
    <w:p w14:paraId="55EEEBC3" w14:textId="77777777" w:rsidR="00BD14DA" w:rsidRPr="003E3D1E" w:rsidRDefault="00BD14DA" w:rsidP="005A770B">
      <w:pPr>
        <w:pStyle w:val="NormalWeb"/>
      </w:pPr>
    </w:p>
    <w:p w14:paraId="49D76F6E" w14:textId="77777777" w:rsidR="00BD14DA" w:rsidRPr="003E3D1E" w:rsidRDefault="00BD14DA" w:rsidP="005A770B">
      <w:pPr>
        <w:pStyle w:val="NormalWeb"/>
      </w:pPr>
    </w:p>
    <w:p w14:paraId="42340113" w14:textId="77777777" w:rsidR="00D207F8" w:rsidRPr="003E3D1E" w:rsidRDefault="00D207F8" w:rsidP="005A770B">
      <w:pPr>
        <w:pStyle w:val="NormalWeb"/>
      </w:pPr>
    </w:p>
    <w:p w14:paraId="04A97110" w14:textId="77777777" w:rsidR="001A65E6" w:rsidRPr="003E3D1E" w:rsidRDefault="001A65E6" w:rsidP="005C06B6">
      <w:pPr>
        <w:pStyle w:val="NormalWeb"/>
        <w:jc w:val="center"/>
        <w:rPr>
          <w:b/>
        </w:rPr>
      </w:pPr>
    </w:p>
    <w:p w14:paraId="3D02FF17" w14:textId="77777777" w:rsidR="001A65E6" w:rsidRPr="003E3D1E" w:rsidRDefault="001A65E6" w:rsidP="005C06B6">
      <w:pPr>
        <w:pStyle w:val="NormalWeb"/>
        <w:jc w:val="center"/>
        <w:rPr>
          <w:b/>
        </w:rPr>
      </w:pPr>
    </w:p>
    <w:p w14:paraId="3A581DAA" w14:textId="77777777" w:rsidR="001A65E6" w:rsidRPr="003E3D1E" w:rsidRDefault="001A65E6" w:rsidP="005C06B6">
      <w:pPr>
        <w:pStyle w:val="NormalWeb"/>
        <w:jc w:val="center"/>
        <w:rPr>
          <w:b/>
        </w:rPr>
      </w:pPr>
    </w:p>
    <w:p w14:paraId="26337FB0" w14:textId="77777777" w:rsidR="001A65E6" w:rsidRPr="003E3D1E" w:rsidRDefault="001A65E6" w:rsidP="005C06B6">
      <w:pPr>
        <w:pStyle w:val="NormalWeb"/>
        <w:jc w:val="center"/>
        <w:rPr>
          <w:b/>
        </w:rPr>
      </w:pPr>
    </w:p>
    <w:p w14:paraId="0ED8928E" w14:textId="77777777" w:rsidR="001A65E6" w:rsidRPr="003E3D1E" w:rsidRDefault="001A65E6" w:rsidP="005C06B6">
      <w:pPr>
        <w:pStyle w:val="NormalWeb"/>
        <w:jc w:val="center"/>
        <w:rPr>
          <w:b/>
        </w:rPr>
      </w:pPr>
    </w:p>
    <w:p w14:paraId="7C473F6E" w14:textId="77777777" w:rsidR="001A65E6" w:rsidRPr="003E3D1E" w:rsidRDefault="001A65E6" w:rsidP="005C06B6">
      <w:pPr>
        <w:pStyle w:val="NormalWeb"/>
        <w:jc w:val="center"/>
        <w:rPr>
          <w:b/>
        </w:rPr>
      </w:pPr>
    </w:p>
    <w:p w14:paraId="0096C32F" w14:textId="77777777" w:rsidR="001A65E6" w:rsidRPr="003E3D1E" w:rsidRDefault="001A65E6" w:rsidP="005C06B6">
      <w:pPr>
        <w:pStyle w:val="NormalWeb"/>
        <w:jc w:val="center"/>
        <w:rPr>
          <w:b/>
        </w:rPr>
      </w:pPr>
    </w:p>
    <w:p w14:paraId="23141A29" w14:textId="77777777" w:rsidR="001A65E6" w:rsidRPr="003E3D1E" w:rsidRDefault="001A65E6" w:rsidP="005C06B6">
      <w:pPr>
        <w:pStyle w:val="NormalWeb"/>
        <w:jc w:val="center"/>
        <w:rPr>
          <w:b/>
        </w:rPr>
      </w:pPr>
    </w:p>
    <w:p w14:paraId="0A3AE3DB" w14:textId="77777777" w:rsidR="001A65E6" w:rsidRPr="003E3D1E" w:rsidRDefault="001A65E6" w:rsidP="005C06B6">
      <w:pPr>
        <w:pStyle w:val="NormalWeb"/>
        <w:jc w:val="center"/>
        <w:rPr>
          <w:b/>
        </w:rPr>
      </w:pPr>
    </w:p>
    <w:p w14:paraId="51133E04" w14:textId="77777777" w:rsidR="001A65E6" w:rsidRPr="003E3D1E" w:rsidRDefault="001A65E6" w:rsidP="005C06B6">
      <w:pPr>
        <w:pStyle w:val="NormalWeb"/>
        <w:jc w:val="center"/>
        <w:rPr>
          <w:b/>
        </w:rPr>
      </w:pPr>
    </w:p>
    <w:p w14:paraId="601A1356" w14:textId="79C9E2EB" w:rsidR="005A770B" w:rsidRPr="003E3D1E" w:rsidRDefault="005A770B" w:rsidP="005C06B6">
      <w:pPr>
        <w:pStyle w:val="NormalWeb"/>
        <w:jc w:val="center"/>
        <w:rPr>
          <w:b/>
        </w:rPr>
      </w:pPr>
      <w:r w:rsidRPr="003E3D1E">
        <w:rPr>
          <w:b/>
        </w:rPr>
        <w:t>OBRAZLOŽENJE</w:t>
      </w:r>
    </w:p>
    <w:p w14:paraId="48696B33" w14:textId="0F42502F" w:rsidR="00C94DCD" w:rsidRPr="003E3D1E" w:rsidRDefault="00C94DCD" w:rsidP="005C06B6">
      <w:pPr>
        <w:pStyle w:val="NormalWeb"/>
        <w:jc w:val="center"/>
        <w:rPr>
          <w:b/>
        </w:rPr>
      </w:pPr>
    </w:p>
    <w:p w14:paraId="7E0AC794" w14:textId="7E9774EB" w:rsidR="00C94DCD" w:rsidRPr="003E3D1E" w:rsidRDefault="00C94DCD" w:rsidP="005C06B6">
      <w:pPr>
        <w:pStyle w:val="NormalWeb"/>
        <w:jc w:val="center"/>
        <w:rPr>
          <w:b/>
        </w:rPr>
      </w:pPr>
    </w:p>
    <w:p w14:paraId="136D5AD4" w14:textId="77777777" w:rsidR="00C94DCD" w:rsidRPr="003E3D1E" w:rsidRDefault="00C94DCD" w:rsidP="005C06B6">
      <w:pPr>
        <w:pStyle w:val="NormalWeb"/>
        <w:jc w:val="center"/>
        <w:rPr>
          <w:b/>
        </w:rPr>
      </w:pPr>
    </w:p>
    <w:p w14:paraId="1D62CEC2" w14:textId="71D85A79" w:rsidR="00713B8E" w:rsidRPr="003E3D1E" w:rsidRDefault="00713B8E" w:rsidP="00713B8E">
      <w:pPr>
        <w:jc w:val="both"/>
      </w:pPr>
      <w:r w:rsidRPr="003E3D1E">
        <w:t xml:space="preserve">Dana 24. srpnja 2006. godine  između Vlade Republike Hrvatske i Vlade Ruske Federacije potpisan Sporazum o reguliranju obveza bivšeg SSSR-a prema Republici Hrvatskoj (klirinški dug)  </w:t>
      </w:r>
      <w:r w:rsidR="007B0C66" w:rsidRPr="007B0C66">
        <w:t xml:space="preserve">(„Narodne novine – Međunarodni ugovori“, broj 7/07.)  </w:t>
      </w:r>
      <w:r w:rsidRPr="003E3D1E">
        <w:t>kojim su definirane  isporuke roba i usluga iz Ruske Federacije u Republiku Hrvatsku</w:t>
      </w:r>
      <w:r w:rsidR="001A65E6" w:rsidRPr="003E3D1E">
        <w:t>.</w:t>
      </w:r>
    </w:p>
    <w:p w14:paraId="72A29B33" w14:textId="77777777" w:rsidR="00713B8E" w:rsidRPr="003E3D1E" w:rsidRDefault="00713B8E" w:rsidP="00713B8E">
      <w:pPr>
        <w:jc w:val="both"/>
      </w:pPr>
    </w:p>
    <w:p w14:paraId="57712061" w14:textId="06CF42FF" w:rsidR="00713B8E" w:rsidRPr="003E3D1E" w:rsidRDefault="00713B8E" w:rsidP="00713B8E">
      <w:pPr>
        <w:tabs>
          <w:tab w:val="left" w:pos="-540"/>
        </w:tabs>
        <w:jc w:val="both"/>
      </w:pPr>
      <w:r w:rsidRPr="003E3D1E">
        <w:t>U svrhu provedbe članka 3. stav</w:t>
      </w:r>
      <w:r w:rsidR="005D6EAE">
        <w:t>ka</w:t>
      </w:r>
      <w:r w:rsidRPr="003E3D1E">
        <w:t xml:space="preserve"> 4. </w:t>
      </w:r>
      <w:r w:rsidR="007B0C66">
        <w:t xml:space="preserve">navedenog </w:t>
      </w:r>
      <w:r w:rsidRPr="003E3D1E">
        <w:t>Sporazuma,</w:t>
      </w:r>
      <w:r w:rsidR="005D6EAE">
        <w:t xml:space="preserve"> </w:t>
      </w:r>
      <w:r w:rsidRPr="003E3D1E">
        <w:t xml:space="preserve">29. prosinca 2006. </w:t>
      </w:r>
      <w:r w:rsidR="00B71351">
        <w:t xml:space="preserve">potpisan je </w:t>
      </w:r>
      <w:r w:rsidR="00B71351" w:rsidRPr="00B71351">
        <w:t>Protokol između Ministarstva financija Republike Hrvatske i Ministarstva financija Ruske Federacije, Ministarstva gospodarskog razvitka i trgovine Ruske Federacije o utvrđivanju popisa roba i usluga koje će se isporučiti na račun podmirivanja duga Ruske Federacije prema Republici Hrvatskoj</w:t>
      </w:r>
      <w:r w:rsidRPr="003E3D1E">
        <w:t>, među kojima je navedena i oprema za izgradnju termoelektrana u Republici Hrvatskoj (TE Sisak) – izgradnja  bloka „C“ TE Sisak</w:t>
      </w:r>
      <w:r w:rsidR="007B0C66">
        <w:t xml:space="preserve">, </w:t>
      </w:r>
      <w:r w:rsidRPr="003E3D1E">
        <w:t xml:space="preserve"> u iznosu od USD 120.450.000,00.</w:t>
      </w:r>
    </w:p>
    <w:p w14:paraId="29F407F3" w14:textId="77777777" w:rsidR="00713B8E" w:rsidRPr="003E3D1E" w:rsidRDefault="00713B8E" w:rsidP="00713B8E">
      <w:pPr>
        <w:jc w:val="both"/>
      </w:pPr>
    </w:p>
    <w:p w14:paraId="11E1CB00" w14:textId="5849D2BA" w:rsidR="00713B8E" w:rsidRPr="003E3D1E" w:rsidRDefault="00D028AA" w:rsidP="00713B8E">
      <w:pPr>
        <w:jc w:val="both"/>
      </w:pPr>
      <w:r>
        <w:t xml:space="preserve">Odlukama </w:t>
      </w:r>
      <w:r w:rsidR="00713B8E" w:rsidRPr="003E3D1E">
        <w:t>Vlad</w:t>
      </w:r>
      <w:r>
        <w:t>e</w:t>
      </w:r>
      <w:r w:rsidR="00713B8E" w:rsidRPr="003E3D1E">
        <w:t xml:space="preserve"> Republike Hrvatske</w:t>
      </w:r>
      <w:r>
        <w:t xml:space="preserve"> iz 2004. i 2005. ustanovljeno je da će se sredstva iz klirinškog duga, </w:t>
      </w:r>
      <w:proofErr w:type="spellStart"/>
      <w:r>
        <w:t>međuostalim</w:t>
      </w:r>
      <w:proofErr w:type="spellEnd"/>
      <w:r>
        <w:t xml:space="preserve">, koristiti za </w:t>
      </w:r>
      <w:r w:rsidR="00C824C9">
        <w:t xml:space="preserve">nabavku </w:t>
      </w:r>
      <w:proofErr w:type="spellStart"/>
      <w:r w:rsidR="00C824C9">
        <w:t>operma</w:t>
      </w:r>
      <w:proofErr w:type="spellEnd"/>
      <w:r w:rsidR="00C824C9">
        <w:t xml:space="preserve"> za </w:t>
      </w:r>
      <w:r>
        <w:t>modernizaciju termo</w:t>
      </w:r>
      <w:r w:rsidR="00C824C9">
        <w:t>elektrana Sisak i Osijek.</w:t>
      </w:r>
      <w:r w:rsidR="00713B8E" w:rsidRPr="003E3D1E">
        <w:t xml:space="preserve"> </w:t>
      </w:r>
      <w:r w:rsidR="00C824C9">
        <w:t xml:space="preserve">Hrvatska elektroprivreda d.d. kroz svoje povezano društvo HEP Proizvodnju d.o.o. korisnik je klirinškog duga temeljem </w:t>
      </w:r>
      <w:r w:rsidR="00C824C9" w:rsidRPr="00C824C9">
        <w:t>Ugovor</w:t>
      </w:r>
      <w:r w:rsidR="00C824C9">
        <w:t>a</w:t>
      </w:r>
      <w:r w:rsidR="00C824C9" w:rsidRPr="00C824C9">
        <w:t xml:space="preserve"> broj 25/101/07 između TEHNOPROMEXPORTA i HEP Proizvodnje d.o.o. od 17. rujna 2007. godine za isporuku energetskog otoka Bloka C Termoelektrane Sisak u vrijednosti od USD 105.000.000,00 te dodatku V Ugovoru između TEHNOPROMEXPORTA i HEP Proizvodnje d.o.o. od 14.04.2011. kojim se regulira plaćanje iz kliringa USD 15.450.000,00</w:t>
      </w:r>
      <w:r w:rsidR="00C824C9">
        <w:t>, odnosno ukupnog iznosa od USD 120.450.000,00</w:t>
      </w:r>
      <w:r w:rsidR="00C824C9" w:rsidRPr="00C824C9">
        <w:t xml:space="preserve"> </w:t>
      </w:r>
      <w:r w:rsidR="00713B8E" w:rsidRPr="003E3D1E">
        <w:t>te je iz tog razloga potrebno regulirati obveze Hrvatske elektroprivrede d.d. prema Republici Hrvatskoj.</w:t>
      </w:r>
    </w:p>
    <w:p w14:paraId="1E356AB0" w14:textId="77777777" w:rsidR="00713B8E" w:rsidRPr="003E3D1E" w:rsidRDefault="00713B8E" w:rsidP="00713B8E">
      <w:pPr>
        <w:jc w:val="both"/>
      </w:pPr>
    </w:p>
    <w:p w14:paraId="5B52F38A" w14:textId="0271A08B" w:rsidR="00C66868" w:rsidRDefault="00713B8E" w:rsidP="00C66868">
      <w:pPr>
        <w:jc w:val="both"/>
        <w:rPr>
          <w:bCs/>
        </w:rPr>
      </w:pPr>
      <w:r w:rsidRPr="003E3D1E">
        <w:rPr>
          <w:bCs/>
        </w:rPr>
        <w:t>Republika Hrvatska, Ministarstvo gospodarstva</w:t>
      </w:r>
      <w:r w:rsidR="001A65E6" w:rsidRPr="003E3D1E">
        <w:rPr>
          <w:bCs/>
        </w:rPr>
        <w:t xml:space="preserve"> </w:t>
      </w:r>
      <w:r w:rsidRPr="003E3D1E">
        <w:rPr>
          <w:bCs/>
        </w:rPr>
        <w:t xml:space="preserve">duguje društvu HRVATSKA ELEKTROPRIVREDA d.d.  iznos od   </w:t>
      </w:r>
      <w:r w:rsidR="00CE6BFE" w:rsidRPr="003E3D1E">
        <w:rPr>
          <w:bCs/>
        </w:rPr>
        <w:t>114.040.901,34 EUR</w:t>
      </w:r>
      <w:r w:rsidR="00CE6BFE" w:rsidRPr="003E3D1E">
        <w:t xml:space="preserve">  </w:t>
      </w:r>
      <w:r w:rsidRPr="003E3D1E">
        <w:rPr>
          <w:bCs/>
        </w:rPr>
        <w:t xml:space="preserve">s osnove nadoknada razlike za toplinsku energiju temeljem </w:t>
      </w:r>
      <w:r w:rsidR="00D53077" w:rsidRPr="00D53077">
        <w:rPr>
          <w:bCs/>
        </w:rPr>
        <w:t>Uredbe o otklanjanju poremećaja na domaćem tržištu energije („NN”, br.  104/22, 106/22</w:t>
      </w:r>
      <w:r w:rsidR="00C66868">
        <w:rPr>
          <w:bCs/>
        </w:rPr>
        <w:t xml:space="preserve">, </w:t>
      </w:r>
      <w:r w:rsidR="00D53077" w:rsidRPr="00D53077">
        <w:rPr>
          <w:bCs/>
        </w:rPr>
        <w:t>121/22</w:t>
      </w:r>
      <w:r w:rsidR="00C66868">
        <w:rPr>
          <w:bCs/>
        </w:rPr>
        <w:t xml:space="preserve"> i 156/22</w:t>
      </w:r>
      <w:r w:rsidR="00D53077" w:rsidRPr="00D53077">
        <w:rPr>
          <w:bCs/>
        </w:rPr>
        <w:t>)</w:t>
      </w:r>
      <w:r w:rsidR="00D53077">
        <w:rPr>
          <w:bCs/>
        </w:rPr>
        <w:t xml:space="preserve"> za razdoblje od 1.10.2022. do 31.9.2023.</w:t>
      </w:r>
      <w:r w:rsidRPr="003E3D1E">
        <w:rPr>
          <w:bCs/>
        </w:rPr>
        <w:t xml:space="preserve"> </w:t>
      </w:r>
      <w:r w:rsidR="00D53077">
        <w:rPr>
          <w:bCs/>
        </w:rPr>
        <w:t>te</w:t>
      </w:r>
      <w:r w:rsidR="00D53077" w:rsidRPr="00D53077">
        <w:t xml:space="preserve"> </w:t>
      </w:r>
      <w:r w:rsidR="00D53077" w:rsidRPr="00D53077">
        <w:rPr>
          <w:bCs/>
        </w:rPr>
        <w:t>Uredbe o otklanjanju poremećaja na domaćem tržištu („NN”, br.  31/23., 74/23., 107/23., 122/23., 32/24, 104/24 i 132/24)</w:t>
      </w:r>
      <w:r w:rsidR="00D53077">
        <w:rPr>
          <w:bCs/>
        </w:rPr>
        <w:t xml:space="preserve">, </w:t>
      </w:r>
      <w:r w:rsidRPr="003E3D1E">
        <w:rPr>
          <w:bCs/>
        </w:rPr>
        <w:t>a sve u skladu sa sklopljenim Ugovorom o ustupu potraživanja između HEP d.d. i HEP-Toplinarstvo d.o.o.</w:t>
      </w:r>
      <w:r w:rsidR="00C66868">
        <w:rPr>
          <w:bCs/>
        </w:rPr>
        <w:t xml:space="preserve"> </w:t>
      </w:r>
    </w:p>
    <w:p w14:paraId="336444EB" w14:textId="77777777" w:rsidR="00C66868" w:rsidRDefault="00C66868" w:rsidP="00C66868">
      <w:pPr>
        <w:jc w:val="both"/>
        <w:rPr>
          <w:bCs/>
        </w:rPr>
      </w:pPr>
    </w:p>
    <w:p w14:paraId="2290C6AB" w14:textId="492C2D6A" w:rsidR="00C66868" w:rsidRPr="00C66868" w:rsidRDefault="00C66868" w:rsidP="00C66868">
      <w:pPr>
        <w:jc w:val="both"/>
        <w:rPr>
          <w:bCs/>
        </w:rPr>
      </w:pPr>
      <w:r>
        <w:t xml:space="preserve">Iznos međusobnog prijeboja, iznosi 114.040.901,34 </w:t>
      </w:r>
      <w:r w:rsidR="005D6EAE">
        <w:t>eura</w:t>
      </w:r>
      <w:r>
        <w:t xml:space="preserve">, a s </w:t>
      </w:r>
      <w:bookmarkStart w:id="2" w:name="_GoBack"/>
      <w:bookmarkEnd w:id="2"/>
      <w:r>
        <w:t>o</w:t>
      </w:r>
      <w:r w:rsidR="005D6EAE">
        <w:t>b</w:t>
      </w:r>
      <w:r>
        <w:t>zirom</w:t>
      </w:r>
      <w:r w:rsidR="005D6EAE">
        <w:t xml:space="preserve"> na to</w:t>
      </w:r>
      <w:r>
        <w:t xml:space="preserve"> kako su obveze MINGO-a, temeljem izračuna HERA-e, prema društvu HEP d.d. s osnove nadoknada razlike za toplinsku energiju u iznosu od 132.896.568,19 </w:t>
      </w:r>
      <w:r w:rsidR="005D6EAE">
        <w:t>eura</w:t>
      </w:r>
      <w:r>
        <w:t xml:space="preserve">, nakon izvršenja prijeboja potrebno je društvu HEP dodatno isplatiti 18.855.666,85 </w:t>
      </w:r>
      <w:r w:rsidR="005D6EAE">
        <w:t>eura</w:t>
      </w:r>
      <w:r>
        <w:t xml:space="preserve"> po razlici u prijeboju klirinškog duga i to sve za navedeni period u kojem je energija isporučivana krajnjim kupcima toplinske </w:t>
      </w:r>
      <w:proofErr w:type="spellStart"/>
      <w:r>
        <w:t>enrgije</w:t>
      </w:r>
      <w:proofErr w:type="spellEnd"/>
      <w:r>
        <w:t xml:space="preserve"> u periodu </w:t>
      </w:r>
      <w:r w:rsidRPr="00C66868">
        <w:t>od 1.10.2022. do 31.9.2023.</w:t>
      </w:r>
      <w:r>
        <w:t xml:space="preserve"> </w:t>
      </w:r>
    </w:p>
    <w:p w14:paraId="01BA7C0A" w14:textId="28B4B015" w:rsidR="00713B8E" w:rsidRPr="003E3D1E" w:rsidRDefault="00713B8E" w:rsidP="00713B8E">
      <w:pPr>
        <w:jc w:val="both"/>
        <w:rPr>
          <w:bCs/>
        </w:rPr>
      </w:pPr>
      <w:r w:rsidRPr="003E3D1E">
        <w:rPr>
          <w:bCs/>
        </w:rPr>
        <w:t xml:space="preserve">        </w:t>
      </w:r>
    </w:p>
    <w:p w14:paraId="6843DDF6" w14:textId="10C065E8" w:rsidR="00432F53" w:rsidRPr="003E3D1E" w:rsidRDefault="00432F53" w:rsidP="00432F53">
      <w:pPr>
        <w:jc w:val="both"/>
      </w:pPr>
      <w:r w:rsidRPr="003E3D1E">
        <w:t xml:space="preserve">Ovom Odlukom daje se suglasnost </w:t>
      </w:r>
      <w:r w:rsidR="00122BF7">
        <w:t>ministru</w:t>
      </w:r>
      <w:r w:rsidRPr="003E3D1E">
        <w:t xml:space="preserve"> gospodarstva da s društvom HRVATSKA ELEKTROPRIVREDA d.d. izvrši prijeboj međusobnih potraživanja i obveza, odnosno sklopi </w:t>
      </w:r>
      <w:r w:rsidR="005D6EAE">
        <w:t>u</w:t>
      </w:r>
      <w:r w:rsidRPr="003E3D1E">
        <w:t>govor o međusobnom prijeboju</w:t>
      </w:r>
      <w:r w:rsidR="005D6EAE">
        <w:t>.</w:t>
      </w:r>
    </w:p>
    <w:p w14:paraId="06FF1C4A" w14:textId="77777777" w:rsidR="0006078A" w:rsidRDefault="0006078A" w:rsidP="0006078A"/>
    <w:p w14:paraId="4D3D111B" w14:textId="12341D5A" w:rsidR="00723C60" w:rsidRPr="00D53077" w:rsidRDefault="00723C60" w:rsidP="00D53077">
      <w:pPr>
        <w:shd w:val="clear" w:color="auto" w:fill="FFFFFF" w:themeFill="background1"/>
        <w:jc w:val="both"/>
      </w:pPr>
      <w:r w:rsidRPr="00D53077">
        <w:rPr>
          <w:sz w:val="23"/>
          <w:szCs w:val="23"/>
        </w:rPr>
        <w:lastRenderedPageBreak/>
        <w:t xml:space="preserve">Ugovorne strane suglasno utvrđuju da iznos mogućih kamata na međusobna potraživanja koja se rješavaju ovim </w:t>
      </w:r>
      <w:r w:rsidR="005D6EAE">
        <w:rPr>
          <w:sz w:val="23"/>
          <w:szCs w:val="23"/>
        </w:rPr>
        <w:t>u</w:t>
      </w:r>
      <w:r w:rsidRPr="00D53077">
        <w:rPr>
          <w:sz w:val="23"/>
          <w:szCs w:val="23"/>
        </w:rPr>
        <w:t xml:space="preserve">govorom nije uključen u međusobnu kalkulaciju, u skladu s načelom jednake vrijednosti činidaba </w:t>
      </w:r>
      <w:r w:rsidR="00952279" w:rsidRPr="00D53077">
        <w:rPr>
          <w:sz w:val="23"/>
          <w:szCs w:val="23"/>
        </w:rPr>
        <w:t xml:space="preserve">temeljem </w:t>
      </w:r>
      <w:r w:rsidRPr="00D53077">
        <w:rPr>
          <w:sz w:val="23"/>
          <w:szCs w:val="23"/>
        </w:rPr>
        <w:t>Zakona o obveznim odnosima</w:t>
      </w:r>
    </w:p>
    <w:p w14:paraId="5AEBC5CE" w14:textId="77777777" w:rsidR="00723C60" w:rsidRPr="00D53077" w:rsidRDefault="00723C60" w:rsidP="00D53077">
      <w:pPr>
        <w:shd w:val="clear" w:color="auto" w:fill="FFFFFF" w:themeFill="background1"/>
        <w:jc w:val="both"/>
      </w:pPr>
    </w:p>
    <w:p w14:paraId="242495D4" w14:textId="2D2E9C7E" w:rsidR="00723C60" w:rsidRPr="00D53077" w:rsidRDefault="00723C60" w:rsidP="00D53077">
      <w:pPr>
        <w:shd w:val="clear" w:color="auto" w:fill="FFFFFF" w:themeFill="background1"/>
        <w:jc w:val="both"/>
      </w:pPr>
      <w:r w:rsidRPr="00D53077">
        <w:t xml:space="preserve">Društvo HEP d.d. nije imalo mogućnost izbora opreme za izgradnju bloka „C“ TE Sisak, a istovremeno pozivalo je na rješavanje pitanja dugovanja s osnove klirinškog duga i reguliranje tih obaveza. </w:t>
      </w:r>
      <w:r w:rsidR="009401B5" w:rsidRPr="00D53077">
        <w:t>S obzirom</w:t>
      </w:r>
      <w:r w:rsidRPr="00D53077">
        <w:t xml:space="preserve"> </w:t>
      </w:r>
      <w:r w:rsidR="005D6EAE">
        <w:t xml:space="preserve">na to </w:t>
      </w:r>
      <w:r w:rsidRPr="00D53077">
        <w:t>da je društvo u proteklom razdoblju uporabilo predmetnu opremu u svoju korist, sukladno odredba</w:t>
      </w:r>
      <w:r w:rsidR="00952279" w:rsidRPr="00D53077">
        <w:t xml:space="preserve">ma Zakona o obveznim odnosima, </w:t>
      </w:r>
      <w:r w:rsidRPr="00D53077">
        <w:t>Republika Hrvatska ima  pravo na naknadu za korištenje iste.</w:t>
      </w:r>
    </w:p>
    <w:p w14:paraId="2A94BE35" w14:textId="77777777" w:rsidR="00723C60" w:rsidRPr="00D53077" w:rsidRDefault="00723C60" w:rsidP="00D53077">
      <w:pPr>
        <w:shd w:val="clear" w:color="auto" w:fill="FFFFFF" w:themeFill="background1"/>
        <w:jc w:val="both"/>
      </w:pPr>
    </w:p>
    <w:p w14:paraId="2751C914" w14:textId="07ACC122" w:rsidR="00723C60" w:rsidRDefault="00723C60" w:rsidP="00D53077">
      <w:pPr>
        <w:shd w:val="clear" w:color="auto" w:fill="FFFFFF" w:themeFill="background1"/>
        <w:jc w:val="both"/>
      </w:pPr>
      <w:r w:rsidRPr="00D53077">
        <w:t>Uvažavajući činjenicu da se pitanje dugovanja s osnove klirinškog duga nije reguliralo, a u međuvremenu su dospjela potraživanja koja društvo ima prema Republici Hrvatskoj s osnove nadoknade razlike za toplinsku energiju temeljem Uredbe o otklanjanju poremećaja na domaćem tržištu, pozivajući se na načelo jednake vrijednosti činidaba u smislu članka 7. i 167. Zakona o obveznim</w:t>
      </w:r>
      <w:r w:rsidR="00952279" w:rsidRPr="00D53077">
        <w:t xml:space="preserve"> odnosima,</w:t>
      </w:r>
      <w:r w:rsidRPr="00D53077">
        <w:t xml:space="preserve"> </w:t>
      </w:r>
      <w:r w:rsidR="00713984" w:rsidRPr="00D53077">
        <w:t xml:space="preserve">prihvaća se </w:t>
      </w:r>
      <w:r w:rsidRPr="00D53077">
        <w:t>prijeboj međusobnih potraživanja i obveza kako je to predloženo u točki II. predmetne Odluke.</w:t>
      </w:r>
      <w:r>
        <w:t xml:space="preserve"> </w:t>
      </w:r>
    </w:p>
    <w:p w14:paraId="0A16A3D2" w14:textId="77777777" w:rsidR="00723C60" w:rsidRDefault="00723C60" w:rsidP="003E3D1E">
      <w:pPr>
        <w:jc w:val="both"/>
      </w:pPr>
    </w:p>
    <w:p w14:paraId="7FDC7625" w14:textId="77777777" w:rsidR="008D6ED6" w:rsidRDefault="008D6ED6" w:rsidP="003E3D1E">
      <w:pPr>
        <w:jc w:val="both"/>
      </w:pPr>
    </w:p>
    <w:p w14:paraId="63EE42EC" w14:textId="56279344" w:rsidR="008D6ED6" w:rsidRPr="003E3D1E" w:rsidRDefault="008D6ED6" w:rsidP="003E3D1E">
      <w:pPr>
        <w:jc w:val="both"/>
      </w:pPr>
    </w:p>
    <w:sectPr w:rsidR="008D6ED6" w:rsidRPr="003E3D1E" w:rsidSect="000714AB">
      <w:headerReference w:type="even" r:id="rId9"/>
      <w:headerReference w:type="default" r:id="rId10"/>
      <w:pgSz w:w="11909" w:h="16834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42730" w14:textId="77777777" w:rsidR="00A10E3A" w:rsidRDefault="00A10E3A" w:rsidP="00615098">
      <w:r>
        <w:separator/>
      </w:r>
    </w:p>
  </w:endnote>
  <w:endnote w:type="continuationSeparator" w:id="0">
    <w:p w14:paraId="5C1538E1" w14:textId="77777777" w:rsidR="00A10E3A" w:rsidRDefault="00A10E3A" w:rsidP="0061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E3D3A" w14:textId="77777777" w:rsidR="00A10E3A" w:rsidRDefault="00A10E3A" w:rsidP="00615098">
      <w:r>
        <w:separator/>
      </w:r>
    </w:p>
  </w:footnote>
  <w:footnote w:type="continuationSeparator" w:id="0">
    <w:p w14:paraId="1741A8A0" w14:textId="77777777" w:rsidR="00A10E3A" w:rsidRDefault="00A10E3A" w:rsidP="0061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0EF8" w14:textId="43403C85" w:rsidR="00532F0B" w:rsidRDefault="00532F0B" w:rsidP="00532F0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9F47C" w14:textId="745385C8" w:rsidR="00532F0B" w:rsidRDefault="00532F0B" w:rsidP="00532F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7C3E"/>
    <w:multiLevelType w:val="hybridMultilevel"/>
    <w:tmpl w:val="41E68E08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BDC"/>
    <w:multiLevelType w:val="hybridMultilevel"/>
    <w:tmpl w:val="DB7CA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3571"/>
    <w:multiLevelType w:val="hybridMultilevel"/>
    <w:tmpl w:val="B9A0C44A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470D9"/>
    <w:multiLevelType w:val="hybridMultilevel"/>
    <w:tmpl w:val="0E6E1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4FA5"/>
    <w:multiLevelType w:val="hybridMultilevel"/>
    <w:tmpl w:val="1598BBD8"/>
    <w:lvl w:ilvl="0" w:tplc="EF0EB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67555"/>
    <w:multiLevelType w:val="hybridMultilevel"/>
    <w:tmpl w:val="FEC2F1AE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07FFB"/>
    <w:multiLevelType w:val="hybridMultilevel"/>
    <w:tmpl w:val="3700754E"/>
    <w:lvl w:ilvl="0" w:tplc="AFD89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F68B6"/>
    <w:multiLevelType w:val="hybridMultilevel"/>
    <w:tmpl w:val="AA9A6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20945"/>
    <w:multiLevelType w:val="hybridMultilevel"/>
    <w:tmpl w:val="982AEA8E"/>
    <w:lvl w:ilvl="0" w:tplc="FE882B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F5905"/>
    <w:multiLevelType w:val="hybridMultilevel"/>
    <w:tmpl w:val="C4989210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A0F21"/>
    <w:multiLevelType w:val="hybridMultilevel"/>
    <w:tmpl w:val="18609B34"/>
    <w:lvl w:ilvl="0" w:tplc="0BD2D81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2E53D2"/>
    <w:multiLevelType w:val="hybridMultilevel"/>
    <w:tmpl w:val="D1763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3555"/>
    <w:multiLevelType w:val="hybridMultilevel"/>
    <w:tmpl w:val="57AE482E"/>
    <w:lvl w:ilvl="0" w:tplc="7B364E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AF24A9"/>
    <w:multiLevelType w:val="hybridMultilevel"/>
    <w:tmpl w:val="38069682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701B5"/>
    <w:multiLevelType w:val="hybridMultilevel"/>
    <w:tmpl w:val="52C608A0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3733E"/>
    <w:multiLevelType w:val="hybridMultilevel"/>
    <w:tmpl w:val="05C83ABA"/>
    <w:lvl w:ilvl="0" w:tplc="CABE76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A7E80"/>
    <w:multiLevelType w:val="hybridMultilevel"/>
    <w:tmpl w:val="906AD318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23D3067"/>
    <w:multiLevelType w:val="hybridMultilevel"/>
    <w:tmpl w:val="30907C6C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977FD"/>
    <w:multiLevelType w:val="hybridMultilevel"/>
    <w:tmpl w:val="06AC6376"/>
    <w:lvl w:ilvl="0" w:tplc="73DAC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F0568"/>
    <w:multiLevelType w:val="hybridMultilevel"/>
    <w:tmpl w:val="B8F88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13AEC"/>
    <w:multiLevelType w:val="hybridMultilevel"/>
    <w:tmpl w:val="46385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72315"/>
    <w:multiLevelType w:val="hybridMultilevel"/>
    <w:tmpl w:val="19785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E6157"/>
    <w:multiLevelType w:val="hybridMultilevel"/>
    <w:tmpl w:val="B1ACBF6E"/>
    <w:lvl w:ilvl="0" w:tplc="7B364E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BD407A"/>
    <w:multiLevelType w:val="hybridMultilevel"/>
    <w:tmpl w:val="6FA810FC"/>
    <w:lvl w:ilvl="0" w:tplc="53208D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5"/>
  </w:num>
  <w:num w:numId="4">
    <w:abstractNumId w:val="10"/>
  </w:num>
  <w:num w:numId="5">
    <w:abstractNumId w:val="4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3"/>
  </w:num>
  <w:num w:numId="11">
    <w:abstractNumId w:val="16"/>
  </w:num>
  <w:num w:numId="12">
    <w:abstractNumId w:val="0"/>
  </w:num>
  <w:num w:numId="13">
    <w:abstractNumId w:val="20"/>
  </w:num>
  <w:num w:numId="14">
    <w:abstractNumId w:val="13"/>
  </w:num>
  <w:num w:numId="15">
    <w:abstractNumId w:val="21"/>
  </w:num>
  <w:num w:numId="16">
    <w:abstractNumId w:val="2"/>
  </w:num>
  <w:num w:numId="17">
    <w:abstractNumId w:val="7"/>
  </w:num>
  <w:num w:numId="18">
    <w:abstractNumId w:val="9"/>
  </w:num>
  <w:num w:numId="19">
    <w:abstractNumId w:val="17"/>
  </w:num>
  <w:num w:numId="20">
    <w:abstractNumId w:val="1"/>
  </w:num>
  <w:num w:numId="21">
    <w:abstractNumId w:val="18"/>
  </w:num>
  <w:num w:numId="22">
    <w:abstractNumId w:val="11"/>
  </w:num>
  <w:num w:numId="23">
    <w:abstractNumId w:val="1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A9"/>
    <w:rsid w:val="0000255A"/>
    <w:rsid w:val="00005865"/>
    <w:rsid w:val="00024F28"/>
    <w:rsid w:val="00027D70"/>
    <w:rsid w:val="00037B05"/>
    <w:rsid w:val="00037D43"/>
    <w:rsid w:val="00044298"/>
    <w:rsid w:val="00052997"/>
    <w:rsid w:val="00052C8F"/>
    <w:rsid w:val="000534E2"/>
    <w:rsid w:val="000570FA"/>
    <w:rsid w:val="0006078A"/>
    <w:rsid w:val="000701FB"/>
    <w:rsid w:val="000714AB"/>
    <w:rsid w:val="00085B35"/>
    <w:rsid w:val="000A61DE"/>
    <w:rsid w:val="000C6335"/>
    <w:rsid w:val="000F6945"/>
    <w:rsid w:val="00100600"/>
    <w:rsid w:val="00102639"/>
    <w:rsid w:val="00122BF7"/>
    <w:rsid w:val="001331D2"/>
    <w:rsid w:val="00136152"/>
    <w:rsid w:val="00152948"/>
    <w:rsid w:val="00165523"/>
    <w:rsid w:val="00174A50"/>
    <w:rsid w:val="00175902"/>
    <w:rsid w:val="00193B1E"/>
    <w:rsid w:val="001A0B8D"/>
    <w:rsid w:val="001A65E6"/>
    <w:rsid w:val="001A7117"/>
    <w:rsid w:val="001C1943"/>
    <w:rsid w:val="001C440F"/>
    <w:rsid w:val="001C5839"/>
    <w:rsid w:val="001D19CB"/>
    <w:rsid w:val="00245D1E"/>
    <w:rsid w:val="00247529"/>
    <w:rsid w:val="002546E5"/>
    <w:rsid w:val="002608CF"/>
    <w:rsid w:val="00274B9B"/>
    <w:rsid w:val="002864CC"/>
    <w:rsid w:val="002C48A1"/>
    <w:rsid w:val="002C7061"/>
    <w:rsid w:val="002D3189"/>
    <w:rsid w:val="002E1C82"/>
    <w:rsid w:val="002E270B"/>
    <w:rsid w:val="00306989"/>
    <w:rsid w:val="00316C08"/>
    <w:rsid w:val="00322688"/>
    <w:rsid w:val="003257DE"/>
    <w:rsid w:val="00364AAC"/>
    <w:rsid w:val="00364E54"/>
    <w:rsid w:val="00366307"/>
    <w:rsid w:val="003768A0"/>
    <w:rsid w:val="003842E5"/>
    <w:rsid w:val="00384438"/>
    <w:rsid w:val="00395605"/>
    <w:rsid w:val="003A3A76"/>
    <w:rsid w:val="003A3AFB"/>
    <w:rsid w:val="003D34A6"/>
    <w:rsid w:val="003D52FD"/>
    <w:rsid w:val="003E3D1E"/>
    <w:rsid w:val="003E43E6"/>
    <w:rsid w:val="003E59F2"/>
    <w:rsid w:val="004067DA"/>
    <w:rsid w:val="0041468D"/>
    <w:rsid w:val="00416132"/>
    <w:rsid w:val="00422CBC"/>
    <w:rsid w:val="00430395"/>
    <w:rsid w:val="00432F53"/>
    <w:rsid w:val="004538C1"/>
    <w:rsid w:val="00453C61"/>
    <w:rsid w:val="004901E1"/>
    <w:rsid w:val="00493625"/>
    <w:rsid w:val="004A2CFA"/>
    <w:rsid w:val="004B1EDF"/>
    <w:rsid w:val="004B2EAD"/>
    <w:rsid w:val="004B76A7"/>
    <w:rsid w:val="004C0431"/>
    <w:rsid w:val="004C29CF"/>
    <w:rsid w:val="004E32F6"/>
    <w:rsid w:val="004F0FB9"/>
    <w:rsid w:val="00501909"/>
    <w:rsid w:val="0051395F"/>
    <w:rsid w:val="005242A4"/>
    <w:rsid w:val="00532F0B"/>
    <w:rsid w:val="00534EE0"/>
    <w:rsid w:val="00540BC6"/>
    <w:rsid w:val="00547572"/>
    <w:rsid w:val="005774EE"/>
    <w:rsid w:val="005876FA"/>
    <w:rsid w:val="005A770B"/>
    <w:rsid w:val="005B09B3"/>
    <w:rsid w:val="005B2627"/>
    <w:rsid w:val="005C06B6"/>
    <w:rsid w:val="005C3FC4"/>
    <w:rsid w:val="005D053F"/>
    <w:rsid w:val="005D5D53"/>
    <w:rsid w:val="005D6EAE"/>
    <w:rsid w:val="005E1E64"/>
    <w:rsid w:val="005E511D"/>
    <w:rsid w:val="005E6EA9"/>
    <w:rsid w:val="005F6383"/>
    <w:rsid w:val="006016A4"/>
    <w:rsid w:val="00606589"/>
    <w:rsid w:val="00610E89"/>
    <w:rsid w:val="00615098"/>
    <w:rsid w:val="0064351C"/>
    <w:rsid w:val="0064674B"/>
    <w:rsid w:val="00651CF9"/>
    <w:rsid w:val="00652D11"/>
    <w:rsid w:val="00662B4E"/>
    <w:rsid w:val="00683574"/>
    <w:rsid w:val="00684701"/>
    <w:rsid w:val="00692009"/>
    <w:rsid w:val="006B167A"/>
    <w:rsid w:val="006B2363"/>
    <w:rsid w:val="006C7561"/>
    <w:rsid w:val="006D0D9F"/>
    <w:rsid w:val="006D1A01"/>
    <w:rsid w:val="006D2F6A"/>
    <w:rsid w:val="006E3551"/>
    <w:rsid w:val="006E741F"/>
    <w:rsid w:val="006E7A7A"/>
    <w:rsid w:val="006F1FBF"/>
    <w:rsid w:val="006F61AD"/>
    <w:rsid w:val="00701BBF"/>
    <w:rsid w:val="00713984"/>
    <w:rsid w:val="00713B8E"/>
    <w:rsid w:val="00723C60"/>
    <w:rsid w:val="00730F9B"/>
    <w:rsid w:val="00743F02"/>
    <w:rsid w:val="0075046D"/>
    <w:rsid w:val="00754775"/>
    <w:rsid w:val="00764D02"/>
    <w:rsid w:val="00770A96"/>
    <w:rsid w:val="007837AC"/>
    <w:rsid w:val="00791709"/>
    <w:rsid w:val="00797770"/>
    <w:rsid w:val="007A461F"/>
    <w:rsid w:val="007B0C66"/>
    <w:rsid w:val="007E1604"/>
    <w:rsid w:val="007E3BCD"/>
    <w:rsid w:val="007F47E9"/>
    <w:rsid w:val="007F4DB3"/>
    <w:rsid w:val="008207C4"/>
    <w:rsid w:val="00854F0E"/>
    <w:rsid w:val="0088142D"/>
    <w:rsid w:val="00883A54"/>
    <w:rsid w:val="008A50F7"/>
    <w:rsid w:val="008D6ED6"/>
    <w:rsid w:val="008E6E42"/>
    <w:rsid w:val="008E7F6A"/>
    <w:rsid w:val="008F3D07"/>
    <w:rsid w:val="008F5749"/>
    <w:rsid w:val="008F76A9"/>
    <w:rsid w:val="009022CD"/>
    <w:rsid w:val="00906BDE"/>
    <w:rsid w:val="009245D0"/>
    <w:rsid w:val="009250FF"/>
    <w:rsid w:val="00927039"/>
    <w:rsid w:val="009401B5"/>
    <w:rsid w:val="009449EF"/>
    <w:rsid w:val="00951477"/>
    <w:rsid w:val="00952279"/>
    <w:rsid w:val="00953A2C"/>
    <w:rsid w:val="00957DAE"/>
    <w:rsid w:val="009843EA"/>
    <w:rsid w:val="0098520F"/>
    <w:rsid w:val="00985A49"/>
    <w:rsid w:val="00995187"/>
    <w:rsid w:val="009A3C44"/>
    <w:rsid w:val="009A4571"/>
    <w:rsid w:val="009C0D9A"/>
    <w:rsid w:val="009C1C4B"/>
    <w:rsid w:val="009C62F1"/>
    <w:rsid w:val="009D0FCA"/>
    <w:rsid w:val="009F4BD7"/>
    <w:rsid w:val="009F6DEC"/>
    <w:rsid w:val="00A02139"/>
    <w:rsid w:val="00A10E3A"/>
    <w:rsid w:val="00A12E90"/>
    <w:rsid w:val="00A31652"/>
    <w:rsid w:val="00A356C4"/>
    <w:rsid w:val="00A36ACE"/>
    <w:rsid w:val="00A43DF9"/>
    <w:rsid w:val="00A44E99"/>
    <w:rsid w:val="00A62171"/>
    <w:rsid w:val="00A64871"/>
    <w:rsid w:val="00A80AC9"/>
    <w:rsid w:val="00A83573"/>
    <w:rsid w:val="00AA44BF"/>
    <w:rsid w:val="00AB6E49"/>
    <w:rsid w:val="00AC0E96"/>
    <w:rsid w:val="00AD6287"/>
    <w:rsid w:val="00AD7196"/>
    <w:rsid w:val="00AF1A9F"/>
    <w:rsid w:val="00AF2B25"/>
    <w:rsid w:val="00B00CBB"/>
    <w:rsid w:val="00B47A64"/>
    <w:rsid w:val="00B50BB3"/>
    <w:rsid w:val="00B64339"/>
    <w:rsid w:val="00B67AE9"/>
    <w:rsid w:val="00B71351"/>
    <w:rsid w:val="00BA020F"/>
    <w:rsid w:val="00BC61D8"/>
    <w:rsid w:val="00BD14DA"/>
    <w:rsid w:val="00C10BC4"/>
    <w:rsid w:val="00C10E63"/>
    <w:rsid w:val="00C200A0"/>
    <w:rsid w:val="00C32E7C"/>
    <w:rsid w:val="00C37030"/>
    <w:rsid w:val="00C65D23"/>
    <w:rsid w:val="00C66868"/>
    <w:rsid w:val="00C824C9"/>
    <w:rsid w:val="00C87764"/>
    <w:rsid w:val="00C90244"/>
    <w:rsid w:val="00C94DCD"/>
    <w:rsid w:val="00CA4BA4"/>
    <w:rsid w:val="00CA7AF2"/>
    <w:rsid w:val="00CB5616"/>
    <w:rsid w:val="00CC31FA"/>
    <w:rsid w:val="00CC3A24"/>
    <w:rsid w:val="00CE241D"/>
    <w:rsid w:val="00CE3C4A"/>
    <w:rsid w:val="00CE4375"/>
    <w:rsid w:val="00CE6BFE"/>
    <w:rsid w:val="00CF1BC4"/>
    <w:rsid w:val="00D028AA"/>
    <w:rsid w:val="00D207F8"/>
    <w:rsid w:val="00D24FFB"/>
    <w:rsid w:val="00D25192"/>
    <w:rsid w:val="00D27A99"/>
    <w:rsid w:val="00D410BE"/>
    <w:rsid w:val="00D41629"/>
    <w:rsid w:val="00D4628E"/>
    <w:rsid w:val="00D53077"/>
    <w:rsid w:val="00D53E02"/>
    <w:rsid w:val="00D56AF9"/>
    <w:rsid w:val="00D56F3C"/>
    <w:rsid w:val="00D71BAE"/>
    <w:rsid w:val="00D9029B"/>
    <w:rsid w:val="00D9267F"/>
    <w:rsid w:val="00D95B3B"/>
    <w:rsid w:val="00D95B65"/>
    <w:rsid w:val="00D96D62"/>
    <w:rsid w:val="00DA3851"/>
    <w:rsid w:val="00DA5E8F"/>
    <w:rsid w:val="00DC357B"/>
    <w:rsid w:val="00DE50D1"/>
    <w:rsid w:val="00DF2CE9"/>
    <w:rsid w:val="00DF67DD"/>
    <w:rsid w:val="00E13F1E"/>
    <w:rsid w:val="00E14FAB"/>
    <w:rsid w:val="00E15738"/>
    <w:rsid w:val="00E20273"/>
    <w:rsid w:val="00E2193C"/>
    <w:rsid w:val="00E243A0"/>
    <w:rsid w:val="00E4064F"/>
    <w:rsid w:val="00E53DBE"/>
    <w:rsid w:val="00E7187B"/>
    <w:rsid w:val="00E774EE"/>
    <w:rsid w:val="00E94D1C"/>
    <w:rsid w:val="00EA4058"/>
    <w:rsid w:val="00EB012D"/>
    <w:rsid w:val="00EE686C"/>
    <w:rsid w:val="00EF6149"/>
    <w:rsid w:val="00F07ABC"/>
    <w:rsid w:val="00F279A1"/>
    <w:rsid w:val="00F50236"/>
    <w:rsid w:val="00F50F55"/>
    <w:rsid w:val="00F70294"/>
    <w:rsid w:val="00F70470"/>
    <w:rsid w:val="00F704E1"/>
    <w:rsid w:val="00F7070E"/>
    <w:rsid w:val="00F95733"/>
    <w:rsid w:val="00FB5A93"/>
    <w:rsid w:val="00FD1078"/>
    <w:rsid w:val="00FD2435"/>
    <w:rsid w:val="00FD768B"/>
    <w:rsid w:val="00FF2493"/>
    <w:rsid w:val="00FF2C2C"/>
    <w:rsid w:val="00FF3040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3C49D"/>
  <w15:docId w15:val="{2CD03950-8D89-4B49-8F43-4EEEBFA2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1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D05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5E1E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770B"/>
  </w:style>
  <w:style w:type="paragraph" w:styleId="CommentText">
    <w:name w:val="annotation text"/>
    <w:basedOn w:val="Normal"/>
    <w:link w:val="CommentTextChar"/>
    <w:unhideWhenUsed/>
    <w:rsid w:val="00854F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4F0E"/>
  </w:style>
  <w:style w:type="paragraph" w:styleId="CommentSubject">
    <w:name w:val="annotation subject"/>
    <w:basedOn w:val="CommentText"/>
    <w:next w:val="CommentText"/>
    <w:link w:val="CommentSubjectChar"/>
    <w:semiHidden/>
    <w:rsid w:val="00854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4F0E"/>
    <w:rPr>
      <w:b/>
      <w:bCs/>
    </w:rPr>
  </w:style>
  <w:style w:type="paragraph" w:styleId="BodyText">
    <w:name w:val="Body Text"/>
    <w:basedOn w:val="Normal"/>
    <w:link w:val="BodyTextChar"/>
    <w:rsid w:val="00854F0E"/>
    <w:pPr>
      <w:jc w:val="both"/>
    </w:pPr>
  </w:style>
  <w:style w:type="character" w:customStyle="1" w:styleId="BodyTextChar">
    <w:name w:val="Body Text Char"/>
    <w:basedOn w:val="DefaultParagraphFont"/>
    <w:link w:val="BodyText"/>
    <w:rsid w:val="00854F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4FAB"/>
    <w:pPr>
      <w:ind w:left="720"/>
      <w:contextualSpacing/>
    </w:pPr>
  </w:style>
  <w:style w:type="character" w:styleId="CommentReference">
    <w:name w:val="annotation reference"/>
    <w:semiHidden/>
    <w:unhideWhenUsed/>
    <w:rsid w:val="00FF249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50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0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50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098"/>
    <w:rPr>
      <w:sz w:val="24"/>
      <w:szCs w:val="24"/>
    </w:rPr>
  </w:style>
  <w:style w:type="paragraph" w:customStyle="1" w:styleId="Default">
    <w:name w:val="Default"/>
    <w:rsid w:val="001C440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9E5B-DF97-40F2-A04C-A8DDD518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odluke</vt:lpstr>
      <vt:lpstr>Prijedlog odluke</vt:lpstr>
    </vt:vector>
  </TitlesOfParts>
  <Company>Ministarstvo financija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odluke</dc:title>
  <dc:creator>mfkor</dc:creator>
  <cp:lastModifiedBy>Ines Uglešić</cp:lastModifiedBy>
  <cp:revision>17</cp:revision>
  <cp:lastPrinted>2024-12-23T09:36:00Z</cp:lastPrinted>
  <dcterms:created xsi:type="dcterms:W3CDTF">2024-12-23T10:22:00Z</dcterms:created>
  <dcterms:modified xsi:type="dcterms:W3CDTF">2024-12-23T15:40:00Z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15c24194-3fe1-4cd0-a568-72defcf98dae</vt:lpwstr>
  </property>
  <property fmtid="{D5CDD505-2E9C-101B-9397-08002B2CF9AE}" pid="3" name="KLASIFIKACIJA">
    <vt:lpwstr>POSLOVNA TAJNA</vt:lpwstr>
  </property>
</Properties>
</file>