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F662" w14:textId="77777777" w:rsidR="002720BB" w:rsidRPr="007267A6" w:rsidRDefault="002720BB" w:rsidP="002720BB">
      <w:pPr>
        <w:spacing w:after="200" w:line="276" w:lineRule="auto"/>
        <w:jc w:val="center"/>
        <w:rPr>
          <w:rFonts w:eastAsia="Calibri"/>
          <w:sz w:val="24"/>
          <w:szCs w:val="24"/>
        </w:rPr>
      </w:pPr>
      <w:bookmarkStart w:id="0" w:name="_Hlk113627496"/>
      <w:bookmarkEnd w:id="0"/>
      <w:r w:rsidRPr="007267A6">
        <w:rPr>
          <w:rFonts w:eastAsia="Calibri"/>
          <w:noProof/>
          <w:sz w:val="24"/>
          <w:szCs w:val="24"/>
          <w:lang w:eastAsia="hr-HR"/>
        </w:rPr>
        <w:drawing>
          <wp:inline distT="0" distB="0" distL="0" distR="0" wp14:anchorId="68EB717A" wp14:editId="57400CD4">
            <wp:extent cx="50482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7267A6">
        <w:rPr>
          <w:rFonts w:eastAsia="Calibri"/>
          <w:sz w:val="24"/>
          <w:szCs w:val="24"/>
        </w:rPr>
        <w:fldChar w:fldCharType="begin"/>
      </w:r>
      <w:r w:rsidRPr="007267A6">
        <w:rPr>
          <w:rFonts w:eastAsia="Calibri"/>
          <w:sz w:val="24"/>
          <w:szCs w:val="24"/>
        </w:rPr>
        <w:instrText xml:space="preserve"> INCLUDEPICTURE "http://www.inet.hr/~box/images/grb-rh.gif" \* MERGEFORMATINET </w:instrText>
      </w:r>
      <w:r w:rsidRPr="007267A6">
        <w:rPr>
          <w:rFonts w:eastAsia="Calibri"/>
          <w:sz w:val="24"/>
          <w:szCs w:val="24"/>
        </w:rPr>
        <w:fldChar w:fldCharType="end"/>
      </w:r>
    </w:p>
    <w:p w14:paraId="779CEF4E" w14:textId="77777777" w:rsidR="002720BB" w:rsidRPr="007267A6" w:rsidRDefault="002720BB" w:rsidP="002720BB">
      <w:pPr>
        <w:spacing w:before="60" w:after="1680" w:line="276" w:lineRule="auto"/>
        <w:jc w:val="center"/>
        <w:rPr>
          <w:rFonts w:eastAsia="Calibri"/>
          <w:sz w:val="24"/>
          <w:szCs w:val="24"/>
        </w:rPr>
      </w:pPr>
      <w:r w:rsidRPr="007267A6">
        <w:rPr>
          <w:rFonts w:eastAsia="Calibri"/>
          <w:sz w:val="24"/>
          <w:szCs w:val="24"/>
        </w:rPr>
        <w:t>VLADA REPUBLIKE HRVATSKE</w:t>
      </w:r>
    </w:p>
    <w:p w14:paraId="5A957E24" w14:textId="77777777" w:rsidR="002720BB" w:rsidRPr="007267A6" w:rsidRDefault="002720BB" w:rsidP="002720BB">
      <w:pPr>
        <w:spacing w:after="200" w:line="276" w:lineRule="auto"/>
        <w:jc w:val="both"/>
        <w:rPr>
          <w:rFonts w:eastAsia="Calibri"/>
          <w:sz w:val="24"/>
          <w:szCs w:val="24"/>
        </w:rPr>
      </w:pPr>
    </w:p>
    <w:p w14:paraId="34152031" w14:textId="72CB7C00" w:rsidR="002720BB" w:rsidRPr="007267A6" w:rsidRDefault="002720BB" w:rsidP="002720BB">
      <w:pPr>
        <w:spacing w:after="200" w:line="276" w:lineRule="auto"/>
        <w:jc w:val="right"/>
        <w:rPr>
          <w:rFonts w:eastAsia="Calibri"/>
          <w:sz w:val="24"/>
          <w:szCs w:val="24"/>
        </w:rPr>
      </w:pPr>
      <w:r>
        <w:rPr>
          <w:rFonts w:eastAsia="Calibri"/>
          <w:sz w:val="24"/>
          <w:szCs w:val="24"/>
        </w:rPr>
        <w:t xml:space="preserve">Zagreb, </w:t>
      </w:r>
      <w:r w:rsidR="00AB6B2F">
        <w:rPr>
          <w:rFonts w:eastAsia="Calibri"/>
          <w:sz w:val="24"/>
          <w:szCs w:val="24"/>
        </w:rPr>
        <w:t>31</w:t>
      </w:r>
      <w:r>
        <w:rPr>
          <w:rFonts w:eastAsia="Calibri"/>
          <w:sz w:val="24"/>
          <w:szCs w:val="24"/>
        </w:rPr>
        <w:t xml:space="preserve">. </w:t>
      </w:r>
      <w:r w:rsidR="008B4DA4">
        <w:rPr>
          <w:rFonts w:eastAsia="Calibri"/>
          <w:sz w:val="24"/>
          <w:szCs w:val="24"/>
        </w:rPr>
        <w:t>siječnja</w:t>
      </w:r>
      <w:r w:rsidRPr="007267A6">
        <w:rPr>
          <w:rFonts w:eastAsia="Calibri"/>
          <w:sz w:val="24"/>
          <w:szCs w:val="24"/>
        </w:rPr>
        <w:t xml:space="preserve"> 202</w:t>
      </w:r>
      <w:r w:rsidR="008B4DA4">
        <w:rPr>
          <w:rFonts w:eastAsia="Calibri"/>
          <w:sz w:val="24"/>
          <w:szCs w:val="24"/>
        </w:rPr>
        <w:t>4</w:t>
      </w:r>
      <w:r w:rsidRPr="007267A6">
        <w:rPr>
          <w:rFonts w:eastAsia="Calibri"/>
          <w:sz w:val="24"/>
          <w:szCs w:val="24"/>
        </w:rPr>
        <w:t>.</w:t>
      </w:r>
    </w:p>
    <w:p w14:paraId="2980CDF8" w14:textId="77777777" w:rsidR="002720BB" w:rsidRPr="007267A6" w:rsidRDefault="002720BB" w:rsidP="002720BB">
      <w:pPr>
        <w:spacing w:after="200" w:line="276" w:lineRule="auto"/>
        <w:jc w:val="right"/>
        <w:rPr>
          <w:rFonts w:eastAsia="Calibri"/>
          <w:sz w:val="24"/>
          <w:szCs w:val="24"/>
        </w:rPr>
      </w:pPr>
    </w:p>
    <w:p w14:paraId="4D6A7896" w14:textId="77777777" w:rsidR="002720BB" w:rsidRPr="007267A6" w:rsidRDefault="002720BB" w:rsidP="002720BB">
      <w:pPr>
        <w:spacing w:after="200" w:line="276" w:lineRule="auto"/>
        <w:jc w:val="right"/>
        <w:rPr>
          <w:rFonts w:eastAsia="Calibri"/>
          <w:sz w:val="24"/>
          <w:szCs w:val="24"/>
        </w:rPr>
      </w:pPr>
    </w:p>
    <w:p w14:paraId="08A0F600" w14:textId="77777777" w:rsidR="002720BB" w:rsidRPr="007267A6" w:rsidRDefault="002720BB" w:rsidP="002720BB">
      <w:pPr>
        <w:spacing w:after="200" w:line="276" w:lineRule="auto"/>
        <w:jc w:val="right"/>
        <w:rPr>
          <w:rFonts w:eastAsia="Calibri"/>
          <w:sz w:val="24"/>
          <w:szCs w:val="24"/>
        </w:rPr>
      </w:pPr>
    </w:p>
    <w:p w14:paraId="220A19DF" w14:textId="77777777" w:rsidR="002720BB" w:rsidRPr="007267A6" w:rsidRDefault="002720BB" w:rsidP="002720BB">
      <w:pPr>
        <w:spacing w:after="200" w:line="276" w:lineRule="auto"/>
        <w:jc w:val="right"/>
        <w:rPr>
          <w:rFonts w:eastAsia="Calibri"/>
          <w:sz w:val="24"/>
          <w:szCs w:val="24"/>
        </w:rPr>
      </w:pPr>
    </w:p>
    <w:p w14:paraId="788F3881" w14:textId="77777777" w:rsidR="002720BB" w:rsidRPr="007267A6" w:rsidRDefault="002720BB" w:rsidP="002720BB">
      <w:pPr>
        <w:spacing w:after="200" w:line="276" w:lineRule="auto"/>
        <w:jc w:val="right"/>
        <w:rPr>
          <w:rFonts w:eastAsia="Calibri"/>
          <w:sz w:val="24"/>
          <w:szCs w:val="24"/>
        </w:rPr>
      </w:pPr>
    </w:p>
    <w:p w14:paraId="2977AB6B" w14:textId="77777777" w:rsidR="002720BB" w:rsidRPr="007267A6" w:rsidRDefault="002720BB" w:rsidP="002720BB">
      <w:pPr>
        <w:spacing w:after="200" w:line="276" w:lineRule="auto"/>
        <w:jc w:val="both"/>
        <w:rPr>
          <w:rFonts w:eastAsia="Calibri"/>
          <w:sz w:val="24"/>
          <w:szCs w:val="24"/>
        </w:rPr>
      </w:pPr>
      <w:r w:rsidRPr="007267A6">
        <w:rPr>
          <w:rFonts w:eastAsia="Calibri"/>
          <w:sz w:val="24"/>
          <w:szCs w:val="24"/>
        </w:rPr>
        <w:t>__________________________________________________________________________</w:t>
      </w:r>
    </w:p>
    <w:tbl>
      <w:tblPr>
        <w:tblW w:w="0" w:type="auto"/>
        <w:tblLook w:val="04A0" w:firstRow="1" w:lastRow="0" w:firstColumn="1" w:lastColumn="0" w:noHBand="0" w:noVBand="1"/>
      </w:tblPr>
      <w:tblGrid>
        <w:gridCol w:w="1950"/>
        <w:gridCol w:w="7126"/>
      </w:tblGrid>
      <w:tr w:rsidR="002720BB" w:rsidRPr="007267A6" w14:paraId="3B736A5D" w14:textId="77777777">
        <w:tc>
          <w:tcPr>
            <w:tcW w:w="1951" w:type="dxa"/>
            <w:shd w:val="clear" w:color="auto" w:fill="auto"/>
          </w:tcPr>
          <w:p w14:paraId="6EF7F9C4" w14:textId="77777777" w:rsidR="002720BB" w:rsidRPr="007267A6" w:rsidRDefault="002720BB">
            <w:pPr>
              <w:spacing w:line="360" w:lineRule="auto"/>
              <w:jc w:val="right"/>
              <w:rPr>
                <w:sz w:val="24"/>
                <w:szCs w:val="24"/>
              </w:rPr>
            </w:pPr>
            <w:r w:rsidRPr="007267A6">
              <w:rPr>
                <w:sz w:val="24"/>
                <w:szCs w:val="24"/>
              </w:rPr>
              <w:t xml:space="preserve"> </w:t>
            </w:r>
            <w:r w:rsidRPr="007267A6">
              <w:rPr>
                <w:b/>
                <w:smallCaps/>
                <w:sz w:val="24"/>
                <w:szCs w:val="24"/>
              </w:rPr>
              <w:t>Predlagatelj</w:t>
            </w:r>
            <w:r w:rsidRPr="007267A6">
              <w:rPr>
                <w:b/>
                <w:sz w:val="24"/>
                <w:szCs w:val="24"/>
              </w:rPr>
              <w:t>:</w:t>
            </w:r>
          </w:p>
        </w:tc>
        <w:tc>
          <w:tcPr>
            <w:tcW w:w="7229" w:type="dxa"/>
            <w:shd w:val="clear" w:color="auto" w:fill="auto"/>
          </w:tcPr>
          <w:p w14:paraId="3A35C280" w14:textId="77777777" w:rsidR="002720BB" w:rsidRPr="007267A6" w:rsidRDefault="002720BB">
            <w:pPr>
              <w:spacing w:line="360" w:lineRule="auto"/>
              <w:rPr>
                <w:sz w:val="24"/>
                <w:szCs w:val="24"/>
              </w:rPr>
            </w:pPr>
            <w:r w:rsidRPr="007267A6">
              <w:rPr>
                <w:sz w:val="24"/>
                <w:szCs w:val="24"/>
              </w:rPr>
              <w:t>Ministarstvo regionalnoga razvoja i fondova Europske unije</w:t>
            </w:r>
          </w:p>
        </w:tc>
      </w:tr>
    </w:tbl>
    <w:p w14:paraId="55C43EA9" w14:textId="77777777" w:rsidR="002720BB" w:rsidRPr="007267A6" w:rsidRDefault="002720BB" w:rsidP="002720BB">
      <w:pPr>
        <w:spacing w:after="200" w:line="276" w:lineRule="auto"/>
        <w:jc w:val="both"/>
        <w:rPr>
          <w:rFonts w:eastAsia="Calibri"/>
          <w:sz w:val="24"/>
          <w:szCs w:val="24"/>
        </w:rPr>
      </w:pPr>
      <w:r w:rsidRPr="007267A6">
        <w:rPr>
          <w:rFonts w:eastAsia="Calibri"/>
          <w:sz w:val="24"/>
          <w:szCs w:val="24"/>
        </w:rPr>
        <w:t>__________________________________________________________________________</w:t>
      </w:r>
    </w:p>
    <w:tbl>
      <w:tblPr>
        <w:tblW w:w="0" w:type="auto"/>
        <w:tblLook w:val="04A0" w:firstRow="1" w:lastRow="0" w:firstColumn="1" w:lastColumn="0" w:noHBand="0" w:noVBand="1"/>
      </w:tblPr>
      <w:tblGrid>
        <w:gridCol w:w="1940"/>
        <w:gridCol w:w="7136"/>
      </w:tblGrid>
      <w:tr w:rsidR="002720BB" w:rsidRPr="007267A6" w14:paraId="786582A5" w14:textId="77777777">
        <w:tc>
          <w:tcPr>
            <w:tcW w:w="1951" w:type="dxa"/>
            <w:shd w:val="clear" w:color="auto" w:fill="auto"/>
          </w:tcPr>
          <w:p w14:paraId="64A4C12B" w14:textId="77777777" w:rsidR="002720BB" w:rsidRPr="007267A6" w:rsidRDefault="002720BB">
            <w:pPr>
              <w:spacing w:line="360" w:lineRule="auto"/>
              <w:jc w:val="right"/>
              <w:rPr>
                <w:sz w:val="24"/>
                <w:szCs w:val="24"/>
              </w:rPr>
            </w:pPr>
            <w:r w:rsidRPr="007267A6">
              <w:rPr>
                <w:b/>
                <w:smallCaps/>
                <w:sz w:val="24"/>
                <w:szCs w:val="24"/>
              </w:rPr>
              <w:t>Predmet</w:t>
            </w:r>
            <w:r w:rsidRPr="007267A6">
              <w:rPr>
                <w:b/>
                <w:sz w:val="24"/>
                <w:szCs w:val="24"/>
              </w:rPr>
              <w:t>:</w:t>
            </w:r>
          </w:p>
        </w:tc>
        <w:tc>
          <w:tcPr>
            <w:tcW w:w="7229" w:type="dxa"/>
            <w:shd w:val="clear" w:color="auto" w:fill="auto"/>
          </w:tcPr>
          <w:p w14:paraId="1F937E6B" w14:textId="798E5FF0" w:rsidR="002720BB" w:rsidRPr="007267A6" w:rsidRDefault="002720BB">
            <w:pPr>
              <w:spacing w:line="360" w:lineRule="auto"/>
              <w:jc w:val="both"/>
              <w:rPr>
                <w:sz w:val="24"/>
                <w:szCs w:val="24"/>
              </w:rPr>
            </w:pPr>
            <w:r>
              <w:rPr>
                <w:bCs/>
                <w:sz w:val="24"/>
                <w:szCs w:val="24"/>
              </w:rPr>
              <w:t xml:space="preserve">Prijedlog </w:t>
            </w:r>
            <w:r w:rsidR="00F836CD">
              <w:rPr>
                <w:bCs/>
                <w:sz w:val="24"/>
                <w:szCs w:val="24"/>
              </w:rPr>
              <w:t>g</w:t>
            </w:r>
            <w:bookmarkStart w:id="1" w:name="_GoBack"/>
            <w:bookmarkEnd w:id="1"/>
            <w:r>
              <w:rPr>
                <w:bCs/>
                <w:sz w:val="24"/>
                <w:szCs w:val="24"/>
              </w:rPr>
              <w:t>odišnjeg</w:t>
            </w:r>
            <w:r w:rsidRPr="00266D28">
              <w:rPr>
                <w:bCs/>
                <w:sz w:val="24"/>
                <w:szCs w:val="24"/>
              </w:rPr>
              <w:t xml:space="preserve"> izvješć</w:t>
            </w:r>
            <w:r>
              <w:rPr>
                <w:bCs/>
                <w:sz w:val="24"/>
                <w:szCs w:val="24"/>
              </w:rPr>
              <w:t>a</w:t>
            </w:r>
            <w:r w:rsidRPr="00266D28">
              <w:rPr>
                <w:bCs/>
                <w:sz w:val="24"/>
                <w:szCs w:val="24"/>
              </w:rPr>
              <w:t xml:space="preserve"> o </w:t>
            </w:r>
            <w:r w:rsidR="007E6D7D">
              <w:rPr>
                <w:bCs/>
                <w:sz w:val="24"/>
                <w:szCs w:val="24"/>
              </w:rPr>
              <w:t xml:space="preserve">napretku u </w:t>
            </w:r>
            <w:r w:rsidRPr="00266D28">
              <w:rPr>
                <w:bCs/>
                <w:sz w:val="24"/>
                <w:szCs w:val="24"/>
              </w:rPr>
              <w:t xml:space="preserve">provedbi </w:t>
            </w:r>
            <w:r>
              <w:rPr>
                <w:bCs/>
                <w:sz w:val="24"/>
                <w:szCs w:val="24"/>
              </w:rPr>
              <w:t>N</w:t>
            </w:r>
            <w:r w:rsidRPr="00266D28">
              <w:rPr>
                <w:bCs/>
                <w:sz w:val="24"/>
                <w:szCs w:val="24"/>
              </w:rPr>
              <w:t>acionalne razvojne strategije Republike Hrvatske do 2030. godine za 202</w:t>
            </w:r>
            <w:r w:rsidR="00D86B42">
              <w:rPr>
                <w:bCs/>
                <w:sz w:val="24"/>
                <w:szCs w:val="24"/>
              </w:rPr>
              <w:t>2</w:t>
            </w:r>
            <w:r w:rsidRPr="00266D28">
              <w:rPr>
                <w:bCs/>
                <w:sz w:val="24"/>
                <w:szCs w:val="24"/>
              </w:rPr>
              <w:t>. godinu</w:t>
            </w:r>
          </w:p>
        </w:tc>
      </w:tr>
    </w:tbl>
    <w:p w14:paraId="6951E17C" w14:textId="6B377889" w:rsidR="002720BB" w:rsidRPr="007267A6" w:rsidRDefault="002720BB" w:rsidP="002720BB">
      <w:pPr>
        <w:pBdr>
          <w:bottom w:val="single" w:sz="12" w:space="1" w:color="auto"/>
        </w:pBdr>
        <w:spacing w:after="200" w:line="276" w:lineRule="auto"/>
        <w:jc w:val="both"/>
        <w:rPr>
          <w:rFonts w:eastAsia="Calibri"/>
          <w:sz w:val="24"/>
          <w:szCs w:val="24"/>
        </w:rPr>
      </w:pPr>
    </w:p>
    <w:p w14:paraId="05444178" w14:textId="77777777" w:rsidR="002720BB" w:rsidRPr="007267A6" w:rsidRDefault="002720BB" w:rsidP="002720BB">
      <w:pPr>
        <w:spacing w:after="200" w:line="276" w:lineRule="auto"/>
        <w:jc w:val="both"/>
        <w:rPr>
          <w:rFonts w:eastAsia="Calibri"/>
          <w:sz w:val="24"/>
          <w:szCs w:val="24"/>
        </w:rPr>
      </w:pPr>
    </w:p>
    <w:p w14:paraId="26904FE5" w14:textId="77777777" w:rsidR="002720BB" w:rsidRPr="007267A6" w:rsidRDefault="002720BB" w:rsidP="002720BB">
      <w:pPr>
        <w:spacing w:after="200" w:line="276" w:lineRule="auto"/>
        <w:jc w:val="both"/>
        <w:rPr>
          <w:rFonts w:eastAsia="Calibri"/>
          <w:sz w:val="24"/>
          <w:szCs w:val="24"/>
        </w:rPr>
      </w:pPr>
    </w:p>
    <w:p w14:paraId="0955B99E" w14:textId="77777777" w:rsidR="002720BB" w:rsidRPr="007267A6" w:rsidRDefault="002720BB" w:rsidP="002720BB">
      <w:pPr>
        <w:spacing w:after="200" w:line="276" w:lineRule="auto"/>
        <w:jc w:val="both"/>
        <w:rPr>
          <w:rFonts w:eastAsia="Calibri"/>
          <w:sz w:val="24"/>
          <w:szCs w:val="24"/>
        </w:rPr>
      </w:pPr>
    </w:p>
    <w:p w14:paraId="38BEA96E" w14:textId="77777777" w:rsidR="002720BB" w:rsidRPr="007267A6" w:rsidRDefault="002720BB" w:rsidP="002720BB">
      <w:pPr>
        <w:tabs>
          <w:tab w:val="center" w:pos="4536"/>
          <w:tab w:val="right" w:pos="9072"/>
        </w:tabs>
        <w:rPr>
          <w:rFonts w:eastAsia="Calibri"/>
          <w:sz w:val="24"/>
          <w:szCs w:val="24"/>
        </w:rPr>
      </w:pPr>
    </w:p>
    <w:p w14:paraId="0576C24C" w14:textId="77777777" w:rsidR="002720BB" w:rsidRPr="007267A6" w:rsidRDefault="002720BB" w:rsidP="002720BB">
      <w:pPr>
        <w:tabs>
          <w:tab w:val="center" w:pos="4536"/>
          <w:tab w:val="right" w:pos="9072"/>
        </w:tabs>
        <w:rPr>
          <w:rFonts w:eastAsia="Calibri"/>
          <w:sz w:val="24"/>
          <w:szCs w:val="24"/>
        </w:rPr>
      </w:pPr>
    </w:p>
    <w:p w14:paraId="38088F36" w14:textId="77777777" w:rsidR="002720BB" w:rsidRPr="007267A6" w:rsidRDefault="002720BB" w:rsidP="002720BB">
      <w:pPr>
        <w:spacing w:after="200" w:line="276" w:lineRule="auto"/>
        <w:rPr>
          <w:rFonts w:ascii="Calibri" w:eastAsia="Calibri" w:hAnsi="Calibri"/>
        </w:rPr>
      </w:pPr>
    </w:p>
    <w:p w14:paraId="3B6AEDE6" w14:textId="77777777" w:rsidR="002720BB" w:rsidRPr="007267A6" w:rsidRDefault="002720BB" w:rsidP="002720BB">
      <w:pPr>
        <w:tabs>
          <w:tab w:val="center" w:pos="4536"/>
          <w:tab w:val="right" w:pos="9072"/>
        </w:tabs>
        <w:rPr>
          <w:rFonts w:ascii="Calibri" w:eastAsia="Calibri" w:hAnsi="Calibri"/>
        </w:rPr>
      </w:pPr>
    </w:p>
    <w:p w14:paraId="10355DE2" w14:textId="77777777" w:rsidR="002720BB" w:rsidRPr="007267A6" w:rsidRDefault="002720BB" w:rsidP="002720BB">
      <w:pPr>
        <w:pBdr>
          <w:top w:val="single" w:sz="4" w:space="1" w:color="404040"/>
        </w:pBdr>
        <w:tabs>
          <w:tab w:val="center" w:pos="4536"/>
          <w:tab w:val="right" w:pos="9072"/>
        </w:tabs>
        <w:jc w:val="center"/>
        <w:rPr>
          <w:rFonts w:ascii="Tahoma" w:eastAsia="Calibri" w:hAnsi="Tahoma" w:cs="Tahoma"/>
          <w:spacing w:val="20"/>
          <w:sz w:val="16"/>
        </w:rPr>
      </w:pPr>
      <w:r w:rsidRPr="007267A6">
        <w:rPr>
          <w:rFonts w:ascii="Tahoma" w:eastAsia="Calibri" w:hAnsi="Tahoma" w:cs="Tahoma"/>
          <w:spacing w:val="20"/>
          <w:sz w:val="16"/>
        </w:rPr>
        <w:t>Banski dvori | Trg Sv. Marka 2 | 10000 Zagreb | tel. 01 4569 222 | vlada.gov.hr</w:t>
      </w:r>
    </w:p>
    <w:p w14:paraId="6A5F6BF5" w14:textId="77777777" w:rsidR="002720BB" w:rsidRDefault="002720BB" w:rsidP="002720BB">
      <w:pPr>
        <w:rPr>
          <w:b/>
          <w:bCs/>
          <w:color w:val="000000" w:themeColor="text1"/>
        </w:rPr>
      </w:pPr>
      <w:r>
        <w:rPr>
          <w:b/>
          <w:bCs/>
          <w:color w:val="000000" w:themeColor="text1"/>
        </w:rPr>
        <w:br w:type="page"/>
      </w:r>
    </w:p>
    <w:p w14:paraId="69BD936F" w14:textId="77777777" w:rsidR="002720BB" w:rsidRPr="00343B4E" w:rsidRDefault="002720BB" w:rsidP="002720BB">
      <w:pPr>
        <w:pStyle w:val="ListParagraph"/>
        <w:widowControl/>
        <w:autoSpaceDE/>
        <w:autoSpaceDN/>
        <w:spacing w:after="160" w:line="259" w:lineRule="auto"/>
        <w:ind w:left="720" w:firstLine="0"/>
        <w:contextualSpacing/>
        <w:jc w:val="center"/>
        <w:rPr>
          <w:b/>
          <w:bCs/>
          <w:color w:val="000000" w:themeColor="text1"/>
        </w:rPr>
      </w:pPr>
      <w:r w:rsidRPr="00343B4E">
        <w:rPr>
          <w:b/>
          <w:bCs/>
          <w:color w:val="000000" w:themeColor="text1"/>
        </w:rPr>
        <w:lastRenderedPageBreak/>
        <w:t>VLADA REPUBLIKE HRVATSKE</w:t>
      </w:r>
    </w:p>
    <w:p w14:paraId="28CDE5B6" w14:textId="77777777" w:rsidR="002720BB" w:rsidRDefault="002720BB" w:rsidP="002720BB">
      <w:pPr>
        <w:pStyle w:val="ListParagraph"/>
        <w:widowControl/>
        <w:tabs>
          <w:tab w:val="left" w:pos="6856"/>
        </w:tabs>
        <w:autoSpaceDE/>
        <w:autoSpaceDN/>
        <w:spacing w:after="160" w:line="259" w:lineRule="auto"/>
        <w:ind w:left="720" w:firstLine="0"/>
        <w:contextualSpacing/>
        <w:rPr>
          <w:color w:val="000000" w:themeColor="text1"/>
        </w:rPr>
      </w:pPr>
      <w:r>
        <w:rPr>
          <w:noProof/>
          <w:color w:val="000000" w:themeColor="text1"/>
          <w:lang w:eastAsia="hr-HR"/>
        </w:rPr>
        <mc:AlternateContent>
          <mc:Choice Requires="wps">
            <w:drawing>
              <wp:anchor distT="0" distB="0" distL="114300" distR="114300" simplePos="0" relativeHeight="251658240" behindDoc="0" locked="0" layoutInCell="1" allowOverlap="1" wp14:anchorId="1B1DD6E0" wp14:editId="62C8FE34">
                <wp:simplePos x="0" y="0"/>
                <wp:positionH relativeFrom="column">
                  <wp:posOffset>87325</wp:posOffset>
                </wp:positionH>
                <wp:positionV relativeFrom="paragraph">
                  <wp:posOffset>60960</wp:posOffset>
                </wp:positionV>
                <wp:extent cx="582283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82283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E03D6C" id="Ravni poveznik 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4.8pt" to="46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" strokecolor="black [3213]" strokeweight="1.25pt"/>
            </w:pict>
          </mc:Fallback>
        </mc:AlternateContent>
      </w:r>
      <w:r>
        <w:rPr>
          <w:color w:val="000000" w:themeColor="text1"/>
        </w:rPr>
        <w:tab/>
      </w:r>
    </w:p>
    <w:p w14:paraId="7DF24F87" w14:textId="77777777" w:rsidR="002720BB" w:rsidRDefault="002720BB" w:rsidP="002720BB">
      <w:pPr>
        <w:pStyle w:val="ListParagraph"/>
        <w:widowControl/>
        <w:tabs>
          <w:tab w:val="left" w:pos="6856"/>
        </w:tabs>
        <w:autoSpaceDE/>
        <w:autoSpaceDN/>
        <w:spacing w:after="160" w:line="259" w:lineRule="auto"/>
        <w:ind w:left="720" w:firstLine="0"/>
        <w:contextualSpacing/>
        <w:rPr>
          <w:color w:val="000000" w:themeColor="text1"/>
        </w:rPr>
      </w:pPr>
    </w:p>
    <w:p w14:paraId="53E1FB22" w14:textId="77777777" w:rsidR="002720BB" w:rsidRPr="00D44349" w:rsidRDefault="002720BB" w:rsidP="002720BB">
      <w:pPr>
        <w:pStyle w:val="ListParagraph"/>
        <w:widowControl/>
        <w:tabs>
          <w:tab w:val="left" w:pos="6856"/>
        </w:tabs>
        <w:autoSpaceDE/>
        <w:autoSpaceDN/>
        <w:spacing w:after="160" w:line="259" w:lineRule="auto"/>
        <w:ind w:left="720" w:firstLine="0"/>
        <w:contextualSpacing/>
        <w:jc w:val="right"/>
        <w:rPr>
          <w:b/>
          <w:bCs/>
          <w:color w:val="000000" w:themeColor="text1"/>
          <w:sz w:val="24"/>
          <w:szCs w:val="24"/>
        </w:rPr>
      </w:pPr>
      <w:r w:rsidRPr="00D44349">
        <w:rPr>
          <w:b/>
          <w:bCs/>
          <w:color w:val="000000" w:themeColor="text1"/>
          <w:sz w:val="24"/>
          <w:szCs w:val="24"/>
        </w:rPr>
        <w:t>PRIJEDLOG</w:t>
      </w:r>
    </w:p>
    <w:p w14:paraId="1F6C2264" w14:textId="77777777" w:rsidR="002720BB" w:rsidRPr="009C3FF6" w:rsidRDefault="002720BB" w:rsidP="002720BB">
      <w:pPr>
        <w:pStyle w:val="BodyText"/>
        <w:rPr>
          <w:color w:val="000000" w:themeColor="text1"/>
          <w:sz w:val="20"/>
          <w:szCs w:val="20"/>
        </w:rPr>
      </w:pPr>
    </w:p>
    <w:p w14:paraId="12702468" w14:textId="77777777" w:rsidR="002720BB" w:rsidRPr="009C3FF6" w:rsidRDefault="002720BB" w:rsidP="002720BB">
      <w:pPr>
        <w:pStyle w:val="BodyText"/>
        <w:rPr>
          <w:color w:val="000000" w:themeColor="text1"/>
          <w:sz w:val="20"/>
        </w:rPr>
      </w:pPr>
    </w:p>
    <w:p w14:paraId="73316798" w14:textId="77777777" w:rsidR="002720BB" w:rsidRPr="009C3FF6" w:rsidRDefault="002720BB" w:rsidP="002720BB">
      <w:pPr>
        <w:pStyle w:val="BodyText"/>
        <w:rPr>
          <w:color w:val="000000" w:themeColor="text1"/>
          <w:sz w:val="20"/>
        </w:rPr>
      </w:pPr>
    </w:p>
    <w:p w14:paraId="49602CCD" w14:textId="77777777" w:rsidR="002720BB" w:rsidRPr="009C3FF6" w:rsidRDefault="002720BB" w:rsidP="002720BB">
      <w:pPr>
        <w:pStyle w:val="BodyText"/>
        <w:rPr>
          <w:color w:val="000000" w:themeColor="text1"/>
          <w:sz w:val="20"/>
        </w:rPr>
      </w:pPr>
    </w:p>
    <w:p w14:paraId="09A3949C" w14:textId="77777777" w:rsidR="002720BB" w:rsidRPr="009C3FF6" w:rsidRDefault="002720BB" w:rsidP="002720BB">
      <w:pPr>
        <w:pStyle w:val="BodyText"/>
        <w:rPr>
          <w:color w:val="000000" w:themeColor="text1"/>
          <w:sz w:val="20"/>
        </w:rPr>
      </w:pPr>
    </w:p>
    <w:p w14:paraId="6388D9DE" w14:textId="77777777" w:rsidR="002720BB" w:rsidRPr="009C3FF6" w:rsidRDefault="002720BB" w:rsidP="002720BB">
      <w:pPr>
        <w:pStyle w:val="BodyText"/>
        <w:rPr>
          <w:color w:val="000000" w:themeColor="text1"/>
          <w:sz w:val="20"/>
        </w:rPr>
      </w:pPr>
    </w:p>
    <w:p w14:paraId="141B1881" w14:textId="77777777" w:rsidR="002720BB" w:rsidRPr="009C3FF6" w:rsidRDefault="002720BB" w:rsidP="002720BB">
      <w:pPr>
        <w:pStyle w:val="BodyText"/>
        <w:rPr>
          <w:color w:val="000000" w:themeColor="text1"/>
          <w:sz w:val="20"/>
        </w:rPr>
      </w:pPr>
    </w:p>
    <w:p w14:paraId="6E87D431" w14:textId="77777777" w:rsidR="002720BB" w:rsidRPr="009C3FF6" w:rsidRDefault="002720BB" w:rsidP="002720BB">
      <w:pPr>
        <w:pStyle w:val="BodyText"/>
        <w:rPr>
          <w:color w:val="000000" w:themeColor="text1"/>
          <w:sz w:val="20"/>
        </w:rPr>
      </w:pPr>
    </w:p>
    <w:p w14:paraId="6BE45901" w14:textId="77777777" w:rsidR="002720BB" w:rsidRPr="009C3FF6" w:rsidRDefault="002720BB" w:rsidP="002720BB">
      <w:pPr>
        <w:pStyle w:val="BodyText"/>
        <w:spacing w:before="3"/>
        <w:rPr>
          <w:color w:val="000000" w:themeColor="text1"/>
          <w:sz w:val="10"/>
        </w:rPr>
      </w:pPr>
    </w:p>
    <w:p w14:paraId="32376949" w14:textId="77777777" w:rsidR="002720BB" w:rsidRPr="009C3FF6" w:rsidRDefault="002720BB" w:rsidP="002720BB">
      <w:pPr>
        <w:pStyle w:val="BodyText"/>
        <w:rPr>
          <w:color w:val="000000" w:themeColor="text1"/>
          <w:sz w:val="20"/>
        </w:rPr>
      </w:pPr>
    </w:p>
    <w:p w14:paraId="12CEDAFB" w14:textId="77777777" w:rsidR="002720BB" w:rsidRPr="009C3FF6" w:rsidRDefault="002720BB" w:rsidP="002720BB">
      <w:pPr>
        <w:pStyle w:val="BodyText"/>
        <w:rPr>
          <w:color w:val="000000" w:themeColor="text1"/>
          <w:sz w:val="20"/>
        </w:rPr>
      </w:pPr>
    </w:p>
    <w:p w14:paraId="24B39146" w14:textId="77777777" w:rsidR="002720BB" w:rsidRPr="009C3FF6" w:rsidRDefault="002720BB" w:rsidP="002720BB">
      <w:pPr>
        <w:pStyle w:val="BodyText"/>
        <w:rPr>
          <w:color w:val="000000" w:themeColor="text1"/>
          <w:sz w:val="20"/>
        </w:rPr>
      </w:pPr>
    </w:p>
    <w:p w14:paraId="17D8E5DA" w14:textId="77777777" w:rsidR="002720BB" w:rsidRDefault="002720BB" w:rsidP="002720BB">
      <w:pPr>
        <w:pStyle w:val="BodyText"/>
        <w:rPr>
          <w:color w:val="000000" w:themeColor="text1"/>
          <w:sz w:val="20"/>
        </w:rPr>
      </w:pPr>
    </w:p>
    <w:p w14:paraId="76F6913E" w14:textId="77777777" w:rsidR="002720BB" w:rsidRDefault="002720BB" w:rsidP="002720BB">
      <w:pPr>
        <w:pStyle w:val="BodyText"/>
        <w:rPr>
          <w:color w:val="000000" w:themeColor="text1"/>
          <w:sz w:val="20"/>
        </w:rPr>
      </w:pPr>
    </w:p>
    <w:p w14:paraId="6C2EE870" w14:textId="77777777" w:rsidR="002720BB" w:rsidRDefault="002720BB" w:rsidP="002720BB">
      <w:pPr>
        <w:pStyle w:val="BodyText"/>
        <w:rPr>
          <w:color w:val="000000" w:themeColor="text1"/>
          <w:sz w:val="20"/>
        </w:rPr>
      </w:pPr>
    </w:p>
    <w:p w14:paraId="5E9806B3" w14:textId="77777777" w:rsidR="002720BB" w:rsidRPr="009C3FF6" w:rsidRDefault="002720BB" w:rsidP="002720BB">
      <w:pPr>
        <w:pStyle w:val="BodyText"/>
        <w:rPr>
          <w:color w:val="000000" w:themeColor="text1"/>
          <w:sz w:val="20"/>
        </w:rPr>
      </w:pPr>
    </w:p>
    <w:p w14:paraId="0945DE2B" w14:textId="77777777" w:rsidR="002720BB" w:rsidRPr="009C3FF6" w:rsidRDefault="002720BB" w:rsidP="002720BB">
      <w:pPr>
        <w:pStyle w:val="BodyText"/>
        <w:spacing w:before="4"/>
        <w:rPr>
          <w:color w:val="000000" w:themeColor="text1"/>
          <w:sz w:val="25"/>
        </w:rPr>
      </w:pPr>
    </w:p>
    <w:p w14:paraId="5868C2A1" w14:textId="2A127C84" w:rsidR="002720BB" w:rsidRPr="00D44349" w:rsidRDefault="002720BB" w:rsidP="002720BB">
      <w:pPr>
        <w:spacing w:before="85" w:line="276" w:lineRule="auto"/>
        <w:ind w:left="993" w:right="311" w:firstLine="141"/>
        <w:jc w:val="center"/>
        <w:rPr>
          <w:b/>
          <w:color w:val="000000" w:themeColor="text1"/>
          <w:sz w:val="28"/>
          <w:szCs w:val="10"/>
        </w:rPr>
      </w:pPr>
      <w:r w:rsidRPr="00D44349">
        <w:rPr>
          <w:b/>
          <w:color w:val="000000" w:themeColor="text1"/>
          <w:spacing w:val="-10"/>
          <w:sz w:val="28"/>
          <w:szCs w:val="10"/>
        </w:rPr>
        <w:t xml:space="preserve">GODIŠNJE IZVJEŠĆE O </w:t>
      </w:r>
      <w:r w:rsidR="007E6D7D">
        <w:rPr>
          <w:b/>
          <w:color w:val="000000" w:themeColor="text1"/>
          <w:spacing w:val="-10"/>
          <w:sz w:val="28"/>
          <w:szCs w:val="10"/>
        </w:rPr>
        <w:t xml:space="preserve">NAPRETKU U </w:t>
      </w:r>
      <w:r w:rsidRPr="00D44349">
        <w:rPr>
          <w:b/>
          <w:color w:val="000000" w:themeColor="text1"/>
          <w:spacing w:val="-10"/>
          <w:sz w:val="28"/>
          <w:szCs w:val="10"/>
        </w:rPr>
        <w:t>PROVEDBI NACIONALNE</w:t>
      </w:r>
      <w:r w:rsidRPr="00D44349">
        <w:rPr>
          <w:b/>
          <w:color w:val="000000" w:themeColor="text1"/>
          <w:spacing w:val="-21"/>
          <w:sz w:val="28"/>
          <w:szCs w:val="10"/>
        </w:rPr>
        <w:t xml:space="preserve"> </w:t>
      </w:r>
      <w:r w:rsidRPr="00D44349">
        <w:rPr>
          <w:b/>
          <w:color w:val="000000" w:themeColor="text1"/>
          <w:spacing w:val="-10"/>
          <w:sz w:val="28"/>
          <w:szCs w:val="10"/>
        </w:rPr>
        <w:t>RAZVOJNE</w:t>
      </w:r>
      <w:r w:rsidRPr="00D44349">
        <w:rPr>
          <w:b/>
          <w:color w:val="000000" w:themeColor="text1"/>
          <w:spacing w:val="-21"/>
          <w:sz w:val="28"/>
          <w:szCs w:val="10"/>
        </w:rPr>
        <w:t xml:space="preserve"> </w:t>
      </w:r>
      <w:r w:rsidRPr="00D44349">
        <w:rPr>
          <w:b/>
          <w:color w:val="000000" w:themeColor="text1"/>
          <w:spacing w:val="-10"/>
          <w:sz w:val="28"/>
          <w:szCs w:val="10"/>
        </w:rPr>
        <w:t>STRATEGIJE REPUBLIKE HRVATSKE DO 2030. GODINE</w:t>
      </w:r>
      <w:r w:rsidRPr="00D44349">
        <w:rPr>
          <w:b/>
          <w:color w:val="000000" w:themeColor="text1"/>
          <w:spacing w:val="-21"/>
          <w:sz w:val="28"/>
          <w:szCs w:val="10"/>
        </w:rPr>
        <w:t xml:space="preserve"> </w:t>
      </w:r>
      <w:r w:rsidRPr="00D44349">
        <w:rPr>
          <w:b/>
          <w:color w:val="000000" w:themeColor="text1"/>
          <w:spacing w:val="-10"/>
          <w:sz w:val="28"/>
          <w:szCs w:val="10"/>
        </w:rPr>
        <w:t>ZA 202</w:t>
      </w:r>
      <w:r w:rsidR="00D86B42">
        <w:rPr>
          <w:b/>
          <w:color w:val="000000" w:themeColor="text1"/>
          <w:spacing w:val="-10"/>
          <w:sz w:val="28"/>
          <w:szCs w:val="10"/>
        </w:rPr>
        <w:t>2</w:t>
      </w:r>
      <w:r w:rsidRPr="00D44349">
        <w:rPr>
          <w:b/>
          <w:color w:val="000000" w:themeColor="text1"/>
          <w:spacing w:val="-10"/>
          <w:sz w:val="28"/>
          <w:szCs w:val="10"/>
        </w:rPr>
        <w:t>. GODINU</w:t>
      </w:r>
    </w:p>
    <w:p w14:paraId="45FF7E5E" w14:textId="77777777" w:rsidR="002720BB" w:rsidRDefault="002720BB" w:rsidP="002720BB">
      <w:pPr>
        <w:spacing w:line="276" w:lineRule="auto"/>
        <w:rPr>
          <w:color w:val="000000" w:themeColor="text1"/>
          <w:sz w:val="36"/>
        </w:rPr>
      </w:pPr>
    </w:p>
    <w:p w14:paraId="759FBADB" w14:textId="77777777" w:rsidR="002720BB" w:rsidRDefault="002720BB" w:rsidP="002720BB">
      <w:pPr>
        <w:spacing w:line="276" w:lineRule="auto"/>
        <w:rPr>
          <w:color w:val="000000" w:themeColor="text1"/>
          <w:sz w:val="36"/>
        </w:rPr>
      </w:pPr>
    </w:p>
    <w:p w14:paraId="0BD0542E" w14:textId="77777777" w:rsidR="002720BB" w:rsidRDefault="002720BB" w:rsidP="002720BB">
      <w:pPr>
        <w:spacing w:line="276" w:lineRule="auto"/>
        <w:rPr>
          <w:color w:val="000000" w:themeColor="text1"/>
          <w:sz w:val="36"/>
        </w:rPr>
      </w:pPr>
    </w:p>
    <w:p w14:paraId="523A1C7C" w14:textId="77777777" w:rsidR="002720BB" w:rsidRDefault="002720BB" w:rsidP="002720BB">
      <w:pPr>
        <w:spacing w:line="276" w:lineRule="auto"/>
        <w:rPr>
          <w:color w:val="000000" w:themeColor="text1"/>
          <w:sz w:val="36"/>
        </w:rPr>
      </w:pPr>
    </w:p>
    <w:p w14:paraId="1A63AE98" w14:textId="77777777" w:rsidR="002720BB" w:rsidRDefault="002720BB" w:rsidP="002720BB">
      <w:pPr>
        <w:spacing w:line="276" w:lineRule="auto"/>
        <w:rPr>
          <w:color w:val="000000" w:themeColor="text1"/>
          <w:sz w:val="36"/>
        </w:rPr>
      </w:pPr>
    </w:p>
    <w:p w14:paraId="7D2DC61F" w14:textId="77777777" w:rsidR="002720BB" w:rsidRDefault="002720BB" w:rsidP="002720BB">
      <w:pPr>
        <w:spacing w:line="276" w:lineRule="auto"/>
        <w:rPr>
          <w:color w:val="000000" w:themeColor="text1"/>
          <w:sz w:val="36"/>
        </w:rPr>
      </w:pPr>
    </w:p>
    <w:p w14:paraId="60168959" w14:textId="77777777" w:rsidR="002720BB" w:rsidRDefault="002720BB" w:rsidP="002720BB">
      <w:pPr>
        <w:spacing w:line="276" w:lineRule="auto"/>
        <w:rPr>
          <w:color w:val="000000" w:themeColor="text1"/>
          <w:sz w:val="36"/>
        </w:rPr>
      </w:pPr>
    </w:p>
    <w:p w14:paraId="5B9FFF5C" w14:textId="77777777" w:rsidR="002720BB" w:rsidRDefault="002720BB" w:rsidP="002720BB">
      <w:pPr>
        <w:spacing w:line="276" w:lineRule="auto"/>
        <w:rPr>
          <w:color w:val="000000" w:themeColor="text1"/>
          <w:sz w:val="36"/>
        </w:rPr>
      </w:pPr>
    </w:p>
    <w:p w14:paraId="24145912" w14:textId="77777777" w:rsidR="002720BB" w:rsidRDefault="002720BB" w:rsidP="002720BB">
      <w:pPr>
        <w:spacing w:line="276" w:lineRule="auto"/>
        <w:rPr>
          <w:color w:val="000000" w:themeColor="text1"/>
          <w:sz w:val="36"/>
        </w:rPr>
      </w:pPr>
    </w:p>
    <w:p w14:paraId="3BA9C98D" w14:textId="77777777" w:rsidR="002720BB" w:rsidRDefault="002720BB" w:rsidP="002720BB">
      <w:pPr>
        <w:spacing w:line="276" w:lineRule="auto"/>
        <w:rPr>
          <w:color w:val="000000" w:themeColor="text1"/>
          <w:sz w:val="36"/>
        </w:rPr>
      </w:pPr>
    </w:p>
    <w:p w14:paraId="7BA60108" w14:textId="77777777" w:rsidR="002720BB" w:rsidRDefault="002720BB" w:rsidP="002720BB">
      <w:pPr>
        <w:spacing w:line="276" w:lineRule="auto"/>
        <w:rPr>
          <w:color w:val="000000" w:themeColor="text1"/>
          <w:sz w:val="36"/>
        </w:rPr>
      </w:pPr>
    </w:p>
    <w:p w14:paraId="2A8295CE" w14:textId="77777777" w:rsidR="002720BB" w:rsidRDefault="002720BB" w:rsidP="002720BB">
      <w:pPr>
        <w:pStyle w:val="Default"/>
      </w:pPr>
    </w:p>
    <w:p w14:paraId="6EB9CA16" w14:textId="77777777" w:rsidR="002720BB" w:rsidRDefault="002720BB" w:rsidP="002720BB">
      <w:pPr>
        <w:pStyle w:val="Default"/>
      </w:pPr>
    </w:p>
    <w:p w14:paraId="688AAE6B" w14:textId="77777777" w:rsidR="002720BB" w:rsidRDefault="002720BB" w:rsidP="002720BB">
      <w:pPr>
        <w:pStyle w:val="Default"/>
      </w:pPr>
    </w:p>
    <w:p w14:paraId="2B522599" w14:textId="77777777" w:rsidR="002720BB" w:rsidRDefault="002720BB" w:rsidP="002720BB">
      <w:pPr>
        <w:pStyle w:val="Default"/>
      </w:pPr>
    </w:p>
    <w:p w14:paraId="0979398C" w14:textId="77777777" w:rsidR="002720BB" w:rsidRDefault="002720BB" w:rsidP="002720BB">
      <w:pPr>
        <w:pStyle w:val="Default"/>
      </w:pPr>
    </w:p>
    <w:p w14:paraId="0AA176F8" w14:textId="77777777" w:rsidR="002720BB" w:rsidRDefault="002720BB" w:rsidP="002720BB">
      <w:pPr>
        <w:pStyle w:val="Default"/>
      </w:pPr>
    </w:p>
    <w:p w14:paraId="6F5DCA07" w14:textId="77777777" w:rsidR="002720BB" w:rsidRDefault="002720BB" w:rsidP="002720BB">
      <w:pPr>
        <w:pStyle w:val="Default"/>
      </w:pPr>
      <w:r>
        <w:rPr>
          <w:noProof/>
          <w:color w:val="000000" w:themeColor="text1"/>
          <w:lang w:eastAsia="hr-HR"/>
        </w:rPr>
        <mc:AlternateContent>
          <mc:Choice Requires="wps">
            <w:drawing>
              <wp:anchor distT="0" distB="0" distL="114300" distR="114300" simplePos="0" relativeHeight="251658241" behindDoc="0" locked="0" layoutInCell="1" allowOverlap="1" wp14:anchorId="53CCFEE2" wp14:editId="7A5B16D0">
                <wp:simplePos x="0" y="0"/>
                <wp:positionH relativeFrom="column">
                  <wp:posOffset>34925</wp:posOffset>
                </wp:positionH>
                <wp:positionV relativeFrom="paragraph">
                  <wp:posOffset>78740</wp:posOffset>
                </wp:positionV>
                <wp:extent cx="582231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82231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A2014" id="Ravni poveznik 9"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6.2pt" to="46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" strokecolor="windowText" strokeweight="1.25pt"/>
            </w:pict>
          </mc:Fallback>
        </mc:AlternateContent>
      </w:r>
    </w:p>
    <w:p w14:paraId="5B9066E0" w14:textId="5C6AB4CF" w:rsidR="002720BB" w:rsidRDefault="002720BB" w:rsidP="004C1D5B">
      <w:pPr>
        <w:jc w:val="center"/>
        <w:rPr>
          <w:color w:val="000000" w:themeColor="text1"/>
          <w:sz w:val="20"/>
          <w:szCs w:val="20"/>
        </w:rPr>
      </w:pPr>
      <w:r>
        <w:rPr>
          <w:b/>
          <w:bCs/>
          <w:sz w:val="23"/>
          <w:szCs w:val="23"/>
        </w:rPr>
        <w:t xml:space="preserve">Zagreb, </w:t>
      </w:r>
      <w:r w:rsidR="00323F6E">
        <w:rPr>
          <w:b/>
          <w:bCs/>
          <w:sz w:val="23"/>
          <w:szCs w:val="23"/>
        </w:rPr>
        <w:t>siječanj</w:t>
      </w:r>
      <w:r>
        <w:rPr>
          <w:b/>
          <w:bCs/>
          <w:sz w:val="23"/>
          <w:szCs w:val="23"/>
        </w:rPr>
        <w:t xml:space="preserve"> 202</w:t>
      </w:r>
      <w:r w:rsidR="00323F6E">
        <w:rPr>
          <w:b/>
          <w:bCs/>
          <w:sz w:val="23"/>
          <w:szCs w:val="23"/>
        </w:rPr>
        <w:t>4</w:t>
      </w:r>
      <w:r>
        <w:rPr>
          <w:b/>
          <w:bCs/>
          <w:sz w:val="23"/>
          <w:szCs w:val="23"/>
        </w:rPr>
        <w:t>.</w:t>
      </w:r>
      <w:r>
        <w:rPr>
          <w:color w:val="000000" w:themeColor="text1"/>
          <w:sz w:val="20"/>
          <w:szCs w:val="20"/>
        </w:rPr>
        <w:br w:type="page"/>
      </w:r>
    </w:p>
    <w:sdt>
      <w:sdtPr>
        <w:rPr>
          <w:rFonts w:ascii="Times New Roman" w:eastAsia="Times New Roman" w:hAnsi="Times New Roman" w:cs="Times New Roman"/>
          <w:color w:val="auto"/>
          <w:sz w:val="24"/>
          <w:szCs w:val="24"/>
        </w:rPr>
        <w:id w:val="686109055"/>
        <w:docPartObj>
          <w:docPartGallery w:val="Table of Contents"/>
          <w:docPartUnique/>
        </w:docPartObj>
      </w:sdtPr>
      <w:sdtEndPr/>
      <w:sdtContent>
        <w:p w14:paraId="70B7D69E" w14:textId="3BA6C4CE" w:rsidR="00293CEE" w:rsidRPr="00BE1F57" w:rsidRDefault="00293CEE" w:rsidP="00C723DF">
          <w:pPr>
            <w:pStyle w:val="TOCHeading"/>
            <w:spacing w:before="0" w:line="360" w:lineRule="auto"/>
            <w:rPr>
              <w:rFonts w:ascii="Times New Roman" w:hAnsi="Times New Roman" w:cs="Times New Roman"/>
              <w:b/>
              <w:bCs/>
              <w:color w:val="auto"/>
              <w:sz w:val="24"/>
              <w:szCs w:val="24"/>
            </w:rPr>
          </w:pPr>
          <w:r w:rsidRPr="00BE1F57">
            <w:rPr>
              <w:rFonts w:ascii="Times New Roman" w:hAnsi="Times New Roman" w:cs="Times New Roman"/>
              <w:b/>
              <w:bCs/>
              <w:color w:val="auto"/>
              <w:sz w:val="24"/>
              <w:szCs w:val="24"/>
            </w:rPr>
            <w:t>SADRŽAJ</w:t>
          </w:r>
        </w:p>
        <w:p w14:paraId="649512E0" w14:textId="133009FA" w:rsidR="00966113" w:rsidRPr="00966113" w:rsidRDefault="00684CB9" w:rsidP="00966113">
          <w:pPr>
            <w:pStyle w:val="TOC1"/>
            <w:tabs>
              <w:tab w:val="right" w:leader="dot" w:pos="9066"/>
            </w:tabs>
            <w:spacing w:before="0" w:line="360" w:lineRule="auto"/>
            <w:rPr>
              <w:rFonts w:asciiTheme="minorHAnsi" w:eastAsiaTheme="minorEastAsia" w:hAnsiTheme="minorHAnsi" w:cstheme="minorBidi"/>
              <w:b w:val="0"/>
              <w:bCs w:val="0"/>
              <w:noProof/>
              <w:kern w:val="2"/>
              <w:sz w:val="22"/>
              <w:szCs w:val="22"/>
              <w:lang w:eastAsia="hr-HR"/>
              <w14:ligatures w14:val="standardContextual"/>
            </w:rPr>
          </w:pPr>
          <w:r w:rsidRPr="00966113">
            <w:rPr>
              <w:sz w:val="22"/>
              <w:szCs w:val="22"/>
            </w:rPr>
            <w:fldChar w:fldCharType="begin"/>
          </w:r>
          <w:r w:rsidR="004B52EB" w:rsidRPr="00966113">
            <w:rPr>
              <w:sz w:val="22"/>
              <w:szCs w:val="22"/>
            </w:rPr>
            <w:instrText>TOC \o "1-3" \h \z \u</w:instrText>
          </w:r>
          <w:r w:rsidRPr="00966113">
            <w:rPr>
              <w:sz w:val="22"/>
              <w:szCs w:val="22"/>
            </w:rPr>
            <w:fldChar w:fldCharType="separate"/>
          </w:r>
          <w:hyperlink w:anchor="_Toc156819367" w:history="1">
            <w:r w:rsidR="00966113" w:rsidRPr="00966113">
              <w:rPr>
                <w:rStyle w:val="Hyperlink"/>
                <w:noProof/>
                <w:sz w:val="22"/>
                <w:szCs w:val="22"/>
              </w:rPr>
              <w:t>Uvod</w:t>
            </w:r>
            <w:r w:rsidR="00966113" w:rsidRPr="00966113">
              <w:rPr>
                <w:noProof/>
                <w:webHidden/>
                <w:sz w:val="22"/>
                <w:szCs w:val="22"/>
              </w:rPr>
              <w:tab/>
              <w:t>…………………………………………………………………………………………</w:t>
            </w:r>
            <w:r w:rsidR="00577A3E">
              <w:rPr>
                <w:noProof/>
                <w:webHidden/>
                <w:sz w:val="22"/>
                <w:szCs w:val="22"/>
              </w:rPr>
              <w:t>………..</w:t>
            </w:r>
            <w:r w:rsidR="00966113" w:rsidRPr="00966113">
              <w:rPr>
                <w:noProof/>
                <w:webHidden/>
                <w:sz w:val="22"/>
                <w:szCs w:val="22"/>
              </w:rPr>
              <w:fldChar w:fldCharType="begin"/>
            </w:r>
            <w:r w:rsidR="00966113" w:rsidRPr="00966113">
              <w:rPr>
                <w:noProof/>
                <w:webHidden/>
                <w:sz w:val="22"/>
                <w:szCs w:val="22"/>
              </w:rPr>
              <w:instrText xml:space="preserve"> PAGEREF _Toc156819367 \h </w:instrText>
            </w:r>
            <w:r w:rsidR="00966113" w:rsidRPr="00966113">
              <w:rPr>
                <w:noProof/>
                <w:webHidden/>
                <w:sz w:val="22"/>
                <w:szCs w:val="22"/>
              </w:rPr>
            </w:r>
            <w:r w:rsidR="00966113" w:rsidRPr="00966113">
              <w:rPr>
                <w:noProof/>
                <w:webHidden/>
                <w:sz w:val="22"/>
                <w:szCs w:val="22"/>
              </w:rPr>
              <w:fldChar w:fldCharType="separate"/>
            </w:r>
            <w:r w:rsidR="00DE6A1B">
              <w:rPr>
                <w:noProof/>
                <w:webHidden/>
                <w:sz w:val="22"/>
                <w:szCs w:val="22"/>
              </w:rPr>
              <w:t>6</w:t>
            </w:r>
            <w:r w:rsidR="00966113" w:rsidRPr="00966113">
              <w:rPr>
                <w:noProof/>
                <w:webHidden/>
                <w:sz w:val="22"/>
                <w:szCs w:val="22"/>
              </w:rPr>
              <w:fldChar w:fldCharType="end"/>
            </w:r>
          </w:hyperlink>
        </w:p>
        <w:p w14:paraId="46020E2A" w14:textId="744D8372" w:rsidR="00966113" w:rsidRPr="00966113" w:rsidRDefault="00F836CD" w:rsidP="00966113">
          <w:pPr>
            <w:pStyle w:val="TOC1"/>
            <w:tabs>
              <w:tab w:val="right" w:leader="dot" w:pos="9066"/>
            </w:tabs>
            <w:spacing w:before="0" w:line="360" w:lineRule="auto"/>
            <w:rPr>
              <w:rFonts w:asciiTheme="minorHAnsi" w:eastAsiaTheme="minorEastAsia" w:hAnsiTheme="minorHAnsi" w:cstheme="minorBidi"/>
              <w:b w:val="0"/>
              <w:bCs w:val="0"/>
              <w:noProof/>
              <w:kern w:val="2"/>
              <w:sz w:val="22"/>
              <w:szCs w:val="22"/>
              <w:lang w:eastAsia="hr-HR"/>
              <w14:ligatures w14:val="standardContextual"/>
            </w:rPr>
          </w:pPr>
          <w:hyperlink w:anchor="_Toc156819368" w:history="1">
            <w:r w:rsidR="00966113" w:rsidRPr="00966113">
              <w:rPr>
                <w:rStyle w:val="Hyperlink"/>
                <w:noProof/>
                <w:sz w:val="22"/>
                <w:szCs w:val="22"/>
              </w:rPr>
              <w:t>Izvješće o provedbi strateških ciljeva Nacionalne razvojne strategije</w:t>
            </w:r>
            <w:r w:rsidR="00966113" w:rsidRPr="00966113">
              <w:rPr>
                <w:noProof/>
                <w:webHidden/>
                <w:sz w:val="22"/>
                <w:szCs w:val="22"/>
              </w:rPr>
              <w:tab/>
            </w:r>
            <w:r w:rsidR="00966113" w:rsidRPr="00966113">
              <w:rPr>
                <w:noProof/>
                <w:webHidden/>
                <w:sz w:val="22"/>
                <w:szCs w:val="22"/>
              </w:rPr>
              <w:fldChar w:fldCharType="begin"/>
            </w:r>
            <w:r w:rsidR="00966113" w:rsidRPr="00966113">
              <w:rPr>
                <w:noProof/>
                <w:webHidden/>
                <w:sz w:val="22"/>
                <w:szCs w:val="22"/>
              </w:rPr>
              <w:instrText xml:space="preserve"> PAGEREF _Toc156819368 \h </w:instrText>
            </w:r>
            <w:r w:rsidR="00966113" w:rsidRPr="00966113">
              <w:rPr>
                <w:noProof/>
                <w:webHidden/>
                <w:sz w:val="22"/>
                <w:szCs w:val="22"/>
              </w:rPr>
            </w:r>
            <w:r w:rsidR="00966113" w:rsidRPr="00966113">
              <w:rPr>
                <w:noProof/>
                <w:webHidden/>
                <w:sz w:val="22"/>
                <w:szCs w:val="22"/>
              </w:rPr>
              <w:fldChar w:fldCharType="separate"/>
            </w:r>
            <w:r w:rsidR="00DE6A1B">
              <w:rPr>
                <w:noProof/>
                <w:webHidden/>
                <w:sz w:val="22"/>
                <w:szCs w:val="22"/>
              </w:rPr>
              <w:t>8</w:t>
            </w:r>
            <w:r w:rsidR="00966113" w:rsidRPr="00966113">
              <w:rPr>
                <w:noProof/>
                <w:webHidden/>
                <w:sz w:val="22"/>
                <w:szCs w:val="22"/>
              </w:rPr>
              <w:fldChar w:fldCharType="end"/>
            </w:r>
          </w:hyperlink>
        </w:p>
        <w:p w14:paraId="57E64596" w14:textId="33F3D8DF" w:rsidR="00966113" w:rsidRPr="00966113" w:rsidRDefault="00F836CD" w:rsidP="00966113">
          <w:pPr>
            <w:pStyle w:val="TOC2"/>
            <w:tabs>
              <w:tab w:val="left" w:pos="426"/>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369" w:history="1">
            <w:r w:rsidR="00966113" w:rsidRPr="00966113">
              <w:rPr>
                <w:rStyle w:val="Hyperlink"/>
                <w:b/>
                <w:bCs/>
                <w:noProof/>
                <w:sz w:val="22"/>
                <w:szCs w:val="22"/>
              </w:rPr>
              <w:t>1. Konkurentno i inovativno gospodarstvo</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_Toc156819369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8</w:t>
            </w:r>
            <w:r w:rsidR="00966113" w:rsidRPr="00966113">
              <w:rPr>
                <w:b/>
                <w:bCs/>
                <w:noProof/>
                <w:webHidden/>
                <w:sz w:val="22"/>
                <w:szCs w:val="22"/>
              </w:rPr>
              <w:fldChar w:fldCharType="end"/>
            </w:r>
          </w:hyperlink>
        </w:p>
        <w:p w14:paraId="38086DA6" w14:textId="52EF5E22"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70" w:history="1">
            <w:r w:rsidR="00966113" w:rsidRPr="00966113">
              <w:rPr>
                <w:rStyle w:val="Hyperlink"/>
                <w:noProof/>
              </w:rPr>
              <w:t>1.1. Ostvarene vrijednosti pokazatelja uspješnosti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_Toc156819370 \h </w:instrText>
            </w:r>
            <w:r w:rsidR="00966113" w:rsidRPr="00966113">
              <w:rPr>
                <w:noProof/>
                <w:webHidden/>
              </w:rPr>
            </w:r>
            <w:r w:rsidR="00966113" w:rsidRPr="00966113">
              <w:rPr>
                <w:noProof/>
                <w:webHidden/>
              </w:rPr>
              <w:fldChar w:fldCharType="separate"/>
            </w:r>
            <w:r w:rsidR="00DE6A1B">
              <w:rPr>
                <w:noProof/>
                <w:webHidden/>
              </w:rPr>
              <w:t>8</w:t>
            </w:r>
            <w:r w:rsidR="00966113" w:rsidRPr="00966113">
              <w:rPr>
                <w:noProof/>
                <w:webHidden/>
              </w:rPr>
              <w:fldChar w:fldCharType="end"/>
            </w:r>
          </w:hyperlink>
        </w:p>
        <w:p w14:paraId="36635132" w14:textId="13463CB1" w:rsidR="00966113" w:rsidRPr="00966113" w:rsidRDefault="00F836CD" w:rsidP="00966113">
          <w:pPr>
            <w:pStyle w:val="TOC2"/>
            <w:tabs>
              <w:tab w:val="right" w:leader="dot" w:pos="9066"/>
            </w:tabs>
            <w:spacing w:before="0" w:line="360" w:lineRule="auto"/>
            <w:rPr>
              <w:rFonts w:asciiTheme="minorHAnsi" w:eastAsiaTheme="minorEastAsia" w:hAnsiTheme="minorHAnsi" w:cstheme="minorBidi"/>
              <w:noProof/>
              <w:kern w:val="2"/>
              <w:sz w:val="22"/>
              <w:szCs w:val="22"/>
              <w:lang w:eastAsia="hr-HR"/>
              <w14:ligatures w14:val="standardContextual"/>
            </w:rPr>
          </w:pPr>
          <w:hyperlink w:anchor="_Toc156819371" w:history="1">
            <w:r w:rsidR="00966113" w:rsidRPr="00966113">
              <w:rPr>
                <w:rStyle w:val="Hyperlink"/>
                <w:noProof/>
                <w:sz w:val="22"/>
                <w:szCs w:val="22"/>
              </w:rPr>
              <w:t>1.2. Opis napretka u provedbi strateškog cilja Konkurentno i inovativno gospodarstvo</w:t>
            </w:r>
            <w:r w:rsidR="00966113" w:rsidRPr="00966113">
              <w:rPr>
                <w:noProof/>
                <w:webHidden/>
                <w:sz w:val="22"/>
                <w:szCs w:val="22"/>
              </w:rPr>
              <w:tab/>
            </w:r>
            <w:r w:rsidR="00966113" w:rsidRPr="00966113">
              <w:rPr>
                <w:noProof/>
                <w:webHidden/>
                <w:sz w:val="22"/>
                <w:szCs w:val="22"/>
              </w:rPr>
              <w:fldChar w:fldCharType="begin"/>
            </w:r>
            <w:r w:rsidR="00966113" w:rsidRPr="00966113">
              <w:rPr>
                <w:noProof/>
                <w:webHidden/>
                <w:sz w:val="22"/>
                <w:szCs w:val="22"/>
              </w:rPr>
              <w:instrText xml:space="preserve"> PAGEREF _Toc156819371 \h </w:instrText>
            </w:r>
            <w:r w:rsidR="00966113" w:rsidRPr="00966113">
              <w:rPr>
                <w:noProof/>
                <w:webHidden/>
                <w:sz w:val="22"/>
                <w:szCs w:val="22"/>
              </w:rPr>
            </w:r>
            <w:r w:rsidR="00966113" w:rsidRPr="00966113">
              <w:rPr>
                <w:noProof/>
                <w:webHidden/>
                <w:sz w:val="22"/>
                <w:szCs w:val="22"/>
              </w:rPr>
              <w:fldChar w:fldCharType="separate"/>
            </w:r>
            <w:r w:rsidR="00DE6A1B">
              <w:rPr>
                <w:noProof/>
                <w:webHidden/>
                <w:sz w:val="22"/>
                <w:szCs w:val="22"/>
              </w:rPr>
              <w:t>8</w:t>
            </w:r>
            <w:r w:rsidR="00966113" w:rsidRPr="00966113">
              <w:rPr>
                <w:noProof/>
                <w:webHidden/>
                <w:sz w:val="22"/>
                <w:szCs w:val="22"/>
              </w:rPr>
              <w:fldChar w:fldCharType="end"/>
            </w:r>
          </w:hyperlink>
        </w:p>
        <w:p w14:paraId="1B2EC77A" w14:textId="0B659410"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372" w:history="1">
            <w:r w:rsidR="00966113" w:rsidRPr="00966113">
              <w:rPr>
                <w:rStyle w:val="Hyperlink"/>
                <w:b/>
                <w:bCs/>
                <w:noProof/>
                <w:sz w:val="22"/>
                <w:szCs w:val="22"/>
              </w:rPr>
              <w:t>2. Obrazovani i zaposleni ljudi</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_Toc156819372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20</w:t>
            </w:r>
            <w:r w:rsidR="00966113" w:rsidRPr="00966113">
              <w:rPr>
                <w:b/>
                <w:bCs/>
                <w:noProof/>
                <w:webHidden/>
                <w:sz w:val="22"/>
                <w:szCs w:val="22"/>
              </w:rPr>
              <w:fldChar w:fldCharType="end"/>
            </w:r>
          </w:hyperlink>
        </w:p>
        <w:p w14:paraId="6CA764C4" w14:textId="0BAB01E9"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73" w:history="1">
            <w:r w:rsidR="00966113" w:rsidRPr="00966113">
              <w:rPr>
                <w:rStyle w:val="Hyperlink"/>
                <w:noProof/>
              </w:rPr>
              <w:t>2.1. Ostvarene vrijednosti pokazatelja uspješnosti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_Toc156819373 \h </w:instrText>
            </w:r>
            <w:r w:rsidR="00966113" w:rsidRPr="00966113">
              <w:rPr>
                <w:noProof/>
                <w:webHidden/>
              </w:rPr>
            </w:r>
            <w:r w:rsidR="00966113" w:rsidRPr="00966113">
              <w:rPr>
                <w:noProof/>
                <w:webHidden/>
              </w:rPr>
              <w:fldChar w:fldCharType="separate"/>
            </w:r>
            <w:r w:rsidR="00DE6A1B">
              <w:rPr>
                <w:noProof/>
                <w:webHidden/>
              </w:rPr>
              <w:t>20</w:t>
            </w:r>
            <w:r w:rsidR="00966113" w:rsidRPr="00966113">
              <w:rPr>
                <w:noProof/>
                <w:webHidden/>
              </w:rPr>
              <w:fldChar w:fldCharType="end"/>
            </w:r>
          </w:hyperlink>
        </w:p>
        <w:p w14:paraId="6CD19E0C" w14:textId="34C44695"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74" w:history="1">
            <w:r w:rsidR="00966113" w:rsidRPr="00966113">
              <w:rPr>
                <w:rStyle w:val="Hyperlink"/>
                <w:noProof/>
              </w:rPr>
              <w:t>2.2. Opis napretka u provedbi strateškog cilja Obrazovani i zaposleni ljudi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_Toc156819374 \h </w:instrText>
            </w:r>
            <w:r w:rsidR="00966113" w:rsidRPr="00966113">
              <w:rPr>
                <w:noProof/>
                <w:webHidden/>
              </w:rPr>
            </w:r>
            <w:r w:rsidR="00966113" w:rsidRPr="00966113">
              <w:rPr>
                <w:noProof/>
                <w:webHidden/>
              </w:rPr>
              <w:fldChar w:fldCharType="separate"/>
            </w:r>
            <w:r w:rsidR="00DE6A1B">
              <w:rPr>
                <w:noProof/>
                <w:webHidden/>
              </w:rPr>
              <w:t>20</w:t>
            </w:r>
            <w:r w:rsidR="00966113" w:rsidRPr="00966113">
              <w:rPr>
                <w:noProof/>
                <w:webHidden/>
              </w:rPr>
              <w:fldChar w:fldCharType="end"/>
            </w:r>
          </w:hyperlink>
        </w:p>
        <w:p w14:paraId="40A93376" w14:textId="3CB5CA31"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375" w:history="1">
            <w:r w:rsidR="00966113" w:rsidRPr="00966113">
              <w:rPr>
                <w:rStyle w:val="Hyperlink"/>
                <w:b/>
                <w:bCs/>
                <w:noProof/>
                <w:sz w:val="22"/>
                <w:szCs w:val="22"/>
              </w:rPr>
              <w:t>3. Učinkovito i djelotvorno pravosuđe, javna uprava i upravljanje državnom imovinom</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_Toc156819375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27</w:t>
            </w:r>
            <w:r w:rsidR="00966113" w:rsidRPr="00966113">
              <w:rPr>
                <w:b/>
                <w:bCs/>
                <w:noProof/>
                <w:webHidden/>
                <w:sz w:val="22"/>
                <w:szCs w:val="22"/>
              </w:rPr>
              <w:fldChar w:fldCharType="end"/>
            </w:r>
          </w:hyperlink>
        </w:p>
        <w:p w14:paraId="36280E82" w14:textId="0825E62D"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76" w:history="1">
            <w:r w:rsidR="00966113" w:rsidRPr="00966113">
              <w:rPr>
                <w:rStyle w:val="Hyperlink"/>
                <w:noProof/>
              </w:rPr>
              <w:t>3.1. Ostvarene vrijednosti pokazatelja uspješnosti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_Toc156819376 \h </w:instrText>
            </w:r>
            <w:r w:rsidR="00966113" w:rsidRPr="00966113">
              <w:rPr>
                <w:noProof/>
                <w:webHidden/>
              </w:rPr>
            </w:r>
            <w:r w:rsidR="00966113" w:rsidRPr="00966113">
              <w:rPr>
                <w:noProof/>
                <w:webHidden/>
              </w:rPr>
              <w:fldChar w:fldCharType="separate"/>
            </w:r>
            <w:r w:rsidR="00DE6A1B">
              <w:rPr>
                <w:noProof/>
                <w:webHidden/>
              </w:rPr>
              <w:t>27</w:t>
            </w:r>
            <w:r w:rsidR="00966113" w:rsidRPr="00966113">
              <w:rPr>
                <w:noProof/>
                <w:webHidden/>
              </w:rPr>
              <w:fldChar w:fldCharType="end"/>
            </w:r>
          </w:hyperlink>
        </w:p>
        <w:p w14:paraId="39C1667F" w14:textId="4E38F755" w:rsidR="00966113" w:rsidRPr="00966113" w:rsidRDefault="00F836CD" w:rsidP="00966113">
          <w:pPr>
            <w:pStyle w:val="TOC3"/>
            <w:tabs>
              <w:tab w:val="right" w:leader="dot" w:pos="9066"/>
            </w:tabs>
            <w:spacing w:before="0" w:line="360" w:lineRule="auto"/>
            <w:ind w:left="1134" w:hanging="433"/>
            <w:rPr>
              <w:rFonts w:asciiTheme="minorHAnsi" w:eastAsiaTheme="minorEastAsia" w:hAnsiTheme="minorHAnsi" w:cstheme="minorBidi"/>
              <w:noProof/>
              <w:kern w:val="2"/>
              <w:lang w:eastAsia="hr-HR"/>
              <w14:ligatures w14:val="standardContextual"/>
            </w:rPr>
          </w:pPr>
          <w:hyperlink w:anchor="_Toc156819377" w:history="1">
            <w:r w:rsidR="00966113" w:rsidRPr="00966113">
              <w:rPr>
                <w:rStyle w:val="Hyperlink"/>
                <w:noProof/>
              </w:rPr>
              <w:t>3.2. Opis napretka u provedbi strateškog cilja Učinkovito i djelotvorno pravosuđe, javna uprava i upravljanje državnom imovinom</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_Toc156819377 \h </w:instrText>
            </w:r>
            <w:r w:rsidR="00966113" w:rsidRPr="00966113">
              <w:rPr>
                <w:noProof/>
                <w:webHidden/>
              </w:rPr>
            </w:r>
            <w:r w:rsidR="00966113" w:rsidRPr="00966113">
              <w:rPr>
                <w:noProof/>
                <w:webHidden/>
              </w:rPr>
              <w:fldChar w:fldCharType="separate"/>
            </w:r>
            <w:r w:rsidR="00DE6A1B">
              <w:rPr>
                <w:noProof/>
                <w:webHidden/>
              </w:rPr>
              <w:t>27</w:t>
            </w:r>
            <w:r w:rsidR="00966113" w:rsidRPr="00966113">
              <w:rPr>
                <w:noProof/>
                <w:webHidden/>
              </w:rPr>
              <w:fldChar w:fldCharType="end"/>
            </w:r>
          </w:hyperlink>
        </w:p>
        <w:p w14:paraId="4B85E4BC" w14:textId="03A15C71"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378" w:history="1">
            <w:r w:rsidR="00966113" w:rsidRPr="00966113">
              <w:rPr>
                <w:rStyle w:val="Hyperlink"/>
                <w:b/>
                <w:bCs/>
                <w:noProof/>
                <w:sz w:val="22"/>
                <w:szCs w:val="22"/>
              </w:rPr>
              <w:t>4. Globalna prepoznatljivost i jačanje međunarodnog položaja i uloge Hrvatske</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_Toc156819378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39</w:t>
            </w:r>
            <w:r w:rsidR="00966113" w:rsidRPr="00966113">
              <w:rPr>
                <w:b/>
                <w:bCs/>
                <w:noProof/>
                <w:webHidden/>
                <w:sz w:val="22"/>
                <w:szCs w:val="22"/>
              </w:rPr>
              <w:fldChar w:fldCharType="end"/>
            </w:r>
          </w:hyperlink>
        </w:p>
        <w:p w14:paraId="6AA4EEE4" w14:textId="7691851D"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79" w:history="1">
            <w:r w:rsidR="00966113" w:rsidRPr="00966113">
              <w:rPr>
                <w:rStyle w:val="Hyperlink"/>
                <w:noProof/>
              </w:rPr>
              <w:t>4.1. Ostvarene vrijednosti pokazatelja uspješnosti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_Toc156819379 \h </w:instrText>
            </w:r>
            <w:r w:rsidR="00966113" w:rsidRPr="00966113">
              <w:rPr>
                <w:noProof/>
                <w:webHidden/>
              </w:rPr>
            </w:r>
            <w:r w:rsidR="00966113" w:rsidRPr="00966113">
              <w:rPr>
                <w:noProof/>
                <w:webHidden/>
              </w:rPr>
              <w:fldChar w:fldCharType="separate"/>
            </w:r>
            <w:r w:rsidR="00DE6A1B">
              <w:rPr>
                <w:noProof/>
                <w:webHidden/>
              </w:rPr>
              <w:t>39</w:t>
            </w:r>
            <w:r w:rsidR="00966113" w:rsidRPr="00966113">
              <w:rPr>
                <w:noProof/>
                <w:webHidden/>
              </w:rPr>
              <w:fldChar w:fldCharType="end"/>
            </w:r>
          </w:hyperlink>
        </w:p>
        <w:p w14:paraId="546D7E90" w14:textId="4374A660" w:rsidR="00966113" w:rsidRPr="00966113" w:rsidRDefault="00F836CD" w:rsidP="00966113">
          <w:pPr>
            <w:pStyle w:val="TOC3"/>
            <w:tabs>
              <w:tab w:val="right" w:leader="dot" w:pos="9066"/>
            </w:tabs>
            <w:spacing w:before="0" w:line="360" w:lineRule="auto"/>
            <w:ind w:left="1134" w:hanging="433"/>
            <w:rPr>
              <w:rFonts w:asciiTheme="minorHAnsi" w:eastAsiaTheme="minorEastAsia" w:hAnsiTheme="minorHAnsi" w:cstheme="minorBidi"/>
              <w:noProof/>
              <w:kern w:val="2"/>
              <w:lang w:eastAsia="hr-HR"/>
              <w14:ligatures w14:val="standardContextual"/>
            </w:rPr>
          </w:pPr>
          <w:hyperlink w:anchor="_Toc156819380" w:history="1">
            <w:r w:rsidR="00966113" w:rsidRPr="00966113">
              <w:rPr>
                <w:rStyle w:val="Hyperlink"/>
                <w:noProof/>
              </w:rPr>
              <w:t>4.2. Opis napretka u provedbi strateškog cilja Globalna prepoznatljivost i jačanje međunarodnog položaja i uloge Hrvatske</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_Toc156819380 \h </w:instrText>
            </w:r>
            <w:r w:rsidR="00966113" w:rsidRPr="00966113">
              <w:rPr>
                <w:noProof/>
                <w:webHidden/>
              </w:rPr>
            </w:r>
            <w:r w:rsidR="00966113" w:rsidRPr="00966113">
              <w:rPr>
                <w:noProof/>
                <w:webHidden/>
              </w:rPr>
              <w:fldChar w:fldCharType="separate"/>
            </w:r>
            <w:r w:rsidR="00DE6A1B">
              <w:rPr>
                <w:noProof/>
                <w:webHidden/>
              </w:rPr>
              <w:t>39</w:t>
            </w:r>
            <w:r w:rsidR="00966113" w:rsidRPr="00966113">
              <w:rPr>
                <w:noProof/>
                <w:webHidden/>
              </w:rPr>
              <w:fldChar w:fldCharType="end"/>
            </w:r>
          </w:hyperlink>
        </w:p>
        <w:p w14:paraId="079D3D12" w14:textId="6F6F70C3"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381" w:history="1">
            <w:r w:rsidR="00966113" w:rsidRPr="00966113">
              <w:rPr>
                <w:rStyle w:val="Hyperlink"/>
                <w:b/>
                <w:bCs/>
                <w:noProof/>
                <w:sz w:val="22"/>
                <w:szCs w:val="22"/>
              </w:rPr>
              <w:t>5. Zdrav, aktivan i kvalitetan život</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_Toc156819381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43</w:t>
            </w:r>
            <w:r w:rsidR="00966113" w:rsidRPr="00966113">
              <w:rPr>
                <w:b/>
                <w:bCs/>
                <w:noProof/>
                <w:webHidden/>
                <w:sz w:val="22"/>
                <w:szCs w:val="22"/>
              </w:rPr>
              <w:fldChar w:fldCharType="end"/>
            </w:r>
          </w:hyperlink>
        </w:p>
        <w:p w14:paraId="363C9E73" w14:textId="0D7B1141"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82" w:history="1">
            <w:r w:rsidR="00966113" w:rsidRPr="00966113">
              <w:rPr>
                <w:rStyle w:val="Hyperlink"/>
                <w:noProof/>
              </w:rPr>
              <w:t>5.1. Ostvarene vrijednosti pokazatelja uspješnosti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_Toc156819382 \h </w:instrText>
            </w:r>
            <w:r w:rsidR="00966113" w:rsidRPr="00966113">
              <w:rPr>
                <w:noProof/>
                <w:webHidden/>
              </w:rPr>
            </w:r>
            <w:r w:rsidR="00966113" w:rsidRPr="00966113">
              <w:rPr>
                <w:noProof/>
                <w:webHidden/>
              </w:rPr>
              <w:fldChar w:fldCharType="separate"/>
            </w:r>
            <w:r w:rsidR="00DE6A1B">
              <w:rPr>
                <w:noProof/>
                <w:webHidden/>
              </w:rPr>
              <w:t>43</w:t>
            </w:r>
            <w:r w:rsidR="00966113" w:rsidRPr="00966113">
              <w:rPr>
                <w:noProof/>
                <w:webHidden/>
              </w:rPr>
              <w:fldChar w:fldCharType="end"/>
            </w:r>
          </w:hyperlink>
        </w:p>
        <w:p w14:paraId="4E97837C" w14:textId="65EB9861"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83" w:history="1">
            <w:r w:rsidR="00966113" w:rsidRPr="00966113">
              <w:rPr>
                <w:rStyle w:val="Hyperlink"/>
                <w:noProof/>
              </w:rPr>
              <w:t>5.2. Opis napretka u provedbi strateškog cilja Zdrav, aktivan i kvalitetan život</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_Toc156819383 \h </w:instrText>
            </w:r>
            <w:r w:rsidR="00966113" w:rsidRPr="00966113">
              <w:rPr>
                <w:noProof/>
                <w:webHidden/>
              </w:rPr>
            </w:r>
            <w:r w:rsidR="00966113" w:rsidRPr="00966113">
              <w:rPr>
                <w:noProof/>
                <w:webHidden/>
              </w:rPr>
              <w:fldChar w:fldCharType="separate"/>
            </w:r>
            <w:r w:rsidR="00DE6A1B">
              <w:rPr>
                <w:noProof/>
                <w:webHidden/>
              </w:rPr>
              <w:t>43</w:t>
            </w:r>
            <w:r w:rsidR="00966113" w:rsidRPr="00966113">
              <w:rPr>
                <w:noProof/>
                <w:webHidden/>
              </w:rPr>
              <w:fldChar w:fldCharType="end"/>
            </w:r>
          </w:hyperlink>
        </w:p>
        <w:p w14:paraId="259C007E" w14:textId="6725838A"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384" w:history="1">
            <w:r w:rsidR="00966113" w:rsidRPr="00966113">
              <w:rPr>
                <w:rStyle w:val="Hyperlink"/>
                <w:b/>
                <w:bCs/>
                <w:noProof/>
                <w:sz w:val="22"/>
                <w:szCs w:val="22"/>
              </w:rPr>
              <w:t>6. Demografska revitalizacija i bolji položaj obitelji</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_Toc156819384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55</w:t>
            </w:r>
            <w:r w:rsidR="00966113" w:rsidRPr="00966113">
              <w:rPr>
                <w:b/>
                <w:bCs/>
                <w:noProof/>
                <w:webHidden/>
                <w:sz w:val="22"/>
                <w:szCs w:val="22"/>
              </w:rPr>
              <w:fldChar w:fldCharType="end"/>
            </w:r>
          </w:hyperlink>
        </w:p>
        <w:p w14:paraId="6CCBB072" w14:textId="604F31AE"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85" w:history="1">
            <w:r w:rsidR="00966113" w:rsidRPr="00966113">
              <w:rPr>
                <w:rStyle w:val="Hyperlink"/>
                <w:noProof/>
                <w:lang w:eastAsia="en-GB"/>
              </w:rPr>
              <w:t>6.1. Ostvarene vrijednosti pokazatelja uspješnosti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_Toc156819385 \h </w:instrText>
            </w:r>
            <w:r w:rsidR="00966113" w:rsidRPr="00966113">
              <w:rPr>
                <w:noProof/>
                <w:webHidden/>
              </w:rPr>
            </w:r>
            <w:r w:rsidR="00966113" w:rsidRPr="00966113">
              <w:rPr>
                <w:noProof/>
                <w:webHidden/>
              </w:rPr>
              <w:fldChar w:fldCharType="separate"/>
            </w:r>
            <w:r w:rsidR="00DE6A1B">
              <w:rPr>
                <w:noProof/>
                <w:webHidden/>
              </w:rPr>
              <w:t>55</w:t>
            </w:r>
            <w:r w:rsidR="00966113" w:rsidRPr="00966113">
              <w:rPr>
                <w:noProof/>
                <w:webHidden/>
              </w:rPr>
              <w:fldChar w:fldCharType="end"/>
            </w:r>
          </w:hyperlink>
        </w:p>
        <w:p w14:paraId="5D3CFAFA" w14:textId="681F43D3" w:rsidR="00966113" w:rsidRPr="00966113" w:rsidRDefault="00F836CD" w:rsidP="00966113">
          <w:pPr>
            <w:pStyle w:val="TOC3"/>
            <w:tabs>
              <w:tab w:val="right" w:leader="dot" w:pos="9066"/>
            </w:tabs>
            <w:spacing w:before="0" w:line="360" w:lineRule="auto"/>
            <w:ind w:left="1134" w:hanging="433"/>
            <w:rPr>
              <w:rFonts w:asciiTheme="minorHAnsi" w:eastAsiaTheme="minorEastAsia" w:hAnsiTheme="minorHAnsi" w:cstheme="minorBidi"/>
              <w:noProof/>
              <w:kern w:val="2"/>
              <w:lang w:eastAsia="hr-HR"/>
              <w14:ligatures w14:val="standardContextual"/>
            </w:rPr>
          </w:pPr>
          <w:hyperlink w:anchor="_Toc156819386" w:history="1">
            <w:r w:rsidR="00966113" w:rsidRPr="00966113">
              <w:rPr>
                <w:rStyle w:val="Hyperlink"/>
                <w:noProof/>
              </w:rPr>
              <w:t>6.2. Opis napretka u provedbi strateškog cilja Demografska revitalizacija i bolji položaj obitelji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_Toc156819386 \h </w:instrText>
            </w:r>
            <w:r w:rsidR="00966113" w:rsidRPr="00966113">
              <w:rPr>
                <w:noProof/>
                <w:webHidden/>
              </w:rPr>
            </w:r>
            <w:r w:rsidR="00966113" w:rsidRPr="00966113">
              <w:rPr>
                <w:noProof/>
                <w:webHidden/>
              </w:rPr>
              <w:fldChar w:fldCharType="separate"/>
            </w:r>
            <w:r w:rsidR="00DE6A1B">
              <w:rPr>
                <w:noProof/>
                <w:webHidden/>
              </w:rPr>
              <w:t>55</w:t>
            </w:r>
            <w:r w:rsidR="00966113" w:rsidRPr="00966113">
              <w:rPr>
                <w:noProof/>
                <w:webHidden/>
              </w:rPr>
              <w:fldChar w:fldCharType="end"/>
            </w:r>
          </w:hyperlink>
        </w:p>
        <w:p w14:paraId="07752283" w14:textId="6BC58522"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387" w:history="1">
            <w:r w:rsidR="00966113" w:rsidRPr="00966113">
              <w:rPr>
                <w:rStyle w:val="Hyperlink"/>
                <w:b/>
                <w:bCs/>
                <w:noProof/>
                <w:sz w:val="22"/>
                <w:szCs w:val="22"/>
              </w:rPr>
              <w:t>7. Sigurnost za stabilan razvoj</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_Toc156819387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61</w:t>
            </w:r>
            <w:r w:rsidR="00966113" w:rsidRPr="00966113">
              <w:rPr>
                <w:b/>
                <w:bCs/>
                <w:noProof/>
                <w:webHidden/>
                <w:sz w:val="22"/>
                <w:szCs w:val="22"/>
              </w:rPr>
              <w:fldChar w:fldCharType="end"/>
            </w:r>
          </w:hyperlink>
        </w:p>
        <w:p w14:paraId="33B9BF53" w14:textId="4B0CEF75"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88" w:history="1">
            <w:r w:rsidR="00966113" w:rsidRPr="00966113">
              <w:rPr>
                <w:rStyle w:val="Hyperlink"/>
                <w:noProof/>
              </w:rPr>
              <w:t>7.1. Ostvarene vrijednosti pokazatelja uspješnosti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_Toc156819388 \h </w:instrText>
            </w:r>
            <w:r w:rsidR="00966113" w:rsidRPr="00966113">
              <w:rPr>
                <w:noProof/>
                <w:webHidden/>
              </w:rPr>
            </w:r>
            <w:r w:rsidR="00966113" w:rsidRPr="00966113">
              <w:rPr>
                <w:noProof/>
                <w:webHidden/>
              </w:rPr>
              <w:fldChar w:fldCharType="separate"/>
            </w:r>
            <w:r w:rsidR="00DE6A1B">
              <w:rPr>
                <w:noProof/>
                <w:webHidden/>
              </w:rPr>
              <w:t>61</w:t>
            </w:r>
            <w:r w:rsidR="00966113" w:rsidRPr="00966113">
              <w:rPr>
                <w:noProof/>
                <w:webHidden/>
              </w:rPr>
              <w:fldChar w:fldCharType="end"/>
            </w:r>
          </w:hyperlink>
        </w:p>
        <w:p w14:paraId="77EDB4C8" w14:textId="43DF9068"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89" w:history="1">
            <w:r w:rsidR="00966113" w:rsidRPr="00966113">
              <w:rPr>
                <w:rStyle w:val="Hyperlink"/>
                <w:noProof/>
              </w:rPr>
              <w:t>7.2. Opis napretka u provedbi strateškog cilja Sigurnost za stabilan razvoj</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_Toc156819389 \h </w:instrText>
            </w:r>
            <w:r w:rsidR="00966113" w:rsidRPr="00966113">
              <w:rPr>
                <w:noProof/>
                <w:webHidden/>
              </w:rPr>
            </w:r>
            <w:r w:rsidR="00966113" w:rsidRPr="00966113">
              <w:rPr>
                <w:noProof/>
                <w:webHidden/>
              </w:rPr>
              <w:fldChar w:fldCharType="separate"/>
            </w:r>
            <w:r w:rsidR="00DE6A1B">
              <w:rPr>
                <w:noProof/>
                <w:webHidden/>
              </w:rPr>
              <w:t>61</w:t>
            </w:r>
            <w:r w:rsidR="00966113" w:rsidRPr="00966113">
              <w:rPr>
                <w:noProof/>
                <w:webHidden/>
              </w:rPr>
              <w:fldChar w:fldCharType="end"/>
            </w:r>
          </w:hyperlink>
        </w:p>
        <w:p w14:paraId="753D507E" w14:textId="73E232E8"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390" w:history="1">
            <w:r w:rsidR="00966113" w:rsidRPr="00966113">
              <w:rPr>
                <w:rStyle w:val="Hyperlink"/>
                <w:b/>
                <w:bCs/>
                <w:noProof/>
                <w:sz w:val="22"/>
                <w:szCs w:val="22"/>
              </w:rPr>
              <w:t>8. Ekološka i energetska tranzicija za klimatsku neutralnost</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_Toc156819390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68</w:t>
            </w:r>
            <w:r w:rsidR="00966113" w:rsidRPr="00966113">
              <w:rPr>
                <w:b/>
                <w:bCs/>
                <w:noProof/>
                <w:webHidden/>
                <w:sz w:val="22"/>
                <w:szCs w:val="22"/>
              </w:rPr>
              <w:fldChar w:fldCharType="end"/>
            </w:r>
          </w:hyperlink>
        </w:p>
        <w:p w14:paraId="4C45EB15" w14:textId="5A4EB13A" w:rsidR="00966113" w:rsidRPr="00966113" w:rsidRDefault="00F836CD" w:rsidP="00966113">
          <w:pPr>
            <w:pStyle w:val="TOC3"/>
            <w:tabs>
              <w:tab w:val="right" w:leader="dot" w:pos="9066"/>
            </w:tabs>
            <w:spacing w:before="0" w:line="360" w:lineRule="auto"/>
            <w:ind w:left="1134" w:hanging="433"/>
            <w:rPr>
              <w:rFonts w:asciiTheme="minorHAnsi" w:eastAsiaTheme="minorEastAsia" w:hAnsiTheme="minorHAnsi" w:cstheme="minorBidi"/>
              <w:noProof/>
              <w:kern w:val="2"/>
              <w:lang w:eastAsia="hr-HR"/>
              <w14:ligatures w14:val="standardContextual"/>
            </w:rPr>
          </w:pPr>
          <w:hyperlink w:anchor="_Toc156819391" w:history="1">
            <w:r w:rsidR="00966113" w:rsidRPr="00966113">
              <w:rPr>
                <w:rStyle w:val="Hyperlink"/>
                <w:noProof/>
              </w:rPr>
              <w:t>8.1. Ostvarene vrijednosti pokazatelja uspješnosti strateškog cilja Ekološka i energetska tranzicija za klimatsku neutralnost</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_Toc156819391 \h </w:instrText>
            </w:r>
            <w:r w:rsidR="00966113" w:rsidRPr="00966113">
              <w:rPr>
                <w:noProof/>
                <w:webHidden/>
              </w:rPr>
            </w:r>
            <w:r w:rsidR="00966113" w:rsidRPr="00966113">
              <w:rPr>
                <w:noProof/>
                <w:webHidden/>
              </w:rPr>
              <w:fldChar w:fldCharType="separate"/>
            </w:r>
            <w:r w:rsidR="00DE6A1B">
              <w:rPr>
                <w:noProof/>
                <w:webHidden/>
              </w:rPr>
              <w:t>68</w:t>
            </w:r>
            <w:r w:rsidR="00966113" w:rsidRPr="00966113">
              <w:rPr>
                <w:noProof/>
                <w:webHidden/>
              </w:rPr>
              <w:fldChar w:fldCharType="end"/>
            </w:r>
          </w:hyperlink>
        </w:p>
        <w:p w14:paraId="31586177" w14:textId="34C6ADE0" w:rsidR="00966113" w:rsidRPr="00966113" w:rsidRDefault="00F836CD" w:rsidP="00966113">
          <w:pPr>
            <w:pStyle w:val="TOC3"/>
            <w:tabs>
              <w:tab w:val="right" w:leader="dot" w:pos="9066"/>
            </w:tabs>
            <w:spacing w:before="0" w:line="360" w:lineRule="auto"/>
            <w:ind w:left="1134" w:hanging="433"/>
            <w:rPr>
              <w:rFonts w:asciiTheme="minorHAnsi" w:eastAsiaTheme="minorEastAsia" w:hAnsiTheme="minorHAnsi" w:cstheme="minorBidi"/>
              <w:noProof/>
              <w:kern w:val="2"/>
              <w:lang w:eastAsia="hr-HR"/>
              <w14:ligatures w14:val="standardContextual"/>
            </w:rPr>
          </w:pPr>
          <w:hyperlink w:anchor="_Toc156819392" w:history="1">
            <w:r w:rsidR="00966113" w:rsidRPr="00966113">
              <w:rPr>
                <w:rStyle w:val="Hyperlink"/>
                <w:rFonts w:eastAsia="Calibri"/>
                <w:noProof/>
              </w:rPr>
              <w:t xml:space="preserve">8.2. Opis napretka u provedbi strateškog cilja Ekološka i energetska tranzicija za </w:t>
            </w:r>
            <w:r w:rsidR="00966113" w:rsidRPr="00966113">
              <w:rPr>
                <w:rStyle w:val="Hyperlink"/>
                <w:rFonts w:eastAsia="Calibri"/>
                <w:noProof/>
              </w:rPr>
              <w:lastRenderedPageBreak/>
              <w:t>klimatsku neutralnost</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_Toc156819392 \h </w:instrText>
            </w:r>
            <w:r w:rsidR="00966113" w:rsidRPr="00966113">
              <w:rPr>
                <w:noProof/>
                <w:webHidden/>
              </w:rPr>
            </w:r>
            <w:r w:rsidR="00966113" w:rsidRPr="00966113">
              <w:rPr>
                <w:noProof/>
                <w:webHidden/>
              </w:rPr>
              <w:fldChar w:fldCharType="separate"/>
            </w:r>
            <w:r w:rsidR="00DE6A1B">
              <w:rPr>
                <w:noProof/>
                <w:webHidden/>
              </w:rPr>
              <w:t>68</w:t>
            </w:r>
            <w:r w:rsidR="00966113" w:rsidRPr="00966113">
              <w:rPr>
                <w:noProof/>
                <w:webHidden/>
              </w:rPr>
              <w:fldChar w:fldCharType="end"/>
            </w:r>
          </w:hyperlink>
        </w:p>
        <w:p w14:paraId="269FEE18" w14:textId="106259F5"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393" w:history="1">
            <w:r w:rsidR="00966113" w:rsidRPr="00966113">
              <w:rPr>
                <w:rStyle w:val="Hyperlink"/>
                <w:b/>
                <w:bCs/>
                <w:noProof/>
                <w:sz w:val="22"/>
                <w:szCs w:val="22"/>
              </w:rPr>
              <w:t>9. Samodostatnost u hrani i razvoj biogospodarstva</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_Toc156819393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76</w:t>
            </w:r>
            <w:r w:rsidR="00966113" w:rsidRPr="00966113">
              <w:rPr>
                <w:b/>
                <w:bCs/>
                <w:noProof/>
                <w:webHidden/>
                <w:sz w:val="22"/>
                <w:szCs w:val="22"/>
              </w:rPr>
              <w:fldChar w:fldCharType="end"/>
            </w:r>
          </w:hyperlink>
        </w:p>
        <w:p w14:paraId="607DDCB8" w14:textId="315707E2"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94" w:history="1">
            <w:r w:rsidR="00966113" w:rsidRPr="00966113">
              <w:rPr>
                <w:rStyle w:val="Hyperlink"/>
                <w:noProof/>
              </w:rPr>
              <w:t>9.1. Ostvarene vrijednosti pokazatelja uspješnosti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_Toc156819394 \h </w:instrText>
            </w:r>
            <w:r w:rsidR="00966113" w:rsidRPr="00966113">
              <w:rPr>
                <w:noProof/>
                <w:webHidden/>
              </w:rPr>
            </w:r>
            <w:r w:rsidR="00966113" w:rsidRPr="00966113">
              <w:rPr>
                <w:noProof/>
                <w:webHidden/>
              </w:rPr>
              <w:fldChar w:fldCharType="separate"/>
            </w:r>
            <w:r w:rsidR="00DE6A1B">
              <w:rPr>
                <w:noProof/>
                <w:webHidden/>
              </w:rPr>
              <w:t>76</w:t>
            </w:r>
            <w:r w:rsidR="00966113" w:rsidRPr="00966113">
              <w:rPr>
                <w:noProof/>
                <w:webHidden/>
              </w:rPr>
              <w:fldChar w:fldCharType="end"/>
            </w:r>
          </w:hyperlink>
        </w:p>
        <w:p w14:paraId="57895C0E" w14:textId="1F6019E8" w:rsidR="00966113" w:rsidRPr="00966113" w:rsidRDefault="00F836CD" w:rsidP="00966113">
          <w:pPr>
            <w:pStyle w:val="TOC3"/>
            <w:tabs>
              <w:tab w:val="right" w:leader="dot" w:pos="9066"/>
            </w:tabs>
            <w:spacing w:before="0" w:line="360" w:lineRule="auto"/>
            <w:ind w:left="1134" w:hanging="433"/>
            <w:rPr>
              <w:rFonts w:asciiTheme="minorHAnsi" w:eastAsiaTheme="minorEastAsia" w:hAnsiTheme="minorHAnsi" w:cstheme="minorBidi"/>
              <w:noProof/>
              <w:kern w:val="2"/>
              <w:lang w:eastAsia="hr-HR"/>
              <w14:ligatures w14:val="standardContextual"/>
            </w:rPr>
          </w:pPr>
          <w:hyperlink w:anchor="_Toc156819395" w:history="1">
            <w:r w:rsidR="00966113" w:rsidRPr="00966113">
              <w:rPr>
                <w:rStyle w:val="Hyperlink"/>
                <w:noProof/>
              </w:rPr>
              <w:t>9.2. Opis napretka u provedbi strateškog cilja Samodostatnost u hrani i razvoj</w:t>
            </w:r>
            <w:r w:rsidR="00966113">
              <w:rPr>
                <w:rStyle w:val="Hyperlink"/>
                <w:noProof/>
              </w:rPr>
              <w:t xml:space="preserve"> </w:t>
            </w:r>
            <w:r w:rsidR="00966113" w:rsidRPr="00966113">
              <w:rPr>
                <w:rStyle w:val="Hyperlink"/>
                <w:noProof/>
              </w:rPr>
              <w:t xml:space="preserve"> biogospodarstva</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_Toc156819395 \h </w:instrText>
            </w:r>
            <w:r w:rsidR="00966113" w:rsidRPr="00966113">
              <w:rPr>
                <w:noProof/>
                <w:webHidden/>
              </w:rPr>
            </w:r>
            <w:r w:rsidR="00966113" w:rsidRPr="00966113">
              <w:rPr>
                <w:noProof/>
                <w:webHidden/>
              </w:rPr>
              <w:fldChar w:fldCharType="separate"/>
            </w:r>
            <w:r w:rsidR="00DE6A1B">
              <w:rPr>
                <w:noProof/>
                <w:webHidden/>
              </w:rPr>
              <w:t>76</w:t>
            </w:r>
            <w:r w:rsidR="00966113" w:rsidRPr="00966113">
              <w:rPr>
                <w:noProof/>
                <w:webHidden/>
              </w:rPr>
              <w:fldChar w:fldCharType="end"/>
            </w:r>
          </w:hyperlink>
        </w:p>
        <w:p w14:paraId="4B9D5D6D" w14:textId="47DA4805"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396" w:history="1">
            <w:r w:rsidR="00966113" w:rsidRPr="00966113">
              <w:rPr>
                <w:rStyle w:val="Hyperlink"/>
                <w:b/>
                <w:bCs/>
                <w:noProof/>
                <w:sz w:val="22"/>
                <w:szCs w:val="22"/>
              </w:rPr>
              <w:t>10. Održiva mobilnost</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_Toc156819396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80</w:t>
            </w:r>
            <w:r w:rsidR="00966113" w:rsidRPr="00966113">
              <w:rPr>
                <w:b/>
                <w:bCs/>
                <w:noProof/>
                <w:webHidden/>
                <w:sz w:val="22"/>
                <w:szCs w:val="22"/>
              </w:rPr>
              <w:fldChar w:fldCharType="end"/>
            </w:r>
          </w:hyperlink>
        </w:p>
        <w:p w14:paraId="6F15FE5A" w14:textId="3F738364"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97" w:history="1">
            <w:r w:rsidR="00966113" w:rsidRPr="00966113">
              <w:rPr>
                <w:rStyle w:val="Hyperlink"/>
                <w:noProof/>
              </w:rPr>
              <w:t>10.1.</w:t>
            </w:r>
            <w:r w:rsidR="00966113" w:rsidRPr="00966113">
              <w:rPr>
                <w:rStyle w:val="Hyperlink"/>
                <w:rFonts w:ascii="Calibri" w:eastAsia="Calibri" w:hAnsi="Calibri" w:cs="Calibri"/>
                <w:noProof/>
              </w:rPr>
              <w:t xml:space="preserve"> </w:t>
            </w:r>
            <w:r w:rsidR="00966113" w:rsidRPr="00966113">
              <w:rPr>
                <w:rStyle w:val="Hyperlink"/>
                <w:noProof/>
              </w:rPr>
              <w:t>Ostvarene vrijednosti pokazatelja uspješnosti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_Toc156819397 \h </w:instrText>
            </w:r>
            <w:r w:rsidR="00966113" w:rsidRPr="00966113">
              <w:rPr>
                <w:noProof/>
                <w:webHidden/>
              </w:rPr>
            </w:r>
            <w:r w:rsidR="00966113" w:rsidRPr="00966113">
              <w:rPr>
                <w:noProof/>
                <w:webHidden/>
              </w:rPr>
              <w:fldChar w:fldCharType="separate"/>
            </w:r>
            <w:r w:rsidR="00DE6A1B">
              <w:rPr>
                <w:noProof/>
                <w:webHidden/>
              </w:rPr>
              <w:t>80</w:t>
            </w:r>
            <w:r w:rsidR="00966113" w:rsidRPr="00966113">
              <w:rPr>
                <w:noProof/>
                <w:webHidden/>
              </w:rPr>
              <w:fldChar w:fldCharType="end"/>
            </w:r>
          </w:hyperlink>
        </w:p>
        <w:p w14:paraId="39CBC825" w14:textId="6B2C2A00"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398" w:history="1">
            <w:r w:rsidR="00966113" w:rsidRPr="00966113">
              <w:rPr>
                <w:rStyle w:val="Hyperlink"/>
                <w:noProof/>
              </w:rPr>
              <w:t>10.2. Opis napretka u provedbi strateškog cilja Održiva mobilnost</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_Toc156819398 \h </w:instrText>
            </w:r>
            <w:r w:rsidR="00966113" w:rsidRPr="00966113">
              <w:rPr>
                <w:noProof/>
                <w:webHidden/>
              </w:rPr>
            </w:r>
            <w:r w:rsidR="00966113" w:rsidRPr="00966113">
              <w:rPr>
                <w:noProof/>
                <w:webHidden/>
              </w:rPr>
              <w:fldChar w:fldCharType="separate"/>
            </w:r>
            <w:r w:rsidR="00DE6A1B">
              <w:rPr>
                <w:noProof/>
                <w:webHidden/>
              </w:rPr>
              <w:t>80</w:t>
            </w:r>
            <w:r w:rsidR="00966113" w:rsidRPr="00966113">
              <w:rPr>
                <w:noProof/>
                <w:webHidden/>
              </w:rPr>
              <w:fldChar w:fldCharType="end"/>
            </w:r>
          </w:hyperlink>
        </w:p>
        <w:p w14:paraId="59C9FA3F" w14:textId="6FE4C005"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399" w:history="1">
            <w:r w:rsidR="00966113" w:rsidRPr="00966113">
              <w:rPr>
                <w:rStyle w:val="Hyperlink"/>
                <w:b/>
                <w:bCs/>
                <w:noProof/>
                <w:sz w:val="22"/>
                <w:szCs w:val="22"/>
              </w:rPr>
              <w:t>11. Digitalna tranzicija društva i gospodarstva</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_Toc156819399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84</w:t>
            </w:r>
            <w:r w:rsidR="00966113" w:rsidRPr="00966113">
              <w:rPr>
                <w:b/>
                <w:bCs/>
                <w:noProof/>
                <w:webHidden/>
                <w:sz w:val="22"/>
                <w:szCs w:val="22"/>
              </w:rPr>
              <w:fldChar w:fldCharType="end"/>
            </w:r>
          </w:hyperlink>
        </w:p>
        <w:p w14:paraId="349235AE" w14:textId="73494F9E"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400" w:history="1">
            <w:r w:rsidR="00966113" w:rsidRPr="00966113">
              <w:rPr>
                <w:rStyle w:val="Hyperlink"/>
                <w:noProof/>
              </w:rPr>
              <w:t>11.1. Ostvarene vrijednosti pokazatelja učinka</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_Toc156819400 \h </w:instrText>
            </w:r>
            <w:r w:rsidR="00966113" w:rsidRPr="00966113">
              <w:rPr>
                <w:noProof/>
                <w:webHidden/>
              </w:rPr>
            </w:r>
            <w:r w:rsidR="00966113" w:rsidRPr="00966113">
              <w:rPr>
                <w:noProof/>
                <w:webHidden/>
              </w:rPr>
              <w:fldChar w:fldCharType="separate"/>
            </w:r>
            <w:r w:rsidR="00DE6A1B">
              <w:rPr>
                <w:noProof/>
                <w:webHidden/>
              </w:rPr>
              <w:t>84</w:t>
            </w:r>
            <w:r w:rsidR="00966113" w:rsidRPr="00966113">
              <w:rPr>
                <w:noProof/>
                <w:webHidden/>
              </w:rPr>
              <w:fldChar w:fldCharType="end"/>
            </w:r>
          </w:hyperlink>
        </w:p>
        <w:p w14:paraId="6822122D" w14:textId="7E20A473"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401" w:history="1">
            <w:r w:rsidR="00966113" w:rsidRPr="00966113">
              <w:rPr>
                <w:rStyle w:val="Hyperlink"/>
                <w:noProof/>
              </w:rPr>
              <w:t>11.2. Opis napretka u provedbi strateškog cilja Digitalna tranzicija gospodarstva</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_Toc156819401 \h </w:instrText>
            </w:r>
            <w:r w:rsidR="00966113" w:rsidRPr="00966113">
              <w:rPr>
                <w:noProof/>
                <w:webHidden/>
              </w:rPr>
            </w:r>
            <w:r w:rsidR="00966113" w:rsidRPr="00966113">
              <w:rPr>
                <w:noProof/>
                <w:webHidden/>
              </w:rPr>
              <w:fldChar w:fldCharType="separate"/>
            </w:r>
            <w:r w:rsidR="00DE6A1B">
              <w:rPr>
                <w:noProof/>
                <w:webHidden/>
              </w:rPr>
              <w:t>84</w:t>
            </w:r>
            <w:r w:rsidR="00966113" w:rsidRPr="00966113">
              <w:rPr>
                <w:noProof/>
                <w:webHidden/>
              </w:rPr>
              <w:fldChar w:fldCharType="end"/>
            </w:r>
          </w:hyperlink>
        </w:p>
        <w:p w14:paraId="7E202A80" w14:textId="6EC4406E"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402" w:history="1">
            <w:r w:rsidR="00966113" w:rsidRPr="00966113">
              <w:rPr>
                <w:rStyle w:val="Hyperlink"/>
                <w:b/>
                <w:bCs/>
                <w:noProof/>
                <w:sz w:val="22"/>
                <w:szCs w:val="22"/>
              </w:rPr>
              <w:t>12. Razvoj potpomognutih područja i područja s razvojnim posebnostima</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_Toc156819402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88</w:t>
            </w:r>
            <w:r w:rsidR="00966113" w:rsidRPr="00966113">
              <w:rPr>
                <w:b/>
                <w:bCs/>
                <w:noProof/>
                <w:webHidden/>
                <w:sz w:val="22"/>
                <w:szCs w:val="22"/>
              </w:rPr>
              <w:fldChar w:fldCharType="end"/>
            </w:r>
          </w:hyperlink>
        </w:p>
        <w:p w14:paraId="330B6EC1" w14:textId="6F6AD5BB"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403" w:history="1">
            <w:r w:rsidR="00966113" w:rsidRPr="00966113">
              <w:rPr>
                <w:rStyle w:val="Hyperlink"/>
                <w:noProof/>
              </w:rPr>
              <w:t>12.1. Ostvarene vrijednosti pokazatelja uspješnosti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_Toc156819403 \h </w:instrText>
            </w:r>
            <w:r w:rsidR="00966113" w:rsidRPr="00966113">
              <w:rPr>
                <w:noProof/>
                <w:webHidden/>
              </w:rPr>
            </w:r>
            <w:r w:rsidR="00966113" w:rsidRPr="00966113">
              <w:rPr>
                <w:noProof/>
                <w:webHidden/>
              </w:rPr>
              <w:fldChar w:fldCharType="separate"/>
            </w:r>
            <w:r w:rsidR="00DE6A1B">
              <w:rPr>
                <w:noProof/>
                <w:webHidden/>
              </w:rPr>
              <w:t>88</w:t>
            </w:r>
            <w:r w:rsidR="00966113" w:rsidRPr="00966113">
              <w:rPr>
                <w:noProof/>
                <w:webHidden/>
              </w:rPr>
              <w:fldChar w:fldCharType="end"/>
            </w:r>
          </w:hyperlink>
        </w:p>
        <w:p w14:paraId="58A4BE80" w14:textId="52D7944B"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404" w:history="1">
            <w:r w:rsidR="00966113" w:rsidRPr="00966113">
              <w:rPr>
                <w:rStyle w:val="Hyperlink"/>
                <w:noProof/>
              </w:rPr>
              <w:t>12.2. Opis napretka u provedbi strateškog cilja Razvoj potpomognutih područja i područja s razvojnim posebnostima</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_Toc156819404 \h </w:instrText>
            </w:r>
            <w:r w:rsidR="00966113" w:rsidRPr="00966113">
              <w:rPr>
                <w:noProof/>
                <w:webHidden/>
              </w:rPr>
            </w:r>
            <w:r w:rsidR="00966113" w:rsidRPr="00966113">
              <w:rPr>
                <w:noProof/>
                <w:webHidden/>
              </w:rPr>
              <w:fldChar w:fldCharType="separate"/>
            </w:r>
            <w:r w:rsidR="00DE6A1B">
              <w:rPr>
                <w:noProof/>
                <w:webHidden/>
              </w:rPr>
              <w:t>88</w:t>
            </w:r>
            <w:r w:rsidR="00966113" w:rsidRPr="00966113">
              <w:rPr>
                <w:noProof/>
                <w:webHidden/>
              </w:rPr>
              <w:fldChar w:fldCharType="end"/>
            </w:r>
          </w:hyperlink>
        </w:p>
        <w:p w14:paraId="432D0CEA" w14:textId="2496BA1E"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405" w:history="1">
            <w:r w:rsidR="00966113" w:rsidRPr="00966113">
              <w:rPr>
                <w:rStyle w:val="Hyperlink"/>
                <w:b/>
                <w:bCs/>
                <w:noProof/>
                <w:sz w:val="22"/>
                <w:szCs w:val="22"/>
              </w:rPr>
              <w:t>13. Jačanje regionalne konkurentnosti</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_Toc156819405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92</w:t>
            </w:r>
            <w:r w:rsidR="00966113" w:rsidRPr="00966113">
              <w:rPr>
                <w:b/>
                <w:bCs/>
                <w:noProof/>
                <w:webHidden/>
                <w:sz w:val="22"/>
                <w:szCs w:val="22"/>
              </w:rPr>
              <w:fldChar w:fldCharType="end"/>
            </w:r>
          </w:hyperlink>
        </w:p>
        <w:p w14:paraId="325553BC" w14:textId="465C1DF1"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406" w:history="1">
            <w:r w:rsidR="00966113" w:rsidRPr="00966113">
              <w:rPr>
                <w:rStyle w:val="Hyperlink"/>
                <w:noProof/>
              </w:rPr>
              <w:t>13.1. Ostvarene vrijednosti pokazatelja uspješnosti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_Toc156819406 \h </w:instrText>
            </w:r>
            <w:r w:rsidR="00966113" w:rsidRPr="00966113">
              <w:rPr>
                <w:noProof/>
                <w:webHidden/>
              </w:rPr>
            </w:r>
            <w:r w:rsidR="00966113" w:rsidRPr="00966113">
              <w:rPr>
                <w:noProof/>
                <w:webHidden/>
              </w:rPr>
              <w:fldChar w:fldCharType="separate"/>
            </w:r>
            <w:r w:rsidR="00DE6A1B">
              <w:rPr>
                <w:noProof/>
                <w:webHidden/>
              </w:rPr>
              <w:t>92</w:t>
            </w:r>
            <w:r w:rsidR="00966113" w:rsidRPr="00966113">
              <w:rPr>
                <w:noProof/>
                <w:webHidden/>
              </w:rPr>
              <w:fldChar w:fldCharType="end"/>
            </w:r>
          </w:hyperlink>
        </w:p>
        <w:p w14:paraId="0E7A2E43" w14:textId="2453C21B" w:rsidR="00966113" w:rsidRPr="00966113" w:rsidRDefault="00F836CD" w:rsidP="00966113">
          <w:pPr>
            <w:pStyle w:val="TOC3"/>
            <w:tabs>
              <w:tab w:val="right" w:leader="dot" w:pos="9066"/>
            </w:tabs>
            <w:spacing w:before="0" w:line="360" w:lineRule="auto"/>
            <w:rPr>
              <w:rFonts w:asciiTheme="minorHAnsi" w:eastAsiaTheme="minorEastAsia" w:hAnsiTheme="minorHAnsi" w:cstheme="minorBidi"/>
              <w:noProof/>
              <w:kern w:val="2"/>
              <w:lang w:eastAsia="hr-HR"/>
              <w14:ligatures w14:val="standardContextual"/>
            </w:rPr>
          </w:pPr>
          <w:hyperlink w:anchor="_Toc156819407" w:history="1">
            <w:r w:rsidR="00966113" w:rsidRPr="00966113">
              <w:rPr>
                <w:rStyle w:val="Hyperlink"/>
                <w:noProof/>
              </w:rPr>
              <w:t>13.2. Opis napretka u provedbi strateškog cilja Jačanje regionalne konkurentnosti</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_Toc156819407 \h </w:instrText>
            </w:r>
            <w:r w:rsidR="00966113" w:rsidRPr="00966113">
              <w:rPr>
                <w:noProof/>
                <w:webHidden/>
              </w:rPr>
            </w:r>
            <w:r w:rsidR="00966113" w:rsidRPr="00966113">
              <w:rPr>
                <w:noProof/>
                <w:webHidden/>
              </w:rPr>
              <w:fldChar w:fldCharType="separate"/>
            </w:r>
            <w:r w:rsidR="00DE6A1B">
              <w:rPr>
                <w:noProof/>
                <w:webHidden/>
              </w:rPr>
              <w:t>92</w:t>
            </w:r>
            <w:r w:rsidR="00966113" w:rsidRPr="00966113">
              <w:rPr>
                <w:noProof/>
                <w:webHidden/>
              </w:rPr>
              <w:fldChar w:fldCharType="end"/>
            </w:r>
          </w:hyperlink>
        </w:p>
        <w:p w14:paraId="004D8773" w14:textId="071FB036"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408" w:history="1">
            <w:r w:rsidR="00966113" w:rsidRPr="00966113">
              <w:rPr>
                <w:rStyle w:val="Hyperlink"/>
                <w:b/>
                <w:bCs/>
                <w:noProof/>
                <w:sz w:val="22"/>
                <w:szCs w:val="22"/>
              </w:rPr>
              <w:t>Napredak u provedbi horizontalnih prioriteta Nacionalne razvojne strategije</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_Toc156819408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95</w:t>
            </w:r>
            <w:r w:rsidR="00966113" w:rsidRPr="00966113">
              <w:rPr>
                <w:b/>
                <w:bCs/>
                <w:noProof/>
                <w:webHidden/>
                <w:sz w:val="22"/>
                <w:szCs w:val="22"/>
              </w:rPr>
              <w:fldChar w:fldCharType="end"/>
            </w:r>
          </w:hyperlink>
        </w:p>
        <w:p w14:paraId="395208B7" w14:textId="55A54CF9" w:rsidR="00966113" w:rsidRPr="00966113" w:rsidRDefault="00F836CD" w:rsidP="00966113">
          <w:pPr>
            <w:pStyle w:val="TOC2"/>
            <w:tabs>
              <w:tab w:val="right" w:leader="dot" w:pos="9066"/>
            </w:tabs>
            <w:spacing w:before="0" w:line="360" w:lineRule="auto"/>
            <w:ind w:left="426"/>
            <w:rPr>
              <w:rFonts w:asciiTheme="minorHAnsi" w:eastAsiaTheme="minorEastAsia" w:hAnsiTheme="minorHAnsi" w:cstheme="minorBidi"/>
              <w:b/>
              <w:bCs/>
              <w:noProof/>
              <w:kern w:val="2"/>
              <w:sz w:val="22"/>
              <w:szCs w:val="22"/>
              <w:lang w:eastAsia="hr-HR"/>
              <w14:ligatures w14:val="standardContextual"/>
            </w:rPr>
          </w:pPr>
          <w:hyperlink w:anchor="_Toc156819409" w:history="1">
            <w:r w:rsidR="00966113" w:rsidRPr="00966113">
              <w:rPr>
                <w:rStyle w:val="Hyperlink"/>
                <w:b/>
                <w:bCs/>
                <w:noProof/>
                <w:sz w:val="22"/>
                <w:szCs w:val="22"/>
              </w:rPr>
              <w:t>Zaključak o napretku u provedbi Nacionalne razvojne strategije Republike Hrvatske do 2030. godine, tijekom 2022. godine</w:t>
            </w:r>
            <w:r w:rsidR="00966113" w:rsidRPr="00966113">
              <w:rPr>
                <w:b/>
                <w:bCs/>
                <w:noProof/>
                <w:webHidden/>
                <w:sz w:val="22"/>
                <w:szCs w:val="22"/>
              </w:rPr>
              <w:tab/>
            </w:r>
            <w:r w:rsidR="00966113" w:rsidRPr="00966113">
              <w:rPr>
                <w:b/>
                <w:bCs/>
                <w:noProof/>
                <w:webHidden/>
                <w:sz w:val="22"/>
                <w:szCs w:val="22"/>
              </w:rPr>
              <w:fldChar w:fldCharType="begin"/>
            </w:r>
            <w:r w:rsidR="00966113" w:rsidRPr="00966113">
              <w:rPr>
                <w:b/>
                <w:bCs/>
                <w:noProof/>
                <w:webHidden/>
                <w:sz w:val="22"/>
                <w:szCs w:val="22"/>
              </w:rPr>
              <w:instrText xml:space="preserve"> PAGEREF _Toc156819409 \h </w:instrText>
            </w:r>
            <w:r w:rsidR="00966113" w:rsidRPr="00966113">
              <w:rPr>
                <w:b/>
                <w:bCs/>
                <w:noProof/>
                <w:webHidden/>
                <w:sz w:val="22"/>
                <w:szCs w:val="22"/>
              </w:rPr>
            </w:r>
            <w:r w:rsidR="00966113" w:rsidRPr="00966113">
              <w:rPr>
                <w:b/>
                <w:bCs/>
                <w:noProof/>
                <w:webHidden/>
                <w:sz w:val="22"/>
                <w:szCs w:val="22"/>
              </w:rPr>
              <w:fldChar w:fldCharType="separate"/>
            </w:r>
            <w:r w:rsidR="00DE6A1B">
              <w:rPr>
                <w:b/>
                <w:bCs/>
                <w:noProof/>
                <w:webHidden/>
                <w:sz w:val="22"/>
                <w:szCs w:val="22"/>
              </w:rPr>
              <w:t>99</w:t>
            </w:r>
            <w:r w:rsidR="00966113" w:rsidRPr="00966113">
              <w:rPr>
                <w:b/>
                <w:bCs/>
                <w:noProof/>
                <w:webHidden/>
                <w:sz w:val="22"/>
                <w:szCs w:val="22"/>
              </w:rPr>
              <w:fldChar w:fldCharType="end"/>
            </w:r>
          </w:hyperlink>
        </w:p>
        <w:p w14:paraId="1B252854" w14:textId="6E54B688" w:rsidR="00966113" w:rsidRPr="00966113" w:rsidRDefault="00F836CD" w:rsidP="00966113">
          <w:pPr>
            <w:pStyle w:val="TOC2"/>
            <w:tabs>
              <w:tab w:val="right" w:leader="dot" w:pos="9066"/>
            </w:tabs>
            <w:spacing w:before="0" w:line="360" w:lineRule="auto"/>
            <w:ind w:left="851"/>
            <w:rPr>
              <w:rFonts w:asciiTheme="minorHAnsi" w:eastAsiaTheme="minorEastAsia" w:hAnsiTheme="minorHAnsi" w:cstheme="minorBidi"/>
              <w:noProof/>
              <w:kern w:val="2"/>
              <w:sz w:val="22"/>
              <w:szCs w:val="22"/>
              <w:lang w:eastAsia="hr-HR"/>
              <w14:ligatures w14:val="standardContextual"/>
            </w:rPr>
          </w:pPr>
          <w:hyperlink w:anchor="_Toc156819410" w:history="1">
            <w:r w:rsidR="00966113" w:rsidRPr="00966113">
              <w:rPr>
                <w:rStyle w:val="Hyperlink"/>
                <w:noProof/>
                <w:sz w:val="22"/>
                <w:szCs w:val="22"/>
              </w:rPr>
              <w:t>Prilog 1 Zakonodavni okvir Izvješća i primjena načela transparentnosti</w:t>
            </w:r>
            <w:r w:rsidR="00966113" w:rsidRPr="00966113">
              <w:rPr>
                <w:noProof/>
                <w:webHidden/>
                <w:sz w:val="22"/>
                <w:szCs w:val="22"/>
              </w:rPr>
              <w:tab/>
            </w:r>
            <w:r w:rsidR="00966113" w:rsidRPr="00966113">
              <w:rPr>
                <w:noProof/>
                <w:webHidden/>
                <w:sz w:val="22"/>
                <w:szCs w:val="22"/>
              </w:rPr>
              <w:fldChar w:fldCharType="begin"/>
            </w:r>
            <w:r w:rsidR="00966113" w:rsidRPr="00966113">
              <w:rPr>
                <w:noProof/>
                <w:webHidden/>
                <w:sz w:val="22"/>
                <w:szCs w:val="22"/>
              </w:rPr>
              <w:instrText xml:space="preserve"> PAGEREF _Toc156819410 \h </w:instrText>
            </w:r>
            <w:r w:rsidR="00966113" w:rsidRPr="00966113">
              <w:rPr>
                <w:noProof/>
                <w:webHidden/>
                <w:sz w:val="22"/>
                <w:szCs w:val="22"/>
              </w:rPr>
            </w:r>
            <w:r w:rsidR="00966113" w:rsidRPr="00966113">
              <w:rPr>
                <w:noProof/>
                <w:webHidden/>
                <w:sz w:val="22"/>
                <w:szCs w:val="22"/>
              </w:rPr>
              <w:fldChar w:fldCharType="separate"/>
            </w:r>
            <w:r w:rsidR="00DE6A1B">
              <w:rPr>
                <w:noProof/>
                <w:webHidden/>
                <w:sz w:val="22"/>
                <w:szCs w:val="22"/>
              </w:rPr>
              <w:t>101</w:t>
            </w:r>
            <w:r w:rsidR="00966113" w:rsidRPr="00966113">
              <w:rPr>
                <w:noProof/>
                <w:webHidden/>
                <w:sz w:val="22"/>
                <w:szCs w:val="22"/>
              </w:rPr>
              <w:fldChar w:fldCharType="end"/>
            </w:r>
          </w:hyperlink>
        </w:p>
        <w:p w14:paraId="7B88EA31" w14:textId="5E82E151" w:rsidR="00966113" w:rsidRPr="00966113" w:rsidRDefault="00F836CD" w:rsidP="00966113">
          <w:pPr>
            <w:pStyle w:val="TOC3"/>
            <w:tabs>
              <w:tab w:val="right" w:leader="dot" w:pos="9066"/>
            </w:tabs>
            <w:spacing w:before="0" w:line="360" w:lineRule="auto"/>
            <w:ind w:left="851" w:firstLine="0"/>
            <w:rPr>
              <w:rFonts w:asciiTheme="minorHAnsi" w:eastAsiaTheme="minorEastAsia" w:hAnsiTheme="minorHAnsi" w:cstheme="minorBidi"/>
              <w:noProof/>
              <w:kern w:val="2"/>
              <w:lang w:eastAsia="hr-HR"/>
              <w14:ligatures w14:val="standardContextual"/>
            </w:rPr>
          </w:pPr>
          <w:hyperlink w:anchor="_Toc156819411" w:history="1">
            <w:r w:rsidR="00966113" w:rsidRPr="00966113">
              <w:rPr>
                <w:rStyle w:val="Hyperlink"/>
                <w:noProof/>
              </w:rPr>
              <w:t>Prilog 2 Pregled ostvarenih vrijednosti pokazatelja uspješnosti NRS-a 2030.</w:t>
            </w:r>
            <w:r w:rsidR="00966113" w:rsidRPr="00966113">
              <w:rPr>
                <w:noProof/>
                <w:webHidden/>
              </w:rPr>
              <w:tab/>
            </w:r>
            <w:r w:rsidR="00966113" w:rsidRPr="00966113">
              <w:rPr>
                <w:noProof/>
                <w:webHidden/>
              </w:rPr>
              <w:fldChar w:fldCharType="begin"/>
            </w:r>
            <w:r w:rsidR="00966113" w:rsidRPr="00966113">
              <w:rPr>
                <w:noProof/>
                <w:webHidden/>
              </w:rPr>
              <w:instrText xml:space="preserve"> PAGEREF _Toc156819411 \h </w:instrText>
            </w:r>
            <w:r w:rsidR="00966113" w:rsidRPr="00966113">
              <w:rPr>
                <w:noProof/>
                <w:webHidden/>
              </w:rPr>
            </w:r>
            <w:r w:rsidR="00966113" w:rsidRPr="00966113">
              <w:rPr>
                <w:noProof/>
                <w:webHidden/>
              </w:rPr>
              <w:fldChar w:fldCharType="separate"/>
            </w:r>
            <w:r w:rsidR="00DE6A1B">
              <w:rPr>
                <w:noProof/>
                <w:webHidden/>
              </w:rPr>
              <w:t>102</w:t>
            </w:r>
            <w:r w:rsidR="00966113" w:rsidRPr="00966113">
              <w:rPr>
                <w:noProof/>
                <w:webHidden/>
              </w:rPr>
              <w:fldChar w:fldCharType="end"/>
            </w:r>
          </w:hyperlink>
        </w:p>
        <w:p w14:paraId="4E8D452C" w14:textId="5CE630E2" w:rsidR="00966113" w:rsidRPr="00966113" w:rsidRDefault="00F836CD" w:rsidP="00966113">
          <w:pPr>
            <w:pStyle w:val="TOC2"/>
            <w:tabs>
              <w:tab w:val="right" w:leader="dot" w:pos="9066"/>
            </w:tabs>
            <w:spacing w:before="0" w:line="360" w:lineRule="auto"/>
            <w:ind w:left="851"/>
            <w:rPr>
              <w:rFonts w:asciiTheme="minorHAnsi" w:eastAsiaTheme="minorEastAsia" w:hAnsiTheme="minorHAnsi" w:cstheme="minorBidi"/>
              <w:noProof/>
              <w:kern w:val="2"/>
              <w:sz w:val="22"/>
              <w:szCs w:val="22"/>
              <w:lang w:eastAsia="hr-HR"/>
              <w14:ligatures w14:val="standardContextual"/>
            </w:rPr>
          </w:pPr>
          <w:hyperlink w:anchor="_Toc156819412" w:history="1">
            <w:r w:rsidR="00966113" w:rsidRPr="00966113">
              <w:rPr>
                <w:rStyle w:val="Hyperlink"/>
                <w:rFonts w:eastAsia="Calibri"/>
                <w:noProof/>
                <w:sz w:val="22"/>
                <w:szCs w:val="22"/>
              </w:rPr>
              <w:t>Prilog 3 Popis važećih akata strateškog planiranja</w:t>
            </w:r>
            <w:r w:rsidR="00966113" w:rsidRPr="00966113">
              <w:rPr>
                <w:rStyle w:val="Hyperlink"/>
                <w:noProof/>
                <w:sz w:val="22"/>
                <w:szCs w:val="22"/>
              </w:rPr>
              <w:t xml:space="preserve"> </w:t>
            </w:r>
            <w:r w:rsidR="00966113" w:rsidRPr="00966113">
              <w:rPr>
                <w:rStyle w:val="Hyperlink"/>
                <w:rFonts w:eastAsia="Calibri"/>
                <w:noProof/>
                <w:sz w:val="22"/>
                <w:szCs w:val="22"/>
              </w:rPr>
              <w:t>koji izravno podupiru provedbu strateškog okvira NRS-a 2030.</w:t>
            </w:r>
            <w:r w:rsidR="00966113" w:rsidRPr="00966113">
              <w:rPr>
                <w:noProof/>
                <w:webHidden/>
                <w:sz w:val="22"/>
                <w:szCs w:val="22"/>
              </w:rPr>
              <w:tab/>
            </w:r>
            <w:r w:rsidR="00966113" w:rsidRPr="00966113">
              <w:rPr>
                <w:noProof/>
                <w:webHidden/>
                <w:sz w:val="22"/>
                <w:szCs w:val="22"/>
              </w:rPr>
              <w:fldChar w:fldCharType="begin"/>
            </w:r>
            <w:r w:rsidR="00966113" w:rsidRPr="00966113">
              <w:rPr>
                <w:noProof/>
                <w:webHidden/>
                <w:sz w:val="22"/>
                <w:szCs w:val="22"/>
              </w:rPr>
              <w:instrText xml:space="preserve"> PAGEREF _Toc156819412 \h </w:instrText>
            </w:r>
            <w:r w:rsidR="00966113" w:rsidRPr="00966113">
              <w:rPr>
                <w:noProof/>
                <w:webHidden/>
                <w:sz w:val="22"/>
                <w:szCs w:val="22"/>
              </w:rPr>
            </w:r>
            <w:r w:rsidR="00966113" w:rsidRPr="00966113">
              <w:rPr>
                <w:noProof/>
                <w:webHidden/>
                <w:sz w:val="22"/>
                <w:szCs w:val="22"/>
              </w:rPr>
              <w:fldChar w:fldCharType="separate"/>
            </w:r>
            <w:r w:rsidR="00DE6A1B">
              <w:rPr>
                <w:noProof/>
                <w:webHidden/>
                <w:sz w:val="22"/>
                <w:szCs w:val="22"/>
              </w:rPr>
              <w:t>106</w:t>
            </w:r>
            <w:r w:rsidR="00966113" w:rsidRPr="00966113">
              <w:rPr>
                <w:noProof/>
                <w:webHidden/>
                <w:sz w:val="22"/>
                <w:szCs w:val="22"/>
              </w:rPr>
              <w:fldChar w:fldCharType="end"/>
            </w:r>
          </w:hyperlink>
        </w:p>
        <w:p w14:paraId="1CA38E11" w14:textId="1D007468" w:rsidR="00966113" w:rsidRPr="00966113" w:rsidRDefault="00F836CD" w:rsidP="00966113">
          <w:pPr>
            <w:pStyle w:val="TOC2"/>
            <w:tabs>
              <w:tab w:val="right" w:leader="dot" w:pos="9066"/>
            </w:tabs>
            <w:spacing w:before="0" w:line="360" w:lineRule="auto"/>
            <w:ind w:left="851"/>
            <w:rPr>
              <w:rFonts w:asciiTheme="minorHAnsi" w:eastAsiaTheme="minorEastAsia" w:hAnsiTheme="minorHAnsi" w:cstheme="minorBidi"/>
              <w:noProof/>
              <w:kern w:val="2"/>
              <w:sz w:val="22"/>
              <w:szCs w:val="22"/>
              <w:lang w:eastAsia="hr-HR"/>
              <w14:ligatures w14:val="standardContextual"/>
            </w:rPr>
          </w:pPr>
          <w:hyperlink w:anchor="_Toc156819413" w:history="1">
            <w:r w:rsidR="00966113" w:rsidRPr="00966113">
              <w:rPr>
                <w:rStyle w:val="Hyperlink"/>
                <w:rFonts w:eastAsia="Calibri"/>
                <w:noProof/>
                <w:sz w:val="22"/>
                <w:szCs w:val="22"/>
              </w:rPr>
              <w:t>Prilog 4 Popis akata strateškog planiranja</w:t>
            </w:r>
            <w:r w:rsidR="00966113" w:rsidRPr="00966113">
              <w:rPr>
                <w:rStyle w:val="Hyperlink"/>
                <w:noProof/>
                <w:sz w:val="22"/>
                <w:szCs w:val="22"/>
              </w:rPr>
              <w:t xml:space="preserve"> </w:t>
            </w:r>
            <w:r w:rsidR="00966113" w:rsidRPr="00966113">
              <w:rPr>
                <w:rStyle w:val="Hyperlink"/>
                <w:rFonts w:eastAsia="Calibri"/>
                <w:noProof/>
                <w:sz w:val="22"/>
                <w:szCs w:val="22"/>
              </w:rPr>
              <w:t>u izradi, koji izravno podupiru provedbu strateškog okvira NRS-a 2030.</w:t>
            </w:r>
            <w:r w:rsidR="00966113" w:rsidRPr="00966113">
              <w:rPr>
                <w:noProof/>
                <w:webHidden/>
                <w:sz w:val="22"/>
                <w:szCs w:val="22"/>
              </w:rPr>
              <w:tab/>
            </w:r>
            <w:r w:rsidR="00966113" w:rsidRPr="00966113">
              <w:rPr>
                <w:noProof/>
                <w:webHidden/>
                <w:sz w:val="22"/>
                <w:szCs w:val="22"/>
              </w:rPr>
              <w:fldChar w:fldCharType="begin"/>
            </w:r>
            <w:r w:rsidR="00966113" w:rsidRPr="00966113">
              <w:rPr>
                <w:noProof/>
                <w:webHidden/>
                <w:sz w:val="22"/>
                <w:szCs w:val="22"/>
              </w:rPr>
              <w:instrText xml:space="preserve"> PAGEREF _Toc156819413 \h </w:instrText>
            </w:r>
            <w:r w:rsidR="00966113" w:rsidRPr="00966113">
              <w:rPr>
                <w:noProof/>
                <w:webHidden/>
                <w:sz w:val="22"/>
                <w:szCs w:val="22"/>
              </w:rPr>
            </w:r>
            <w:r w:rsidR="00966113" w:rsidRPr="00966113">
              <w:rPr>
                <w:noProof/>
                <w:webHidden/>
                <w:sz w:val="22"/>
                <w:szCs w:val="22"/>
              </w:rPr>
              <w:fldChar w:fldCharType="separate"/>
            </w:r>
            <w:r w:rsidR="00DE6A1B">
              <w:rPr>
                <w:noProof/>
                <w:webHidden/>
                <w:sz w:val="22"/>
                <w:szCs w:val="22"/>
              </w:rPr>
              <w:t>110</w:t>
            </w:r>
            <w:r w:rsidR="00966113" w:rsidRPr="00966113">
              <w:rPr>
                <w:noProof/>
                <w:webHidden/>
                <w:sz w:val="22"/>
                <w:szCs w:val="22"/>
              </w:rPr>
              <w:fldChar w:fldCharType="end"/>
            </w:r>
          </w:hyperlink>
        </w:p>
        <w:p w14:paraId="498DD6ED" w14:textId="4F15646E" w:rsidR="00966113" w:rsidRPr="00966113" w:rsidRDefault="00F836CD" w:rsidP="00966113">
          <w:pPr>
            <w:pStyle w:val="TOC2"/>
            <w:tabs>
              <w:tab w:val="right" w:leader="dot" w:pos="9066"/>
            </w:tabs>
            <w:spacing w:before="0" w:line="360" w:lineRule="auto"/>
            <w:ind w:left="851"/>
            <w:rPr>
              <w:rFonts w:asciiTheme="minorHAnsi" w:eastAsiaTheme="minorEastAsia" w:hAnsiTheme="minorHAnsi" w:cstheme="minorBidi"/>
              <w:noProof/>
              <w:kern w:val="2"/>
              <w:sz w:val="22"/>
              <w:szCs w:val="22"/>
              <w:lang w:eastAsia="hr-HR"/>
              <w14:ligatures w14:val="standardContextual"/>
            </w:rPr>
          </w:pPr>
          <w:hyperlink w:anchor="_Toc156819414" w:history="1">
            <w:r w:rsidR="00966113" w:rsidRPr="00966113">
              <w:rPr>
                <w:rStyle w:val="Hyperlink"/>
                <w:rFonts w:eastAsia="Calibri"/>
                <w:noProof/>
                <w:sz w:val="22"/>
                <w:szCs w:val="22"/>
              </w:rPr>
              <w:t xml:space="preserve">Prilog 5 </w:t>
            </w:r>
            <w:r w:rsidR="00966113" w:rsidRPr="00966113">
              <w:rPr>
                <w:rStyle w:val="Hyperlink"/>
                <w:noProof/>
                <w:sz w:val="22"/>
                <w:szCs w:val="22"/>
              </w:rPr>
              <w:t>Globalna ljestvica konkurentnosti (WCR) Instituta za međunarodno poslovanje iz Lausannea (IMD)</w:t>
            </w:r>
            <w:r w:rsidR="00966113" w:rsidRPr="00966113">
              <w:rPr>
                <w:noProof/>
                <w:webHidden/>
                <w:sz w:val="22"/>
                <w:szCs w:val="22"/>
              </w:rPr>
              <w:tab/>
            </w:r>
            <w:r w:rsidR="00966113" w:rsidRPr="00966113">
              <w:rPr>
                <w:noProof/>
                <w:webHidden/>
                <w:sz w:val="22"/>
                <w:szCs w:val="22"/>
              </w:rPr>
              <w:fldChar w:fldCharType="begin"/>
            </w:r>
            <w:r w:rsidR="00966113" w:rsidRPr="00966113">
              <w:rPr>
                <w:noProof/>
                <w:webHidden/>
                <w:sz w:val="22"/>
                <w:szCs w:val="22"/>
              </w:rPr>
              <w:instrText xml:space="preserve"> PAGEREF _Toc156819414 \h </w:instrText>
            </w:r>
            <w:r w:rsidR="00966113" w:rsidRPr="00966113">
              <w:rPr>
                <w:noProof/>
                <w:webHidden/>
                <w:sz w:val="22"/>
                <w:szCs w:val="22"/>
              </w:rPr>
            </w:r>
            <w:r w:rsidR="00966113" w:rsidRPr="00966113">
              <w:rPr>
                <w:noProof/>
                <w:webHidden/>
                <w:sz w:val="22"/>
                <w:szCs w:val="22"/>
              </w:rPr>
              <w:fldChar w:fldCharType="separate"/>
            </w:r>
            <w:r w:rsidR="00DE6A1B">
              <w:rPr>
                <w:noProof/>
                <w:webHidden/>
                <w:sz w:val="22"/>
                <w:szCs w:val="22"/>
              </w:rPr>
              <w:t>113</w:t>
            </w:r>
            <w:r w:rsidR="00966113" w:rsidRPr="00966113">
              <w:rPr>
                <w:noProof/>
                <w:webHidden/>
                <w:sz w:val="22"/>
                <w:szCs w:val="22"/>
              </w:rPr>
              <w:fldChar w:fldCharType="end"/>
            </w:r>
          </w:hyperlink>
        </w:p>
        <w:p w14:paraId="79FB51C1" w14:textId="617B1724" w:rsidR="72E1642F" w:rsidRPr="00FD2238" w:rsidRDefault="00684CB9" w:rsidP="00966113">
          <w:pPr>
            <w:pStyle w:val="TOC2"/>
            <w:tabs>
              <w:tab w:val="right" w:leader="dot" w:pos="9420"/>
            </w:tabs>
            <w:spacing w:before="0" w:line="360" w:lineRule="auto"/>
            <w:rPr>
              <w:rStyle w:val="Hyperlink"/>
            </w:rPr>
          </w:pPr>
          <w:r w:rsidRPr="00966113">
            <w:rPr>
              <w:sz w:val="22"/>
              <w:szCs w:val="22"/>
            </w:rPr>
            <w:fldChar w:fldCharType="end"/>
          </w:r>
        </w:p>
      </w:sdtContent>
    </w:sdt>
    <w:p w14:paraId="57B15B91" w14:textId="5DD1CC29" w:rsidR="00293CEE" w:rsidRPr="00BD1B6F" w:rsidRDefault="00293CEE"/>
    <w:p w14:paraId="3E756A18" w14:textId="4748243E" w:rsidR="006A097B" w:rsidRDefault="00537D1E">
      <w:pPr>
        <w:rPr>
          <w:sz w:val="24"/>
          <w:szCs w:val="24"/>
        </w:rPr>
      </w:pPr>
      <w:r w:rsidRPr="00BD1B6F">
        <w:rPr>
          <w:sz w:val="32"/>
          <w:szCs w:val="32"/>
        </w:rPr>
        <w:br w:type="page"/>
      </w:r>
    </w:p>
    <w:tbl>
      <w:tblPr>
        <w:tblW w:w="92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4A0" w:firstRow="1" w:lastRow="0" w:firstColumn="1" w:lastColumn="0" w:noHBand="0" w:noVBand="1"/>
      </w:tblPr>
      <w:tblGrid>
        <w:gridCol w:w="2124"/>
        <w:gridCol w:w="7096"/>
      </w:tblGrid>
      <w:tr w:rsidR="006056DF" w:rsidRPr="006056DF" w14:paraId="1FF918E0" w14:textId="77777777" w:rsidTr="006056DF">
        <w:trPr>
          <w:trHeight w:val="315"/>
        </w:trPr>
        <w:tc>
          <w:tcPr>
            <w:tcW w:w="9220" w:type="dxa"/>
            <w:gridSpan w:val="2"/>
            <w:shd w:val="clear" w:color="auto" w:fill="B6DDE8" w:themeFill="accent5" w:themeFillTint="66"/>
            <w:tcMar>
              <w:top w:w="15" w:type="dxa"/>
              <w:left w:w="15" w:type="dxa"/>
              <w:bottom w:w="0" w:type="dxa"/>
              <w:right w:w="15" w:type="dxa"/>
            </w:tcMar>
            <w:vAlign w:val="center"/>
          </w:tcPr>
          <w:p w14:paraId="384090A0" w14:textId="5342E816" w:rsidR="006056DF" w:rsidRPr="006056DF" w:rsidRDefault="006056DF">
            <w:pPr>
              <w:rPr>
                <w:color w:val="000000"/>
                <w:sz w:val="24"/>
                <w:szCs w:val="24"/>
              </w:rPr>
            </w:pPr>
            <w:r w:rsidRPr="006056DF">
              <w:rPr>
                <w:color w:val="000000"/>
                <w:sz w:val="24"/>
                <w:szCs w:val="24"/>
              </w:rPr>
              <w:lastRenderedPageBreak/>
              <w:t xml:space="preserve">Popis </w:t>
            </w:r>
            <w:r w:rsidR="00EF7BEF">
              <w:rPr>
                <w:color w:val="000000"/>
                <w:sz w:val="24"/>
                <w:szCs w:val="24"/>
              </w:rPr>
              <w:t xml:space="preserve">korištenih </w:t>
            </w:r>
            <w:r w:rsidRPr="006056DF">
              <w:rPr>
                <w:color w:val="000000"/>
                <w:sz w:val="24"/>
                <w:szCs w:val="24"/>
              </w:rPr>
              <w:t>kratica</w:t>
            </w:r>
          </w:p>
        </w:tc>
      </w:tr>
      <w:tr w:rsidR="006056DF" w:rsidRPr="006056DF" w14:paraId="4D3B2568" w14:textId="77777777" w:rsidTr="006056DF">
        <w:trPr>
          <w:trHeight w:val="315"/>
        </w:trPr>
        <w:tc>
          <w:tcPr>
            <w:tcW w:w="2124" w:type="dxa"/>
            <w:shd w:val="clear" w:color="auto" w:fill="auto"/>
            <w:tcMar>
              <w:top w:w="15" w:type="dxa"/>
              <w:left w:w="15" w:type="dxa"/>
              <w:bottom w:w="0" w:type="dxa"/>
              <w:right w:w="15" w:type="dxa"/>
            </w:tcMar>
            <w:vAlign w:val="center"/>
            <w:hideMark/>
          </w:tcPr>
          <w:p w14:paraId="6BDE0E6A" w14:textId="77777777" w:rsidR="006056DF" w:rsidRPr="006056DF" w:rsidRDefault="006056DF">
            <w:pPr>
              <w:rPr>
                <w:color w:val="000000"/>
                <w:sz w:val="24"/>
                <w:szCs w:val="24"/>
              </w:rPr>
            </w:pPr>
            <w:r w:rsidRPr="006056DF">
              <w:rPr>
                <w:color w:val="000000"/>
                <w:sz w:val="24"/>
                <w:szCs w:val="24"/>
              </w:rPr>
              <w:t>BDP</w:t>
            </w:r>
          </w:p>
        </w:tc>
        <w:tc>
          <w:tcPr>
            <w:tcW w:w="7096" w:type="dxa"/>
            <w:shd w:val="clear" w:color="auto" w:fill="auto"/>
            <w:tcMar>
              <w:top w:w="15" w:type="dxa"/>
              <w:left w:w="15" w:type="dxa"/>
              <w:bottom w:w="0" w:type="dxa"/>
              <w:right w:w="15" w:type="dxa"/>
            </w:tcMar>
            <w:vAlign w:val="center"/>
            <w:hideMark/>
          </w:tcPr>
          <w:p w14:paraId="40DBD9B1" w14:textId="77777777" w:rsidR="006056DF" w:rsidRPr="006056DF" w:rsidRDefault="006056DF">
            <w:pPr>
              <w:rPr>
                <w:color w:val="000000"/>
                <w:sz w:val="24"/>
                <w:szCs w:val="24"/>
              </w:rPr>
            </w:pPr>
            <w:r w:rsidRPr="006056DF">
              <w:rPr>
                <w:color w:val="000000"/>
                <w:sz w:val="24"/>
                <w:szCs w:val="24"/>
              </w:rPr>
              <w:t>Bruto domaći proizvod</w:t>
            </w:r>
          </w:p>
        </w:tc>
      </w:tr>
      <w:tr w:rsidR="006056DF" w:rsidRPr="006056DF" w14:paraId="61EB9ACC" w14:textId="77777777" w:rsidTr="006056DF">
        <w:trPr>
          <w:trHeight w:val="315"/>
        </w:trPr>
        <w:tc>
          <w:tcPr>
            <w:tcW w:w="2124" w:type="dxa"/>
            <w:shd w:val="clear" w:color="auto" w:fill="auto"/>
            <w:tcMar>
              <w:top w:w="15" w:type="dxa"/>
              <w:left w:w="15" w:type="dxa"/>
              <w:bottom w:w="0" w:type="dxa"/>
              <w:right w:w="15" w:type="dxa"/>
            </w:tcMar>
            <w:vAlign w:val="center"/>
            <w:hideMark/>
          </w:tcPr>
          <w:p w14:paraId="7116D2E8" w14:textId="77777777" w:rsidR="006056DF" w:rsidRPr="006056DF" w:rsidRDefault="006056DF">
            <w:pPr>
              <w:rPr>
                <w:color w:val="000000"/>
                <w:sz w:val="24"/>
                <w:szCs w:val="24"/>
              </w:rPr>
            </w:pPr>
            <w:r w:rsidRPr="006056DF">
              <w:rPr>
                <w:color w:val="000000"/>
                <w:sz w:val="24"/>
                <w:szCs w:val="24"/>
              </w:rPr>
              <w:t>CERP</w:t>
            </w:r>
          </w:p>
        </w:tc>
        <w:tc>
          <w:tcPr>
            <w:tcW w:w="7096" w:type="dxa"/>
            <w:shd w:val="clear" w:color="auto" w:fill="auto"/>
            <w:tcMar>
              <w:top w:w="15" w:type="dxa"/>
              <w:left w:w="15" w:type="dxa"/>
              <w:bottom w:w="0" w:type="dxa"/>
              <w:right w:w="15" w:type="dxa"/>
            </w:tcMar>
            <w:vAlign w:val="center"/>
            <w:hideMark/>
          </w:tcPr>
          <w:p w14:paraId="13A5FD1A" w14:textId="77777777" w:rsidR="006056DF" w:rsidRPr="006056DF" w:rsidRDefault="006056DF">
            <w:pPr>
              <w:rPr>
                <w:color w:val="000000"/>
                <w:sz w:val="24"/>
                <w:szCs w:val="24"/>
              </w:rPr>
            </w:pPr>
            <w:r w:rsidRPr="006056DF">
              <w:rPr>
                <w:color w:val="000000"/>
                <w:sz w:val="24"/>
                <w:szCs w:val="24"/>
              </w:rPr>
              <w:t>Centar za restrukturiranje i prodaju</w:t>
            </w:r>
          </w:p>
        </w:tc>
      </w:tr>
      <w:tr w:rsidR="00F86A1C" w:rsidRPr="006056DF" w14:paraId="3DA8DBDB" w14:textId="77777777" w:rsidTr="006056DF">
        <w:trPr>
          <w:trHeight w:val="315"/>
        </w:trPr>
        <w:tc>
          <w:tcPr>
            <w:tcW w:w="2124" w:type="dxa"/>
            <w:shd w:val="clear" w:color="auto" w:fill="auto"/>
            <w:tcMar>
              <w:top w:w="15" w:type="dxa"/>
              <w:left w:w="15" w:type="dxa"/>
              <w:bottom w:w="0" w:type="dxa"/>
              <w:right w:w="15" w:type="dxa"/>
            </w:tcMar>
            <w:vAlign w:val="center"/>
          </w:tcPr>
          <w:p w14:paraId="0DC2ED97" w14:textId="66A67DB4" w:rsidR="00F86A1C" w:rsidRPr="006056DF" w:rsidRDefault="00925F88">
            <w:pPr>
              <w:rPr>
                <w:color w:val="000000"/>
                <w:sz w:val="24"/>
                <w:szCs w:val="24"/>
              </w:rPr>
            </w:pPr>
            <w:r>
              <w:rPr>
                <w:color w:val="000000"/>
                <w:sz w:val="24"/>
                <w:szCs w:val="24"/>
              </w:rPr>
              <w:t>DEP</w:t>
            </w:r>
          </w:p>
        </w:tc>
        <w:tc>
          <w:tcPr>
            <w:tcW w:w="7096" w:type="dxa"/>
            <w:shd w:val="clear" w:color="auto" w:fill="auto"/>
            <w:tcMar>
              <w:top w:w="15" w:type="dxa"/>
              <w:left w:w="15" w:type="dxa"/>
              <w:bottom w:w="0" w:type="dxa"/>
              <w:right w:w="15" w:type="dxa"/>
            </w:tcMar>
            <w:vAlign w:val="center"/>
          </w:tcPr>
          <w:p w14:paraId="0A216192" w14:textId="4795F9D0" w:rsidR="00F86A1C" w:rsidRPr="006056DF" w:rsidRDefault="00F86A1C">
            <w:pPr>
              <w:rPr>
                <w:color w:val="000000"/>
                <w:sz w:val="24"/>
                <w:szCs w:val="24"/>
              </w:rPr>
            </w:pPr>
            <w:r w:rsidRPr="00672866">
              <w:rPr>
                <w:rFonts w:eastAsia="Calibri"/>
                <w:kern w:val="2"/>
                <w:sz w:val="24"/>
                <w:szCs w:val="24"/>
              </w:rPr>
              <w:t>Digital Europ</w:t>
            </w:r>
            <w:r w:rsidR="00925F88">
              <w:rPr>
                <w:rFonts w:eastAsia="Calibri"/>
                <w:kern w:val="2"/>
                <w:sz w:val="24"/>
                <w:szCs w:val="24"/>
              </w:rPr>
              <w:t>e</w:t>
            </w:r>
            <w:r w:rsidRPr="00672866">
              <w:rPr>
                <w:rFonts w:eastAsia="Calibri"/>
                <w:kern w:val="2"/>
                <w:sz w:val="24"/>
                <w:szCs w:val="24"/>
              </w:rPr>
              <w:t xml:space="preserve"> Program</w:t>
            </w:r>
          </w:p>
        </w:tc>
      </w:tr>
      <w:tr w:rsidR="006056DF" w:rsidRPr="006056DF" w14:paraId="29C32888" w14:textId="77777777" w:rsidTr="006056DF">
        <w:trPr>
          <w:trHeight w:val="315"/>
        </w:trPr>
        <w:tc>
          <w:tcPr>
            <w:tcW w:w="2124" w:type="dxa"/>
            <w:shd w:val="clear" w:color="auto" w:fill="auto"/>
            <w:tcMar>
              <w:top w:w="15" w:type="dxa"/>
              <w:left w:w="15" w:type="dxa"/>
              <w:bottom w:w="0" w:type="dxa"/>
              <w:right w:w="15" w:type="dxa"/>
            </w:tcMar>
            <w:vAlign w:val="center"/>
            <w:hideMark/>
          </w:tcPr>
          <w:p w14:paraId="269E6179" w14:textId="77777777" w:rsidR="006056DF" w:rsidRPr="006056DF" w:rsidRDefault="006056DF">
            <w:pPr>
              <w:rPr>
                <w:color w:val="000000"/>
                <w:sz w:val="24"/>
                <w:szCs w:val="24"/>
              </w:rPr>
            </w:pPr>
            <w:r w:rsidRPr="006056DF">
              <w:rPr>
                <w:color w:val="000000"/>
                <w:sz w:val="24"/>
                <w:szCs w:val="24"/>
              </w:rPr>
              <w:t>DESI</w:t>
            </w:r>
          </w:p>
        </w:tc>
        <w:tc>
          <w:tcPr>
            <w:tcW w:w="7096" w:type="dxa"/>
            <w:shd w:val="clear" w:color="auto" w:fill="auto"/>
            <w:tcMar>
              <w:top w:w="15" w:type="dxa"/>
              <w:left w:w="15" w:type="dxa"/>
              <w:bottom w:w="0" w:type="dxa"/>
              <w:right w:w="15" w:type="dxa"/>
            </w:tcMar>
            <w:vAlign w:val="center"/>
            <w:hideMark/>
          </w:tcPr>
          <w:p w14:paraId="250E1EDF" w14:textId="77777777" w:rsidR="006056DF" w:rsidRPr="006056DF" w:rsidRDefault="006056DF">
            <w:pPr>
              <w:rPr>
                <w:color w:val="000000"/>
                <w:sz w:val="24"/>
                <w:szCs w:val="24"/>
              </w:rPr>
            </w:pPr>
            <w:r w:rsidRPr="006056DF">
              <w:rPr>
                <w:color w:val="000000"/>
                <w:sz w:val="24"/>
                <w:szCs w:val="24"/>
              </w:rPr>
              <w:t>Indeks gospodarske i društvene digitalizacije</w:t>
            </w:r>
          </w:p>
        </w:tc>
      </w:tr>
      <w:tr w:rsidR="00995E55" w:rsidRPr="006056DF" w14:paraId="4134981A" w14:textId="77777777" w:rsidTr="006056DF">
        <w:trPr>
          <w:trHeight w:val="315"/>
        </w:trPr>
        <w:tc>
          <w:tcPr>
            <w:tcW w:w="2124" w:type="dxa"/>
            <w:shd w:val="clear" w:color="auto" w:fill="auto"/>
            <w:tcMar>
              <w:top w:w="15" w:type="dxa"/>
              <w:left w:w="15" w:type="dxa"/>
              <w:bottom w:w="0" w:type="dxa"/>
              <w:right w:w="15" w:type="dxa"/>
            </w:tcMar>
            <w:vAlign w:val="center"/>
          </w:tcPr>
          <w:p w14:paraId="24BE9B8F" w14:textId="125C1962" w:rsidR="00995E55" w:rsidRPr="006056DF" w:rsidRDefault="00E87939">
            <w:pPr>
              <w:rPr>
                <w:color w:val="000000"/>
                <w:sz w:val="24"/>
                <w:szCs w:val="24"/>
              </w:rPr>
            </w:pPr>
            <w:r>
              <w:rPr>
                <w:color w:val="000000"/>
                <w:sz w:val="24"/>
                <w:szCs w:val="24"/>
              </w:rPr>
              <w:t>DG REFORM</w:t>
            </w:r>
          </w:p>
        </w:tc>
        <w:tc>
          <w:tcPr>
            <w:tcW w:w="7096" w:type="dxa"/>
            <w:shd w:val="clear" w:color="auto" w:fill="auto"/>
            <w:tcMar>
              <w:top w:w="15" w:type="dxa"/>
              <w:left w:w="15" w:type="dxa"/>
              <w:bottom w:w="0" w:type="dxa"/>
              <w:right w:w="15" w:type="dxa"/>
            </w:tcMar>
            <w:vAlign w:val="center"/>
          </w:tcPr>
          <w:p w14:paraId="3F62827C" w14:textId="551FE68A" w:rsidR="00995E55" w:rsidRPr="006056DF" w:rsidRDefault="00995E55">
            <w:pPr>
              <w:rPr>
                <w:color w:val="000000"/>
                <w:sz w:val="24"/>
                <w:szCs w:val="24"/>
              </w:rPr>
            </w:pPr>
            <w:r w:rsidRPr="004924DF">
              <w:rPr>
                <w:sz w:val="24"/>
                <w:szCs w:val="24"/>
              </w:rPr>
              <w:t>Europsk</w:t>
            </w:r>
            <w:r w:rsidR="00E87939">
              <w:rPr>
                <w:sz w:val="24"/>
                <w:szCs w:val="24"/>
              </w:rPr>
              <w:t>a</w:t>
            </w:r>
            <w:r w:rsidRPr="004924DF">
              <w:rPr>
                <w:sz w:val="24"/>
                <w:szCs w:val="24"/>
              </w:rPr>
              <w:t xml:space="preserve"> komisij</w:t>
            </w:r>
            <w:r w:rsidR="00E87939">
              <w:rPr>
                <w:sz w:val="24"/>
                <w:szCs w:val="24"/>
              </w:rPr>
              <w:t xml:space="preserve">a </w:t>
            </w:r>
            <w:r w:rsidRPr="004924DF">
              <w:rPr>
                <w:sz w:val="24"/>
                <w:szCs w:val="24"/>
              </w:rPr>
              <w:t>za potporu strukturnim reformama</w:t>
            </w:r>
          </w:p>
        </w:tc>
      </w:tr>
      <w:tr w:rsidR="006056DF" w:rsidRPr="006056DF" w14:paraId="43E7AB93" w14:textId="77777777" w:rsidTr="006056DF">
        <w:trPr>
          <w:trHeight w:val="315"/>
        </w:trPr>
        <w:tc>
          <w:tcPr>
            <w:tcW w:w="2124" w:type="dxa"/>
            <w:shd w:val="clear" w:color="auto" w:fill="auto"/>
            <w:tcMar>
              <w:top w:w="15" w:type="dxa"/>
              <w:left w:w="15" w:type="dxa"/>
              <w:bottom w:w="0" w:type="dxa"/>
              <w:right w:w="15" w:type="dxa"/>
            </w:tcMar>
            <w:vAlign w:val="center"/>
            <w:hideMark/>
          </w:tcPr>
          <w:p w14:paraId="3EF6A2E0" w14:textId="77777777" w:rsidR="006056DF" w:rsidRPr="006056DF" w:rsidRDefault="006056DF">
            <w:pPr>
              <w:rPr>
                <w:color w:val="000000"/>
                <w:sz w:val="24"/>
                <w:szCs w:val="24"/>
              </w:rPr>
            </w:pPr>
            <w:r w:rsidRPr="006056DF">
              <w:rPr>
                <w:color w:val="000000"/>
                <w:sz w:val="24"/>
                <w:szCs w:val="24"/>
              </w:rPr>
              <w:t>DŠJU</w:t>
            </w:r>
          </w:p>
        </w:tc>
        <w:tc>
          <w:tcPr>
            <w:tcW w:w="7096" w:type="dxa"/>
            <w:shd w:val="clear" w:color="auto" w:fill="auto"/>
            <w:tcMar>
              <w:top w:w="15" w:type="dxa"/>
              <w:left w:w="15" w:type="dxa"/>
              <w:bottom w:w="0" w:type="dxa"/>
              <w:right w:w="15" w:type="dxa"/>
            </w:tcMar>
            <w:vAlign w:val="center"/>
            <w:hideMark/>
          </w:tcPr>
          <w:p w14:paraId="16D3516E" w14:textId="77777777" w:rsidR="006056DF" w:rsidRPr="006056DF" w:rsidRDefault="006056DF">
            <w:pPr>
              <w:rPr>
                <w:color w:val="000000"/>
                <w:sz w:val="24"/>
                <w:szCs w:val="24"/>
              </w:rPr>
            </w:pPr>
            <w:r w:rsidRPr="006056DF">
              <w:rPr>
                <w:color w:val="000000"/>
                <w:sz w:val="24"/>
                <w:szCs w:val="24"/>
              </w:rPr>
              <w:t>Državna škola za javnu upravu</w:t>
            </w:r>
          </w:p>
        </w:tc>
      </w:tr>
      <w:tr w:rsidR="002B66B9" w:rsidRPr="006056DF" w14:paraId="56490E1F" w14:textId="77777777" w:rsidTr="006056DF">
        <w:trPr>
          <w:trHeight w:val="315"/>
        </w:trPr>
        <w:tc>
          <w:tcPr>
            <w:tcW w:w="2124" w:type="dxa"/>
            <w:shd w:val="clear" w:color="auto" w:fill="auto"/>
            <w:tcMar>
              <w:top w:w="15" w:type="dxa"/>
              <w:left w:w="15" w:type="dxa"/>
              <w:bottom w:w="0" w:type="dxa"/>
              <w:right w:w="15" w:type="dxa"/>
            </w:tcMar>
            <w:vAlign w:val="center"/>
          </w:tcPr>
          <w:p w14:paraId="2FB20AA3" w14:textId="77F21448" w:rsidR="002B66B9" w:rsidRPr="006056DF" w:rsidRDefault="00BF0004">
            <w:pPr>
              <w:rPr>
                <w:color w:val="000000"/>
                <w:sz w:val="24"/>
                <w:szCs w:val="24"/>
              </w:rPr>
            </w:pPr>
            <w:r>
              <w:rPr>
                <w:color w:val="000000"/>
                <w:sz w:val="24"/>
                <w:szCs w:val="24"/>
              </w:rPr>
              <w:t>EDIH</w:t>
            </w:r>
          </w:p>
        </w:tc>
        <w:tc>
          <w:tcPr>
            <w:tcW w:w="7096" w:type="dxa"/>
            <w:shd w:val="clear" w:color="auto" w:fill="auto"/>
            <w:tcMar>
              <w:top w:w="15" w:type="dxa"/>
              <w:left w:w="15" w:type="dxa"/>
              <w:bottom w:w="0" w:type="dxa"/>
              <w:right w:w="15" w:type="dxa"/>
            </w:tcMar>
            <w:vAlign w:val="center"/>
          </w:tcPr>
          <w:p w14:paraId="5C4ECE31" w14:textId="0AA0821F" w:rsidR="002B66B9" w:rsidRPr="006056DF" w:rsidRDefault="002B66B9">
            <w:pPr>
              <w:rPr>
                <w:color w:val="000000"/>
                <w:sz w:val="24"/>
                <w:szCs w:val="24"/>
              </w:rPr>
            </w:pPr>
            <w:r w:rsidRPr="00672866">
              <w:rPr>
                <w:rFonts w:eastAsia="Calibri"/>
                <w:kern w:val="2"/>
                <w:sz w:val="24"/>
                <w:szCs w:val="24"/>
              </w:rPr>
              <w:t>Europski digitalni inovacijski centar</w:t>
            </w:r>
          </w:p>
        </w:tc>
      </w:tr>
      <w:tr w:rsidR="00995E55" w:rsidRPr="006056DF" w14:paraId="118DD4C9" w14:textId="77777777" w:rsidTr="006056DF">
        <w:trPr>
          <w:trHeight w:val="315"/>
        </w:trPr>
        <w:tc>
          <w:tcPr>
            <w:tcW w:w="2124" w:type="dxa"/>
            <w:shd w:val="clear" w:color="auto" w:fill="auto"/>
            <w:tcMar>
              <w:top w:w="15" w:type="dxa"/>
              <w:left w:w="15" w:type="dxa"/>
              <w:bottom w:w="0" w:type="dxa"/>
              <w:right w:w="15" w:type="dxa"/>
            </w:tcMar>
            <w:vAlign w:val="center"/>
          </w:tcPr>
          <w:p w14:paraId="2B084B27" w14:textId="5E76BA41" w:rsidR="00995E55" w:rsidRPr="006056DF" w:rsidRDefault="00995E55">
            <w:pPr>
              <w:rPr>
                <w:color w:val="000000"/>
                <w:sz w:val="24"/>
                <w:szCs w:val="24"/>
              </w:rPr>
            </w:pPr>
            <w:r>
              <w:rPr>
                <w:color w:val="000000"/>
                <w:sz w:val="24"/>
                <w:szCs w:val="24"/>
              </w:rPr>
              <w:t>EBRD</w:t>
            </w:r>
          </w:p>
        </w:tc>
        <w:tc>
          <w:tcPr>
            <w:tcW w:w="7096" w:type="dxa"/>
            <w:shd w:val="clear" w:color="auto" w:fill="auto"/>
            <w:tcMar>
              <w:top w:w="15" w:type="dxa"/>
              <w:left w:w="15" w:type="dxa"/>
              <w:bottom w:w="0" w:type="dxa"/>
              <w:right w:w="15" w:type="dxa"/>
            </w:tcMar>
            <w:vAlign w:val="center"/>
          </w:tcPr>
          <w:p w14:paraId="7837D907" w14:textId="620A5F60" w:rsidR="00995E55" w:rsidRPr="006056DF" w:rsidRDefault="00995E55">
            <w:pPr>
              <w:rPr>
                <w:color w:val="000000"/>
                <w:sz w:val="24"/>
                <w:szCs w:val="24"/>
              </w:rPr>
            </w:pPr>
            <w:r w:rsidRPr="004924DF">
              <w:rPr>
                <w:sz w:val="24"/>
                <w:szCs w:val="24"/>
              </w:rPr>
              <w:t>Europsk</w:t>
            </w:r>
            <w:r w:rsidR="005E6364">
              <w:rPr>
                <w:sz w:val="24"/>
                <w:szCs w:val="24"/>
              </w:rPr>
              <w:t xml:space="preserve">a </w:t>
            </w:r>
            <w:r w:rsidRPr="004924DF">
              <w:rPr>
                <w:sz w:val="24"/>
                <w:szCs w:val="24"/>
              </w:rPr>
              <w:t>bank</w:t>
            </w:r>
            <w:r w:rsidR="005E6364">
              <w:rPr>
                <w:sz w:val="24"/>
                <w:szCs w:val="24"/>
              </w:rPr>
              <w:t xml:space="preserve">a </w:t>
            </w:r>
            <w:r w:rsidRPr="004924DF">
              <w:rPr>
                <w:sz w:val="24"/>
                <w:szCs w:val="24"/>
              </w:rPr>
              <w:t xml:space="preserve">za obnovu i razvoj </w:t>
            </w:r>
          </w:p>
        </w:tc>
      </w:tr>
      <w:tr w:rsidR="00875CBE" w:rsidRPr="006056DF" w14:paraId="49EF2DC7" w14:textId="77777777" w:rsidTr="006056DF">
        <w:trPr>
          <w:trHeight w:val="315"/>
        </w:trPr>
        <w:tc>
          <w:tcPr>
            <w:tcW w:w="2124" w:type="dxa"/>
            <w:shd w:val="clear" w:color="auto" w:fill="auto"/>
            <w:tcMar>
              <w:top w:w="15" w:type="dxa"/>
              <w:left w:w="15" w:type="dxa"/>
              <w:bottom w:w="0" w:type="dxa"/>
              <w:right w:w="15" w:type="dxa"/>
            </w:tcMar>
            <w:vAlign w:val="center"/>
          </w:tcPr>
          <w:p w14:paraId="5D1948DD" w14:textId="378F3DE8" w:rsidR="00875CBE" w:rsidRPr="006056DF" w:rsidRDefault="00875CBE">
            <w:pPr>
              <w:rPr>
                <w:color w:val="000000"/>
                <w:sz w:val="24"/>
                <w:szCs w:val="24"/>
              </w:rPr>
            </w:pPr>
            <w:r>
              <w:rPr>
                <w:color w:val="000000"/>
                <w:sz w:val="24"/>
                <w:szCs w:val="24"/>
              </w:rPr>
              <w:t>EFTA</w:t>
            </w:r>
          </w:p>
        </w:tc>
        <w:tc>
          <w:tcPr>
            <w:tcW w:w="7096" w:type="dxa"/>
            <w:shd w:val="clear" w:color="auto" w:fill="auto"/>
            <w:tcMar>
              <w:top w:w="15" w:type="dxa"/>
              <w:left w:w="15" w:type="dxa"/>
              <w:bottom w:w="0" w:type="dxa"/>
              <w:right w:w="15" w:type="dxa"/>
            </w:tcMar>
            <w:vAlign w:val="center"/>
          </w:tcPr>
          <w:p w14:paraId="2E0D291E" w14:textId="7CACB9E3" w:rsidR="00875CBE" w:rsidRPr="006056DF" w:rsidRDefault="00875CBE">
            <w:pPr>
              <w:rPr>
                <w:color w:val="000000"/>
                <w:sz w:val="24"/>
                <w:szCs w:val="24"/>
              </w:rPr>
            </w:pPr>
            <w:r w:rsidRPr="594B1B8A">
              <w:rPr>
                <w:sz w:val="24"/>
                <w:szCs w:val="24"/>
              </w:rPr>
              <w:t>Europsk</w:t>
            </w:r>
            <w:r>
              <w:rPr>
                <w:sz w:val="24"/>
                <w:szCs w:val="24"/>
              </w:rPr>
              <w:t>o</w:t>
            </w:r>
            <w:r w:rsidRPr="594B1B8A">
              <w:rPr>
                <w:sz w:val="24"/>
                <w:szCs w:val="24"/>
              </w:rPr>
              <w:t xml:space="preserve"> udruženj</w:t>
            </w:r>
            <w:r>
              <w:rPr>
                <w:sz w:val="24"/>
                <w:szCs w:val="24"/>
              </w:rPr>
              <w:t>e</w:t>
            </w:r>
            <w:r w:rsidRPr="594B1B8A">
              <w:rPr>
                <w:sz w:val="24"/>
                <w:szCs w:val="24"/>
              </w:rPr>
              <w:t xml:space="preserve"> za slobodnu trgovinu</w:t>
            </w:r>
          </w:p>
        </w:tc>
      </w:tr>
      <w:tr w:rsidR="006056DF" w:rsidRPr="006056DF" w14:paraId="667212BF" w14:textId="77777777" w:rsidTr="006056DF">
        <w:trPr>
          <w:trHeight w:val="315"/>
        </w:trPr>
        <w:tc>
          <w:tcPr>
            <w:tcW w:w="2124" w:type="dxa"/>
            <w:shd w:val="clear" w:color="auto" w:fill="auto"/>
            <w:tcMar>
              <w:top w:w="15" w:type="dxa"/>
              <w:left w:w="15" w:type="dxa"/>
              <w:bottom w:w="0" w:type="dxa"/>
              <w:right w:w="15" w:type="dxa"/>
            </w:tcMar>
            <w:vAlign w:val="center"/>
            <w:hideMark/>
          </w:tcPr>
          <w:p w14:paraId="29ADEC3D" w14:textId="77777777" w:rsidR="006056DF" w:rsidRPr="006056DF" w:rsidRDefault="006056DF">
            <w:pPr>
              <w:rPr>
                <w:color w:val="000000"/>
                <w:sz w:val="24"/>
                <w:szCs w:val="24"/>
              </w:rPr>
            </w:pPr>
            <w:r w:rsidRPr="006056DF">
              <w:rPr>
                <w:color w:val="000000"/>
                <w:sz w:val="24"/>
                <w:szCs w:val="24"/>
              </w:rPr>
              <w:t>EFRR</w:t>
            </w:r>
          </w:p>
        </w:tc>
        <w:tc>
          <w:tcPr>
            <w:tcW w:w="7096" w:type="dxa"/>
            <w:shd w:val="clear" w:color="auto" w:fill="auto"/>
            <w:tcMar>
              <w:top w:w="15" w:type="dxa"/>
              <w:left w:w="15" w:type="dxa"/>
              <w:bottom w:w="0" w:type="dxa"/>
              <w:right w:w="15" w:type="dxa"/>
            </w:tcMar>
            <w:vAlign w:val="center"/>
            <w:hideMark/>
          </w:tcPr>
          <w:p w14:paraId="104C9EBB" w14:textId="5DE02E68" w:rsidR="006056DF" w:rsidRPr="006056DF" w:rsidRDefault="006056DF">
            <w:pPr>
              <w:rPr>
                <w:color w:val="000000"/>
                <w:sz w:val="24"/>
                <w:szCs w:val="24"/>
              </w:rPr>
            </w:pPr>
            <w:r w:rsidRPr="006056DF">
              <w:rPr>
                <w:color w:val="000000"/>
                <w:sz w:val="24"/>
                <w:szCs w:val="24"/>
              </w:rPr>
              <w:t>Europski fond za r</w:t>
            </w:r>
            <w:r w:rsidR="005A5077">
              <w:rPr>
                <w:color w:val="000000"/>
                <w:sz w:val="24"/>
                <w:szCs w:val="24"/>
              </w:rPr>
              <w:t>e</w:t>
            </w:r>
            <w:r w:rsidR="005A5077">
              <w:t>gionalni</w:t>
            </w:r>
            <w:r w:rsidRPr="006056DF">
              <w:rPr>
                <w:color w:val="000000"/>
                <w:sz w:val="24"/>
                <w:szCs w:val="24"/>
              </w:rPr>
              <w:t xml:space="preserve"> razvoj 2014.-2020.</w:t>
            </w:r>
          </w:p>
        </w:tc>
      </w:tr>
      <w:tr w:rsidR="00153BF6" w:rsidRPr="006056DF" w14:paraId="48370D97" w14:textId="77777777" w:rsidTr="006056DF">
        <w:trPr>
          <w:trHeight w:val="315"/>
        </w:trPr>
        <w:tc>
          <w:tcPr>
            <w:tcW w:w="2124" w:type="dxa"/>
            <w:shd w:val="clear" w:color="auto" w:fill="auto"/>
            <w:tcMar>
              <w:top w:w="15" w:type="dxa"/>
              <w:left w:w="15" w:type="dxa"/>
              <w:bottom w:w="0" w:type="dxa"/>
              <w:right w:w="15" w:type="dxa"/>
            </w:tcMar>
            <w:vAlign w:val="center"/>
          </w:tcPr>
          <w:p w14:paraId="07EA1191" w14:textId="6E0F0FF9" w:rsidR="00153BF6" w:rsidRPr="006056DF" w:rsidRDefault="00153BF6">
            <w:pPr>
              <w:rPr>
                <w:color w:val="000000"/>
                <w:sz w:val="24"/>
                <w:szCs w:val="24"/>
              </w:rPr>
            </w:pPr>
            <w:r>
              <w:rPr>
                <w:color w:val="000000"/>
                <w:sz w:val="24"/>
                <w:szCs w:val="24"/>
              </w:rPr>
              <w:t>EIS</w:t>
            </w:r>
          </w:p>
        </w:tc>
        <w:tc>
          <w:tcPr>
            <w:tcW w:w="7096" w:type="dxa"/>
            <w:shd w:val="clear" w:color="auto" w:fill="auto"/>
            <w:tcMar>
              <w:top w:w="15" w:type="dxa"/>
              <w:left w:w="15" w:type="dxa"/>
              <w:bottom w:w="0" w:type="dxa"/>
              <w:right w:w="15" w:type="dxa"/>
            </w:tcMar>
            <w:vAlign w:val="center"/>
          </w:tcPr>
          <w:p w14:paraId="39B0A1AC" w14:textId="797C7377" w:rsidR="00153BF6" w:rsidRPr="006056DF" w:rsidRDefault="00153BF6">
            <w:pPr>
              <w:rPr>
                <w:color w:val="000000"/>
                <w:sz w:val="24"/>
                <w:szCs w:val="24"/>
              </w:rPr>
            </w:pPr>
            <w:r w:rsidRPr="00672866">
              <w:rPr>
                <w:rFonts w:eastAsia="Calibri"/>
                <w:kern w:val="2"/>
                <w:sz w:val="24"/>
                <w:szCs w:val="24"/>
              </w:rPr>
              <w:t>Europsk</w:t>
            </w:r>
            <w:r w:rsidR="005E2BA1">
              <w:rPr>
                <w:rFonts w:eastAsia="Calibri"/>
                <w:kern w:val="2"/>
                <w:sz w:val="24"/>
                <w:szCs w:val="24"/>
              </w:rPr>
              <w:t xml:space="preserve">a </w:t>
            </w:r>
            <w:r w:rsidRPr="00672866">
              <w:rPr>
                <w:rFonts w:eastAsia="Calibri"/>
                <w:kern w:val="2"/>
                <w:sz w:val="24"/>
                <w:szCs w:val="24"/>
              </w:rPr>
              <w:t>ljestvic</w:t>
            </w:r>
            <w:r w:rsidR="005E2BA1">
              <w:rPr>
                <w:rFonts w:eastAsia="Calibri"/>
                <w:kern w:val="2"/>
                <w:sz w:val="24"/>
                <w:szCs w:val="24"/>
              </w:rPr>
              <w:t>a</w:t>
            </w:r>
            <w:r w:rsidRPr="00672866">
              <w:rPr>
                <w:rFonts w:eastAsia="Calibri"/>
                <w:kern w:val="2"/>
                <w:sz w:val="24"/>
                <w:szCs w:val="24"/>
              </w:rPr>
              <w:t xml:space="preserve"> uspjeha u inoviranju (eng. </w:t>
            </w:r>
            <w:r w:rsidRPr="00B85BCE">
              <w:rPr>
                <w:rFonts w:eastAsia="Calibri"/>
                <w:kern w:val="2"/>
                <w:sz w:val="24"/>
                <w:szCs w:val="24"/>
              </w:rPr>
              <w:t>European Innovation Scoreboard )</w:t>
            </w:r>
          </w:p>
        </w:tc>
      </w:tr>
      <w:tr w:rsidR="0038133D" w:rsidRPr="006056DF" w14:paraId="1B3D2250" w14:textId="77777777" w:rsidTr="006056DF">
        <w:trPr>
          <w:trHeight w:val="315"/>
        </w:trPr>
        <w:tc>
          <w:tcPr>
            <w:tcW w:w="2124" w:type="dxa"/>
            <w:shd w:val="clear" w:color="auto" w:fill="auto"/>
            <w:tcMar>
              <w:top w:w="15" w:type="dxa"/>
              <w:left w:w="15" w:type="dxa"/>
              <w:bottom w:w="0" w:type="dxa"/>
              <w:right w:w="15" w:type="dxa"/>
            </w:tcMar>
            <w:vAlign w:val="center"/>
          </w:tcPr>
          <w:p w14:paraId="02E911BD" w14:textId="05CB4D41" w:rsidR="0038133D" w:rsidRPr="006056DF" w:rsidRDefault="00D90DF0">
            <w:pPr>
              <w:rPr>
                <w:color w:val="000000"/>
                <w:sz w:val="24"/>
                <w:szCs w:val="24"/>
              </w:rPr>
            </w:pPr>
            <w:r>
              <w:rPr>
                <w:color w:val="000000"/>
                <w:sz w:val="24"/>
                <w:szCs w:val="24"/>
              </w:rPr>
              <w:t>ERCC</w:t>
            </w:r>
          </w:p>
        </w:tc>
        <w:tc>
          <w:tcPr>
            <w:tcW w:w="7096" w:type="dxa"/>
            <w:shd w:val="clear" w:color="auto" w:fill="auto"/>
            <w:tcMar>
              <w:top w:w="15" w:type="dxa"/>
              <w:left w:w="15" w:type="dxa"/>
              <w:bottom w:w="0" w:type="dxa"/>
              <w:right w:w="15" w:type="dxa"/>
            </w:tcMar>
            <w:vAlign w:val="center"/>
          </w:tcPr>
          <w:p w14:paraId="425A3F59" w14:textId="4E659554" w:rsidR="0038133D" w:rsidRPr="006056DF" w:rsidRDefault="0038133D" w:rsidP="00D90DF0">
            <w:pPr>
              <w:rPr>
                <w:color w:val="000000"/>
                <w:sz w:val="24"/>
                <w:szCs w:val="24"/>
              </w:rPr>
            </w:pPr>
            <w:r w:rsidRPr="00156445">
              <w:rPr>
                <w:rFonts w:eastAsia="Calibri"/>
                <w:sz w:val="24"/>
                <w:szCs w:val="24"/>
              </w:rPr>
              <w:t>Europsk</w:t>
            </w:r>
            <w:r w:rsidR="00D90DF0">
              <w:rPr>
                <w:rFonts w:eastAsia="Calibri"/>
                <w:sz w:val="24"/>
                <w:szCs w:val="24"/>
              </w:rPr>
              <w:t xml:space="preserve">i </w:t>
            </w:r>
            <w:r w:rsidRPr="00156445">
              <w:rPr>
                <w:rFonts w:eastAsia="Calibri"/>
                <w:sz w:val="24"/>
                <w:szCs w:val="24"/>
              </w:rPr>
              <w:t>cent</w:t>
            </w:r>
            <w:r w:rsidR="00D90DF0">
              <w:rPr>
                <w:rFonts w:eastAsia="Calibri"/>
                <w:sz w:val="24"/>
                <w:szCs w:val="24"/>
              </w:rPr>
              <w:t xml:space="preserve">ar </w:t>
            </w:r>
            <w:r w:rsidRPr="00156445">
              <w:rPr>
                <w:rFonts w:eastAsia="Calibri"/>
                <w:sz w:val="24"/>
                <w:szCs w:val="24"/>
              </w:rPr>
              <w:t xml:space="preserve">za koordinaciju odgovora u hitnim slučajevima </w:t>
            </w:r>
          </w:p>
        </w:tc>
      </w:tr>
      <w:tr w:rsidR="006056DF" w:rsidRPr="006056DF" w14:paraId="211BEE63" w14:textId="77777777" w:rsidTr="006056DF">
        <w:trPr>
          <w:trHeight w:val="315"/>
        </w:trPr>
        <w:tc>
          <w:tcPr>
            <w:tcW w:w="2124" w:type="dxa"/>
            <w:shd w:val="clear" w:color="auto" w:fill="auto"/>
            <w:tcMar>
              <w:top w:w="15" w:type="dxa"/>
              <w:left w:w="15" w:type="dxa"/>
              <w:bottom w:w="0" w:type="dxa"/>
              <w:right w:w="15" w:type="dxa"/>
            </w:tcMar>
            <w:vAlign w:val="center"/>
            <w:hideMark/>
          </w:tcPr>
          <w:p w14:paraId="414606AC" w14:textId="77777777" w:rsidR="006056DF" w:rsidRPr="006056DF" w:rsidRDefault="006056DF">
            <w:pPr>
              <w:rPr>
                <w:color w:val="000000"/>
                <w:sz w:val="24"/>
                <w:szCs w:val="24"/>
              </w:rPr>
            </w:pPr>
            <w:r w:rsidRPr="006056DF">
              <w:rPr>
                <w:color w:val="000000"/>
                <w:sz w:val="24"/>
                <w:szCs w:val="24"/>
              </w:rPr>
              <w:t xml:space="preserve">ESF </w:t>
            </w:r>
          </w:p>
        </w:tc>
        <w:tc>
          <w:tcPr>
            <w:tcW w:w="7096" w:type="dxa"/>
            <w:shd w:val="clear" w:color="auto" w:fill="auto"/>
            <w:tcMar>
              <w:top w:w="15" w:type="dxa"/>
              <w:left w:w="15" w:type="dxa"/>
              <w:bottom w:w="0" w:type="dxa"/>
              <w:right w:w="15" w:type="dxa"/>
            </w:tcMar>
            <w:vAlign w:val="center"/>
            <w:hideMark/>
          </w:tcPr>
          <w:p w14:paraId="367AD3CB" w14:textId="77777777" w:rsidR="006056DF" w:rsidRPr="006056DF" w:rsidRDefault="006056DF">
            <w:pPr>
              <w:rPr>
                <w:color w:val="000000"/>
                <w:sz w:val="24"/>
                <w:szCs w:val="24"/>
              </w:rPr>
            </w:pPr>
            <w:r w:rsidRPr="006056DF">
              <w:rPr>
                <w:color w:val="000000"/>
                <w:sz w:val="24"/>
                <w:szCs w:val="24"/>
              </w:rPr>
              <w:t>Europski socijalni fond 2014.-2020.</w:t>
            </w:r>
          </w:p>
        </w:tc>
      </w:tr>
      <w:tr w:rsidR="006056DF" w:rsidRPr="006056DF" w14:paraId="23578F66" w14:textId="77777777" w:rsidTr="006056DF">
        <w:trPr>
          <w:trHeight w:val="315"/>
        </w:trPr>
        <w:tc>
          <w:tcPr>
            <w:tcW w:w="2124" w:type="dxa"/>
            <w:shd w:val="clear" w:color="auto" w:fill="auto"/>
            <w:tcMar>
              <w:top w:w="15" w:type="dxa"/>
              <w:left w:w="15" w:type="dxa"/>
              <w:bottom w:w="0" w:type="dxa"/>
              <w:right w:w="15" w:type="dxa"/>
            </w:tcMar>
            <w:vAlign w:val="center"/>
            <w:hideMark/>
          </w:tcPr>
          <w:p w14:paraId="4795050F" w14:textId="77777777" w:rsidR="006056DF" w:rsidRPr="006056DF" w:rsidRDefault="006056DF">
            <w:pPr>
              <w:rPr>
                <w:color w:val="000000"/>
                <w:sz w:val="24"/>
                <w:szCs w:val="24"/>
              </w:rPr>
            </w:pPr>
            <w:r w:rsidRPr="006056DF">
              <w:rPr>
                <w:color w:val="000000"/>
                <w:sz w:val="24"/>
                <w:szCs w:val="24"/>
              </w:rPr>
              <w:t>FRONTEX</w:t>
            </w:r>
          </w:p>
        </w:tc>
        <w:tc>
          <w:tcPr>
            <w:tcW w:w="7096" w:type="dxa"/>
            <w:shd w:val="clear" w:color="auto" w:fill="auto"/>
            <w:tcMar>
              <w:top w:w="15" w:type="dxa"/>
              <w:left w:w="15" w:type="dxa"/>
              <w:bottom w:w="0" w:type="dxa"/>
              <w:right w:w="15" w:type="dxa"/>
            </w:tcMar>
            <w:vAlign w:val="center"/>
            <w:hideMark/>
          </w:tcPr>
          <w:p w14:paraId="3AEFFA06" w14:textId="77777777" w:rsidR="006056DF" w:rsidRPr="006056DF" w:rsidRDefault="006056DF">
            <w:pPr>
              <w:rPr>
                <w:color w:val="000000"/>
                <w:sz w:val="24"/>
                <w:szCs w:val="24"/>
              </w:rPr>
            </w:pPr>
            <w:r w:rsidRPr="006056DF">
              <w:rPr>
                <w:color w:val="000000"/>
                <w:sz w:val="24"/>
                <w:szCs w:val="24"/>
              </w:rPr>
              <w:t>Agencija za europsku graničnu i obalnu stražu</w:t>
            </w:r>
          </w:p>
        </w:tc>
      </w:tr>
      <w:tr w:rsidR="00A215D5" w:rsidRPr="006056DF" w14:paraId="4DE45EE9" w14:textId="77777777" w:rsidTr="006056DF">
        <w:trPr>
          <w:trHeight w:val="315"/>
        </w:trPr>
        <w:tc>
          <w:tcPr>
            <w:tcW w:w="2124" w:type="dxa"/>
            <w:shd w:val="clear" w:color="auto" w:fill="auto"/>
            <w:tcMar>
              <w:top w:w="15" w:type="dxa"/>
              <w:left w:w="15" w:type="dxa"/>
              <w:bottom w:w="0" w:type="dxa"/>
              <w:right w:w="15" w:type="dxa"/>
            </w:tcMar>
            <w:vAlign w:val="center"/>
          </w:tcPr>
          <w:p w14:paraId="0C123865" w14:textId="0431E05B" w:rsidR="00A215D5" w:rsidRDefault="00A215D5">
            <w:pPr>
              <w:rPr>
                <w:color w:val="000000"/>
                <w:sz w:val="24"/>
                <w:szCs w:val="24"/>
              </w:rPr>
            </w:pPr>
            <w:r>
              <w:rPr>
                <w:color w:val="000000"/>
                <w:sz w:val="24"/>
                <w:szCs w:val="24"/>
              </w:rPr>
              <w:t>FSEU</w:t>
            </w:r>
          </w:p>
        </w:tc>
        <w:tc>
          <w:tcPr>
            <w:tcW w:w="7096" w:type="dxa"/>
            <w:shd w:val="clear" w:color="auto" w:fill="auto"/>
            <w:tcMar>
              <w:top w:w="15" w:type="dxa"/>
              <w:left w:w="15" w:type="dxa"/>
              <w:bottom w:w="0" w:type="dxa"/>
              <w:right w:w="15" w:type="dxa"/>
            </w:tcMar>
            <w:vAlign w:val="center"/>
          </w:tcPr>
          <w:p w14:paraId="320A3D74" w14:textId="168775D0" w:rsidR="00A215D5" w:rsidRDefault="00A215D5">
            <w:pPr>
              <w:rPr>
                <w:rFonts w:eastAsia="Calibri"/>
                <w:kern w:val="2"/>
                <w:sz w:val="24"/>
                <w:szCs w:val="24"/>
              </w:rPr>
            </w:pPr>
            <w:r>
              <w:rPr>
                <w:rFonts w:eastAsia="Calibri"/>
                <w:kern w:val="2"/>
                <w:sz w:val="24"/>
                <w:szCs w:val="24"/>
              </w:rPr>
              <w:t>Fond solidarnosti Europske unije</w:t>
            </w:r>
          </w:p>
        </w:tc>
      </w:tr>
      <w:tr w:rsidR="00C525F6" w:rsidRPr="006056DF" w14:paraId="3A9201C3" w14:textId="77777777" w:rsidTr="006056DF">
        <w:trPr>
          <w:trHeight w:val="315"/>
        </w:trPr>
        <w:tc>
          <w:tcPr>
            <w:tcW w:w="2124" w:type="dxa"/>
            <w:shd w:val="clear" w:color="auto" w:fill="auto"/>
            <w:tcMar>
              <w:top w:w="15" w:type="dxa"/>
              <w:left w:w="15" w:type="dxa"/>
              <w:bottom w:w="0" w:type="dxa"/>
              <w:right w:w="15" w:type="dxa"/>
            </w:tcMar>
            <w:vAlign w:val="center"/>
          </w:tcPr>
          <w:p w14:paraId="3E30BF89" w14:textId="1107A037" w:rsidR="00C525F6" w:rsidRDefault="00C525F6">
            <w:pPr>
              <w:rPr>
                <w:color w:val="000000"/>
                <w:sz w:val="24"/>
                <w:szCs w:val="24"/>
              </w:rPr>
            </w:pPr>
            <w:r>
              <w:rPr>
                <w:color w:val="000000"/>
                <w:sz w:val="24"/>
                <w:szCs w:val="24"/>
              </w:rPr>
              <w:t>FTE</w:t>
            </w:r>
          </w:p>
        </w:tc>
        <w:tc>
          <w:tcPr>
            <w:tcW w:w="7096" w:type="dxa"/>
            <w:shd w:val="clear" w:color="auto" w:fill="auto"/>
            <w:tcMar>
              <w:top w:w="15" w:type="dxa"/>
              <w:left w:w="15" w:type="dxa"/>
              <w:bottom w:w="0" w:type="dxa"/>
              <w:right w:w="15" w:type="dxa"/>
            </w:tcMar>
            <w:vAlign w:val="center"/>
          </w:tcPr>
          <w:p w14:paraId="6F30B4B9" w14:textId="46B79BF2" w:rsidR="00C525F6" w:rsidRDefault="00C525F6">
            <w:pPr>
              <w:rPr>
                <w:rFonts w:eastAsia="Calibri"/>
                <w:kern w:val="2"/>
                <w:sz w:val="24"/>
                <w:szCs w:val="24"/>
              </w:rPr>
            </w:pPr>
            <w:r>
              <w:rPr>
                <w:rFonts w:eastAsia="Calibri"/>
                <w:kern w:val="2"/>
                <w:sz w:val="24"/>
                <w:szCs w:val="24"/>
              </w:rPr>
              <w:t>Zapos</w:t>
            </w:r>
            <w:r w:rsidR="00C22254">
              <w:rPr>
                <w:rFonts w:eastAsia="Calibri"/>
                <w:kern w:val="2"/>
                <w:sz w:val="24"/>
                <w:szCs w:val="24"/>
              </w:rPr>
              <w:t>lenost na puno radno vrijeme (eng. Full time equivalent)</w:t>
            </w:r>
          </w:p>
        </w:tc>
      </w:tr>
      <w:tr w:rsidR="004B6B39" w:rsidRPr="006056DF" w14:paraId="09912B41" w14:textId="77777777" w:rsidTr="006056DF">
        <w:trPr>
          <w:trHeight w:val="315"/>
        </w:trPr>
        <w:tc>
          <w:tcPr>
            <w:tcW w:w="2124" w:type="dxa"/>
            <w:shd w:val="clear" w:color="auto" w:fill="auto"/>
            <w:tcMar>
              <w:top w:w="15" w:type="dxa"/>
              <w:left w:w="15" w:type="dxa"/>
              <w:bottom w:w="0" w:type="dxa"/>
              <w:right w:w="15" w:type="dxa"/>
            </w:tcMar>
            <w:vAlign w:val="center"/>
          </w:tcPr>
          <w:p w14:paraId="63D82853" w14:textId="554B65AD" w:rsidR="004B6B39" w:rsidRPr="006056DF" w:rsidRDefault="004B6B39">
            <w:pPr>
              <w:rPr>
                <w:color w:val="000000"/>
                <w:sz w:val="24"/>
                <w:szCs w:val="24"/>
              </w:rPr>
            </w:pPr>
            <w:r>
              <w:rPr>
                <w:color w:val="000000"/>
                <w:sz w:val="24"/>
                <w:szCs w:val="24"/>
              </w:rPr>
              <w:t>GBAORD</w:t>
            </w:r>
          </w:p>
        </w:tc>
        <w:tc>
          <w:tcPr>
            <w:tcW w:w="7096" w:type="dxa"/>
            <w:shd w:val="clear" w:color="auto" w:fill="auto"/>
            <w:tcMar>
              <w:top w:w="15" w:type="dxa"/>
              <w:left w:w="15" w:type="dxa"/>
              <w:bottom w:w="0" w:type="dxa"/>
              <w:right w:w="15" w:type="dxa"/>
            </w:tcMar>
            <w:vAlign w:val="center"/>
          </w:tcPr>
          <w:p w14:paraId="768FE6AB" w14:textId="7AE050E4" w:rsidR="004B6B39" w:rsidRPr="006056DF" w:rsidRDefault="004B6B39">
            <w:pPr>
              <w:rPr>
                <w:color w:val="000000"/>
                <w:sz w:val="24"/>
                <w:szCs w:val="24"/>
              </w:rPr>
            </w:pPr>
            <w:r>
              <w:rPr>
                <w:rFonts w:eastAsia="Calibri"/>
                <w:kern w:val="2"/>
                <w:sz w:val="24"/>
                <w:szCs w:val="24"/>
              </w:rPr>
              <w:t>Javna</w:t>
            </w:r>
            <w:r w:rsidRPr="00E61285">
              <w:rPr>
                <w:rFonts w:eastAsia="Calibri"/>
                <w:kern w:val="2"/>
                <w:sz w:val="24"/>
                <w:szCs w:val="24"/>
              </w:rPr>
              <w:t xml:space="preserve"> proračunska </w:t>
            </w:r>
            <w:r>
              <w:rPr>
                <w:rFonts w:eastAsia="Calibri"/>
                <w:kern w:val="2"/>
                <w:sz w:val="24"/>
                <w:szCs w:val="24"/>
              </w:rPr>
              <w:t>izdvajanja</w:t>
            </w:r>
            <w:r w:rsidRPr="00E61285">
              <w:rPr>
                <w:rFonts w:eastAsia="Calibri"/>
                <w:kern w:val="2"/>
                <w:sz w:val="24"/>
                <w:szCs w:val="24"/>
              </w:rPr>
              <w:t xml:space="preserve"> za </w:t>
            </w:r>
            <w:r>
              <w:rPr>
                <w:rFonts w:eastAsia="Calibri"/>
                <w:kern w:val="2"/>
                <w:sz w:val="24"/>
                <w:szCs w:val="24"/>
              </w:rPr>
              <w:t>istraživanje i razvoj</w:t>
            </w:r>
          </w:p>
        </w:tc>
      </w:tr>
      <w:tr w:rsidR="00EA11F1" w:rsidRPr="006056DF" w14:paraId="2BDC27D0" w14:textId="77777777" w:rsidTr="006056DF">
        <w:trPr>
          <w:trHeight w:val="315"/>
        </w:trPr>
        <w:tc>
          <w:tcPr>
            <w:tcW w:w="2124" w:type="dxa"/>
            <w:shd w:val="clear" w:color="auto" w:fill="auto"/>
            <w:tcMar>
              <w:top w:w="15" w:type="dxa"/>
              <w:left w:w="15" w:type="dxa"/>
              <w:bottom w:w="0" w:type="dxa"/>
              <w:right w:w="15" w:type="dxa"/>
            </w:tcMar>
            <w:vAlign w:val="center"/>
          </w:tcPr>
          <w:p w14:paraId="18941B2F" w14:textId="12ECD61D" w:rsidR="00EA11F1" w:rsidRPr="006056DF" w:rsidRDefault="00EA11F1" w:rsidP="00EA11F1">
            <w:pPr>
              <w:rPr>
                <w:color w:val="000000"/>
                <w:sz w:val="24"/>
                <w:szCs w:val="24"/>
              </w:rPr>
            </w:pPr>
            <w:r w:rsidRPr="006056DF">
              <w:rPr>
                <w:color w:val="000000"/>
                <w:sz w:val="24"/>
                <w:szCs w:val="24"/>
              </w:rPr>
              <w:t>GCI</w:t>
            </w:r>
          </w:p>
        </w:tc>
        <w:tc>
          <w:tcPr>
            <w:tcW w:w="7096" w:type="dxa"/>
            <w:shd w:val="clear" w:color="auto" w:fill="auto"/>
            <w:tcMar>
              <w:top w:w="15" w:type="dxa"/>
              <w:left w:w="15" w:type="dxa"/>
              <w:bottom w:w="0" w:type="dxa"/>
              <w:right w:w="15" w:type="dxa"/>
            </w:tcMar>
            <w:vAlign w:val="center"/>
          </w:tcPr>
          <w:p w14:paraId="04E3A275" w14:textId="22DEC285" w:rsidR="00EA11F1" w:rsidRPr="006056DF" w:rsidRDefault="00EA11F1" w:rsidP="00EA11F1">
            <w:pPr>
              <w:rPr>
                <w:color w:val="000000"/>
                <w:sz w:val="24"/>
                <w:szCs w:val="24"/>
              </w:rPr>
            </w:pPr>
            <w:r w:rsidRPr="006056DF">
              <w:rPr>
                <w:color w:val="000000"/>
                <w:sz w:val="24"/>
                <w:szCs w:val="24"/>
              </w:rPr>
              <w:t>Indeks globalne konkurentnosti (eng. Global Competitiveness Indeks)</w:t>
            </w:r>
          </w:p>
        </w:tc>
      </w:tr>
      <w:tr w:rsidR="006056DF" w:rsidRPr="006056DF" w14:paraId="13A706C1" w14:textId="77777777" w:rsidTr="006056DF">
        <w:trPr>
          <w:trHeight w:val="315"/>
        </w:trPr>
        <w:tc>
          <w:tcPr>
            <w:tcW w:w="2124" w:type="dxa"/>
            <w:shd w:val="clear" w:color="auto" w:fill="auto"/>
            <w:tcMar>
              <w:top w:w="15" w:type="dxa"/>
              <w:left w:w="15" w:type="dxa"/>
              <w:bottom w:w="0" w:type="dxa"/>
              <w:right w:w="15" w:type="dxa"/>
            </w:tcMar>
            <w:vAlign w:val="center"/>
            <w:hideMark/>
          </w:tcPr>
          <w:p w14:paraId="71250003" w14:textId="77777777" w:rsidR="006056DF" w:rsidRPr="006056DF" w:rsidRDefault="006056DF">
            <w:pPr>
              <w:rPr>
                <w:color w:val="000000"/>
                <w:sz w:val="24"/>
                <w:szCs w:val="24"/>
              </w:rPr>
            </w:pPr>
            <w:r w:rsidRPr="006056DF">
              <w:rPr>
                <w:color w:val="000000"/>
                <w:sz w:val="24"/>
                <w:szCs w:val="24"/>
              </w:rPr>
              <w:t>GERD</w:t>
            </w:r>
          </w:p>
        </w:tc>
        <w:tc>
          <w:tcPr>
            <w:tcW w:w="7096" w:type="dxa"/>
            <w:shd w:val="clear" w:color="auto" w:fill="auto"/>
            <w:tcMar>
              <w:top w:w="15" w:type="dxa"/>
              <w:left w:w="15" w:type="dxa"/>
              <w:bottom w:w="0" w:type="dxa"/>
              <w:right w:w="15" w:type="dxa"/>
            </w:tcMar>
            <w:vAlign w:val="center"/>
            <w:hideMark/>
          </w:tcPr>
          <w:p w14:paraId="337E69A1" w14:textId="77777777" w:rsidR="006056DF" w:rsidRPr="006056DF" w:rsidRDefault="006056DF">
            <w:pPr>
              <w:rPr>
                <w:color w:val="000000"/>
                <w:sz w:val="24"/>
                <w:szCs w:val="24"/>
              </w:rPr>
            </w:pPr>
            <w:r w:rsidRPr="006056DF">
              <w:rPr>
                <w:color w:val="000000"/>
                <w:sz w:val="24"/>
                <w:szCs w:val="24"/>
              </w:rPr>
              <w:t>Bruto domaći izdaci za istraživanje i razvoj</w:t>
            </w:r>
          </w:p>
        </w:tc>
      </w:tr>
      <w:tr w:rsidR="006056DF" w:rsidRPr="006056DF" w14:paraId="515FB5BC" w14:textId="77777777" w:rsidTr="00ED4D5E">
        <w:trPr>
          <w:trHeight w:val="783"/>
        </w:trPr>
        <w:tc>
          <w:tcPr>
            <w:tcW w:w="2124" w:type="dxa"/>
            <w:shd w:val="clear" w:color="auto" w:fill="auto"/>
            <w:tcMar>
              <w:top w:w="15" w:type="dxa"/>
              <w:left w:w="15" w:type="dxa"/>
              <w:bottom w:w="0" w:type="dxa"/>
              <w:right w:w="15" w:type="dxa"/>
            </w:tcMar>
            <w:vAlign w:val="center"/>
            <w:hideMark/>
          </w:tcPr>
          <w:p w14:paraId="09BAD59C" w14:textId="77777777" w:rsidR="006056DF" w:rsidRPr="006056DF" w:rsidRDefault="006056DF">
            <w:pPr>
              <w:rPr>
                <w:color w:val="000000"/>
                <w:sz w:val="24"/>
                <w:szCs w:val="24"/>
              </w:rPr>
            </w:pPr>
            <w:r w:rsidRPr="006056DF">
              <w:rPr>
                <w:color w:val="000000"/>
                <w:sz w:val="24"/>
                <w:szCs w:val="24"/>
              </w:rPr>
              <w:t>GJR</w:t>
            </w:r>
          </w:p>
        </w:tc>
        <w:tc>
          <w:tcPr>
            <w:tcW w:w="7096" w:type="dxa"/>
            <w:shd w:val="clear" w:color="auto" w:fill="auto"/>
            <w:tcMar>
              <w:top w:w="15" w:type="dxa"/>
              <w:left w:w="15" w:type="dxa"/>
              <w:bottom w:w="0" w:type="dxa"/>
              <w:right w:w="15" w:type="dxa"/>
            </w:tcMar>
            <w:vAlign w:val="center"/>
            <w:hideMark/>
          </w:tcPr>
          <w:p w14:paraId="5FA17DB0" w14:textId="3449FA1A" w:rsidR="006056DF" w:rsidRPr="006056DF" w:rsidRDefault="006056DF">
            <w:pPr>
              <w:rPr>
                <w:color w:val="000000"/>
                <w:sz w:val="24"/>
                <w:szCs w:val="24"/>
              </w:rPr>
            </w:pPr>
            <w:r w:rsidRPr="006056DF">
              <w:rPr>
                <w:color w:val="000000"/>
                <w:sz w:val="24"/>
                <w:szCs w:val="24"/>
              </w:rPr>
              <w:t>Godišnja jedinica rada (</w:t>
            </w:r>
            <w:r w:rsidR="00BA7796">
              <w:rPr>
                <w:color w:val="000000"/>
                <w:sz w:val="24"/>
                <w:szCs w:val="24"/>
              </w:rPr>
              <w:t xml:space="preserve">jedna </w:t>
            </w:r>
            <w:r w:rsidRPr="006056DF">
              <w:rPr>
                <w:color w:val="000000"/>
                <w:sz w:val="24"/>
                <w:szCs w:val="24"/>
              </w:rPr>
              <w:t>godišnja jedinica rada odgovara jednoj osobi koja radi puno radno vrijeme na poljoprivrednom gospodarstvu i iznosi 1.800 sati)</w:t>
            </w:r>
          </w:p>
        </w:tc>
      </w:tr>
      <w:tr w:rsidR="006056DF" w:rsidRPr="006056DF" w14:paraId="64A724C9" w14:textId="77777777" w:rsidTr="00ED4D5E">
        <w:trPr>
          <w:trHeight w:val="498"/>
        </w:trPr>
        <w:tc>
          <w:tcPr>
            <w:tcW w:w="2124" w:type="dxa"/>
            <w:shd w:val="clear" w:color="auto" w:fill="auto"/>
            <w:tcMar>
              <w:top w:w="15" w:type="dxa"/>
              <w:left w:w="15" w:type="dxa"/>
              <w:bottom w:w="0" w:type="dxa"/>
              <w:right w:w="15" w:type="dxa"/>
            </w:tcMar>
            <w:vAlign w:val="center"/>
            <w:hideMark/>
          </w:tcPr>
          <w:p w14:paraId="5FCBBD3E" w14:textId="77777777" w:rsidR="006056DF" w:rsidRPr="006056DF" w:rsidRDefault="006056DF">
            <w:pPr>
              <w:rPr>
                <w:color w:val="000000"/>
                <w:sz w:val="24"/>
                <w:szCs w:val="24"/>
              </w:rPr>
            </w:pPr>
            <w:r w:rsidRPr="006056DF">
              <w:rPr>
                <w:color w:val="000000"/>
                <w:sz w:val="24"/>
                <w:szCs w:val="24"/>
              </w:rPr>
              <w:t>GRECO</w:t>
            </w:r>
          </w:p>
        </w:tc>
        <w:tc>
          <w:tcPr>
            <w:tcW w:w="7096" w:type="dxa"/>
            <w:shd w:val="clear" w:color="auto" w:fill="auto"/>
            <w:tcMar>
              <w:top w:w="15" w:type="dxa"/>
              <w:left w:w="15" w:type="dxa"/>
              <w:bottom w:w="0" w:type="dxa"/>
              <w:right w:w="15" w:type="dxa"/>
            </w:tcMar>
            <w:vAlign w:val="center"/>
            <w:hideMark/>
          </w:tcPr>
          <w:p w14:paraId="2627EC76" w14:textId="77777777" w:rsidR="006056DF" w:rsidRPr="006056DF" w:rsidRDefault="006056DF">
            <w:pPr>
              <w:rPr>
                <w:color w:val="000000"/>
                <w:sz w:val="24"/>
                <w:szCs w:val="24"/>
              </w:rPr>
            </w:pPr>
            <w:r w:rsidRPr="006056DF">
              <w:rPr>
                <w:color w:val="000000"/>
                <w:sz w:val="24"/>
                <w:szCs w:val="24"/>
              </w:rPr>
              <w:t>Skupina država protiv korupcije (eng. Group of States against Corruption)</w:t>
            </w:r>
          </w:p>
        </w:tc>
      </w:tr>
      <w:tr w:rsidR="006056DF" w:rsidRPr="006056DF" w14:paraId="1B5084D6" w14:textId="77777777" w:rsidTr="006056DF">
        <w:trPr>
          <w:trHeight w:val="315"/>
        </w:trPr>
        <w:tc>
          <w:tcPr>
            <w:tcW w:w="2124" w:type="dxa"/>
            <w:shd w:val="clear" w:color="auto" w:fill="auto"/>
            <w:tcMar>
              <w:top w:w="15" w:type="dxa"/>
              <w:left w:w="15" w:type="dxa"/>
              <w:bottom w:w="0" w:type="dxa"/>
              <w:right w:w="15" w:type="dxa"/>
            </w:tcMar>
            <w:vAlign w:val="center"/>
            <w:hideMark/>
          </w:tcPr>
          <w:p w14:paraId="7B3B1C84" w14:textId="77777777" w:rsidR="006056DF" w:rsidRPr="006056DF" w:rsidRDefault="006056DF">
            <w:pPr>
              <w:rPr>
                <w:color w:val="000000"/>
                <w:sz w:val="24"/>
                <w:szCs w:val="24"/>
              </w:rPr>
            </w:pPr>
            <w:r w:rsidRPr="006056DF">
              <w:rPr>
                <w:color w:val="000000"/>
                <w:sz w:val="24"/>
                <w:szCs w:val="24"/>
              </w:rPr>
              <w:t>HAMAG-BICRO</w:t>
            </w:r>
          </w:p>
        </w:tc>
        <w:tc>
          <w:tcPr>
            <w:tcW w:w="7096" w:type="dxa"/>
            <w:shd w:val="clear" w:color="auto" w:fill="auto"/>
            <w:tcMar>
              <w:top w:w="15" w:type="dxa"/>
              <w:left w:w="15" w:type="dxa"/>
              <w:bottom w:w="0" w:type="dxa"/>
              <w:right w:w="15" w:type="dxa"/>
            </w:tcMar>
            <w:vAlign w:val="center"/>
            <w:hideMark/>
          </w:tcPr>
          <w:p w14:paraId="25C1EA91" w14:textId="77777777" w:rsidR="006056DF" w:rsidRPr="006056DF" w:rsidRDefault="006056DF">
            <w:pPr>
              <w:rPr>
                <w:color w:val="000000"/>
                <w:sz w:val="24"/>
                <w:szCs w:val="24"/>
              </w:rPr>
            </w:pPr>
            <w:r w:rsidRPr="006056DF">
              <w:rPr>
                <w:color w:val="000000"/>
                <w:sz w:val="24"/>
                <w:szCs w:val="24"/>
              </w:rPr>
              <w:t xml:space="preserve">Hrvatska agencija za malo gospodarstvo, inovacije i investicije </w:t>
            </w:r>
          </w:p>
        </w:tc>
      </w:tr>
      <w:tr w:rsidR="006056DF" w:rsidRPr="006056DF" w14:paraId="08C95C67" w14:textId="77777777" w:rsidTr="006056DF">
        <w:trPr>
          <w:trHeight w:val="315"/>
        </w:trPr>
        <w:tc>
          <w:tcPr>
            <w:tcW w:w="2124" w:type="dxa"/>
            <w:shd w:val="clear" w:color="auto" w:fill="auto"/>
            <w:tcMar>
              <w:top w:w="15" w:type="dxa"/>
              <w:left w:w="15" w:type="dxa"/>
              <w:bottom w:w="0" w:type="dxa"/>
              <w:right w:w="15" w:type="dxa"/>
            </w:tcMar>
            <w:vAlign w:val="center"/>
            <w:hideMark/>
          </w:tcPr>
          <w:p w14:paraId="7B04B625" w14:textId="77777777" w:rsidR="006056DF" w:rsidRPr="006056DF" w:rsidRDefault="006056DF">
            <w:pPr>
              <w:rPr>
                <w:color w:val="000000"/>
                <w:sz w:val="24"/>
                <w:szCs w:val="24"/>
              </w:rPr>
            </w:pPr>
            <w:r w:rsidRPr="006056DF">
              <w:rPr>
                <w:color w:val="000000"/>
                <w:sz w:val="24"/>
                <w:szCs w:val="24"/>
              </w:rPr>
              <w:t>HBOR</w:t>
            </w:r>
          </w:p>
        </w:tc>
        <w:tc>
          <w:tcPr>
            <w:tcW w:w="7096" w:type="dxa"/>
            <w:shd w:val="clear" w:color="auto" w:fill="auto"/>
            <w:tcMar>
              <w:top w:w="15" w:type="dxa"/>
              <w:left w:w="15" w:type="dxa"/>
              <w:bottom w:w="0" w:type="dxa"/>
              <w:right w:w="15" w:type="dxa"/>
            </w:tcMar>
            <w:vAlign w:val="center"/>
            <w:hideMark/>
          </w:tcPr>
          <w:p w14:paraId="7ECC9050" w14:textId="77777777" w:rsidR="006056DF" w:rsidRPr="006056DF" w:rsidRDefault="006056DF">
            <w:pPr>
              <w:rPr>
                <w:color w:val="000000"/>
                <w:sz w:val="24"/>
                <w:szCs w:val="24"/>
              </w:rPr>
            </w:pPr>
            <w:r w:rsidRPr="006056DF">
              <w:rPr>
                <w:color w:val="000000"/>
                <w:sz w:val="24"/>
                <w:szCs w:val="24"/>
              </w:rPr>
              <w:t>Hrvatska banka za obnovu i razvoj</w:t>
            </w:r>
          </w:p>
        </w:tc>
      </w:tr>
      <w:tr w:rsidR="006A00CE" w:rsidRPr="006056DF" w14:paraId="02F450AB" w14:textId="77777777" w:rsidTr="006056DF">
        <w:trPr>
          <w:trHeight w:val="315"/>
        </w:trPr>
        <w:tc>
          <w:tcPr>
            <w:tcW w:w="2124" w:type="dxa"/>
            <w:shd w:val="clear" w:color="auto" w:fill="auto"/>
            <w:tcMar>
              <w:top w:w="15" w:type="dxa"/>
              <w:left w:w="15" w:type="dxa"/>
              <w:bottom w:w="0" w:type="dxa"/>
              <w:right w:w="15" w:type="dxa"/>
            </w:tcMar>
            <w:vAlign w:val="center"/>
          </w:tcPr>
          <w:p w14:paraId="6FF78B4F" w14:textId="48F14D16" w:rsidR="006A00CE" w:rsidRPr="006056DF" w:rsidRDefault="006A00CE">
            <w:pPr>
              <w:rPr>
                <w:color w:val="000000"/>
                <w:sz w:val="24"/>
                <w:szCs w:val="24"/>
              </w:rPr>
            </w:pPr>
            <w:r>
              <w:rPr>
                <w:color w:val="000000"/>
                <w:sz w:val="24"/>
                <w:szCs w:val="24"/>
              </w:rPr>
              <w:t>HIPC</w:t>
            </w:r>
          </w:p>
        </w:tc>
        <w:tc>
          <w:tcPr>
            <w:tcW w:w="7096" w:type="dxa"/>
            <w:shd w:val="clear" w:color="auto" w:fill="auto"/>
            <w:tcMar>
              <w:top w:w="15" w:type="dxa"/>
              <w:left w:w="15" w:type="dxa"/>
              <w:bottom w:w="0" w:type="dxa"/>
              <w:right w:w="15" w:type="dxa"/>
            </w:tcMar>
            <w:vAlign w:val="center"/>
          </w:tcPr>
          <w:p w14:paraId="06A855E8" w14:textId="7F4550C8" w:rsidR="006A00CE" w:rsidRPr="006056DF" w:rsidRDefault="00931FC9">
            <w:pPr>
              <w:rPr>
                <w:color w:val="000000"/>
                <w:sz w:val="24"/>
                <w:szCs w:val="24"/>
              </w:rPr>
            </w:pPr>
            <w:r w:rsidRPr="001A6487">
              <w:rPr>
                <w:rStyle w:val="normaltextrun"/>
                <w:sz w:val="24"/>
                <w:szCs w:val="24"/>
              </w:rPr>
              <w:t>H</w:t>
            </w:r>
            <w:r w:rsidR="006A00CE" w:rsidRPr="001A6487">
              <w:rPr>
                <w:rStyle w:val="normaltextrun"/>
                <w:sz w:val="24"/>
                <w:szCs w:val="24"/>
              </w:rPr>
              <w:t xml:space="preserve">armonizirani indeks potrošačkih cijena </w:t>
            </w:r>
          </w:p>
        </w:tc>
      </w:tr>
      <w:tr w:rsidR="006056DF" w:rsidRPr="006056DF" w14:paraId="2E0290C7" w14:textId="77777777" w:rsidTr="006056DF">
        <w:trPr>
          <w:trHeight w:val="315"/>
        </w:trPr>
        <w:tc>
          <w:tcPr>
            <w:tcW w:w="2124" w:type="dxa"/>
            <w:shd w:val="clear" w:color="auto" w:fill="auto"/>
            <w:tcMar>
              <w:top w:w="15" w:type="dxa"/>
              <w:left w:w="15" w:type="dxa"/>
              <w:bottom w:w="0" w:type="dxa"/>
              <w:right w:w="15" w:type="dxa"/>
            </w:tcMar>
            <w:vAlign w:val="center"/>
            <w:hideMark/>
          </w:tcPr>
          <w:p w14:paraId="2FEAA154" w14:textId="77777777" w:rsidR="006056DF" w:rsidRPr="006056DF" w:rsidRDefault="006056DF">
            <w:pPr>
              <w:rPr>
                <w:color w:val="000000"/>
                <w:sz w:val="24"/>
                <w:szCs w:val="24"/>
              </w:rPr>
            </w:pPr>
            <w:r w:rsidRPr="006056DF">
              <w:rPr>
                <w:color w:val="000000"/>
                <w:sz w:val="24"/>
                <w:szCs w:val="24"/>
              </w:rPr>
              <w:t>HZMO</w:t>
            </w:r>
          </w:p>
        </w:tc>
        <w:tc>
          <w:tcPr>
            <w:tcW w:w="7096" w:type="dxa"/>
            <w:shd w:val="clear" w:color="auto" w:fill="auto"/>
            <w:tcMar>
              <w:top w:w="15" w:type="dxa"/>
              <w:left w:w="15" w:type="dxa"/>
              <w:bottom w:w="0" w:type="dxa"/>
              <w:right w:w="15" w:type="dxa"/>
            </w:tcMar>
            <w:vAlign w:val="center"/>
            <w:hideMark/>
          </w:tcPr>
          <w:p w14:paraId="573BD90C" w14:textId="77777777" w:rsidR="006056DF" w:rsidRPr="006056DF" w:rsidRDefault="006056DF">
            <w:pPr>
              <w:rPr>
                <w:color w:val="000000"/>
                <w:sz w:val="24"/>
                <w:szCs w:val="24"/>
              </w:rPr>
            </w:pPr>
            <w:r w:rsidRPr="006056DF">
              <w:rPr>
                <w:color w:val="000000"/>
                <w:sz w:val="24"/>
                <w:szCs w:val="24"/>
              </w:rPr>
              <w:t>Hrvatski zavod za mirovinsko osiguranje</w:t>
            </w:r>
          </w:p>
        </w:tc>
      </w:tr>
      <w:tr w:rsidR="00D53446" w:rsidRPr="006056DF" w14:paraId="7FC97765" w14:textId="77777777" w:rsidTr="006056DF">
        <w:trPr>
          <w:trHeight w:val="315"/>
        </w:trPr>
        <w:tc>
          <w:tcPr>
            <w:tcW w:w="2124" w:type="dxa"/>
            <w:shd w:val="clear" w:color="auto" w:fill="auto"/>
            <w:tcMar>
              <w:top w:w="15" w:type="dxa"/>
              <w:left w:w="15" w:type="dxa"/>
              <w:bottom w:w="0" w:type="dxa"/>
              <w:right w:w="15" w:type="dxa"/>
            </w:tcMar>
            <w:vAlign w:val="center"/>
          </w:tcPr>
          <w:p w14:paraId="06E77B5D" w14:textId="7B4B2444" w:rsidR="00D53446" w:rsidRPr="006056DF" w:rsidRDefault="00A22621">
            <w:pPr>
              <w:rPr>
                <w:color w:val="000000"/>
                <w:sz w:val="24"/>
                <w:szCs w:val="24"/>
              </w:rPr>
            </w:pPr>
            <w:r>
              <w:rPr>
                <w:color w:val="000000"/>
                <w:sz w:val="24"/>
                <w:szCs w:val="24"/>
              </w:rPr>
              <w:t>HKO</w:t>
            </w:r>
          </w:p>
        </w:tc>
        <w:tc>
          <w:tcPr>
            <w:tcW w:w="7096" w:type="dxa"/>
            <w:shd w:val="clear" w:color="auto" w:fill="auto"/>
            <w:tcMar>
              <w:top w:w="15" w:type="dxa"/>
              <w:left w:w="15" w:type="dxa"/>
              <w:bottom w:w="0" w:type="dxa"/>
              <w:right w:w="15" w:type="dxa"/>
            </w:tcMar>
            <w:vAlign w:val="center"/>
          </w:tcPr>
          <w:p w14:paraId="79745ABA" w14:textId="346D03C3" w:rsidR="00D53446" w:rsidRPr="006056DF" w:rsidRDefault="00D53446">
            <w:pPr>
              <w:rPr>
                <w:color w:val="000000"/>
                <w:sz w:val="24"/>
                <w:szCs w:val="24"/>
              </w:rPr>
            </w:pPr>
            <w:r w:rsidRPr="5B19E937">
              <w:rPr>
                <w:sz w:val="24"/>
                <w:szCs w:val="24"/>
              </w:rPr>
              <w:t>Hrvatsk</w:t>
            </w:r>
            <w:r w:rsidR="00A22621">
              <w:rPr>
                <w:sz w:val="24"/>
                <w:szCs w:val="24"/>
              </w:rPr>
              <w:t xml:space="preserve">i </w:t>
            </w:r>
            <w:r w:rsidRPr="5B19E937">
              <w:rPr>
                <w:sz w:val="24"/>
                <w:szCs w:val="24"/>
              </w:rPr>
              <w:t>kvalifikacijsk</w:t>
            </w:r>
            <w:r w:rsidR="00A22621">
              <w:rPr>
                <w:sz w:val="24"/>
                <w:szCs w:val="24"/>
              </w:rPr>
              <w:t xml:space="preserve">i </w:t>
            </w:r>
            <w:r w:rsidRPr="5B19E937">
              <w:rPr>
                <w:sz w:val="24"/>
                <w:szCs w:val="24"/>
              </w:rPr>
              <w:t>okvir</w:t>
            </w:r>
          </w:p>
        </w:tc>
      </w:tr>
      <w:tr w:rsidR="006056DF" w:rsidRPr="006056DF" w14:paraId="515CB5FE" w14:textId="77777777" w:rsidTr="006056DF">
        <w:trPr>
          <w:trHeight w:val="315"/>
        </w:trPr>
        <w:tc>
          <w:tcPr>
            <w:tcW w:w="2124" w:type="dxa"/>
            <w:shd w:val="clear" w:color="auto" w:fill="auto"/>
            <w:tcMar>
              <w:top w:w="15" w:type="dxa"/>
              <w:left w:w="15" w:type="dxa"/>
              <w:bottom w:w="0" w:type="dxa"/>
              <w:right w:w="15" w:type="dxa"/>
            </w:tcMar>
            <w:vAlign w:val="center"/>
            <w:hideMark/>
          </w:tcPr>
          <w:p w14:paraId="3378FFF4" w14:textId="77777777" w:rsidR="006056DF" w:rsidRPr="006056DF" w:rsidRDefault="006056DF">
            <w:pPr>
              <w:rPr>
                <w:color w:val="000000"/>
                <w:sz w:val="24"/>
                <w:szCs w:val="24"/>
              </w:rPr>
            </w:pPr>
            <w:r w:rsidRPr="006056DF">
              <w:rPr>
                <w:color w:val="000000"/>
                <w:sz w:val="24"/>
                <w:szCs w:val="24"/>
              </w:rPr>
              <w:t>HZZ</w:t>
            </w:r>
          </w:p>
        </w:tc>
        <w:tc>
          <w:tcPr>
            <w:tcW w:w="7096" w:type="dxa"/>
            <w:shd w:val="clear" w:color="auto" w:fill="auto"/>
            <w:tcMar>
              <w:top w:w="15" w:type="dxa"/>
              <w:left w:w="15" w:type="dxa"/>
              <w:bottom w:w="0" w:type="dxa"/>
              <w:right w:w="15" w:type="dxa"/>
            </w:tcMar>
            <w:vAlign w:val="center"/>
            <w:hideMark/>
          </w:tcPr>
          <w:p w14:paraId="44000F6E" w14:textId="77777777" w:rsidR="006056DF" w:rsidRPr="006056DF" w:rsidRDefault="006056DF">
            <w:pPr>
              <w:rPr>
                <w:color w:val="000000"/>
                <w:sz w:val="24"/>
                <w:szCs w:val="24"/>
              </w:rPr>
            </w:pPr>
            <w:r w:rsidRPr="006056DF">
              <w:rPr>
                <w:color w:val="000000"/>
                <w:sz w:val="24"/>
                <w:szCs w:val="24"/>
              </w:rPr>
              <w:t>Hrvatski zavod za zapošljavanje</w:t>
            </w:r>
          </w:p>
        </w:tc>
      </w:tr>
      <w:tr w:rsidR="006056DF" w:rsidRPr="006056DF" w14:paraId="4B01ACDC" w14:textId="77777777" w:rsidTr="006056DF">
        <w:trPr>
          <w:trHeight w:val="315"/>
        </w:trPr>
        <w:tc>
          <w:tcPr>
            <w:tcW w:w="2124" w:type="dxa"/>
            <w:shd w:val="clear" w:color="auto" w:fill="auto"/>
            <w:tcMar>
              <w:top w:w="15" w:type="dxa"/>
              <w:left w:w="15" w:type="dxa"/>
              <w:bottom w:w="0" w:type="dxa"/>
              <w:right w:w="15" w:type="dxa"/>
            </w:tcMar>
            <w:vAlign w:val="center"/>
            <w:hideMark/>
          </w:tcPr>
          <w:p w14:paraId="6CBEB29A" w14:textId="77777777" w:rsidR="006056DF" w:rsidRPr="006056DF" w:rsidRDefault="006056DF">
            <w:pPr>
              <w:rPr>
                <w:color w:val="000000"/>
                <w:sz w:val="24"/>
                <w:szCs w:val="24"/>
              </w:rPr>
            </w:pPr>
            <w:r w:rsidRPr="006056DF">
              <w:rPr>
                <w:color w:val="000000"/>
                <w:sz w:val="24"/>
                <w:szCs w:val="24"/>
              </w:rPr>
              <w:t>ICT/ IKT</w:t>
            </w:r>
          </w:p>
        </w:tc>
        <w:tc>
          <w:tcPr>
            <w:tcW w:w="7096" w:type="dxa"/>
            <w:shd w:val="clear" w:color="auto" w:fill="auto"/>
            <w:tcMar>
              <w:top w:w="15" w:type="dxa"/>
              <w:left w:w="15" w:type="dxa"/>
              <w:bottom w:w="0" w:type="dxa"/>
              <w:right w:w="15" w:type="dxa"/>
            </w:tcMar>
            <w:vAlign w:val="center"/>
            <w:hideMark/>
          </w:tcPr>
          <w:p w14:paraId="6AD6BC46" w14:textId="77777777" w:rsidR="006056DF" w:rsidRPr="006056DF" w:rsidRDefault="006056DF">
            <w:pPr>
              <w:rPr>
                <w:color w:val="000000"/>
                <w:sz w:val="24"/>
                <w:szCs w:val="24"/>
              </w:rPr>
            </w:pPr>
            <w:r w:rsidRPr="006056DF">
              <w:rPr>
                <w:color w:val="000000"/>
                <w:sz w:val="24"/>
                <w:szCs w:val="24"/>
              </w:rPr>
              <w:t>Informacijsko-komunikacijske tehnologije</w:t>
            </w:r>
          </w:p>
        </w:tc>
      </w:tr>
      <w:tr w:rsidR="006056DF" w:rsidRPr="006056DF" w14:paraId="7710D7CA" w14:textId="77777777" w:rsidTr="006056DF">
        <w:trPr>
          <w:trHeight w:val="315"/>
        </w:trPr>
        <w:tc>
          <w:tcPr>
            <w:tcW w:w="2124" w:type="dxa"/>
            <w:shd w:val="clear" w:color="auto" w:fill="auto"/>
            <w:tcMar>
              <w:top w:w="15" w:type="dxa"/>
              <w:left w:w="15" w:type="dxa"/>
              <w:bottom w:w="0" w:type="dxa"/>
              <w:right w:w="15" w:type="dxa"/>
            </w:tcMar>
            <w:vAlign w:val="center"/>
            <w:hideMark/>
          </w:tcPr>
          <w:p w14:paraId="1A514F43" w14:textId="77777777" w:rsidR="006056DF" w:rsidRPr="006056DF" w:rsidRDefault="006056DF">
            <w:pPr>
              <w:rPr>
                <w:color w:val="000000"/>
                <w:sz w:val="24"/>
                <w:szCs w:val="24"/>
              </w:rPr>
            </w:pPr>
            <w:r w:rsidRPr="006056DF">
              <w:rPr>
                <w:color w:val="000000"/>
                <w:sz w:val="24"/>
                <w:szCs w:val="24"/>
              </w:rPr>
              <w:t>ITP</w:t>
            </w:r>
          </w:p>
        </w:tc>
        <w:tc>
          <w:tcPr>
            <w:tcW w:w="7096" w:type="dxa"/>
            <w:shd w:val="clear" w:color="auto" w:fill="auto"/>
            <w:tcMar>
              <w:top w:w="15" w:type="dxa"/>
              <w:left w:w="15" w:type="dxa"/>
              <w:bottom w:w="0" w:type="dxa"/>
              <w:right w:w="15" w:type="dxa"/>
            </w:tcMar>
            <w:vAlign w:val="center"/>
            <w:hideMark/>
          </w:tcPr>
          <w:p w14:paraId="3C5A80ED" w14:textId="77777777" w:rsidR="006056DF" w:rsidRPr="006056DF" w:rsidRDefault="006056DF">
            <w:pPr>
              <w:rPr>
                <w:color w:val="000000"/>
                <w:sz w:val="24"/>
                <w:szCs w:val="24"/>
              </w:rPr>
            </w:pPr>
            <w:r w:rsidRPr="006056DF">
              <w:rPr>
                <w:color w:val="000000"/>
                <w:sz w:val="24"/>
                <w:szCs w:val="24"/>
              </w:rPr>
              <w:t>Integrirani teritorijalni program 2021.-2027.</w:t>
            </w:r>
          </w:p>
        </w:tc>
      </w:tr>
      <w:tr w:rsidR="00206F28" w:rsidRPr="006056DF" w14:paraId="1DDDA555" w14:textId="77777777" w:rsidTr="006056DF">
        <w:trPr>
          <w:trHeight w:val="315"/>
        </w:trPr>
        <w:tc>
          <w:tcPr>
            <w:tcW w:w="2124" w:type="dxa"/>
            <w:shd w:val="clear" w:color="auto" w:fill="auto"/>
            <w:tcMar>
              <w:top w:w="15" w:type="dxa"/>
              <w:left w:w="15" w:type="dxa"/>
              <w:bottom w:w="0" w:type="dxa"/>
              <w:right w:w="15" w:type="dxa"/>
            </w:tcMar>
            <w:vAlign w:val="center"/>
          </w:tcPr>
          <w:p w14:paraId="1AC89A4F" w14:textId="27D01DD7" w:rsidR="00206F28" w:rsidRPr="006056DF" w:rsidRDefault="0034445D">
            <w:pPr>
              <w:rPr>
                <w:color w:val="000000"/>
                <w:sz w:val="24"/>
                <w:szCs w:val="24"/>
              </w:rPr>
            </w:pPr>
            <w:r w:rsidRPr="0034445D">
              <w:rPr>
                <w:color w:val="000000"/>
                <w:sz w:val="24"/>
                <w:szCs w:val="24"/>
              </w:rPr>
              <w:t>ITU</w:t>
            </w:r>
          </w:p>
        </w:tc>
        <w:tc>
          <w:tcPr>
            <w:tcW w:w="7096" w:type="dxa"/>
            <w:shd w:val="clear" w:color="auto" w:fill="auto"/>
            <w:tcMar>
              <w:top w:w="15" w:type="dxa"/>
              <w:left w:w="15" w:type="dxa"/>
              <w:bottom w:w="0" w:type="dxa"/>
              <w:right w:w="15" w:type="dxa"/>
            </w:tcMar>
            <w:vAlign w:val="center"/>
          </w:tcPr>
          <w:p w14:paraId="1CD476C8" w14:textId="10365616" w:rsidR="00206F28" w:rsidRPr="006056DF" w:rsidRDefault="0034445D">
            <w:pPr>
              <w:rPr>
                <w:color w:val="000000"/>
                <w:sz w:val="24"/>
                <w:szCs w:val="24"/>
              </w:rPr>
            </w:pPr>
            <w:r w:rsidRPr="506EEE25">
              <w:rPr>
                <w:sz w:val="24"/>
                <w:szCs w:val="24"/>
              </w:rPr>
              <w:t>Integriranih teritorijalnih ulaganja</w:t>
            </w:r>
          </w:p>
        </w:tc>
      </w:tr>
      <w:tr w:rsidR="006056DF" w:rsidRPr="006056DF" w14:paraId="754360A8" w14:textId="77777777" w:rsidTr="006056DF">
        <w:trPr>
          <w:trHeight w:val="315"/>
        </w:trPr>
        <w:tc>
          <w:tcPr>
            <w:tcW w:w="2124" w:type="dxa"/>
            <w:shd w:val="clear" w:color="auto" w:fill="auto"/>
            <w:tcMar>
              <w:top w:w="15" w:type="dxa"/>
              <w:left w:w="15" w:type="dxa"/>
              <w:bottom w:w="0" w:type="dxa"/>
              <w:right w:w="15" w:type="dxa"/>
            </w:tcMar>
            <w:vAlign w:val="center"/>
            <w:hideMark/>
          </w:tcPr>
          <w:p w14:paraId="5C335C76" w14:textId="77777777" w:rsidR="006056DF" w:rsidRPr="006056DF" w:rsidRDefault="006056DF">
            <w:pPr>
              <w:rPr>
                <w:color w:val="000000"/>
                <w:sz w:val="24"/>
                <w:szCs w:val="24"/>
              </w:rPr>
            </w:pPr>
            <w:r w:rsidRPr="006056DF">
              <w:rPr>
                <w:color w:val="000000"/>
                <w:sz w:val="24"/>
                <w:szCs w:val="24"/>
              </w:rPr>
              <w:t>JLP(R)S</w:t>
            </w:r>
          </w:p>
        </w:tc>
        <w:tc>
          <w:tcPr>
            <w:tcW w:w="7096" w:type="dxa"/>
            <w:shd w:val="clear" w:color="auto" w:fill="auto"/>
            <w:tcMar>
              <w:top w:w="15" w:type="dxa"/>
              <w:left w:w="15" w:type="dxa"/>
              <w:bottom w:w="0" w:type="dxa"/>
              <w:right w:w="15" w:type="dxa"/>
            </w:tcMar>
            <w:vAlign w:val="center"/>
            <w:hideMark/>
          </w:tcPr>
          <w:p w14:paraId="396F1347" w14:textId="77777777" w:rsidR="006056DF" w:rsidRPr="006056DF" w:rsidRDefault="006056DF">
            <w:pPr>
              <w:rPr>
                <w:color w:val="000000"/>
                <w:sz w:val="24"/>
                <w:szCs w:val="24"/>
              </w:rPr>
            </w:pPr>
            <w:r w:rsidRPr="006056DF">
              <w:rPr>
                <w:color w:val="000000"/>
                <w:sz w:val="24"/>
                <w:szCs w:val="24"/>
              </w:rPr>
              <w:t>jedinice lokalne i područne (regionalne) samouprave</w:t>
            </w:r>
          </w:p>
        </w:tc>
      </w:tr>
      <w:tr w:rsidR="006056DF" w:rsidRPr="006056DF" w14:paraId="21D907E4" w14:textId="77777777" w:rsidTr="006056DF">
        <w:trPr>
          <w:trHeight w:val="315"/>
        </w:trPr>
        <w:tc>
          <w:tcPr>
            <w:tcW w:w="2124" w:type="dxa"/>
            <w:shd w:val="clear" w:color="auto" w:fill="auto"/>
            <w:tcMar>
              <w:top w:w="15" w:type="dxa"/>
              <w:left w:w="15" w:type="dxa"/>
              <w:bottom w:w="0" w:type="dxa"/>
              <w:right w:w="15" w:type="dxa"/>
            </w:tcMar>
            <w:vAlign w:val="center"/>
            <w:hideMark/>
          </w:tcPr>
          <w:p w14:paraId="34E01361" w14:textId="77777777" w:rsidR="006056DF" w:rsidRPr="006056DF" w:rsidRDefault="006056DF">
            <w:pPr>
              <w:rPr>
                <w:color w:val="000000"/>
                <w:sz w:val="24"/>
                <w:szCs w:val="24"/>
              </w:rPr>
            </w:pPr>
            <w:r w:rsidRPr="006056DF">
              <w:rPr>
                <w:color w:val="000000"/>
                <w:sz w:val="24"/>
                <w:szCs w:val="24"/>
              </w:rPr>
              <w:t>MSP</w:t>
            </w:r>
          </w:p>
        </w:tc>
        <w:tc>
          <w:tcPr>
            <w:tcW w:w="7096" w:type="dxa"/>
            <w:shd w:val="clear" w:color="auto" w:fill="auto"/>
            <w:tcMar>
              <w:top w:w="15" w:type="dxa"/>
              <w:left w:w="15" w:type="dxa"/>
              <w:bottom w:w="0" w:type="dxa"/>
              <w:right w:w="15" w:type="dxa"/>
            </w:tcMar>
            <w:vAlign w:val="center"/>
            <w:hideMark/>
          </w:tcPr>
          <w:p w14:paraId="13543DF1" w14:textId="77777777" w:rsidR="006056DF" w:rsidRPr="006056DF" w:rsidRDefault="006056DF">
            <w:pPr>
              <w:rPr>
                <w:color w:val="000000"/>
                <w:sz w:val="24"/>
                <w:szCs w:val="24"/>
              </w:rPr>
            </w:pPr>
            <w:r w:rsidRPr="006056DF">
              <w:rPr>
                <w:color w:val="000000"/>
                <w:sz w:val="24"/>
                <w:szCs w:val="24"/>
              </w:rPr>
              <w:t>Mikro, mala i srednja poduzeća</w:t>
            </w:r>
          </w:p>
        </w:tc>
      </w:tr>
      <w:tr w:rsidR="006056DF" w:rsidRPr="006056DF" w14:paraId="4CAA8B40" w14:textId="77777777" w:rsidTr="006056DF">
        <w:trPr>
          <w:trHeight w:val="306"/>
        </w:trPr>
        <w:tc>
          <w:tcPr>
            <w:tcW w:w="2124" w:type="dxa"/>
            <w:shd w:val="clear" w:color="auto" w:fill="auto"/>
            <w:tcMar>
              <w:top w:w="15" w:type="dxa"/>
              <w:left w:w="15" w:type="dxa"/>
              <w:bottom w:w="0" w:type="dxa"/>
              <w:right w:w="15" w:type="dxa"/>
            </w:tcMar>
            <w:vAlign w:val="center"/>
            <w:hideMark/>
          </w:tcPr>
          <w:p w14:paraId="1E10784B" w14:textId="77777777" w:rsidR="006056DF" w:rsidRPr="006056DF" w:rsidRDefault="006056DF">
            <w:pPr>
              <w:rPr>
                <w:color w:val="000000"/>
                <w:sz w:val="24"/>
                <w:szCs w:val="24"/>
              </w:rPr>
            </w:pPr>
            <w:r w:rsidRPr="006056DF">
              <w:rPr>
                <w:color w:val="000000"/>
                <w:sz w:val="24"/>
                <w:szCs w:val="24"/>
              </w:rPr>
              <w:t>NATO</w:t>
            </w:r>
          </w:p>
        </w:tc>
        <w:tc>
          <w:tcPr>
            <w:tcW w:w="7096" w:type="dxa"/>
            <w:shd w:val="clear" w:color="auto" w:fill="auto"/>
            <w:tcMar>
              <w:top w:w="15" w:type="dxa"/>
              <w:left w:w="15" w:type="dxa"/>
              <w:bottom w:w="0" w:type="dxa"/>
              <w:right w:w="15" w:type="dxa"/>
            </w:tcMar>
            <w:vAlign w:val="center"/>
            <w:hideMark/>
          </w:tcPr>
          <w:p w14:paraId="78E38D24" w14:textId="397481D3" w:rsidR="006056DF" w:rsidRPr="006056DF" w:rsidRDefault="006056DF">
            <w:pPr>
              <w:rPr>
                <w:color w:val="000000"/>
                <w:sz w:val="24"/>
                <w:szCs w:val="24"/>
              </w:rPr>
            </w:pPr>
            <w:r w:rsidRPr="006056DF">
              <w:rPr>
                <w:color w:val="000000"/>
                <w:sz w:val="24"/>
                <w:szCs w:val="24"/>
              </w:rPr>
              <w:t>Sjeverno-atlantski vojni savez (eng. North-</w:t>
            </w:r>
            <w:r w:rsidR="00ED4D5E">
              <w:rPr>
                <w:color w:val="000000"/>
                <w:sz w:val="24"/>
                <w:szCs w:val="24"/>
              </w:rPr>
              <w:t>A</w:t>
            </w:r>
            <w:r w:rsidRPr="006056DF">
              <w:rPr>
                <w:color w:val="000000"/>
                <w:sz w:val="24"/>
                <w:szCs w:val="24"/>
              </w:rPr>
              <w:t>tlantic Treaty Organisation)</w:t>
            </w:r>
          </w:p>
        </w:tc>
      </w:tr>
      <w:tr w:rsidR="006056DF" w:rsidRPr="006056DF" w14:paraId="1F116966" w14:textId="77777777" w:rsidTr="006056DF">
        <w:trPr>
          <w:trHeight w:val="565"/>
        </w:trPr>
        <w:tc>
          <w:tcPr>
            <w:tcW w:w="2124" w:type="dxa"/>
            <w:shd w:val="clear" w:color="auto" w:fill="auto"/>
            <w:tcMar>
              <w:top w:w="15" w:type="dxa"/>
              <w:left w:w="15" w:type="dxa"/>
              <w:bottom w:w="0" w:type="dxa"/>
              <w:right w:w="15" w:type="dxa"/>
            </w:tcMar>
            <w:vAlign w:val="center"/>
            <w:hideMark/>
          </w:tcPr>
          <w:p w14:paraId="45ACE2C0" w14:textId="77777777" w:rsidR="006056DF" w:rsidRPr="006056DF" w:rsidRDefault="006056DF">
            <w:pPr>
              <w:rPr>
                <w:color w:val="000000"/>
                <w:sz w:val="24"/>
                <w:szCs w:val="24"/>
              </w:rPr>
            </w:pPr>
            <w:r w:rsidRPr="006056DF">
              <w:rPr>
                <w:color w:val="000000"/>
                <w:sz w:val="24"/>
                <w:szCs w:val="24"/>
              </w:rPr>
              <w:t>NECP</w:t>
            </w:r>
          </w:p>
        </w:tc>
        <w:tc>
          <w:tcPr>
            <w:tcW w:w="7096" w:type="dxa"/>
            <w:shd w:val="clear" w:color="auto" w:fill="auto"/>
            <w:tcMar>
              <w:top w:w="15" w:type="dxa"/>
              <w:left w:w="15" w:type="dxa"/>
              <w:bottom w:w="0" w:type="dxa"/>
              <w:right w:w="15" w:type="dxa"/>
            </w:tcMar>
            <w:vAlign w:val="center"/>
            <w:hideMark/>
          </w:tcPr>
          <w:p w14:paraId="1483CB0D" w14:textId="77777777" w:rsidR="006056DF" w:rsidRPr="006056DF" w:rsidRDefault="006056DF">
            <w:pPr>
              <w:rPr>
                <w:color w:val="000000"/>
                <w:sz w:val="24"/>
                <w:szCs w:val="24"/>
              </w:rPr>
            </w:pPr>
            <w:r w:rsidRPr="006056DF">
              <w:rPr>
                <w:color w:val="000000"/>
                <w:sz w:val="24"/>
                <w:szCs w:val="24"/>
              </w:rPr>
              <w:t>Integrirani nacionalni energetski i klimatski plan za razdoblje 2021.-2030.</w:t>
            </w:r>
          </w:p>
        </w:tc>
      </w:tr>
      <w:tr w:rsidR="006056DF" w:rsidRPr="006056DF" w14:paraId="0E4E9908" w14:textId="77777777" w:rsidTr="006056DF">
        <w:trPr>
          <w:trHeight w:val="315"/>
        </w:trPr>
        <w:tc>
          <w:tcPr>
            <w:tcW w:w="2124" w:type="dxa"/>
            <w:shd w:val="clear" w:color="auto" w:fill="auto"/>
            <w:tcMar>
              <w:top w:w="15" w:type="dxa"/>
              <w:left w:w="15" w:type="dxa"/>
              <w:bottom w:w="0" w:type="dxa"/>
              <w:right w:w="15" w:type="dxa"/>
            </w:tcMar>
            <w:vAlign w:val="center"/>
            <w:hideMark/>
          </w:tcPr>
          <w:p w14:paraId="7A051FF4" w14:textId="77777777" w:rsidR="006056DF" w:rsidRPr="006056DF" w:rsidRDefault="006056DF">
            <w:pPr>
              <w:rPr>
                <w:color w:val="000000"/>
                <w:sz w:val="24"/>
                <w:szCs w:val="24"/>
              </w:rPr>
            </w:pPr>
            <w:r w:rsidRPr="006056DF">
              <w:rPr>
                <w:color w:val="000000"/>
                <w:sz w:val="24"/>
                <w:szCs w:val="24"/>
              </w:rPr>
              <w:t>NPOO</w:t>
            </w:r>
          </w:p>
        </w:tc>
        <w:tc>
          <w:tcPr>
            <w:tcW w:w="7096" w:type="dxa"/>
            <w:shd w:val="clear" w:color="auto" w:fill="auto"/>
            <w:tcMar>
              <w:top w:w="15" w:type="dxa"/>
              <w:left w:w="15" w:type="dxa"/>
              <w:bottom w:w="0" w:type="dxa"/>
              <w:right w:w="15" w:type="dxa"/>
            </w:tcMar>
            <w:vAlign w:val="center"/>
            <w:hideMark/>
          </w:tcPr>
          <w:p w14:paraId="31A7D2CC" w14:textId="77777777" w:rsidR="006056DF" w:rsidRPr="006056DF" w:rsidRDefault="006056DF">
            <w:pPr>
              <w:rPr>
                <w:color w:val="000000"/>
                <w:sz w:val="24"/>
                <w:szCs w:val="24"/>
              </w:rPr>
            </w:pPr>
            <w:r w:rsidRPr="006056DF">
              <w:rPr>
                <w:color w:val="000000"/>
                <w:sz w:val="24"/>
                <w:szCs w:val="24"/>
              </w:rPr>
              <w:t>Nacionalni plan oporavka i otpornosti 2021.-2026.</w:t>
            </w:r>
          </w:p>
        </w:tc>
      </w:tr>
      <w:tr w:rsidR="006056DF" w:rsidRPr="006056DF" w14:paraId="7E14B326" w14:textId="77777777" w:rsidTr="006056DF">
        <w:trPr>
          <w:trHeight w:val="630"/>
        </w:trPr>
        <w:tc>
          <w:tcPr>
            <w:tcW w:w="2124" w:type="dxa"/>
            <w:shd w:val="clear" w:color="auto" w:fill="auto"/>
            <w:tcMar>
              <w:top w:w="15" w:type="dxa"/>
              <w:left w:w="15" w:type="dxa"/>
              <w:bottom w:w="0" w:type="dxa"/>
              <w:right w:w="15" w:type="dxa"/>
            </w:tcMar>
            <w:vAlign w:val="center"/>
            <w:hideMark/>
          </w:tcPr>
          <w:p w14:paraId="78516EDE" w14:textId="77777777" w:rsidR="006056DF" w:rsidRPr="006056DF" w:rsidRDefault="006056DF">
            <w:pPr>
              <w:rPr>
                <w:color w:val="000000"/>
                <w:sz w:val="24"/>
                <w:szCs w:val="24"/>
              </w:rPr>
            </w:pPr>
            <w:r w:rsidRPr="006056DF">
              <w:rPr>
                <w:color w:val="000000"/>
                <w:sz w:val="24"/>
                <w:szCs w:val="24"/>
              </w:rPr>
              <w:t>NRS 2030.</w:t>
            </w:r>
          </w:p>
        </w:tc>
        <w:tc>
          <w:tcPr>
            <w:tcW w:w="7096" w:type="dxa"/>
            <w:shd w:val="clear" w:color="auto" w:fill="auto"/>
            <w:tcMar>
              <w:top w:w="15" w:type="dxa"/>
              <w:left w:w="15" w:type="dxa"/>
              <w:bottom w:w="0" w:type="dxa"/>
              <w:right w:w="15" w:type="dxa"/>
            </w:tcMar>
            <w:vAlign w:val="center"/>
            <w:hideMark/>
          </w:tcPr>
          <w:p w14:paraId="671725DE" w14:textId="77777777" w:rsidR="006056DF" w:rsidRPr="006056DF" w:rsidRDefault="006056DF">
            <w:pPr>
              <w:rPr>
                <w:color w:val="000000"/>
                <w:sz w:val="24"/>
                <w:szCs w:val="24"/>
              </w:rPr>
            </w:pPr>
            <w:r w:rsidRPr="006056DF">
              <w:rPr>
                <w:color w:val="000000"/>
                <w:sz w:val="24"/>
                <w:szCs w:val="24"/>
              </w:rPr>
              <w:t>Nacionalna razvojna strategija Republike Hrvatske za razdoblje do 2030. godine</w:t>
            </w:r>
          </w:p>
        </w:tc>
      </w:tr>
      <w:tr w:rsidR="00EA11F1" w:rsidRPr="006056DF" w14:paraId="73942C79" w14:textId="77777777" w:rsidTr="006056DF">
        <w:trPr>
          <w:trHeight w:val="315"/>
        </w:trPr>
        <w:tc>
          <w:tcPr>
            <w:tcW w:w="2124" w:type="dxa"/>
            <w:shd w:val="clear" w:color="auto" w:fill="auto"/>
            <w:tcMar>
              <w:top w:w="15" w:type="dxa"/>
              <w:left w:w="15" w:type="dxa"/>
              <w:bottom w:w="0" w:type="dxa"/>
              <w:right w:w="15" w:type="dxa"/>
            </w:tcMar>
            <w:vAlign w:val="center"/>
          </w:tcPr>
          <w:p w14:paraId="2E1FABC6" w14:textId="2FB858B9" w:rsidR="00EA11F1" w:rsidRPr="006056DF" w:rsidRDefault="00EA11F1" w:rsidP="00EA11F1">
            <w:pPr>
              <w:rPr>
                <w:color w:val="000000"/>
                <w:sz w:val="24"/>
                <w:szCs w:val="24"/>
              </w:rPr>
            </w:pPr>
            <w:r w:rsidRPr="006056DF">
              <w:rPr>
                <w:color w:val="000000"/>
                <w:sz w:val="24"/>
                <w:szCs w:val="24"/>
              </w:rPr>
              <w:t>NUTS 2</w:t>
            </w:r>
          </w:p>
        </w:tc>
        <w:tc>
          <w:tcPr>
            <w:tcW w:w="7096" w:type="dxa"/>
            <w:shd w:val="clear" w:color="auto" w:fill="auto"/>
            <w:tcMar>
              <w:top w:w="15" w:type="dxa"/>
              <w:left w:w="15" w:type="dxa"/>
              <w:bottom w:w="0" w:type="dxa"/>
              <w:right w:w="15" w:type="dxa"/>
            </w:tcMar>
            <w:vAlign w:val="center"/>
          </w:tcPr>
          <w:p w14:paraId="100D9184" w14:textId="4E308966" w:rsidR="00EA11F1" w:rsidRPr="006056DF" w:rsidRDefault="00EA11F1" w:rsidP="00EA11F1">
            <w:pPr>
              <w:rPr>
                <w:color w:val="000000"/>
                <w:sz w:val="24"/>
                <w:szCs w:val="24"/>
              </w:rPr>
            </w:pPr>
            <w:r w:rsidRPr="006056DF">
              <w:rPr>
                <w:color w:val="000000"/>
                <w:sz w:val="24"/>
                <w:szCs w:val="24"/>
              </w:rPr>
              <w:t>Statističke regije 2. razine (neupravne jedinice nastale grupiranjem županija kao upravnih jedinica niže razine)</w:t>
            </w:r>
          </w:p>
        </w:tc>
      </w:tr>
      <w:tr w:rsidR="003B41E6" w:rsidRPr="006056DF" w14:paraId="67D93025" w14:textId="77777777" w:rsidTr="006056DF">
        <w:trPr>
          <w:trHeight w:val="315"/>
        </w:trPr>
        <w:tc>
          <w:tcPr>
            <w:tcW w:w="2124" w:type="dxa"/>
            <w:shd w:val="clear" w:color="auto" w:fill="auto"/>
            <w:tcMar>
              <w:top w:w="15" w:type="dxa"/>
              <w:left w:w="15" w:type="dxa"/>
              <w:bottom w:w="0" w:type="dxa"/>
              <w:right w:w="15" w:type="dxa"/>
            </w:tcMar>
            <w:vAlign w:val="center"/>
          </w:tcPr>
          <w:p w14:paraId="0C43B4FD" w14:textId="70B9F287" w:rsidR="003B41E6" w:rsidRPr="006056DF" w:rsidRDefault="003B41E6" w:rsidP="003B41E6">
            <w:pPr>
              <w:rPr>
                <w:color w:val="000000"/>
                <w:sz w:val="24"/>
                <w:szCs w:val="24"/>
              </w:rPr>
            </w:pPr>
            <w:r w:rsidRPr="006056DF">
              <w:rPr>
                <w:color w:val="000000"/>
                <w:sz w:val="24"/>
                <w:szCs w:val="24"/>
              </w:rPr>
              <w:t>OCD</w:t>
            </w:r>
          </w:p>
        </w:tc>
        <w:tc>
          <w:tcPr>
            <w:tcW w:w="7096" w:type="dxa"/>
            <w:shd w:val="clear" w:color="auto" w:fill="auto"/>
            <w:tcMar>
              <w:top w:w="15" w:type="dxa"/>
              <w:left w:w="15" w:type="dxa"/>
              <w:bottom w:w="0" w:type="dxa"/>
              <w:right w:w="15" w:type="dxa"/>
            </w:tcMar>
            <w:vAlign w:val="center"/>
          </w:tcPr>
          <w:p w14:paraId="1C82FAB8" w14:textId="289A10F1" w:rsidR="003B41E6" w:rsidRPr="006056DF" w:rsidRDefault="003B41E6" w:rsidP="003B41E6">
            <w:pPr>
              <w:rPr>
                <w:color w:val="000000"/>
                <w:sz w:val="24"/>
                <w:szCs w:val="24"/>
              </w:rPr>
            </w:pPr>
            <w:r w:rsidRPr="006056DF">
              <w:rPr>
                <w:color w:val="000000"/>
                <w:sz w:val="24"/>
                <w:szCs w:val="24"/>
              </w:rPr>
              <w:t>Or</w:t>
            </w:r>
            <w:r>
              <w:rPr>
                <w:color w:val="000000"/>
                <w:sz w:val="24"/>
                <w:szCs w:val="24"/>
              </w:rPr>
              <w:t>g</w:t>
            </w:r>
            <w:r w:rsidRPr="006056DF">
              <w:rPr>
                <w:color w:val="000000"/>
                <w:sz w:val="24"/>
                <w:szCs w:val="24"/>
              </w:rPr>
              <w:t>anizacije civilnog društva</w:t>
            </w:r>
          </w:p>
        </w:tc>
      </w:tr>
      <w:tr w:rsidR="006056DF" w:rsidRPr="006056DF" w14:paraId="1E9F9161" w14:textId="77777777" w:rsidTr="006056DF">
        <w:trPr>
          <w:trHeight w:val="315"/>
        </w:trPr>
        <w:tc>
          <w:tcPr>
            <w:tcW w:w="2124" w:type="dxa"/>
            <w:shd w:val="clear" w:color="auto" w:fill="auto"/>
            <w:tcMar>
              <w:top w:w="15" w:type="dxa"/>
              <w:left w:w="15" w:type="dxa"/>
              <w:bottom w:w="0" w:type="dxa"/>
              <w:right w:w="15" w:type="dxa"/>
            </w:tcMar>
            <w:vAlign w:val="center"/>
            <w:hideMark/>
          </w:tcPr>
          <w:p w14:paraId="7B29C285" w14:textId="77777777" w:rsidR="006056DF" w:rsidRPr="006056DF" w:rsidRDefault="006056DF">
            <w:pPr>
              <w:rPr>
                <w:color w:val="000000"/>
                <w:sz w:val="24"/>
                <w:szCs w:val="24"/>
              </w:rPr>
            </w:pPr>
            <w:r w:rsidRPr="006056DF">
              <w:rPr>
                <w:color w:val="000000"/>
                <w:sz w:val="24"/>
                <w:szCs w:val="24"/>
              </w:rPr>
              <w:t>OECD</w:t>
            </w:r>
          </w:p>
        </w:tc>
        <w:tc>
          <w:tcPr>
            <w:tcW w:w="7096" w:type="dxa"/>
            <w:shd w:val="clear" w:color="auto" w:fill="auto"/>
            <w:tcMar>
              <w:top w:w="15" w:type="dxa"/>
              <w:left w:w="15" w:type="dxa"/>
              <w:bottom w:w="0" w:type="dxa"/>
              <w:right w:w="15" w:type="dxa"/>
            </w:tcMar>
            <w:vAlign w:val="center"/>
            <w:hideMark/>
          </w:tcPr>
          <w:p w14:paraId="0C186321" w14:textId="77777777" w:rsidR="006056DF" w:rsidRPr="006056DF" w:rsidRDefault="006056DF">
            <w:pPr>
              <w:rPr>
                <w:color w:val="000000"/>
                <w:sz w:val="24"/>
                <w:szCs w:val="24"/>
              </w:rPr>
            </w:pPr>
            <w:r w:rsidRPr="006056DF">
              <w:rPr>
                <w:color w:val="000000"/>
                <w:sz w:val="24"/>
                <w:szCs w:val="24"/>
              </w:rPr>
              <w:t>Organizacija za ekonomsku suradnju i razvoj</w:t>
            </w:r>
          </w:p>
        </w:tc>
      </w:tr>
      <w:tr w:rsidR="006056DF" w:rsidRPr="006056DF" w14:paraId="437EE3EA" w14:textId="77777777" w:rsidTr="006056DF">
        <w:trPr>
          <w:trHeight w:val="315"/>
        </w:trPr>
        <w:tc>
          <w:tcPr>
            <w:tcW w:w="2124" w:type="dxa"/>
            <w:shd w:val="clear" w:color="auto" w:fill="auto"/>
            <w:tcMar>
              <w:top w:w="15" w:type="dxa"/>
              <w:left w:w="15" w:type="dxa"/>
              <w:bottom w:w="0" w:type="dxa"/>
              <w:right w:w="15" w:type="dxa"/>
            </w:tcMar>
            <w:vAlign w:val="center"/>
            <w:hideMark/>
          </w:tcPr>
          <w:p w14:paraId="6A98E60A" w14:textId="77777777" w:rsidR="006056DF" w:rsidRPr="006056DF" w:rsidRDefault="006056DF">
            <w:pPr>
              <w:rPr>
                <w:color w:val="000000"/>
                <w:sz w:val="24"/>
                <w:szCs w:val="24"/>
              </w:rPr>
            </w:pPr>
            <w:r w:rsidRPr="006056DF">
              <w:rPr>
                <w:color w:val="000000"/>
                <w:sz w:val="24"/>
                <w:szCs w:val="24"/>
              </w:rPr>
              <w:t>OIE</w:t>
            </w:r>
          </w:p>
        </w:tc>
        <w:tc>
          <w:tcPr>
            <w:tcW w:w="7096" w:type="dxa"/>
            <w:shd w:val="clear" w:color="auto" w:fill="auto"/>
            <w:tcMar>
              <w:top w:w="15" w:type="dxa"/>
              <w:left w:w="15" w:type="dxa"/>
              <w:bottom w:w="0" w:type="dxa"/>
              <w:right w:w="15" w:type="dxa"/>
            </w:tcMar>
            <w:vAlign w:val="center"/>
            <w:hideMark/>
          </w:tcPr>
          <w:p w14:paraId="06BE097E" w14:textId="77777777" w:rsidR="006056DF" w:rsidRPr="006056DF" w:rsidRDefault="006056DF">
            <w:pPr>
              <w:rPr>
                <w:color w:val="000000"/>
                <w:sz w:val="24"/>
                <w:szCs w:val="24"/>
              </w:rPr>
            </w:pPr>
            <w:r w:rsidRPr="006056DF">
              <w:rPr>
                <w:color w:val="000000"/>
                <w:sz w:val="24"/>
                <w:szCs w:val="24"/>
              </w:rPr>
              <w:t>Obnovljivi izvori energije</w:t>
            </w:r>
          </w:p>
        </w:tc>
      </w:tr>
      <w:tr w:rsidR="006056DF" w:rsidRPr="006056DF" w14:paraId="4E5DE928" w14:textId="77777777" w:rsidTr="006056DF">
        <w:trPr>
          <w:trHeight w:val="315"/>
        </w:trPr>
        <w:tc>
          <w:tcPr>
            <w:tcW w:w="2124" w:type="dxa"/>
            <w:shd w:val="clear" w:color="auto" w:fill="auto"/>
            <w:tcMar>
              <w:top w:w="15" w:type="dxa"/>
              <w:left w:w="15" w:type="dxa"/>
              <w:bottom w:w="0" w:type="dxa"/>
              <w:right w:w="15" w:type="dxa"/>
            </w:tcMar>
            <w:vAlign w:val="center"/>
            <w:hideMark/>
          </w:tcPr>
          <w:p w14:paraId="75FA6A3C" w14:textId="77777777" w:rsidR="006056DF" w:rsidRPr="006056DF" w:rsidRDefault="006056DF">
            <w:pPr>
              <w:rPr>
                <w:color w:val="000000"/>
                <w:sz w:val="24"/>
                <w:szCs w:val="24"/>
              </w:rPr>
            </w:pPr>
            <w:r w:rsidRPr="006056DF">
              <w:rPr>
                <w:color w:val="000000"/>
                <w:sz w:val="24"/>
                <w:szCs w:val="24"/>
              </w:rPr>
              <w:t>OPKK 2014.-2020.</w:t>
            </w:r>
          </w:p>
        </w:tc>
        <w:tc>
          <w:tcPr>
            <w:tcW w:w="7096" w:type="dxa"/>
            <w:shd w:val="clear" w:color="auto" w:fill="auto"/>
            <w:tcMar>
              <w:top w:w="15" w:type="dxa"/>
              <w:left w:w="15" w:type="dxa"/>
              <w:bottom w:w="0" w:type="dxa"/>
              <w:right w:w="15" w:type="dxa"/>
            </w:tcMar>
            <w:vAlign w:val="center"/>
            <w:hideMark/>
          </w:tcPr>
          <w:p w14:paraId="22CA8506" w14:textId="77777777" w:rsidR="006056DF" w:rsidRPr="006056DF" w:rsidRDefault="006056DF">
            <w:pPr>
              <w:rPr>
                <w:color w:val="000000"/>
                <w:sz w:val="24"/>
                <w:szCs w:val="24"/>
              </w:rPr>
            </w:pPr>
            <w:r w:rsidRPr="006056DF">
              <w:rPr>
                <w:color w:val="000000"/>
                <w:sz w:val="24"/>
                <w:szCs w:val="24"/>
              </w:rPr>
              <w:t>Operativni program „Konkurentnost i kohezija 2014.-2020.“</w:t>
            </w:r>
          </w:p>
        </w:tc>
      </w:tr>
      <w:tr w:rsidR="006056DF" w:rsidRPr="006056DF" w14:paraId="43D7CCD3" w14:textId="77777777" w:rsidTr="006056DF">
        <w:trPr>
          <w:trHeight w:val="315"/>
        </w:trPr>
        <w:tc>
          <w:tcPr>
            <w:tcW w:w="2124" w:type="dxa"/>
            <w:shd w:val="clear" w:color="auto" w:fill="auto"/>
            <w:tcMar>
              <w:top w:w="15" w:type="dxa"/>
              <w:left w:w="15" w:type="dxa"/>
              <w:bottom w:w="0" w:type="dxa"/>
              <w:right w:w="15" w:type="dxa"/>
            </w:tcMar>
            <w:vAlign w:val="center"/>
            <w:hideMark/>
          </w:tcPr>
          <w:p w14:paraId="03C6834B" w14:textId="1C6AA858" w:rsidR="006056DF" w:rsidRPr="006056DF" w:rsidRDefault="006056DF">
            <w:pPr>
              <w:rPr>
                <w:color w:val="000000"/>
                <w:sz w:val="24"/>
                <w:szCs w:val="24"/>
              </w:rPr>
            </w:pPr>
            <w:r w:rsidRPr="006056DF">
              <w:rPr>
                <w:color w:val="000000"/>
                <w:sz w:val="24"/>
                <w:szCs w:val="24"/>
              </w:rPr>
              <w:t>OPPiR</w:t>
            </w:r>
            <w:r w:rsidR="00764297">
              <w:rPr>
                <w:color w:val="000000"/>
                <w:sz w:val="24"/>
                <w:szCs w:val="24"/>
              </w:rPr>
              <w:t xml:space="preserve"> 2014.-2020.</w:t>
            </w:r>
          </w:p>
        </w:tc>
        <w:tc>
          <w:tcPr>
            <w:tcW w:w="7096" w:type="dxa"/>
            <w:shd w:val="clear" w:color="auto" w:fill="auto"/>
            <w:tcMar>
              <w:top w:w="15" w:type="dxa"/>
              <w:left w:w="15" w:type="dxa"/>
              <w:bottom w:w="0" w:type="dxa"/>
              <w:right w:w="15" w:type="dxa"/>
            </w:tcMar>
            <w:vAlign w:val="center"/>
            <w:hideMark/>
          </w:tcPr>
          <w:p w14:paraId="71A78CF7" w14:textId="77777777" w:rsidR="006056DF" w:rsidRPr="006056DF" w:rsidRDefault="006056DF">
            <w:pPr>
              <w:rPr>
                <w:color w:val="000000"/>
                <w:sz w:val="24"/>
                <w:szCs w:val="24"/>
              </w:rPr>
            </w:pPr>
            <w:r w:rsidRPr="006056DF">
              <w:rPr>
                <w:color w:val="000000"/>
                <w:sz w:val="24"/>
                <w:szCs w:val="24"/>
              </w:rPr>
              <w:t>Operativni program za pomorstvo i ribarstvo 2014.-–2020</w:t>
            </w:r>
          </w:p>
        </w:tc>
      </w:tr>
      <w:tr w:rsidR="006056DF" w:rsidRPr="006056DF" w14:paraId="4D506F90" w14:textId="77777777" w:rsidTr="006056DF">
        <w:trPr>
          <w:trHeight w:val="315"/>
        </w:trPr>
        <w:tc>
          <w:tcPr>
            <w:tcW w:w="2124" w:type="dxa"/>
            <w:shd w:val="clear" w:color="auto" w:fill="auto"/>
            <w:tcMar>
              <w:top w:w="15" w:type="dxa"/>
              <w:left w:w="15" w:type="dxa"/>
              <w:bottom w:w="0" w:type="dxa"/>
              <w:right w:w="15" w:type="dxa"/>
            </w:tcMar>
            <w:vAlign w:val="center"/>
            <w:hideMark/>
          </w:tcPr>
          <w:p w14:paraId="48D9A679" w14:textId="77777777" w:rsidR="006056DF" w:rsidRPr="006056DF" w:rsidRDefault="006056DF">
            <w:pPr>
              <w:rPr>
                <w:color w:val="000000"/>
                <w:sz w:val="24"/>
                <w:szCs w:val="24"/>
              </w:rPr>
            </w:pPr>
            <w:r w:rsidRPr="006056DF">
              <w:rPr>
                <w:color w:val="000000"/>
                <w:sz w:val="24"/>
                <w:szCs w:val="24"/>
              </w:rPr>
              <w:t>OPULJP 2014.-2020.</w:t>
            </w:r>
          </w:p>
        </w:tc>
        <w:tc>
          <w:tcPr>
            <w:tcW w:w="7096" w:type="dxa"/>
            <w:shd w:val="clear" w:color="auto" w:fill="auto"/>
            <w:tcMar>
              <w:top w:w="15" w:type="dxa"/>
              <w:left w:w="15" w:type="dxa"/>
              <w:bottom w:w="0" w:type="dxa"/>
              <w:right w:w="15" w:type="dxa"/>
            </w:tcMar>
            <w:vAlign w:val="center"/>
            <w:hideMark/>
          </w:tcPr>
          <w:p w14:paraId="60D45868" w14:textId="77777777" w:rsidR="006056DF" w:rsidRPr="006056DF" w:rsidRDefault="006056DF">
            <w:pPr>
              <w:rPr>
                <w:color w:val="000000"/>
                <w:sz w:val="24"/>
                <w:szCs w:val="24"/>
              </w:rPr>
            </w:pPr>
            <w:r w:rsidRPr="006056DF">
              <w:rPr>
                <w:color w:val="000000"/>
                <w:sz w:val="24"/>
                <w:szCs w:val="24"/>
              </w:rPr>
              <w:t>Operativni program „Učinkoviti ljudski potencijali 2014.-2020.“</w:t>
            </w:r>
          </w:p>
        </w:tc>
      </w:tr>
      <w:tr w:rsidR="006056DF" w:rsidRPr="006056DF" w14:paraId="6359AF32" w14:textId="77777777" w:rsidTr="006056DF">
        <w:trPr>
          <w:trHeight w:val="617"/>
        </w:trPr>
        <w:tc>
          <w:tcPr>
            <w:tcW w:w="2124" w:type="dxa"/>
            <w:shd w:val="clear" w:color="auto" w:fill="auto"/>
            <w:tcMar>
              <w:top w:w="15" w:type="dxa"/>
              <w:left w:w="15" w:type="dxa"/>
              <w:bottom w:w="0" w:type="dxa"/>
              <w:right w:w="15" w:type="dxa"/>
            </w:tcMar>
            <w:vAlign w:val="center"/>
            <w:hideMark/>
          </w:tcPr>
          <w:p w14:paraId="21D4C2BA" w14:textId="77777777" w:rsidR="006056DF" w:rsidRPr="006056DF" w:rsidRDefault="006056DF">
            <w:pPr>
              <w:rPr>
                <w:color w:val="000000"/>
                <w:sz w:val="24"/>
                <w:szCs w:val="24"/>
              </w:rPr>
            </w:pPr>
            <w:r w:rsidRPr="006056DF">
              <w:rPr>
                <w:color w:val="000000"/>
                <w:sz w:val="24"/>
                <w:szCs w:val="24"/>
              </w:rPr>
              <w:t xml:space="preserve">PISA </w:t>
            </w:r>
          </w:p>
        </w:tc>
        <w:tc>
          <w:tcPr>
            <w:tcW w:w="7096" w:type="dxa"/>
            <w:shd w:val="clear" w:color="auto" w:fill="auto"/>
            <w:tcMar>
              <w:top w:w="15" w:type="dxa"/>
              <w:left w:w="15" w:type="dxa"/>
              <w:bottom w:w="0" w:type="dxa"/>
              <w:right w:w="15" w:type="dxa"/>
            </w:tcMar>
            <w:vAlign w:val="center"/>
            <w:hideMark/>
          </w:tcPr>
          <w:p w14:paraId="7A3F241F" w14:textId="77777777" w:rsidR="006056DF" w:rsidRPr="006056DF" w:rsidRDefault="006056DF">
            <w:pPr>
              <w:rPr>
                <w:color w:val="000000"/>
                <w:sz w:val="24"/>
                <w:szCs w:val="24"/>
              </w:rPr>
            </w:pPr>
            <w:r w:rsidRPr="006056DF">
              <w:rPr>
                <w:color w:val="000000"/>
                <w:sz w:val="24"/>
                <w:szCs w:val="24"/>
              </w:rPr>
              <w:t>Međunarodno istraživanje procjene znanja i vještina petnaestogodišnjih učenika (eng. Programme for International Student Assessment)</w:t>
            </w:r>
          </w:p>
        </w:tc>
      </w:tr>
      <w:tr w:rsidR="00AD1F36" w:rsidRPr="006056DF" w14:paraId="4DA833FD" w14:textId="77777777" w:rsidTr="006056DF">
        <w:trPr>
          <w:trHeight w:val="315"/>
        </w:trPr>
        <w:tc>
          <w:tcPr>
            <w:tcW w:w="2124" w:type="dxa"/>
            <w:shd w:val="clear" w:color="auto" w:fill="auto"/>
            <w:tcMar>
              <w:top w:w="15" w:type="dxa"/>
              <w:left w:w="15" w:type="dxa"/>
              <w:bottom w:w="0" w:type="dxa"/>
              <w:right w:w="15" w:type="dxa"/>
            </w:tcMar>
            <w:vAlign w:val="center"/>
          </w:tcPr>
          <w:p w14:paraId="394374B9" w14:textId="5867AD83" w:rsidR="00AD1F36" w:rsidRPr="006056DF" w:rsidRDefault="00AD1F36">
            <w:pPr>
              <w:rPr>
                <w:color w:val="000000"/>
                <w:sz w:val="24"/>
                <w:szCs w:val="24"/>
              </w:rPr>
            </w:pPr>
            <w:r w:rsidRPr="00AD1F36">
              <w:rPr>
                <w:color w:val="000000"/>
                <w:sz w:val="24"/>
                <w:szCs w:val="24"/>
              </w:rPr>
              <w:t>PKK 2021.-2027.</w:t>
            </w:r>
          </w:p>
        </w:tc>
        <w:tc>
          <w:tcPr>
            <w:tcW w:w="7096" w:type="dxa"/>
            <w:shd w:val="clear" w:color="auto" w:fill="auto"/>
            <w:tcMar>
              <w:top w:w="15" w:type="dxa"/>
              <w:left w:w="15" w:type="dxa"/>
              <w:bottom w:w="0" w:type="dxa"/>
              <w:right w:w="15" w:type="dxa"/>
            </w:tcMar>
            <w:vAlign w:val="center"/>
          </w:tcPr>
          <w:p w14:paraId="6BE1B9F7" w14:textId="7C612252" w:rsidR="00AD1F36" w:rsidRPr="006056DF" w:rsidRDefault="00AD1F36">
            <w:pPr>
              <w:rPr>
                <w:color w:val="000000"/>
                <w:sz w:val="24"/>
                <w:szCs w:val="24"/>
              </w:rPr>
            </w:pPr>
            <w:r>
              <w:rPr>
                <w:color w:val="000000"/>
                <w:sz w:val="24"/>
                <w:szCs w:val="24"/>
              </w:rPr>
              <w:t xml:space="preserve">Program </w:t>
            </w:r>
            <w:r w:rsidR="00CF0FF4">
              <w:rPr>
                <w:color w:val="000000"/>
                <w:sz w:val="24"/>
                <w:szCs w:val="24"/>
              </w:rPr>
              <w:t>„</w:t>
            </w:r>
            <w:r w:rsidR="009431F6">
              <w:rPr>
                <w:color w:val="000000"/>
                <w:sz w:val="24"/>
                <w:szCs w:val="24"/>
              </w:rPr>
              <w:t>Konkurentnost i kohezija 2021.-2027.</w:t>
            </w:r>
            <w:r w:rsidR="006E4BCF">
              <w:rPr>
                <w:color w:val="000000"/>
                <w:sz w:val="24"/>
                <w:szCs w:val="24"/>
              </w:rPr>
              <w:t>“</w:t>
            </w:r>
          </w:p>
        </w:tc>
      </w:tr>
      <w:tr w:rsidR="006056DF" w:rsidRPr="006056DF" w14:paraId="699DBAED" w14:textId="77777777" w:rsidTr="006056DF">
        <w:trPr>
          <w:trHeight w:val="315"/>
        </w:trPr>
        <w:tc>
          <w:tcPr>
            <w:tcW w:w="2124" w:type="dxa"/>
            <w:shd w:val="clear" w:color="auto" w:fill="auto"/>
            <w:tcMar>
              <w:top w:w="15" w:type="dxa"/>
              <w:left w:w="15" w:type="dxa"/>
              <w:bottom w:w="0" w:type="dxa"/>
              <w:right w:w="15" w:type="dxa"/>
            </w:tcMar>
            <w:vAlign w:val="center"/>
            <w:hideMark/>
          </w:tcPr>
          <w:p w14:paraId="02A30DC6" w14:textId="77777777" w:rsidR="006056DF" w:rsidRPr="006056DF" w:rsidRDefault="006056DF">
            <w:pPr>
              <w:rPr>
                <w:color w:val="000000"/>
                <w:sz w:val="24"/>
                <w:szCs w:val="24"/>
              </w:rPr>
            </w:pPr>
            <w:r w:rsidRPr="006056DF">
              <w:rPr>
                <w:color w:val="000000"/>
                <w:sz w:val="24"/>
                <w:szCs w:val="24"/>
              </w:rPr>
              <w:t>POS</w:t>
            </w:r>
          </w:p>
        </w:tc>
        <w:tc>
          <w:tcPr>
            <w:tcW w:w="7096" w:type="dxa"/>
            <w:shd w:val="clear" w:color="auto" w:fill="auto"/>
            <w:tcMar>
              <w:top w:w="15" w:type="dxa"/>
              <w:left w:w="15" w:type="dxa"/>
              <w:bottom w:w="0" w:type="dxa"/>
              <w:right w:w="15" w:type="dxa"/>
            </w:tcMar>
            <w:vAlign w:val="center"/>
            <w:hideMark/>
          </w:tcPr>
          <w:p w14:paraId="44541B07" w14:textId="77777777" w:rsidR="006056DF" w:rsidRPr="006056DF" w:rsidRDefault="006056DF">
            <w:pPr>
              <w:rPr>
                <w:color w:val="000000"/>
                <w:sz w:val="24"/>
                <w:szCs w:val="24"/>
              </w:rPr>
            </w:pPr>
            <w:r w:rsidRPr="006056DF">
              <w:rPr>
                <w:color w:val="000000"/>
                <w:sz w:val="24"/>
                <w:szCs w:val="24"/>
              </w:rPr>
              <w:t>Program društveno poticane stanogradnje</w:t>
            </w:r>
          </w:p>
        </w:tc>
      </w:tr>
      <w:tr w:rsidR="006056DF" w:rsidRPr="006056DF" w14:paraId="663C81F3" w14:textId="77777777" w:rsidTr="006056DF">
        <w:trPr>
          <w:trHeight w:val="315"/>
        </w:trPr>
        <w:tc>
          <w:tcPr>
            <w:tcW w:w="2124" w:type="dxa"/>
            <w:shd w:val="clear" w:color="auto" w:fill="auto"/>
            <w:tcMar>
              <w:top w:w="15" w:type="dxa"/>
              <w:left w:w="15" w:type="dxa"/>
              <w:bottom w:w="0" w:type="dxa"/>
              <w:right w:w="15" w:type="dxa"/>
            </w:tcMar>
            <w:vAlign w:val="center"/>
            <w:hideMark/>
          </w:tcPr>
          <w:p w14:paraId="63190FB4" w14:textId="5406A1C5" w:rsidR="006056DF" w:rsidRPr="006056DF" w:rsidRDefault="003B41E6">
            <w:pPr>
              <w:rPr>
                <w:color w:val="000000"/>
                <w:sz w:val="24"/>
                <w:szCs w:val="24"/>
              </w:rPr>
            </w:pPr>
            <w:r w:rsidRPr="006056DF">
              <w:rPr>
                <w:color w:val="000000"/>
                <w:sz w:val="24"/>
                <w:szCs w:val="24"/>
              </w:rPr>
              <w:t>PRR</w:t>
            </w:r>
            <w:r w:rsidR="00764297">
              <w:rPr>
                <w:color w:val="000000"/>
                <w:sz w:val="24"/>
                <w:szCs w:val="24"/>
              </w:rPr>
              <w:t xml:space="preserve"> 2014.-2020.</w:t>
            </w:r>
          </w:p>
        </w:tc>
        <w:tc>
          <w:tcPr>
            <w:tcW w:w="7096" w:type="dxa"/>
            <w:shd w:val="clear" w:color="auto" w:fill="auto"/>
            <w:tcMar>
              <w:top w:w="15" w:type="dxa"/>
              <w:left w:w="15" w:type="dxa"/>
              <w:bottom w:w="0" w:type="dxa"/>
              <w:right w:w="15" w:type="dxa"/>
            </w:tcMar>
            <w:vAlign w:val="center"/>
            <w:hideMark/>
          </w:tcPr>
          <w:p w14:paraId="537C6506" w14:textId="77777777" w:rsidR="006056DF" w:rsidRPr="006056DF" w:rsidRDefault="006056DF">
            <w:pPr>
              <w:rPr>
                <w:color w:val="000000"/>
                <w:sz w:val="24"/>
                <w:szCs w:val="24"/>
              </w:rPr>
            </w:pPr>
            <w:r w:rsidRPr="006056DF">
              <w:rPr>
                <w:color w:val="000000"/>
                <w:sz w:val="24"/>
                <w:szCs w:val="24"/>
              </w:rPr>
              <w:t>Program ruralnog razvoja 2014.-2020.</w:t>
            </w:r>
          </w:p>
        </w:tc>
      </w:tr>
      <w:tr w:rsidR="00EA11F1" w:rsidRPr="006056DF" w14:paraId="5A7A0837" w14:textId="77777777" w:rsidTr="006056DF">
        <w:trPr>
          <w:trHeight w:val="315"/>
        </w:trPr>
        <w:tc>
          <w:tcPr>
            <w:tcW w:w="2124" w:type="dxa"/>
            <w:shd w:val="clear" w:color="auto" w:fill="auto"/>
            <w:tcMar>
              <w:top w:w="15" w:type="dxa"/>
              <w:left w:w="15" w:type="dxa"/>
              <w:bottom w:w="0" w:type="dxa"/>
              <w:right w:w="15" w:type="dxa"/>
            </w:tcMar>
            <w:vAlign w:val="center"/>
          </w:tcPr>
          <w:p w14:paraId="6C41114F" w14:textId="32E15AEF" w:rsidR="00EA11F1" w:rsidRPr="006056DF" w:rsidRDefault="00EA11F1" w:rsidP="00EA11F1">
            <w:pPr>
              <w:rPr>
                <w:color w:val="000000"/>
                <w:sz w:val="24"/>
                <w:szCs w:val="24"/>
              </w:rPr>
            </w:pPr>
            <w:r w:rsidRPr="006056DF">
              <w:rPr>
                <w:color w:val="000000"/>
                <w:sz w:val="24"/>
                <w:szCs w:val="24"/>
              </w:rPr>
              <w:t>RLV</w:t>
            </w:r>
          </w:p>
        </w:tc>
        <w:tc>
          <w:tcPr>
            <w:tcW w:w="7096" w:type="dxa"/>
            <w:shd w:val="clear" w:color="auto" w:fill="auto"/>
            <w:tcMar>
              <w:top w:w="15" w:type="dxa"/>
              <w:left w:w="15" w:type="dxa"/>
              <w:bottom w:w="0" w:type="dxa"/>
              <w:right w:w="15" w:type="dxa"/>
            </w:tcMar>
            <w:vAlign w:val="center"/>
          </w:tcPr>
          <w:p w14:paraId="17420301" w14:textId="0A6A4D4E" w:rsidR="00EA11F1" w:rsidRPr="006056DF" w:rsidRDefault="00EA11F1" w:rsidP="00EA11F1">
            <w:pPr>
              <w:rPr>
                <w:color w:val="000000"/>
                <w:sz w:val="24"/>
                <w:szCs w:val="24"/>
              </w:rPr>
            </w:pPr>
            <w:r w:rsidRPr="006056DF">
              <w:rPr>
                <w:color w:val="000000"/>
                <w:sz w:val="24"/>
                <w:szCs w:val="24"/>
              </w:rPr>
              <w:t>Regionalni lanci vrijednosti</w:t>
            </w:r>
          </w:p>
        </w:tc>
      </w:tr>
      <w:tr w:rsidR="006056DF" w:rsidRPr="006056DF" w14:paraId="5A252686" w14:textId="77777777" w:rsidTr="006056DF">
        <w:trPr>
          <w:trHeight w:val="315"/>
        </w:trPr>
        <w:tc>
          <w:tcPr>
            <w:tcW w:w="2124" w:type="dxa"/>
            <w:shd w:val="clear" w:color="auto" w:fill="auto"/>
            <w:tcMar>
              <w:top w:w="15" w:type="dxa"/>
              <w:left w:w="15" w:type="dxa"/>
              <w:bottom w:w="0" w:type="dxa"/>
              <w:right w:w="15" w:type="dxa"/>
            </w:tcMar>
            <w:vAlign w:val="center"/>
            <w:hideMark/>
          </w:tcPr>
          <w:p w14:paraId="3A524143" w14:textId="77777777" w:rsidR="006056DF" w:rsidRPr="006056DF" w:rsidRDefault="006056DF">
            <w:pPr>
              <w:rPr>
                <w:color w:val="000000"/>
                <w:sz w:val="24"/>
                <w:szCs w:val="24"/>
              </w:rPr>
            </w:pPr>
            <w:r w:rsidRPr="006056DF">
              <w:rPr>
                <w:color w:val="000000"/>
                <w:sz w:val="24"/>
                <w:szCs w:val="24"/>
              </w:rPr>
              <w:t>SCM</w:t>
            </w:r>
          </w:p>
        </w:tc>
        <w:tc>
          <w:tcPr>
            <w:tcW w:w="7096" w:type="dxa"/>
            <w:shd w:val="clear" w:color="auto" w:fill="auto"/>
            <w:tcMar>
              <w:top w:w="15" w:type="dxa"/>
              <w:left w:w="15" w:type="dxa"/>
              <w:bottom w:w="0" w:type="dxa"/>
              <w:right w:w="15" w:type="dxa"/>
            </w:tcMar>
            <w:vAlign w:val="center"/>
            <w:hideMark/>
          </w:tcPr>
          <w:p w14:paraId="009E7618" w14:textId="77777777" w:rsidR="006056DF" w:rsidRPr="006056DF" w:rsidRDefault="006056DF">
            <w:pPr>
              <w:rPr>
                <w:color w:val="000000"/>
                <w:sz w:val="24"/>
                <w:szCs w:val="24"/>
              </w:rPr>
            </w:pPr>
            <w:r w:rsidRPr="006056DF">
              <w:rPr>
                <w:color w:val="000000"/>
                <w:sz w:val="24"/>
                <w:szCs w:val="24"/>
              </w:rPr>
              <w:t>Metoda standardnog troška (eng. Standard Cost Methodology)</w:t>
            </w:r>
          </w:p>
        </w:tc>
      </w:tr>
      <w:tr w:rsidR="006056DF" w:rsidRPr="006056DF" w14:paraId="213090DB" w14:textId="77777777" w:rsidTr="006056DF">
        <w:trPr>
          <w:trHeight w:val="630"/>
        </w:trPr>
        <w:tc>
          <w:tcPr>
            <w:tcW w:w="2124" w:type="dxa"/>
            <w:shd w:val="clear" w:color="auto" w:fill="auto"/>
            <w:tcMar>
              <w:top w:w="15" w:type="dxa"/>
              <w:left w:w="15" w:type="dxa"/>
              <w:bottom w:w="0" w:type="dxa"/>
              <w:right w:w="15" w:type="dxa"/>
            </w:tcMar>
            <w:vAlign w:val="center"/>
            <w:hideMark/>
          </w:tcPr>
          <w:p w14:paraId="5E43B82C" w14:textId="77777777" w:rsidR="006056DF" w:rsidRPr="006056DF" w:rsidRDefault="006056DF">
            <w:pPr>
              <w:rPr>
                <w:color w:val="000000"/>
                <w:sz w:val="24"/>
                <w:szCs w:val="24"/>
              </w:rPr>
            </w:pPr>
            <w:r w:rsidRPr="006056DF">
              <w:rPr>
                <w:color w:val="000000"/>
                <w:sz w:val="24"/>
                <w:szCs w:val="24"/>
              </w:rPr>
              <w:lastRenderedPageBreak/>
              <w:t>SRSP</w:t>
            </w:r>
          </w:p>
        </w:tc>
        <w:tc>
          <w:tcPr>
            <w:tcW w:w="7096" w:type="dxa"/>
            <w:shd w:val="clear" w:color="auto" w:fill="auto"/>
            <w:tcMar>
              <w:top w:w="15" w:type="dxa"/>
              <w:left w:w="15" w:type="dxa"/>
              <w:bottom w:w="0" w:type="dxa"/>
              <w:right w:w="15" w:type="dxa"/>
            </w:tcMar>
            <w:vAlign w:val="center"/>
            <w:hideMark/>
          </w:tcPr>
          <w:p w14:paraId="66FD5EF3" w14:textId="77777777" w:rsidR="006056DF" w:rsidRPr="006056DF" w:rsidRDefault="006056DF">
            <w:pPr>
              <w:rPr>
                <w:color w:val="000000"/>
                <w:sz w:val="24"/>
                <w:szCs w:val="24"/>
              </w:rPr>
            </w:pPr>
            <w:r w:rsidRPr="006056DF">
              <w:rPr>
                <w:color w:val="000000"/>
                <w:sz w:val="24"/>
                <w:szCs w:val="24"/>
              </w:rPr>
              <w:t>Program Europske komisije za potporu strukturnim reformama (eng. Structural Reform Support Programme)</w:t>
            </w:r>
          </w:p>
        </w:tc>
      </w:tr>
      <w:tr w:rsidR="00570CD7" w:rsidRPr="006056DF" w14:paraId="45892C2A" w14:textId="77777777" w:rsidTr="006056DF">
        <w:trPr>
          <w:trHeight w:val="630"/>
        </w:trPr>
        <w:tc>
          <w:tcPr>
            <w:tcW w:w="2124" w:type="dxa"/>
            <w:shd w:val="clear" w:color="auto" w:fill="auto"/>
            <w:tcMar>
              <w:top w:w="15" w:type="dxa"/>
              <w:left w:w="15" w:type="dxa"/>
              <w:bottom w:w="0" w:type="dxa"/>
              <w:right w:w="15" w:type="dxa"/>
            </w:tcMar>
            <w:vAlign w:val="center"/>
          </w:tcPr>
          <w:p w14:paraId="39663EE4" w14:textId="371801D8" w:rsidR="00570CD7" w:rsidRPr="006056DF" w:rsidRDefault="000A5E46" w:rsidP="003B41E6">
            <w:pPr>
              <w:rPr>
                <w:color w:val="000000"/>
                <w:sz w:val="24"/>
                <w:szCs w:val="24"/>
              </w:rPr>
            </w:pPr>
            <w:r>
              <w:rPr>
                <w:color w:val="000000"/>
                <w:sz w:val="24"/>
                <w:szCs w:val="24"/>
              </w:rPr>
              <w:t>SRUP</w:t>
            </w:r>
          </w:p>
        </w:tc>
        <w:tc>
          <w:tcPr>
            <w:tcW w:w="7096" w:type="dxa"/>
            <w:shd w:val="clear" w:color="auto" w:fill="auto"/>
            <w:tcMar>
              <w:top w:w="15" w:type="dxa"/>
              <w:left w:w="15" w:type="dxa"/>
              <w:bottom w:w="0" w:type="dxa"/>
              <w:right w:w="15" w:type="dxa"/>
            </w:tcMar>
            <w:vAlign w:val="center"/>
          </w:tcPr>
          <w:p w14:paraId="22878F17" w14:textId="2F0B843A" w:rsidR="00570CD7" w:rsidRPr="006056DF" w:rsidRDefault="000A5E46" w:rsidP="003B41E6">
            <w:pPr>
              <w:rPr>
                <w:color w:val="000000"/>
                <w:sz w:val="24"/>
                <w:szCs w:val="24"/>
              </w:rPr>
            </w:pPr>
            <w:r w:rsidRPr="00BD1B6F">
              <w:rPr>
                <w:sz w:val="24"/>
                <w:szCs w:val="24"/>
              </w:rPr>
              <w:t>Strategija razvoja urbanih područja</w:t>
            </w:r>
            <w:r w:rsidRPr="008115FB">
              <w:rPr>
                <w:sz w:val="24"/>
                <w:szCs w:val="24"/>
              </w:rPr>
              <w:t xml:space="preserve"> </w:t>
            </w:r>
          </w:p>
        </w:tc>
      </w:tr>
      <w:tr w:rsidR="00570CD7" w:rsidRPr="006056DF" w14:paraId="09B804B4" w14:textId="77777777" w:rsidTr="006056DF">
        <w:trPr>
          <w:trHeight w:val="630"/>
        </w:trPr>
        <w:tc>
          <w:tcPr>
            <w:tcW w:w="2124" w:type="dxa"/>
            <w:shd w:val="clear" w:color="auto" w:fill="auto"/>
            <w:tcMar>
              <w:top w:w="15" w:type="dxa"/>
              <w:left w:w="15" w:type="dxa"/>
              <w:bottom w:w="0" w:type="dxa"/>
              <w:right w:w="15" w:type="dxa"/>
            </w:tcMar>
            <w:vAlign w:val="center"/>
          </w:tcPr>
          <w:p w14:paraId="3EAF487F" w14:textId="054D3E2C" w:rsidR="00570CD7" w:rsidRPr="006056DF" w:rsidRDefault="000A5E46" w:rsidP="003B41E6">
            <w:pPr>
              <w:rPr>
                <w:color w:val="000000"/>
                <w:sz w:val="24"/>
                <w:szCs w:val="24"/>
              </w:rPr>
            </w:pPr>
            <w:r>
              <w:rPr>
                <w:color w:val="000000"/>
                <w:sz w:val="24"/>
                <w:szCs w:val="24"/>
              </w:rPr>
              <w:t>SRUUK</w:t>
            </w:r>
          </w:p>
        </w:tc>
        <w:tc>
          <w:tcPr>
            <w:tcW w:w="7096" w:type="dxa"/>
            <w:shd w:val="clear" w:color="auto" w:fill="auto"/>
            <w:tcMar>
              <w:top w:w="15" w:type="dxa"/>
              <w:left w:w="15" w:type="dxa"/>
              <w:bottom w:w="0" w:type="dxa"/>
              <w:right w:w="15" w:type="dxa"/>
            </w:tcMar>
            <w:vAlign w:val="center"/>
          </w:tcPr>
          <w:p w14:paraId="657D0F12" w14:textId="7F56DE0B" w:rsidR="00570CD7" w:rsidRPr="006056DF" w:rsidRDefault="000A5E46" w:rsidP="003B41E6">
            <w:pPr>
              <w:rPr>
                <w:color w:val="000000"/>
                <w:sz w:val="24"/>
                <w:szCs w:val="24"/>
              </w:rPr>
            </w:pPr>
            <w:r w:rsidRPr="00D33A21">
              <w:rPr>
                <w:rFonts w:eastAsia="Calibri"/>
                <w:sz w:val="24"/>
                <w:szCs w:val="24"/>
              </w:rPr>
              <w:t>Sustav za rano upozoravanje i upravljanje krizama</w:t>
            </w:r>
          </w:p>
        </w:tc>
      </w:tr>
      <w:tr w:rsidR="006056DF" w:rsidRPr="006056DF" w14:paraId="56DEB704" w14:textId="77777777" w:rsidTr="006056DF">
        <w:trPr>
          <w:trHeight w:val="630"/>
        </w:trPr>
        <w:tc>
          <w:tcPr>
            <w:tcW w:w="2124" w:type="dxa"/>
            <w:shd w:val="clear" w:color="auto" w:fill="auto"/>
            <w:tcMar>
              <w:top w:w="15" w:type="dxa"/>
              <w:left w:w="15" w:type="dxa"/>
              <w:bottom w:w="0" w:type="dxa"/>
              <w:right w:w="15" w:type="dxa"/>
            </w:tcMar>
            <w:vAlign w:val="center"/>
            <w:hideMark/>
          </w:tcPr>
          <w:p w14:paraId="5F31EFB5" w14:textId="77777777" w:rsidR="006056DF" w:rsidRPr="006056DF" w:rsidRDefault="006056DF">
            <w:pPr>
              <w:rPr>
                <w:color w:val="000000"/>
                <w:sz w:val="24"/>
                <w:szCs w:val="24"/>
              </w:rPr>
            </w:pPr>
            <w:r w:rsidRPr="006056DF">
              <w:rPr>
                <w:color w:val="000000"/>
                <w:sz w:val="24"/>
                <w:szCs w:val="24"/>
              </w:rPr>
              <w:t xml:space="preserve">STEM </w:t>
            </w:r>
          </w:p>
        </w:tc>
        <w:tc>
          <w:tcPr>
            <w:tcW w:w="7096" w:type="dxa"/>
            <w:shd w:val="clear" w:color="auto" w:fill="auto"/>
            <w:tcMar>
              <w:top w:w="15" w:type="dxa"/>
              <w:left w:w="15" w:type="dxa"/>
              <w:bottom w:w="0" w:type="dxa"/>
              <w:right w:w="15" w:type="dxa"/>
            </w:tcMar>
            <w:vAlign w:val="center"/>
            <w:hideMark/>
          </w:tcPr>
          <w:p w14:paraId="19C5DDE7" w14:textId="77777777" w:rsidR="006056DF" w:rsidRPr="006056DF" w:rsidRDefault="006056DF">
            <w:pPr>
              <w:rPr>
                <w:color w:val="000000"/>
                <w:sz w:val="24"/>
                <w:szCs w:val="24"/>
              </w:rPr>
            </w:pPr>
            <w:r w:rsidRPr="006056DF">
              <w:rPr>
                <w:color w:val="000000"/>
                <w:sz w:val="24"/>
                <w:szCs w:val="24"/>
              </w:rPr>
              <w:t>Znanost,  tehnologija, inženjerstvo i matematika  (eng. Science, Technology, Engineering, Mathematics)</w:t>
            </w:r>
          </w:p>
        </w:tc>
      </w:tr>
      <w:tr w:rsidR="006056DF" w:rsidRPr="006056DF" w14:paraId="5A43D507" w14:textId="77777777" w:rsidTr="006056DF">
        <w:trPr>
          <w:trHeight w:val="630"/>
        </w:trPr>
        <w:tc>
          <w:tcPr>
            <w:tcW w:w="2124" w:type="dxa"/>
            <w:shd w:val="clear" w:color="auto" w:fill="auto"/>
            <w:tcMar>
              <w:top w:w="15" w:type="dxa"/>
              <w:left w:w="15" w:type="dxa"/>
              <w:bottom w:w="0" w:type="dxa"/>
              <w:right w:w="15" w:type="dxa"/>
            </w:tcMar>
            <w:vAlign w:val="center"/>
            <w:hideMark/>
          </w:tcPr>
          <w:p w14:paraId="391FF4F6" w14:textId="77777777" w:rsidR="006056DF" w:rsidRPr="006056DF" w:rsidRDefault="006056DF">
            <w:pPr>
              <w:rPr>
                <w:color w:val="000000"/>
                <w:sz w:val="24"/>
                <w:szCs w:val="24"/>
              </w:rPr>
            </w:pPr>
            <w:r w:rsidRPr="006056DF">
              <w:rPr>
                <w:color w:val="000000"/>
                <w:sz w:val="24"/>
                <w:szCs w:val="24"/>
              </w:rPr>
              <w:t>TEN-T</w:t>
            </w:r>
          </w:p>
        </w:tc>
        <w:tc>
          <w:tcPr>
            <w:tcW w:w="7096" w:type="dxa"/>
            <w:shd w:val="clear" w:color="auto" w:fill="auto"/>
            <w:tcMar>
              <w:top w:w="15" w:type="dxa"/>
              <w:left w:w="15" w:type="dxa"/>
              <w:bottom w:w="0" w:type="dxa"/>
              <w:right w:w="15" w:type="dxa"/>
            </w:tcMar>
            <w:vAlign w:val="center"/>
            <w:hideMark/>
          </w:tcPr>
          <w:p w14:paraId="1A055969" w14:textId="77777777" w:rsidR="006056DF" w:rsidRPr="006056DF" w:rsidRDefault="006056DF">
            <w:pPr>
              <w:rPr>
                <w:color w:val="000000"/>
                <w:sz w:val="24"/>
                <w:szCs w:val="24"/>
              </w:rPr>
            </w:pPr>
            <w:r w:rsidRPr="006056DF">
              <w:rPr>
                <w:color w:val="000000"/>
                <w:sz w:val="24"/>
                <w:szCs w:val="24"/>
              </w:rPr>
              <w:t>Transeuropska prometna mreža (eng.: Trans-European Transport Network)</w:t>
            </w:r>
          </w:p>
        </w:tc>
      </w:tr>
      <w:tr w:rsidR="006056DF" w:rsidRPr="006056DF" w14:paraId="6071E71C" w14:textId="77777777" w:rsidTr="006056DF">
        <w:trPr>
          <w:trHeight w:val="315"/>
        </w:trPr>
        <w:tc>
          <w:tcPr>
            <w:tcW w:w="2124" w:type="dxa"/>
            <w:shd w:val="clear" w:color="auto" w:fill="auto"/>
            <w:tcMar>
              <w:top w:w="15" w:type="dxa"/>
              <w:left w:w="15" w:type="dxa"/>
              <w:bottom w:w="0" w:type="dxa"/>
              <w:right w:w="15" w:type="dxa"/>
            </w:tcMar>
            <w:vAlign w:val="center"/>
            <w:hideMark/>
          </w:tcPr>
          <w:p w14:paraId="77505D1C" w14:textId="77777777" w:rsidR="006056DF" w:rsidRPr="006056DF" w:rsidRDefault="006056DF">
            <w:pPr>
              <w:rPr>
                <w:color w:val="000000"/>
                <w:sz w:val="24"/>
                <w:szCs w:val="24"/>
              </w:rPr>
            </w:pPr>
            <w:r w:rsidRPr="006056DF">
              <w:rPr>
                <w:color w:val="000000"/>
                <w:sz w:val="24"/>
                <w:szCs w:val="24"/>
              </w:rPr>
              <w:t>TSI</w:t>
            </w:r>
          </w:p>
        </w:tc>
        <w:tc>
          <w:tcPr>
            <w:tcW w:w="7096" w:type="dxa"/>
            <w:shd w:val="clear" w:color="auto" w:fill="auto"/>
            <w:tcMar>
              <w:top w:w="15" w:type="dxa"/>
              <w:left w:w="15" w:type="dxa"/>
              <w:bottom w:w="0" w:type="dxa"/>
              <w:right w:w="15" w:type="dxa"/>
            </w:tcMar>
            <w:vAlign w:val="center"/>
            <w:hideMark/>
          </w:tcPr>
          <w:p w14:paraId="6110E6C4" w14:textId="77777777" w:rsidR="006056DF" w:rsidRPr="006056DF" w:rsidRDefault="006056DF">
            <w:pPr>
              <w:rPr>
                <w:color w:val="000000"/>
                <w:sz w:val="24"/>
                <w:szCs w:val="24"/>
              </w:rPr>
            </w:pPr>
            <w:r w:rsidRPr="006056DF">
              <w:rPr>
                <w:color w:val="000000"/>
                <w:sz w:val="24"/>
                <w:szCs w:val="24"/>
              </w:rPr>
              <w:t>Instrument za tehničku potporu Europske komisije</w:t>
            </w:r>
          </w:p>
        </w:tc>
      </w:tr>
      <w:tr w:rsidR="006056DF" w:rsidRPr="006056DF" w14:paraId="318DCD9A" w14:textId="77777777" w:rsidTr="006056DF">
        <w:trPr>
          <w:trHeight w:val="315"/>
        </w:trPr>
        <w:tc>
          <w:tcPr>
            <w:tcW w:w="2124" w:type="dxa"/>
            <w:shd w:val="clear" w:color="auto" w:fill="auto"/>
            <w:tcMar>
              <w:top w:w="15" w:type="dxa"/>
              <w:left w:w="15" w:type="dxa"/>
              <w:bottom w:w="0" w:type="dxa"/>
              <w:right w:w="15" w:type="dxa"/>
            </w:tcMar>
            <w:vAlign w:val="center"/>
            <w:hideMark/>
          </w:tcPr>
          <w:p w14:paraId="0CBC0B52" w14:textId="77777777" w:rsidR="006056DF" w:rsidRPr="006056DF" w:rsidRDefault="006056DF">
            <w:pPr>
              <w:rPr>
                <w:color w:val="000000"/>
                <w:sz w:val="24"/>
                <w:szCs w:val="24"/>
              </w:rPr>
            </w:pPr>
            <w:r w:rsidRPr="006056DF">
              <w:rPr>
                <w:color w:val="000000"/>
                <w:sz w:val="24"/>
                <w:szCs w:val="24"/>
              </w:rPr>
              <w:t>UN</w:t>
            </w:r>
          </w:p>
        </w:tc>
        <w:tc>
          <w:tcPr>
            <w:tcW w:w="7096" w:type="dxa"/>
            <w:shd w:val="clear" w:color="auto" w:fill="auto"/>
            <w:tcMar>
              <w:top w:w="15" w:type="dxa"/>
              <w:left w:w="15" w:type="dxa"/>
              <w:bottom w:w="0" w:type="dxa"/>
              <w:right w:w="15" w:type="dxa"/>
            </w:tcMar>
            <w:vAlign w:val="center"/>
            <w:hideMark/>
          </w:tcPr>
          <w:p w14:paraId="250AFCB7" w14:textId="77777777" w:rsidR="006056DF" w:rsidRPr="006056DF" w:rsidRDefault="006056DF">
            <w:pPr>
              <w:rPr>
                <w:color w:val="000000"/>
                <w:sz w:val="24"/>
                <w:szCs w:val="24"/>
              </w:rPr>
            </w:pPr>
            <w:r w:rsidRPr="006056DF">
              <w:rPr>
                <w:color w:val="000000"/>
                <w:sz w:val="24"/>
                <w:szCs w:val="24"/>
              </w:rPr>
              <w:t>Ujedinjeni narodi</w:t>
            </w:r>
          </w:p>
        </w:tc>
      </w:tr>
      <w:tr w:rsidR="00EC753F" w:rsidRPr="006056DF" w14:paraId="1E0A96FC" w14:textId="77777777" w:rsidTr="006056DF">
        <w:trPr>
          <w:trHeight w:val="348"/>
        </w:trPr>
        <w:tc>
          <w:tcPr>
            <w:tcW w:w="2124" w:type="dxa"/>
            <w:shd w:val="clear" w:color="auto" w:fill="auto"/>
            <w:tcMar>
              <w:top w:w="15" w:type="dxa"/>
              <w:left w:w="15" w:type="dxa"/>
              <w:bottom w:w="0" w:type="dxa"/>
              <w:right w:w="15" w:type="dxa"/>
            </w:tcMar>
            <w:vAlign w:val="center"/>
          </w:tcPr>
          <w:p w14:paraId="22A75E97" w14:textId="7C42CDA8" w:rsidR="00EC753F" w:rsidRPr="006056DF" w:rsidRDefault="00EC753F">
            <w:pPr>
              <w:rPr>
                <w:color w:val="000000"/>
                <w:sz w:val="24"/>
                <w:szCs w:val="24"/>
              </w:rPr>
            </w:pPr>
            <w:r>
              <w:rPr>
                <w:color w:val="000000"/>
                <w:sz w:val="24"/>
                <w:szCs w:val="24"/>
              </w:rPr>
              <w:t>WEF</w:t>
            </w:r>
          </w:p>
        </w:tc>
        <w:tc>
          <w:tcPr>
            <w:tcW w:w="7096" w:type="dxa"/>
            <w:shd w:val="clear" w:color="auto" w:fill="auto"/>
            <w:tcMar>
              <w:top w:w="15" w:type="dxa"/>
              <w:left w:w="15" w:type="dxa"/>
              <w:bottom w:w="0" w:type="dxa"/>
              <w:right w:w="15" w:type="dxa"/>
            </w:tcMar>
            <w:vAlign w:val="center"/>
          </w:tcPr>
          <w:p w14:paraId="09E47FE1" w14:textId="6F684686" w:rsidR="00EC753F" w:rsidRPr="006056DF" w:rsidRDefault="00EC753F">
            <w:pPr>
              <w:rPr>
                <w:color w:val="000000"/>
                <w:sz w:val="24"/>
                <w:szCs w:val="24"/>
              </w:rPr>
            </w:pPr>
            <w:r>
              <w:rPr>
                <w:color w:val="000000"/>
                <w:sz w:val="24"/>
                <w:szCs w:val="24"/>
              </w:rPr>
              <w:t xml:space="preserve">Svjetski </w:t>
            </w:r>
            <w:r w:rsidR="001B24AE">
              <w:rPr>
                <w:color w:val="000000"/>
                <w:sz w:val="24"/>
                <w:szCs w:val="24"/>
              </w:rPr>
              <w:t xml:space="preserve">gospodarski forum (eng. World </w:t>
            </w:r>
            <w:r w:rsidR="008569E1">
              <w:rPr>
                <w:color w:val="000000"/>
                <w:sz w:val="24"/>
                <w:szCs w:val="24"/>
              </w:rPr>
              <w:t>E</w:t>
            </w:r>
            <w:r w:rsidR="001B24AE">
              <w:rPr>
                <w:color w:val="000000"/>
                <w:sz w:val="24"/>
                <w:szCs w:val="24"/>
              </w:rPr>
              <w:t xml:space="preserve">conomic </w:t>
            </w:r>
            <w:r w:rsidR="008569E1">
              <w:rPr>
                <w:color w:val="000000"/>
                <w:sz w:val="24"/>
                <w:szCs w:val="24"/>
              </w:rPr>
              <w:t>F</w:t>
            </w:r>
            <w:r w:rsidR="001B24AE">
              <w:rPr>
                <w:color w:val="000000"/>
                <w:sz w:val="24"/>
                <w:szCs w:val="24"/>
              </w:rPr>
              <w:t>orum)</w:t>
            </w:r>
          </w:p>
        </w:tc>
      </w:tr>
      <w:tr w:rsidR="006056DF" w:rsidRPr="006056DF" w14:paraId="7C10AA6D" w14:textId="77777777" w:rsidTr="006056DF">
        <w:trPr>
          <w:trHeight w:val="348"/>
        </w:trPr>
        <w:tc>
          <w:tcPr>
            <w:tcW w:w="2124" w:type="dxa"/>
            <w:shd w:val="clear" w:color="auto" w:fill="auto"/>
            <w:tcMar>
              <w:top w:w="15" w:type="dxa"/>
              <w:left w:w="15" w:type="dxa"/>
              <w:bottom w:w="0" w:type="dxa"/>
              <w:right w:w="15" w:type="dxa"/>
            </w:tcMar>
            <w:vAlign w:val="center"/>
            <w:hideMark/>
          </w:tcPr>
          <w:p w14:paraId="28154D9C" w14:textId="77777777" w:rsidR="006056DF" w:rsidRPr="006056DF" w:rsidRDefault="006056DF">
            <w:pPr>
              <w:rPr>
                <w:color w:val="000000"/>
                <w:sz w:val="24"/>
                <w:szCs w:val="24"/>
              </w:rPr>
            </w:pPr>
            <w:r w:rsidRPr="006056DF">
              <w:rPr>
                <w:color w:val="000000"/>
                <w:sz w:val="24"/>
                <w:szCs w:val="24"/>
              </w:rPr>
              <w:t>WCR</w:t>
            </w:r>
          </w:p>
        </w:tc>
        <w:tc>
          <w:tcPr>
            <w:tcW w:w="7096" w:type="dxa"/>
            <w:shd w:val="clear" w:color="auto" w:fill="auto"/>
            <w:tcMar>
              <w:top w:w="15" w:type="dxa"/>
              <w:left w:w="15" w:type="dxa"/>
              <w:bottom w:w="0" w:type="dxa"/>
              <w:right w:w="15" w:type="dxa"/>
            </w:tcMar>
            <w:vAlign w:val="center"/>
            <w:hideMark/>
          </w:tcPr>
          <w:p w14:paraId="544F2A25" w14:textId="0981FA46" w:rsidR="006056DF" w:rsidRPr="006056DF" w:rsidRDefault="006056DF">
            <w:pPr>
              <w:rPr>
                <w:color w:val="000000"/>
                <w:sz w:val="24"/>
                <w:szCs w:val="24"/>
              </w:rPr>
            </w:pPr>
            <w:r w:rsidRPr="006056DF">
              <w:rPr>
                <w:color w:val="000000"/>
                <w:sz w:val="24"/>
                <w:szCs w:val="24"/>
              </w:rPr>
              <w:t xml:space="preserve">Globalna ljestvica konkurentnosti (eng. World </w:t>
            </w:r>
            <w:r w:rsidR="008569E1">
              <w:rPr>
                <w:color w:val="000000"/>
                <w:sz w:val="24"/>
                <w:szCs w:val="24"/>
              </w:rPr>
              <w:t>C</w:t>
            </w:r>
            <w:r w:rsidRPr="006056DF">
              <w:rPr>
                <w:color w:val="000000"/>
                <w:sz w:val="24"/>
                <w:szCs w:val="24"/>
              </w:rPr>
              <w:t xml:space="preserve">ompetitiveness </w:t>
            </w:r>
            <w:r w:rsidR="008569E1">
              <w:rPr>
                <w:color w:val="000000"/>
                <w:sz w:val="24"/>
                <w:szCs w:val="24"/>
              </w:rPr>
              <w:t>R</w:t>
            </w:r>
            <w:r w:rsidRPr="006056DF">
              <w:rPr>
                <w:color w:val="000000"/>
                <w:sz w:val="24"/>
                <w:szCs w:val="24"/>
              </w:rPr>
              <w:t>anking)</w:t>
            </w:r>
          </w:p>
        </w:tc>
      </w:tr>
      <w:tr w:rsidR="006056DF" w:rsidRPr="006056DF" w14:paraId="100DE887" w14:textId="77777777" w:rsidTr="006056DF">
        <w:trPr>
          <w:trHeight w:val="315"/>
        </w:trPr>
        <w:tc>
          <w:tcPr>
            <w:tcW w:w="2124" w:type="dxa"/>
            <w:shd w:val="clear" w:color="auto" w:fill="auto"/>
            <w:tcMar>
              <w:top w:w="15" w:type="dxa"/>
              <w:left w:w="15" w:type="dxa"/>
              <w:bottom w:w="0" w:type="dxa"/>
              <w:right w:w="15" w:type="dxa"/>
            </w:tcMar>
            <w:vAlign w:val="center"/>
            <w:hideMark/>
          </w:tcPr>
          <w:p w14:paraId="26670166" w14:textId="77777777" w:rsidR="006056DF" w:rsidRPr="006056DF" w:rsidRDefault="006056DF">
            <w:pPr>
              <w:rPr>
                <w:color w:val="000000"/>
                <w:sz w:val="24"/>
                <w:szCs w:val="24"/>
              </w:rPr>
            </w:pPr>
            <w:r w:rsidRPr="006056DF">
              <w:rPr>
                <w:color w:val="000000"/>
                <w:sz w:val="24"/>
                <w:szCs w:val="24"/>
              </w:rPr>
              <w:t>WTO</w:t>
            </w:r>
          </w:p>
        </w:tc>
        <w:tc>
          <w:tcPr>
            <w:tcW w:w="7096" w:type="dxa"/>
            <w:shd w:val="clear" w:color="auto" w:fill="auto"/>
            <w:tcMar>
              <w:top w:w="15" w:type="dxa"/>
              <w:left w:w="15" w:type="dxa"/>
              <w:bottom w:w="0" w:type="dxa"/>
              <w:right w:w="15" w:type="dxa"/>
            </w:tcMar>
            <w:vAlign w:val="center"/>
            <w:hideMark/>
          </w:tcPr>
          <w:p w14:paraId="58AD6BD0" w14:textId="57EADDFA" w:rsidR="006056DF" w:rsidRPr="006056DF" w:rsidRDefault="006056DF">
            <w:pPr>
              <w:rPr>
                <w:color w:val="000000"/>
                <w:sz w:val="24"/>
                <w:szCs w:val="24"/>
              </w:rPr>
            </w:pPr>
            <w:r w:rsidRPr="006056DF">
              <w:rPr>
                <w:color w:val="000000"/>
                <w:sz w:val="24"/>
                <w:szCs w:val="24"/>
              </w:rPr>
              <w:t xml:space="preserve">Svjetska trgovinska organizacija (eng. World </w:t>
            </w:r>
            <w:r w:rsidR="008569E1">
              <w:rPr>
                <w:color w:val="000000"/>
                <w:sz w:val="24"/>
                <w:szCs w:val="24"/>
              </w:rPr>
              <w:t>T</w:t>
            </w:r>
            <w:r w:rsidRPr="006056DF">
              <w:rPr>
                <w:color w:val="000000"/>
                <w:sz w:val="24"/>
                <w:szCs w:val="24"/>
              </w:rPr>
              <w:t>rad</w:t>
            </w:r>
            <w:r w:rsidR="00F71E04">
              <w:rPr>
                <w:color w:val="000000"/>
                <w:sz w:val="24"/>
                <w:szCs w:val="24"/>
              </w:rPr>
              <w:t>e</w:t>
            </w:r>
            <w:r w:rsidRPr="006056DF">
              <w:rPr>
                <w:color w:val="000000"/>
                <w:sz w:val="24"/>
                <w:szCs w:val="24"/>
              </w:rPr>
              <w:t xml:space="preserve"> </w:t>
            </w:r>
            <w:r w:rsidR="008569E1">
              <w:rPr>
                <w:color w:val="000000"/>
                <w:sz w:val="24"/>
                <w:szCs w:val="24"/>
              </w:rPr>
              <w:t>O</w:t>
            </w:r>
            <w:r w:rsidRPr="006056DF">
              <w:rPr>
                <w:color w:val="000000"/>
                <w:sz w:val="24"/>
                <w:szCs w:val="24"/>
              </w:rPr>
              <w:t>rgani</w:t>
            </w:r>
            <w:r w:rsidR="00F71E04">
              <w:rPr>
                <w:color w:val="000000"/>
                <w:sz w:val="24"/>
                <w:szCs w:val="24"/>
              </w:rPr>
              <w:t>z</w:t>
            </w:r>
            <w:r w:rsidRPr="006056DF">
              <w:rPr>
                <w:color w:val="000000"/>
                <w:sz w:val="24"/>
                <w:szCs w:val="24"/>
              </w:rPr>
              <w:t>ation)</w:t>
            </w:r>
          </w:p>
        </w:tc>
      </w:tr>
    </w:tbl>
    <w:p w14:paraId="73A65711" w14:textId="0D585724" w:rsidR="00FF0184" w:rsidRDefault="006056DF">
      <w:pPr>
        <w:rPr>
          <w:sz w:val="32"/>
          <w:szCs w:val="32"/>
        </w:rPr>
      </w:pPr>
      <w:r>
        <w:rPr>
          <w:sz w:val="32"/>
          <w:szCs w:val="32"/>
        </w:rPr>
        <w:t xml:space="preserve"> </w:t>
      </w:r>
      <w:r w:rsidR="00FF0184">
        <w:rPr>
          <w:sz w:val="32"/>
          <w:szCs w:val="32"/>
        </w:rPr>
        <w:br w:type="page"/>
      </w:r>
    </w:p>
    <w:p w14:paraId="3880EE6C" w14:textId="4B04263A" w:rsidR="00DD2889" w:rsidRPr="00FD2238" w:rsidRDefault="00BF673E" w:rsidP="00323AB9">
      <w:pPr>
        <w:pStyle w:val="Heading1"/>
        <w:spacing w:line="276" w:lineRule="auto"/>
        <w:ind w:left="0"/>
        <w:rPr>
          <w:color w:val="000000" w:themeColor="text1"/>
          <w:sz w:val="24"/>
          <w:szCs w:val="24"/>
          <w:u w:val="none"/>
        </w:rPr>
      </w:pPr>
      <w:bookmarkStart w:id="2" w:name="_Toc156819367"/>
      <w:r w:rsidRPr="00FD2238">
        <w:rPr>
          <w:color w:val="000000" w:themeColor="text1"/>
          <w:sz w:val="24"/>
          <w:szCs w:val="24"/>
          <w:u w:val="none"/>
        </w:rPr>
        <w:lastRenderedPageBreak/>
        <w:t>Uvod</w:t>
      </w:r>
      <w:bookmarkEnd w:id="2"/>
    </w:p>
    <w:p w14:paraId="3FD962AE" w14:textId="03DEF2AE" w:rsidR="00887398" w:rsidRPr="00BD1B6F" w:rsidRDefault="00887398" w:rsidP="00323AB9">
      <w:pPr>
        <w:pStyle w:val="paragraph"/>
        <w:spacing w:before="77" w:beforeAutospacing="0" w:after="0" w:afterAutospacing="0" w:line="276" w:lineRule="auto"/>
        <w:textAlignment w:val="baseline"/>
        <w:rPr>
          <w:rFonts w:ascii="Segoe UI" w:hAnsi="Segoe UI" w:cs="Segoe UI"/>
          <w:sz w:val="18"/>
          <w:szCs w:val="18"/>
        </w:rPr>
      </w:pPr>
      <w:r w:rsidRPr="00BD1B6F">
        <w:rPr>
          <w:rStyle w:val="normaltextrun"/>
          <w:b/>
          <w:bCs/>
        </w:rPr>
        <w:t>Makroekonomski pokazatelji ostvareni u 2022. godini</w:t>
      </w:r>
    </w:p>
    <w:p w14:paraId="2F56AAF5" w14:textId="77777777" w:rsidR="00BC0C2A" w:rsidRPr="00BD1B6F" w:rsidRDefault="00BC0C2A" w:rsidP="00BC0C2A">
      <w:pPr>
        <w:pStyle w:val="paragraph"/>
        <w:spacing w:before="240" w:beforeAutospacing="0" w:after="0" w:afterAutospacing="0" w:line="276" w:lineRule="auto"/>
        <w:jc w:val="both"/>
        <w:textAlignment w:val="baseline"/>
        <w:rPr>
          <w:rStyle w:val="normaltextrun"/>
        </w:rPr>
      </w:pPr>
      <w:r w:rsidRPr="00BD1B6F">
        <w:rPr>
          <w:rStyle w:val="normaltextrun"/>
        </w:rPr>
        <w:t xml:space="preserve">U posljednjih godinu dana hrvatsko gospodarstvo zabilježilo je niz pozitivnih iskoraka. Oporavivši se od recesije izazvane pandemijom </w:t>
      </w:r>
      <w:r w:rsidRPr="00BD1B6F">
        <w:rPr>
          <w:color w:val="000000" w:themeColor="text1"/>
        </w:rPr>
        <w:t>COVID-19</w:t>
      </w:r>
      <w:r>
        <w:rPr>
          <w:color w:val="000000" w:themeColor="text1"/>
        </w:rPr>
        <w:t>,</w:t>
      </w:r>
      <w:r w:rsidRPr="00BD1B6F">
        <w:rPr>
          <w:color w:val="000000" w:themeColor="text1"/>
        </w:rPr>
        <w:t xml:space="preserve"> </w:t>
      </w:r>
      <w:r w:rsidRPr="00BD1B6F">
        <w:rPr>
          <w:rStyle w:val="normaltextrun"/>
        </w:rPr>
        <w:t xml:space="preserve">u 2022. ostvaren je realni </w:t>
      </w:r>
      <w:r w:rsidRPr="00BD1B6F">
        <w:rPr>
          <w:rStyle w:val="normaltextrun"/>
          <w:b/>
          <w:bCs/>
        </w:rPr>
        <w:t>rast bruto domaćeg proizvoda</w:t>
      </w:r>
      <w:r w:rsidRPr="00BD1B6F">
        <w:rPr>
          <w:rStyle w:val="normaltextrun"/>
        </w:rPr>
        <w:t xml:space="preserve"> (u daljnjem tekstu: BDP) od 6,</w:t>
      </w:r>
      <w:r>
        <w:rPr>
          <w:rStyle w:val="normaltextrun"/>
        </w:rPr>
        <w:t>3</w:t>
      </w:r>
      <w:r w:rsidRPr="00BD1B6F">
        <w:rPr>
          <w:rStyle w:val="normaltextrun"/>
        </w:rPr>
        <w:t>%, posebice temeljem snažnog doprinosa rasta izvoza te većih investicija. S druge strane, poremećaji u opskrbi energen</w:t>
      </w:r>
      <w:r>
        <w:rPr>
          <w:rStyle w:val="normaltextrun"/>
        </w:rPr>
        <w:t>tima</w:t>
      </w:r>
      <w:r w:rsidRPr="00BD1B6F">
        <w:rPr>
          <w:rStyle w:val="normaltextrun"/>
        </w:rPr>
        <w:t xml:space="preserve"> i hran</w:t>
      </w:r>
      <w:r>
        <w:rPr>
          <w:rStyle w:val="normaltextrun"/>
        </w:rPr>
        <w:t>om</w:t>
      </w:r>
      <w:r w:rsidRPr="00BD1B6F">
        <w:rPr>
          <w:rStyle w:val="normaltextrun"/>
        </w:rPr>
        <w:t xml:space="preserve"> u Europi uzrokovani ruskom agresijom na Ukrajinu, rekordne suše i velike poplave</w:t>
      </w:r>
      <w:r>
        <w:rPr>
          <w:rStyle w:val="normaltextrun"/>
        </w:rPr>
        <w:t>,</w:t>
      </w:r>
      <w:r w:rsidRPr="00BD1B6F">
        <w:rPr>
          <w:rStyle w:val="normaltextrun"/>
        </w:rPr>
        <w:t xml:space="preserve"> kao i poremećaji na financijskim tržištima, rezultirali su jakim rastom potrošačkih cijena, kako na globalnoj razini tako i u Hrvatskoj (10,8% na međugodišnjoj razini). </w:t>
      </w:r>
    </w:p>
    <w:p w14:paraId="2AE942A9" w14:textId="77777777" w:rsidR="00BC0C2A" w:rsidRPr="00BD1B6F" w:rsidRDefault="00BC0C2A" w:rsidP="00BC0C2A">
      <w:pPr>
        <w:pStyle w:val="paragraph"/>
        <w:spacing w:before="240" w:beforeAutospacing="0" w:after="0" w:afterAutospacing="0" w:line="276" w:lineRule="auto"/>
        <w:jc w:val="both"/>
        <w:textAlignment w:val="baseline"/>
        <w:rPr>
          <w:rStyle w:val="normaltextrun"/>
        </w:rPr>
      </w:pPr>
      <w:r w:rsidRPr="00BD1B6F">
        <w:rPr>
          <w:rStyle w:val="normaltextrun"/>
        </w:rPr>
        <w:t xml:space="preserve">Usporedo s povećanjem gospodarskih aktivnosti, u promatranom razdoblju nastavljena je snažna fiskalna konsolidacija opće države. Tako je u 2022. ostvaren </w:t>
      </w:r>
      <w:r w:rsidRPr="00BD1B6F">
        <w:rPr>
          <w:rStyle w:val="normaltextrun"/>
          <w:b/>
          <w:bCs/>
        </w:rPr>
        <w:t xml:space="preserve">proračunski višak </w:t>
      </w:r>
      <w:r w:rsidRPr="00BD1B6F">
        <w:rPr>
          <w:rStyle w:val="normaltextrun"/>
        </w:rPr>
        <w:t>u iznosu od 0,4% BDP-a,</w:t>
      </w:r>
      <w:r w:rsidRPr="00BD1B6F">
        <w:t xml:space="preserve"> </w:t>
      </w:r>
      <w:r w:rsidRPr="00BD1B6F">
        <w:rPr>
          <w:rStyle w:val="normaltextrun"/>
        </w:rPr>
        <w:t>što je znatno poboljšanje u odnosu na manjak od 2,5% BDP-a ostvaren u 2021. Ukupni prihodi proračuna opće države zabilježili su na godišnjoj razini rast od 13,3% te su ostvareni na razini od 45,2% BDP-a, dok su ukupni rashodi proračuna opće države rasli sporijom dinamikom od 6,6% te su izvršeni na razini od 44,8% BDP-a. Treba istaknuti da su na ostvarenje prihoda opće države u 2022. utjecala pozitivna kretanja u gospodarstvu, cjelogodišnji fiskalni učinci poreznih reformi provedenih tijekom 2021. te učinci poreznih izmjena koji su stupili na snagu tijekom 2022.</w:t>
      </w:r>
      <w:r w:rsidRPr="008115FB">
        <w:rPr>
          <w:rStyle w:val="normaltextrun"/>
        </w:rPr>
        <w:t xml:space="preserve"> </w:t>
      </w:r>
      <w:r w:rsidRPr="00BD1B6F">
        <w:rPr>
          <w:rStyle w:val="normaltextrun"/>
        </w:rPr>
        <w:t>Značajan je učinak na prihode Državnog proračuna</w:t>
      </w:r>
      <w:r w:rsidRPr="008115FB">
        <w:rPr>
          <w:rStyle w:val="normaltextrun"/>
        </w:rPr>
        <w:t xml:space="preserve"> Republike Hrvatske</w:t>
      </w:r>
      <w:r w:rsidRPr="00BD1B6F">
        <w:rPr>
          <w:rStyle w:val="normaltextrun"/>
        </w:rPr>
        <w:t xml:space="preserve"> u 2022. imalo i korištenje sredstava iz financijske perspektive EU 2014.</w:t>
      </w:r>
      <w:r>
        <w:rPr>
          <w:rStyle w:val="normaltextrun"/>
        </w:rPr>
        <w:t xml:space="preserve"> – </w:t>
      </w:r>
      <w:r w:rsidRPr="00BD1B6F">
        <w:rPr>
          <w:rStyle w:val="normaltextrun"/>
        </w:rPr>
        <w:t>2020</w:t>
      </w:r>
      <w:r>
        <w:rPr>
          <w:rStyle w:val="normaltextrun"/>
        </w:rPr>
        <w:t>.</w:t>
      </w:r>
      <w:r w:rsidRPr="00BD1B6F">
        <w:rPr>
          <w:rStyle w:val="normaltextrun"/>
        </w:rPr>
        <w:t xml:space="preserve"> kojima se financira 70% javnih investicija u Hrvatskoj, uz korištenje sredstava iz Fonda solidarnosti u svrhu sanacije šteta od potresa</w:t>
      </w:r>
      <w:r>
        <w:rPr>
          <w:rStyle w:val="normaltextrun"/>
        </w:rPr>
        <w:t>,</w:t>
      </w:r>
      <w:r w:rsidRPr="00BD1B6F">
        <w:rPr>
          <w:rStyle w:val="normaltextrun"/>
        </w:rPr>
        <w:t xml:space="preserve"> te korištenje sredstava iz Fonda za oporavak i otpornost. Povećanju rashoda opće države najviše je doprinijelo usvajanje paketa mjera pomoći Vlade za ublažavanje inflatornih pritisaka na životni standard građana i poslovanje poduzeća</w:t>
      </w:r>
      <w:r>
        <w:rPr>
          <w:rStyle w:val="normaltextrun"/>
        </w:rPr>
        <w:t xml:space="preserve"> i </w:t>
      </w:r>
      <w:r w:rsidRPr="00BD1B6F">
        <w:rPr>
          <w:rStyle w:val="normaltextrun"/>
        </w:rPr>
        <w:t>rast naknada zaposlenima u državnim i javnim službama (ukupno 11,3% BDP-a u 2022.) temeljem povećanja osnovice za izračun plaća</w:t>
      </w:r>
      <w:r>
        <w:rPr>
          <w:rStyle w:val="normaltextrun"/>
        </w:rPr>
        <w:t>,</w:t>
      </w:r>
      <w:r w:rsidRPr="00BD1B6F">
        <w:rPr>
          <w:rStyle w:val="normaltextrun"/>
        </w:rPr>
        <w:t xml:space="preserve"> sukladno novom kolektivnom ugovoru za državne i javne službenike (4% povećanje osnovice od 1. svibnja 2022. i 6% povećanje osnovice od </w:t>
      </w:r>
      <w:r w:rsidRPr="008115FB">
        <w:rPr>
          <w:rStyle w:val="normaltextrun"/>
        </w:rPr>
        <w:t>1</w:t>
      </w:r>
      <w:r w:rsidRPr="00BD1B6F">
        <w:rPr>
          <w:rStyle w:val="normaltextrun"/>
        </w:rPr>
        <w:t>.</w:t>
      </w:r>
      <w:r w:rsidRPr="008115FB">
        <w:rPr>
          <w:rStyle w:val="normaltextrun"/>
        </w:rPr>
        <w:t xml:space="preserve"> </w:t>
      </w:r>
      <w:r w:rsidRPr="00BD1B6F">
        <w:rPr>
          <w:rStyle w:val="normaltextrun"/>
        </w:rPr>
        <w:t>listopada 2022.).</w:t>
      </w:r>
    </w:p>
    <w:p w14:paraId="51AF1613" w14:textId="77777777" w:rsidR="00BC0C2A" w:rsidRPr="00BD1B6F" w:rsidRDefault="00BC0C2A" w:rsidP="00BC0C2A">
      <w:pPr>
        <w:pStyle w:val="paragraph"/>
        <w:spacing w:before="240" w:beforeAutospacing="0" w:after="0" w:afterAutospacing="0" w:line="276" w:lineRule="auto"/>
        <w:jc w:val="both"/>
        <w:textAlignment w:val="baseline"/>
        <w:rPr>
          <w:rFonts w:ascii="Segoe UI" w:hAnsi="Segoe UI" w:cs="Segoe UI"/>
        </w:rPr>
      </w:pPr>
      <w:r w:rsidRPr="00BD1B6F">
        <w:rPr>
          <w:rStyle w:val="normaltextrun"/>
        </w:rPr>
        <w:t xml:space="preserve">Povećanje realne gospodarske aktivnosti i povoljna proračunska ostvarenja doprinijeli su znatnom </w:t>
      </w:r>
      <w:r w:rsidRPr="00BD1B6F">
        <w:rPr>
          <w:rStyle w:val="normaltextrun"/>
          <w:b/>
          <w:bCs/>
        </w:rPr>
        <w:t>smanjenju omjera javnog duga</w:t>
      </w:r>
      <w:r w:rsidRPr="00BD1B6F">
        <w:rPr>
          <w:rStyle w:val="normaltextrun"/>
        </w:rPr>
        <w:t xml:space="preserve"> i BDP-a na 68,4%, što odgovara godišnjem smanjenju od 10 postotnih bodova u odnosu na 2021.</w:t>
      </w:r>
      <w:r w:rsidRPr="00BD1B6F">
        <w:rPr>
          <w:rStyle w:val="eop"/>
        </w:rPr>
        <w:t> </w:t>
      </w:r>
    </w:p>
    <w:p w14:paraId="44EEB816" w14:textId="77777777" w:rsidR="00BC0C2A" w:rsidRPr="00BD1B6F" w:rsidRDefault="00BC0C2A" w:rsidP="00BC0C2A">
      <w:pPr>
        <w:pStyle w:val="paragraph"/>
        <w:spacing w:before="240" w:beforeAutospacing="0" w:after="0" w:afterAutospacing="0" w:line="276" w:lineRule="auto"/>
        <w:jc w:val="both"/>
        <w:textAlignment w:val="baseline"/>
        <w:rPr>
          <w:rFonts w:ascii="Segoe UI" w:hAnsi="Segoe UI" w:cs="Segoe UI"/>
        </w:rPr>
      </w:pPr>
      <w:r w:rsidRPr="00BD1B6F">
        <w:rPr>
          <w:rStyle w:val="normaltextrun"/>
        </w:rPr>
        <w:t xml:space="preserve">Nadalje, od 1. siječnja 2023. Hrvatska je postala punopravna </w:t>
      </w:r>
      <w:r w:rsidRPr="00BD1B6F">
        <w:rPr>
          <w:rStyle w:val="normaltextrun"/>
          <w:b/>
          <w:bCs/>
        </w:rPr>
        <w:t>članica europodručja</w:t>
      </w:r>
      <w:r w:rsidRPr="00BD1B6F">
        <w:rPr>
          <w:rStyle w:val="normaltextrun"/>
        </w:rPr>
        <w:t xml:space="preserve"> kao i </w:t>
      </w:r>
      <w:r w:rsidRPr="00BD1B6F">
        <w:rPr>
          <w:rStyle w:val="normaltextrun"/>
          <w:b/>
          <w:bCs/>
        </w:rPr>
        <w:t>Schengenskog prostora</w:t>
      </w:r>
      <w:r w:rsidRPr="00BD1B6F">
        <w:rPr>
          <w:rStyle w:val="normaltextrun"/>
        </w:rPr>
        <w:t>. Odluka Vijeća EU</w:t>
      </w:r>
      <w:r>
        <w:rPr>
          <w:rStyle w:val="normaltextrun"/>
        </w:rPr>
        <w:t>-a</w:t>
      </w:r>
      <w:r w:rsidRPr="00BD1B6F">
        <w:rPr>
          <w:rStyle w:val="normaltextrun"/>
        </w:rPr>
        <w:t xml:space="preserve"> o ulasku Republike Hrvatske u </w:t>
      </w:r>
      <w:r w:rsidRPr="00BD1B6F">
        <w:rPr>
          <w:rStyle w:val="normaltextrun"/>
        </w:rPr>
        <w:lastRenderedPageBreak/>
        <w:t>europodručje (u srpnju 2022.) doprinijela je povijesno najvišem investicijskom rejtingu Hrvatske koji je uspješno zadržan do danas. Ovako pozitivne ocjene hrvatskog gospodarstva, rejting agencije argumentiraju političkom stabilnošću i institucionalnom kvalitetom, očekivanim koristima od ulaska u europodručje i Schengenski prostor, kao i fiskalnim kapacitetima te dosadašnjom apsorpcijom EU sredstava iz financijske perspektive EU 2014.</w:t>
      </w:r>
      <w:r>
        <w:rPr>
          <w:rStyle w:val="normaltextrun"/>
        </w:rPr>
        <w:t xml:space="preserve"> </w:t>
      </w:r>
      <w:r w:rsidRPr="00BD1B6F">
        <w:rPr>
          <w:rStyle w:val="normaltextrun"/>
        </w:rPr>
        <w:t>-</w:t>
      </w:r>
      <w:r>
        <w:rPr>
          <w:rStyle w:val="normaltextrun"/>
        </w:rPr>
        <w:t xml:space="preserve"> </w:t>
      </w:r>
      <w:r w:rsidRPr="00BD1B6F">
        <w:rPr>
          <w:rStyle w:val="normaltextrun"/>
        </w:rPr>
        <w:t>2020</w:t>
      </w:r>
      <w:r w:rsidRPr="008115FB">
        <w:rPr>
          <w:rStyle w:val="normaltextrun"/>
        </w:rPr>
        <w:t>.</w:t>
      </w:r>
      <w:r w:rsidRPr="00BD1B6F">
        <w:rPr>
          <w:rStyle w:val="normaltextrun"/>
        </w:rPr>
        <w:t xml:space="preserve"> </w:t>
      </w:r>
      <w:r>
        <w:rPr>
          <w:rStyle w:val="normaltextrun"/>
        </w:rPr>
        <w:t>i</w:t>
      </w:r>
      <w:r w:rsidRPr="00BD1B6F">
        <w:rPr>
          <w:rStyle w:val="normaltextrun"/>
        </w:rPr>
        <w:t xml:space="preserve"> sredstava iz Fonda za oporavak i otpornost.</w:t>
      </w:r>
    </w:p>
    <w:p w14:paraId="1518EE06" w14:textId="77777777" w:rsidR="00BC0C2A" w:rsidRPr="00BD1B6F" w:rsidRDefault="00BC0C2A" w:rsidP="00BC0C2A">
      <w:pPr>
        <w:pStyle w:val="paragraph"/>
        <w:spacing w:before="240" w:beforeAutospacing="0" w:after="0" w:afterAutospacing="0" w:line="276" w:lineRule="auto"/>
        <w:jc w:val="both"/>
        <w:textAlignment w:val="baseline"/>
        <w:rPr>
          <w:rFonts w:ascii="Segoe UI" w:hAnsi="Segoe UI" w:cs="Segoe UI"/>
        </w:rPr>
      </w:pPr>
      <w:r w:rsidRPr="00BD1B6F">
        <w:rPr>
          <w:rStyle w:val="normaltextrun"/>
        </w:rPr>
        <w:t>Prosječna inflacija u Hrvatskoj, mjerena harmoniziranim indeksom potrošačkih cijena (HIPC-om)</w:t>
      </w:r>
      <w:r>
        <w:rPr>
          <w:rStyle w:val="normaltextrun"/>
        </w:rPr>
        <w:t>,</w:t>
      </w:r>
      <w:r w:rsidRPr="00BD1B6F">
        <w:rPr>
          <w:rStyle w:val="normaltextrun"/>
        </w:rPr>
        <w:t xml:space="preserve"> snažno se povećala s 2,7% u 2021. na 10,8% u 2022., čime je dosegla najvišu razinu u posljednjih 28 godina. Inflacija je tijekom 2022. znatno porasla i na globalnoj razini, uključujući i zemlje europodručja, naše najvažnije vanjskotrgovinske partnere, čime je nastavljen trend započet sredinom 2021. Oporavak potražnje nakon ponovnog otvaranja gospodarstava diljem svijeta potaknuo je globalni rast cijena energenata i drugih sirovina te intermedijarnih proizvoda. Na jačanje inflatornih pritisaka dodatno su utjecale poteškoće u globalnim lancima opskrbe, zbog čega je ponuda pojedinih poluproizvoda i gotovih proizvoda bila ograničena, dok se potražnja u uvjetima pandemije premjestila s usluga prema robi, što je potaklo rast njihovih cijena. </w:t>
      </w:r>
      <w:r>
        <w:rPr>
          <w:rStyle w:val="normaltextrun"/>
        </w:rPr>
        <w:t>V</w:t>
      </w:r>
      <w:r w:rsidRPr="00BD1B6F">
        <w:rPr>
          <w:rStyle w:val="normaltextrun"/>
        </w:rPr>
        <w:t>isoke cijene energenata (ponajviše sirove nafte i prirodnog plina) na svjetskim tržištima</w:t>
      </w:r>
      <w:r>
        <w:rPr>
          <w:rStyle w:val="normaltextrun"/>
        </w:rPr>
        <w:t>,</w:t>
      </w:r>
      <w:r w:rsidRPr="00BD1B6F">
        <w:rPr>
          <w:rStyle w:val="normaltextrun"/>
        </w:rPr>
        <w:t xml:space="preserve"> dodatno su porasle s početkom ruske agresije na Ukrajinu. Navedena kretanja su dodatno utjecala na ubrzavanje rasta cijena poljoprivrednih proizvoda i proizvođačkih cijena industrijskih proizvoda u europodručju te u konačnici na njihovo prelijevanje na potrošačke cijene. Rastu potrošačkih cijena u 2022. najviše je pridonio rast cijena energije i hrane, uz izraženiji porast cijena usluga i industrijskih proizvoda u drugoj polovici godine. Izraženiji inflatorni pritisci na životni standard građana osjetno su ublaženi uvođenjem mjera Vlade, kojima su</w:t>
      </w:r>
      <w:r>
        <w:rPr>
          <w:rStyle w:val="normaltextrun"/>
        </w:rPr>
        <w:t>,</w:t>
      </w:r>
      <w:r w:rsidRPr="00BD1B6F">
        <w:rPr>
          <w:rStyle w:val="normaltextrun"/>
        </w:rPr>
        <w:t xml:space="preserve"> između ostalog, ograničene cijene energenata, smanjena stopa PDV-a na određene kategorije proizvoda te su ograničene cijene više osnovnih prehrambenih proizvoda.</w:t>
      </w:r>
      <w:r w:rsidRPr="00BD1B6F">
        <w:rPr>
          <w:rStyle w:val="eop"/>
        </w:rPr>
        <w:t> </w:t>
      </w:r>
    </w:p>
    <w:p w14:paraId="78702156" w14:textId="77777777" w:rsidR="00BC0C2A" w:rsidRPr="00BD1B6F" w:rsidRDefault="00BC0C2A" w:rsidP="00BC0C2A">
      <w:pPr>
        <w:pStyle w:val="paragraph"/>
        <w:spacing w:before="240" w:beforeAutospacing="0" w:after="0" w:afterAutospacing="0" w:line="276" w:lineRule="auto"/>
        <w:jc w:val="both"/>
        <w:textAlignment w:val="baseline"/>
        <w:rPr>
          <w:rStyle w:val="normaltextrun"/>
          <w:rFonts w:ascii="Calibri" w:hAnsi="Calibri" w:cs="Calibri"/>
        </w:rPr>
      </w:pPr>
      <w:r w:rsidRPr="00BD1B6F">
        <w:rPr>
          <w:rStyle w:val="normaltextrun"/>
        </w:rPr>
        <w:t xml:space="preserve">Nakon rasta od 2,2% ostvarenog u 2021., međugodišnji rast </w:t>
      </w:r>
      <w:r w:rsidRPr="00BD1B6F">
        <w:rPr>
          <w:rStyle w:val="normaltextrun"/>
          <w:b/>
          <w:bCs/>
        </w:rPr>
        <w:t>broja osiguranika Hrvatskog zavoda za mirovinsko osiguranje</w:t>
      </w:r>
      <w:r w:rsidRPr="00BD1B6F">
        <w:rPr>
          <w:rStyle w:val="normaltextrun"/>
        </w:rPr>
        <w:t xml:space="preserve"> (u daljnjem tekstu: HZMO) u 2022. je ubrzao na 2,5%, uz istovremeno smanjenje administrativne stope nezaposlenosti na 6,8% (8% u 2021.) Ukupan broj nezaposlenih osoba registriranih kod Hrvatskog zavoda za zapošljavanje (u daljnjem tekstu: HZZ), u 2022. je smanjen za 15,1% u odnosu na 2021.</w:t>
      </w:r>
      <w:r w:rsidRPr="00BD1B6F">
        <w:rPr>
          <w:rStyle w:val="normaltextrun"/>
          <w:rFonts w:ascii="Calibri" w:hAnsi="Calibri" w:cs="Calibri"/>
        </w:rPr>
        <w:t xml:space="preserve"> </w:t>
      </w:r>
      <w:r w:rsidRPr="00BD1B6F">
        <w:rPr>
          <w:rStyle w:val="normaltextrun"/>
        </w:rPr>
        <w:t xml:space="preserve">Rastu ukupne zaposlenosti u </w:t>
      </w:r>
      <w:r>
        <w:rPr>
          <w:rStyle w:val="normaltextrun"/>
        </w:rPr>
        <w:t xml:space="preserve"> Hrvatskoj</w:t>
      </w:r>
      <w:r w:rsidRPr="00BD1B6F">
        <w:rPr>
          <w:rStyle w:val="normaltextrun"/>
        </w:rPr>
        <w:t xml:space="preserve"> najviše je pridonio privatni sektor, ponajviše djelatnosti trgovine, prijevoza i smještaja te djelatnosti vezane uz IT sektor i poslovne usluge.</w:t>
      </w:r>
      <w:r w:rsidRPr="00BD1B6F">
        <w:rPr>
          <w:rStyle w:val="normaltextrun"/>
          <w:rFonts w:ascii="Calibri" w:hAnsi="Calibri" w:cs="Calibri"/>
        </w:rPr>
        <w:t xml:space="preserve"> </w:t>
      </w:r>
      <w:r w:rsidRPr="00BD1B6F">
        <w:rPr>
          <w:rStyle w:val="normaltextrun"/>
        </w:rPr>
        <w:t xml:space="preserve">Potrebno je naglasiti kako je i u 2022. dio potražnje za radnom snagom bio zadovoljen zapošljavanjem radnika iz trećih zemalja (izvan EU), ponajprije u građevinarstvu i uslužnim djelatnostima. U uvjetima izražene inflacije te povećane potražnje za radnom snagom, znatno se ubrzao i rast nominalnih bruto </w:t>
      </w:r>
      <w:r w:rsidRPr="00BD1B6F">
        <w:rPr>
          <w:rStyle w:val="normaltextrun"/>
        </w:rPr>
        <w:lastRenderedPageBreak/>
        <w:t xml:space="preserve">plaća na 7,9% u 2022. (s 4,1% u 2021.), no zbog ubrzavanja inflacije zabilježeno je smanjenje prosječne realne neto plaće od 3,4%.   </w:t>
      </w:r>
    </w:p>
    <w:p w14:paraId="53711369" w14:textId="0D2844F6" w:rsidR="002C789E" w:rsidRPr="00BD1B6F" w:rsidRDefault="00BC0C2A" w:rsidP="00FD2238">
      <w:pPr>
        <w:pStyle w:val="paragraph"/>
        <w:spacing w:before="240" w:beforeAutospacing="0" w:after="0" w:afterAutospacing="0" w:line="276" w:lineRule="auto"/>
        <w:jc w:val="both"/>
        <w:textAlignment w:val="baseline"/>
        <w:rPr>
          <w:color w:val="000000" w:themeColor="text1"/>
        </w:rPr>
      </w:pPr>
      <w:r w:rsidRPr="00BD1B6F">
        <w:rPr>
          <w:rStyle w:val="normaltextrun"/>
        </w:rPr>
        <w:t>Predanost reformskim naporima koji doprinose jačanju otpornosti hrvatskog gospodarstva, vidljiva je u ispunjavanju predviđenih obveza kao i u dinamici korištenja EU sredstava iz financijske perspektive 2014.</w:t>
      </w:r>
      <w:r>
        <w:rPr>
          <w:rStyle w:val="normaltextrun"/>
        </w:rPr>
        <w:t xml:space="preserve"> </w:t>
      </w:r>
      <w:r w:rsidRPr="00BD1B6F">
        <w:rPr>
          <w:rStyle w:val="normaltextrun"/>
        </w:rPr>
        <w:t>-</w:t>
      </w:r>
      <w:r>
        <w:rPr>
          <w:rStyle w:val="normaltextrun"/>
        </w:rPr>
        <w:t xml:space="preserve"> </w:t>
      </w:r>
      <w:r w:rsidRPr="00BD1B6F">
        <w:rPr>
          <w:rStyle w:val="normaltextrun"/>
        </w:rPr>
        <w:t>2020.</w:t>
      </w:r>
      <w:r>
        <w:rPr>
          <w:rStyle w:val="normaltextrun"/>
        </w:rPr>
        <w:t xml:space="preserve"> </w:t>
      </w:r>
      <w:r w:rsidRPr="00BD1B6F">
        <w:rPr>
          <w:rStyle w:val="normaltextrun"/>
        </w:rPr>
        <w:t xml:space="preserve">te u okviru Nacionalnog plana oporavka i otpornosti (u daljnjem tekstu: </w:t>
      </w:r>
      <w:r w:rsidRPr="00BD1B6F">
        <w:rPr>
          <w:rStyle w:val="normaltextrun"/>
          <w:b/>
          <w:bCs/>
        </w:rPr>
        <w:t>NPOO</w:t>
      </w:r>
      <w:r w:rsidRPr="00BD1B6F">
        <w:rPr>
          <w:rStyle w:val="normaltextrun"/>
        </w:rPr>
        <w:t xml:space="preserve">). </w:t>
      </w:r>
      <w:r>
        <w:rPr>
          <w:rStyle w:val="normaltextrun"/>
        </w:rPr>
        <w:t>U okviru prvog Višegodišnjeg financijskog okvira 2014. - 2020., d</w:t>
      </w:r>
      <w:r w:rsidRPr="00BD1B6F">
        <w:rPr>
          <w:rStyle w:val="normaltextrun"/>
        </w:rPr>
        <w:t xml:space="preserve">o kraja 2022. ugovoreno je projekata ukupne vrijednosti 13,79 milijardi </w:t>
      </w:r>
      <w:r w:rsidRPr="3D0097BF">
        <w:rPr>
          <w:rStyle w:val="normaltextrun"/>
        </w:rPr>
        <w:t>eura</w:t>
      </w:r>
      <w:r w:rsidRPr="00BD1B6F">
        <w:rPr>
          <w:rStyle w:val="normaltextrun"/>
        </w:rPr>
        <w:t xml:space="preserve">, odnosno 128,52% sredstava dodijeljenih Hrvatskoj. Od navedenog iznosa, korisnicima je isplaćeno ukupno 8,95 milijardi </w:t>
      </w:r>
      <w:r w:rsidRPr="3D0097BF">
        <w:rPr>
          <w:rStyle w:val="normaltextrun"/>
        </w:rPr>
        <w:t>eura</w:t>
      </w:r>
      <w:r w:rsidRPr="00BD1B6F">
        <w:rPr>
          <w:rStyle w:val="normaltextrun"/>
        </w:rPr>
        <w:t xml:space="preserve"> (83% sredstava), dok je ovjereno 7,6 milijardi </w:t>
      </w:r>
      <w:r w:rsidRPr="3D0097BF">
        <w:rPr>
          <w:rStyle w:val="normaltextrun"/>
        </w:rPr>
        <w:t>eura</w:t>
      </w:r>
      <w:r w:rsidRPr="00BD1B6F">
        <w:rPr>
          <w:rStyle w:val="normaltextrun"/>
        </w:rPr>
        <w:t xml:space="preserve"> (70,86% sredstava). Istovremeno, u provedbi </w:t>
      </w:r>
      <w:r>
        <w:rPr>
          <w:rStyle w:val="normaltextrun"/>
        </w:rPr>
        <w:t>reformi i investicija koje se financiraju iz Mehanizm</w:t>
      </w:r>
      <w:r w:rsidRPr="00BD1B6F">
        <w:rPr>
          <w:rStyle w:val="normaltextrun"/>
        </w:rPr>
        <w:t>a za oporavak i otpornost</w:t>
      </w:r>
      <w:r>
        <w:rPr>
          <w:rStyle w:val="normaltextrun"/>
        </w:rPr>
        <w:t>,</w:t>
      </w:r>
      <w:r w:rsidRPr="00BD1B6F">
        <w:rPr>
          <w:rStyle w:val="normaltextrun"/>
        </w:rPr>
        <w:t xml:space="preserve"> Hrvatska je među </w:t>
      </w:r>
      <w:r>
        <w:rPr>
          <w:rStyle w:val="normaltextrun"/>
        </w:rPr>
        <w:t>3</w:t>
      </w:r>
      <w:r w:rsidRPr="00BD1B6F">
        <w:rPr>
          <w:rStyle w:val="normaltextrun"/>
        </w:rPr>
        <w:t xml:space="preserve"> najuspješnije članice EU</w:t>
      </w:r>
      <w:r>
        <w:rPr>
          <w:rStyle w:val="normaltextrun"/>
        </w:rPr>
        <w:t>-a</w:t>
      </w:r>
      <w:r w:rsidRPr="00BD1B6F">
        <w:rPr>
          <w:rStyle w:val="normaltextrun"/>
        </w:rPr>
        <w:t xml:space="preserve"> te je u 2022. podnijela i drugi zahtjev za isplat</w:t>
      </w:r>
      <w:r>
        <w:rPr>
          <w:rStyle w:val="normaltextrun"/>
        </w:rPr>
        <w:t>u</w:t>
      </w:r>
      <w:r w:rsidRPr="00BD1B6F">
        <w:rPr>
          <w:rStyle w:val="normaltextrun"/>
        </w:rPr>
        <w:t xml:space="preserve"> tranše od 700 milijuna </w:t>
      </w:r>
      <w:r w:rsidRPr="3D0097BF">
        <w:rPr>
          <w:rStyle w:val="normaltextrun"/>
        </w:rPr>
        <w:t>eura</w:t>
      </w:r>
      <w:r w:rsidRPr="00BD1B6F">
        <w:rPr>
          <w:rStyle w:val="normaltextrun"/>
        </w:rPr>
        <w:t xml:space="preserve"> koji je isplaćen temeljem ispunjavanja svih utvrđenih reformskih obveza.</w:t>
      </w:r>
      <w:r>
        <w:rPr>
          <w:rStyle w:val="eop"/>
        </w:rPr>
        <w:t> </w:t>
      </w:r>
      <w:r w:rsidR="00887398">
        <w:rPr>
          <w:rStyle w:val="eop"/>
        </w:rPr>
        <w:t> </w:t>
      </w:r>
      <w:r w:rsidR="002C789E" w:rsidRPr="00BD1B6F">
        <w:rPr>
          <w:color w:val="000000" w:themeColor="text1"/>
        </w:rPr>
        <w:br w:type="page"/>
      </w:r>
    </w:p>
    <w:p w14:paraId="4E89440D" w14:textId="1F46DBEB" w:rsidR="00BF673E" w:rsidRPr="00BD1B6F" w:rsidRDefault="00BF673E" w:rsidP="00280456">
      <w:pPr>
        <w:pStyle w:val="Heading1"/>
        <w:rPr>
          <w:sz w:val="28"/>
          <w:szCs w:val="28"/>
        </w:rPr>
      </w:pPr>
      <w:bookmarkStart w:id="3" w:name="_Toc156819368"/>
      <w:r w:rsidRPr="00BD1B6F">
        <w:rPr>
          <w:sz w:val="28"/>
          <w:szCs w:val="28"/>
        </w:rPr>
        <w:lastRenderedPageBreak/>
        <w:t>Izvješ</w:t>
      </w:r>
      <w:r w:rsidR="61C96B90" w:rsidRPr="00BD1B6F">
        <w:rPr>
          <w:sz w:val="28"/>
          <w:szCs w:val="28"/>
        </w:rPr>
        <w:t>će</w:t>
      </w:r>
      <w:r w:rsidRPr="00BD1B6F">
        <w:rPr>
          <w:sz w:val="28"/>
          <w:szCs w:val="28"/>
        </w:rPr>
        <w:t xml:space="preserve"> o provedbi strateških ciljeva N</w:t>
      </w:r>
      <w:r w:rsidR="1C981415" w:rsidRPr="00BD1B6F">
        <w:rPr>
          <w:sz w:val="28"/>
          <w:szCs w:val="28"/>
        </w:rPr>
        <w:t>acionalne razvojne strategije</w:t>
      </w:r>
      <w:bookmarkEnd w:id="3"/>
    </w:p>
    <w:p w14:paraId="69880CDF" w14:textId="6F79CDFA" w:rsidR="00042254" w:rsidRPr="00BD1B6F" w:rsidRDefault="00B06856" w:rsidP="00280456">
      <w:pPr>
        <w:pStyle w:val="Heading2"/>
        <w:rPr>
          <w:sz w:val="24"/>
          <w:szCs w:val="24"/>
        </w:rPr>
      </w:pPr>
      <w:bookmarkStart w:id="4" w:name="_Hlk107488245"/>
      <w:bookmarkStart w:id="5" w:name="_Toc156819369"/>
      <w:r w:rsidRPr="00BD1B6F">
        <w:rPr>
          <w:sz w:val="24"/>
          <w:szCs w:val="24"/>
        </w:rPr>
        <w:t xml:space="preserve">1. </w:t>
      </w:r>
      <w:r w:rsidR="00856C62" w:rsidRPr="00BD1B6F">
        <w:rPr>
          <w:sz w:val="24"/>
          <w:szCs w:val="24"/>
        </w:rPr>
        <w:t>Konkurentno i inovativno gospodarstvo</w:t>
      </w:r>
      <w:bookmarkEnd w:id="4"/>
      <w:bookmarkEnd w:id="5"/>
    </w:p>
    <w:p w14:paraId="20A88B60" w14:textId="3AE0FE31" w:rsidR="00F565F1" w:rsidRPr="00BD1B6F" w:rsidRDefault="00343B4E" w:rsidP="00280456">
      <w:pPr>
        <w:pStyle w:val="Heading3"/>
        <w:rPr>
          <w:sz w:val="24"/>
          <w:szCs w:val="24"/>
        </w:rPr>
      </w:pPr>
      <w:bookmarkStart w:id="6" w:name="_Toc130784348"/>
      <w:bookmarkStart w:id="7" w:name="_Toc156819370"/>
      <w:r w:rsidRPr="00BD1B6F">
        <w:rPr>
          <w:sz w:val="24"/>
          <w:szCs w:val="24"/>
        </w:rPr>
        <w:t xml:space="preserve">1.1. </w:t>
      </w:r>
      <w:r w:rsidR="00AF34A9" w:rsidRPr="00BD1B6F">
        <w:rPr>
          <w:sz w:val="24"/>
          <w:szCs w:val="24"/>
        </w:rPr>
        <w:t>Ostvarene vrijednosti pokazatelja uspješnosti</w:t>
      </w:r>
      <w:bookmarkEnd w:id="6"/>
      <w:bookmarkEnd w:id="7"/>
      <w:r w:rsidR="00AF34A9" w:rsidRPr="00BD1B6F">
        <w:rPr>
          <w:sz w:val="24"/>
          <w:szCs w:val="24"/>
        </w:rPr>
        <w:t xml:space="preserve"> </w:t>
      </w:r>
    </w:p>
    <w:p w14:paraId="19DB1300" w14:textId="77777777" w:rsidR="00426ED6" w:rsidRPr="00BD1B6F" w:rsidRDefault="00426ED6" w:rsidP="00343B4E"/>
    <w:tbl>
      <w:tblPr>
        <w:tblStyle w:val="TableGrid"/>
        <w:tblW w:w="0" w:type="auto"/>
        <w:jc w:val="center"/>
        <w:tblBorders>
          <w:top w:val="dotted" w:sz="2" w:space="0" w:color="auto"/>
          <w:left w:val="dotted" w:sz="2" w:space="0" w:color="auto"/>
          <w:bottom w:val="dotted" w:sz="2" w:space="0" w:color="auto"/>
          <w:right w:val="dotted" w:sz="2" w:space="0" w:color="auto"/>
          <w:insideH w:val="dotted" w:sz="2" w:space="0" w:color="auto"/>
          <w:insideV w:val="none" w:sz="0" w:space="0" w:color="auto"/>
        </w:tblBorders>
        <w:shd w:val="clear" w:color="auto" w:fill="FFFFFF" w:themeFill="background1"/>
        <w:tblLook w:val="04A0" w:firstRow="1" w:lastRow="0" w:firstColumn="1" w:lastColumn="0" w:noHBand="0" w:noVBand="1"/>
      </w:tblPr>
      <w:tblGrid>
        <w:gridCol w:w="2788"/>
        <w:gridCol w:w="1947"/>
        <w:gridCol w:w="2095"/>
        <w:gridCol w:w="2236"/>
      </w:tblGrid>
      <w:tr w:rsidR="00AE5832" w:rsidRPr="008115FB" w14:paraId="4BD16DC0" w14:textId="4C0C4D64" w:rsidTr="00BE1F57">
        <w:trPr>
          <w:trHeight w:val="556"/>
          <w:jc w:val="center"/>
        </w:trPr>
        <w:tc>
          <w:tcPr>
            <w:tcW w:w="2830"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8D86DC4" w14:textId="0177FAEC" w:rsidR="00C641EE" w:rsidRPr="00BD1B6F" w:rsidRDefault="00C641EE" w:rsidP="00A54A1C">
            <w:pPr>
              <w:pStyle w:val="BodyText"/>
              <w:jc w:val="center"/>
              <w:rPr>
                <w:b/>
                <w:bCs/>
                <w:color w:val="000000" w:themeColor="text1"/>
              </w:rPr>
            </w:pPr>
            <w:bookmarkStart w:id="8" w:name="_Hlk99613860"/>
            <w:r w:rsidRPr="00BD1B6F">
              <w:rPr>
                <w:b/>
                <w:bCs/>
                <w:color w:val="000000" w:themeColor="text1"/>
              </w:rPr>
              <w:t>Pokazatelj uspješnosti</w:t>
            </w:r>
          </w:p>
        </w:tc>
        <w:tc>
          <w:tcPr>
            <w:tcW w:w="1975"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1F7DC28" w14:textId="1D8AB266" w:rsidR="00C641EE" w:rsidRPr="00BD1B6F" w:rsidRDefault="00C641EE" w:rsidP="00A54A1C">
            <w:pPr>
              <w:pStyle w:val="BodyText"/>
              <w:jc w:val="center"/>
              <w:rPr>
                <w:b/>
                <w:bCs/>
                <w:color w:val="000000" w:themeColor="text1"/>
              </w:rPr>
            </w:pPr>
            <w:r w:rsidRPr="00BD1B6F">
              <w:rPr>
                <w:b/>
                <w:bCs/>
                <w:color w:val="000000" w:themeColor="text1"/>
              </w:rPr>
              <w:t>Početna vrijednost</w:t>
            </w:r>
          </w:p>
        </w:tc>
        <w:tc>
          <w:tcPr>
            <w:tcW w:w="2129"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6397C08" w14:textId="6B4F1AB0" w:rsidR="001C41CC" w:rsidRPr="00BD1B6F" w:rsidRDefault="00C641EE" w:rsidP="00A54A1C">
            <w:pPr>
              <w:pStyle w:val="BodyText"/>
              <w:jc w:val="center"/>
              <w:rPr>
                <w:b/>
                <w:bCs/>
                <w:color w:val="000000" w:themeColor="text1"/>
              </w:rPr>
            </w:pPr>
            <w:r w:rsidRPr="00BD1B6F">
              <w:rPr>
                <w:b/>
                <w:bCs/>
                <w:color w:val="000000" w:themeColor="text1"/>
              </w:rPr>
              <w:t xml:space="preserve">Ciljna </w:t>
            </w:r>
          </w:p>
          <w:p w14:paraId="7CC5D035" w14:textId="41EE18C8" w:rsidR="00C641EE" w:rsidRPr="00BD1B6F" w:rsidRDefault="00C641EE" w:rsidP="00A54A1C">
            <w:pPr>
              <w:pStyle w:val="BodyText"/>
              <w:jc w:val="center"/>
              <w:rPr>
                <w:b/>
                <w:bCs/>
                <w:color w:val="000000" w:themeColor="text1"/>
              </w:rPr>
            </w:pPr>
            <w:r w:rsidRPr="00BD1B6F">
              <w:rPr>
                <w:b/>
                <w:bCs/>
                <w:color w:val="000000" w:themeColor="text1"/>
              </w:rPr>
              <w:t>vrijednost</w:t>
            </w:r>
          </w:p>
        </w:tc>
        <w:tc>
          <w:tcPr>
            <w:tcW w:w="2275"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5AC87596" w14:textId="77777777" w:rsidR="00535CB3" w:rsidRPr="00BD1B6F" w:rsidRDefault="00C641EE" w:rsidP="00A54A1C">
            <w:pPr>
              <w:pStyle w:val="BodyText"/>
              <w:jc w:val="center"/>
              <w:rPr>
                <w:b/>
                <w:bCs/>
                <w:color w:val="000000" w:themeColor="text1"/>
              </w:rPr>
            </w:pPr>
            <w:r w:rsidRPr="00BD1B6F">
              <w:rPr>
                <w:b/>
                <w:bCs/>
                <w:color w:val="000000" w:themeColor="text1"/>
              </w:rPr>
              <w:t xml:space="preserve">Ostvarena </w:t>
            </w:r>
          </w:p>
          <w:p w14:paraId="0F01C56E" w14:textId="0CE8D1E2" w:rsidR="00C641EE" w:rsidRPr="00BD1B6F" w:rsidRDefault="00C641EE" w:rsidP="00A54A1C">
            <w:pPr>
              <w:pStyle w:val="BodyText"/>
              <w:jc w:val="center"/>
              <w:rPr>
                <w:b/>
                <w:bCs/>
                <w:color w:val="000000" w:themeColor="text1"/>
              </w:rPr>
            </w:pPr>
            <w:r w:rsidRPr="00BD1B6F">
              <w:rPr>
                <w:b/>
                <w:bCs/>
                <w:color w:val="000000" w:themeColor="text1"/>
              </w:rPr>
              <w:t>vrijednost</w:t>
            </w:r>
          </w:p>
        </w:tc>
      </w:tr>
      <w:tr w:rsidR="00663F33" w:rsidRPr="008115FB" w14:paraId="6357D02B" w14:textId="22C02515" w:rsidTr="00FD2238">
        <w:trPr>
          <w:jc w:val="center"/>
        </w:trPr>
        <w:tc>
          <w:tcPr>
            <w:tcW w:w="2830" w:type="dxa"/>
            <w:tcBorders>
              <w:top w:val="dotted" w:sz="4" w:space="0" w:color="auto"/>
            </w:tcBorders>
            <w:shd w:val="clear" w:color="auto" w:fill="FFFFFF" w:themeFill="background1"/>
            <w:vAlign w:val="center"/>
          </w:tcPr>
          <w:p w14:paraId="3C6C3930" w14:textId="4DBB643B" w:rsidR="00663F33" w:rsidRPr="00BD1B6F" w:rsidRDefault="00663F33" w:rsidP="00806272">
            <w:pPr>
              <w:pStyle w:val="BodyText"/>
              <w:spacing w:line="276" w:lineRule="auto"/>
              <w:rPr>
                <w:color w:val="000000" w:themeColor="text1"/>
              </w:rPr>
            </w:pPr>
            <w:r w:rsidRPr="00BD1B6F">
              <w:rPr>
                <w:color w:val="000000" w:themeColor="text1"/>
              </w:rPr>
              <w:t>BDP po stanovniku prema paritetu kupovne moći, u % prosjeka EU-a</w:t>
            </w:r>
          </w:p>
        </w:tc>
        <w:tc>
          <w:tcPr>
            <w:tcW w:w="1975" w:type="dxa"/>
            <w:tcBorders>
              <w:top w:val="dotted" w:sz="4" w:space="0" w:color="auto"/>
            </w:tcBorders>
            <w:shd w:val="clear" w:color="auto" w:fill="DAEEF3" w:themeFill="accent5" w:themeFillTint="33"/>
            <w:vAlign w:val="center"/>
          </w:tcPr>
          <w:p w14:paraId="1EDAC97F" w14:textId="1CBE8B6A" w:rsidR="00663F33" w:rsidRPr="00BD1B6F" w:rsidRDefault="00663F33" w:rsidP="00806272">
            <w:pPr>
              <w:pStyle w:val="BodyText"/>
              <w:spacing w:line="276" w:lineRule="auto"/>
              <w:jc w:val="center"/>
              <w:rPr>
                <w:color w:val="000000" w:themeColor="text1"/>
              </w:rPr>
            </w:pPr>
            <w:r w:rsidRPr="00BD1B6F">
              <w:rPr>
                <w:color w:val="000000" w:themeColor="text1"/>
              </w:rPr>
              <w:t>65% (2019.)</w:t>
            </w:r>
          </w:p>
        </w:tc>
        <w:tc>
          <w:tcPr>
            <w:tcW w:w="2129" w:type="dxa"/>
            <w:tcBorders>
              <w:top w:val="dotted" w:sz="4" w:space="0" w:color="auto"/>
              <w:right w:val="dotted" w:sz="4" w:space="0" w:color="auto"/>
            </w:tcBorders>
            <w:shd w:val="clear" w:color="auto" w:fill="FFFFFF" w:themeFill="background1"/>
            <w:vAlign w:val="center"/>
          </w:tcPr>
          <w:p w14:paraId="4A70C58F" w14:textId="16D3F0BF" w:rsidR="00663F33" w:rsidRPr="00BD1B6F" w:rsidRDefault="00663F33" w:rsidP="00806272">
            <w:pPr>
              <w:pStyle w:val="BodyText"/>
              <w:spacing w:line="276" w:lineRule="auto"/>
              <w:jc w:val="center"/>
              <w:rPr>
                <w:color w:val="000000" w:themeColor="text1"/>
              </w:rPr>
            </w:pPr>
            <w:r w:rsidRPr="00BD1B6F">
              <w:rPr>
                <w:color w:val="000000" w:themeColor="text1"/>
              </w:rPr>
              <w:t>75%</w:t>
            </w:r>
          </w:p>
        </w:tc>
        <w:tc>
          <w:tcPr>
            <w:tcW w:w="2275"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405B5FD6" w14:textId="620754B3" w:rsidR="00663F33" w:rsidRPr="00BD1B6F" w:rsidRDefault="00663F33" w:rsidP="00806272">
            <w:pPr>
              <w:pStyle w:val="BodyText"/>
              <w:spacing w:line="276" w:lineRule="auto"/>
              <w:jc w:val="center"/>
              <w:divId w:val="613244467"/>
              <w:rPr>
                <w:color w:val="000000" w:themeColor="text1"/>
              </w:rPr>
            </w:pPr>
            <w:r w:rsidRPr="00BD1B6F">
              <w:rPr>
                <w:color w:val="000000" w:themeColor="text1"/>
              </w:rPr>
              <w:t> 73% (2022.) </w:t>
            </w:r>
          </w:p>
        </w:tc>
      </w:tr>
      <w:tr w:rsidR="00663F33" w:rsidRPr="008115FB" w14:paraId="0744D22E" w14:textId="7E8EA0ED" w:rsidTr="00FD2238">
        <w:trPr>
          <w:jc w:val="center"/>
        </w:trPr>
        <w:tc>
          <w:tcPr>
            <w:tcW w:w="2830" w:type="dxa"/>
            <w:shd w:val="clear" w:color="auto" w:fill="D9D9D9" w:themeFill="background1" w:themeFillShade="D9"/>
            <w:vAlign w:val="center"/>
          </w:tcPr>
          <w:p w14:paraId="3AD9FDEE" w14:textId="59CD52F5" w:rsidR="00663F33" w:rsidRPr="00BD1B6F" w:rsidRDefault="00663F33" w:rsidP="00806272">
            <w:pPr>
              <w:pStyle w:val="BodyText"/>
              <w:spacing w:line="276" w:lineRule="auto"/>
              <w:rPr>
                <w:i/>
                <w:iCs/>
                <w:color w:val="000000" w:themeColor="text1"/>
              </w:rPr>
            </w:pPr>
            <w:r w:rsidRPr="00BD1B6F">
              <w:rPr>
                <w:i/>
                <w:iCs/>
                <w:color w:val="000000" w:themeColor="text1"/>
              </w:rPr>
              <w:t>Indeks globalne konkurentnosti (GCI)</w:t>
            </w:r>
          </w:p>
        </w:tc>
        <w:tc>
          <w:tcPr>
            <w:tcW w:w="1975" w:type="dxa"/>
            <w:shd w:val="clear" w:color="auto" w:fill="D9D9D9" w:themeFill="background1" w:themeFillShade="D9"/>
            <w:vAlign w:val="center"/>
          </w:tcPr>
          <w:p w14:paraId="57EF540C" w14:textId="54F7338E" w:rsidR="00663F33" w:rsidRPr="00BD1B6F" w:rsidRDefault="00663F33" w:rsidP="00806272">
            <w:pPr>
              <w:pStyle w:val="BodyText"/>
              <w:spacing w:line="276" w:lineRule="auto"/>
              <w:jc w:val="center"/>
              <w:rPr>
                <w:i/>
                <w:iCs/>
                <w:color w:val="000000" w:themeColor="text1"/>
              </w:rPr>
            </w:pPr>
            <w:r w:rsidRPr="00BD1B6F">
              <w:rPr>
                <w:i/>
                <w:iCs/>
                <w:color w:val="000000" w:themeColor="text1"/>
              </w:rPr>
              <w:t>63. mjesto (2019.)</w:t>
            </w:r>
          </w:p>
        </w:tc>
        <w:tc>
          <w:tcPr>
            <w:tcW w:w="2129" w:type="dxa"/>
            <w:tcBorders>
              <w:right w:val="dotted" w:sz="4" w:space="0" w:color="auto"/>
            </w:tcBorders>
            <w:shd w:val="clear" w:color="auto" w:fill="D9D9D9" w:themeFill="background1" w:themeFillShade="D9"/>
            <w:vAlign w:val="center"/>
          </w:tcPr>
          <w:p w14:paraId="1378403B" w14:textId="7BAA3D89" w:rsidR="00663F33" w:rsidRPr="00BD1B6F" w:rsidRDefault="00663F33" w:rsidP="00806272">
            <w:pPr>
              <w:pStyle w:val="BodyText"/>
              <w:spacing w:line="276" w:lineRule="auto"/>
              <w:jc w:val="center"/>
              <w:rPr>
                <w:i/>
                <w:iCs/>
                <w:color w:val="000000" w:themeColor="text1"/>
              </w:rPr>
            </w:pPr>
            <w:r w:rsidRPr="00BD1B6F">
              <w:rPr>
                <w:i/>
                <w:iCs/>
                <w:color w:val="000000" w:themeColor="text1"/>
              </w:rPr>
              <w:t>&lt; 45. mjesta</w:t>
            </w:r>
          </w:p>
        </w:tc>
        <w:tc>
          <w:tcPr>
            <w:tcW w:w="227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0C0A4C0" w14:textId="62057C4A" w:rsidR="00663F33" w:rsidRPr="00BD1B6F" w:rsidRDefault="00DC12EE" w:rsidP="00806272">
            <w:pPr>
              <w:pStyle w:val="BodyText"/>
              <w:spacing w:line="276" w:lineRule="auto"/>
              <w:jc w:val="center"/>
              <w:rPr>
                <w:i/>
                <w:iCs/>
                <w:color w:val="000000" w:themeColor="text1"/>
              </w:rPr>
            </w:pPr>
            <w:r w:rsidRPr="00BD1B6F">
              <w:rPr>
                <w:i/>
                <w:iCs/>
                <w:color w:val="000000" w:themeColor="text1"/>
              </w:rPr>
              <w:t>Nisu dostupni noviji podaci</w:t>
            </w:r>
            <w:r w:rsidRPr="00BD1B6F">
              <w:rPr>
                <w:rStyle w:val="FootnoteReference"/>
                <w:i/>
                <w:iCs/>
                <w:color w:val="000000" w:themeColor="text1"/>
              </w:rPr>
              <w:footnoteReference w:id="2"/>
            </w:r>
          </w:p>
        </w:tc>
      </w:tr>
      <w:tr w:rsidR="006B2345" w:rsidRPr="008115FB" w14:paraId="22DD4969" w14:textId="77777777" w:rsidTr="00FD2238">
        <w:trPr>
          <w:trHeight w:val="708"/>
          <w:jc w:val="center"/>
        </w:trPr>
        <w:tc>
          <w:tcPr>
            <w:tcW w:w="2830" w:type="dxa"/>
            <w:shd w:val="clear" w:color="auto" w:fill="FFFFFF" w:themeFill="background1"/>
            <w:vAlign w:val="center"/>
          </w:tcPr>
          <w:p w14:paraId="2C64C79F" w14:textId="2293A417" w:rsidR="006B2345" w:rsidRPr="00BD1B6F" w:rsidRDefault="006B2345" w:rsidP="00806272">
            <w:pPr>
              <w:pStyle w:val="BodyText"/>
              <w:spacing w:line="276" w:lineRule="auto"/>
              <w:rPr>
                <w:b/>
                <w:color w:val="000000" w:themeColor="text1"/>
              </w:rPr>
            </w:pPr>
            <w:r w:rsidRPr="00BD1B6F">
              <w:rPr>
                <w:b/>
                <w:color w:val="000000" w:themeColor="text1"/>
              </w:rPr>
              <w:t>Poredak na ljestvici globalne konkurentnosti Instituta za razvoj poslovnog upravljanja (</w:t>
            </w:r>
            <w:r w:rsidR="2EE35BF1" w:rsidRPr="00BD1B6F">
              <w:rPr>
                <w:b/>
                <w:bCs/>
                <w:color w:val="000000" w:themeColor="text1"/>
              </w:rPr>
              <w:t xml:space="preserve">WCR, </w:t>
            </w:r>
            <w:r w:rsidRPr="00BD1B6F">
              <w:rPr>
                <w:b/>
                <w:color w:val="000000" w:themeColor="text1"/>
              </w:rPr>
              <w:t>IMD)</w:t>
            </w:r>
          </w:p>
        </w:tc>
        <w:tc>
          <w:tcPr>
            <w:tcW w:w="1975" w:type="dxa"/>
            <w:shd w:val="clear" w:color="auto" w:fill="DAEEF3" w:themeFill="accent5" w:themeFillTint="33"/>
            <w:vAlign w:val="center"/>
          </w:tcPr>
          <w:p w14:paraId="314AEDD0" w14:textId="24175A01" w:rsidR="006B2345" w:rsidRPr="00BD1B6F" w:rsidRDefault="006B2345" w:rsidP="00806272">
            <w:pPr>
              <w:pStyle w:val="BodyText"/>
              <w:spacing w:line="276" w:lineRule="auto"/>
              <w:jc w:val="center"/>
              <w:rPr>
                <w:b/>
                <w:color w:val="000000" w:themeColor="text1"/>
              </w:rPr>
            </w:pPr>
            <w:r w:rsidRPr="00BD1B6F">
              <w:rPr>
                <w:b/>
                <w:color w:val="000000" w:themeColor="text1"/>
              </w:rPr>
              <w:t xml:space="preserve">60. mjesto </w:t>
            </w:r>
          </w:p>
        </w:tc>
        <w:tc>
          <w:tcPr>
            <w:tcW w:w="2129" w:type="dxa"/>
            <w:tcBorders>
              <w:right w:val="dotted" w:sz="4" w:space="0" w:color="auto"/>
            </w:tcBorders>
            <w:shd w:val="clear" w:color="auto" w:fill="FFFFFF" w:themeFill="background1"/>
            <w:vAlign w:val="center"/>
          </w:tcPr>
          <w:p w14:paraId="2292103E" w14:textId="2EE4A072" w:rsidR="006B2345" w:rsidRPr="00BD1B6F" w:rsidRDefault="006B2345" w:rsidP="00806272">
            <w:pPr>
              <w:pStyle w:val="BodyText"/>
              <w:spacing w:line="276" w:lineRule="auto"/>
              <w:jc w:val="center"/>
              <w:rPr>
                <w:b/>
                <w:color w:val="000000" w:themeColor="text1"/>
              </w:rPr>
            </w:pPr>
            <w:r w:rsidRPr="00BD1B6F">
              <w:rPr>
                <w:b/>
                <w:color w:val="000000" w:themeColor="text1"/>
              </w:rPr>
              <w:t>n/p</w:t>
            </w:r>
          </w:p>
        </w:tc>
        <w:tc>
          <w:tcPr>
            <w:tcW w:w="2275"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5885DF88" w14:textId="13EC0537" w:rsidR="006B2345" w:rsidRPr="00BD1B6F" w:rsidRDefault="006B2345" w:rsidP="00806272">
            <w:pPr>
              <w:pStyle w:val="BodyText"/>
              <w:spacing w:line="276" w:lineRule="auto"/>
              <w:jc w:val="center"/>
              <w:rPr>
                <w:b/>
                <w:color w:val="000000" w:themeColor="text1"/>
              </w:rPr>
            </w:pPr>
            <w:r w:rsidRPr="00BD1B6F">
              <w:rPr>
                <w:b/>
                <w:color w:val="000000" w:themeColor="text1"/>
              </w:rPr>
              <w:t>46. mjesto</w:t>
            </w:r>
          </w:p>
        </w:tc>
      </w:tr>
      <w:tr w:rsidR="00663F33" w:rsidRPr="008115FB" w14:paraId="69B91074" w14:textId="58A34F38" w:rsidTr="00FD2238">
        <w:trPr>
          <w:jc w:val="center"/>
        </w:trPr>
        <w:tc>
          <w:tcPr>
            <w:tcW w:w="2830" w:type="dxa"/>
            <w:shd w:val="clear" w:color="auto" w:fill="FFFFFF" w:themeFill="background1"/>
            <w:vAlign w:val="center"/>
          </w:tcPr>
          <w:p w14:paraId="763FF1C5" w14:textId="288A30B7" w:rsidR="00663F33" w:rsidRPr="00BD1B6F" w:rsidRDefault="00663F33" w:rsidP="00806272">
            <w:pPr>
              <w:pStyle w:val="BodyText"/>
              <w:spacing w:line="276" w:lineRule="auto"/>
              <w:rPr>
                <w:color w:val="000000" w:themeColor="text1"/>
              </w:rPr>
            </w:pPr>
            <w:r w:rsidRPr="00BD1B6F">
              <w:rPr>
                <w:color w:val="000000" w:themeColor="text1"/>
              </w:rPr>
              <w:t xml:space="preserve">Europska ljestvica uspjeha u inoviranju </w:t>
            </w:r>
          </w:p>
        </w:tc>
        <w:tc>
          <w:tcPr>
            <w:tcW w:w="1975" w:type="dxa"/>
            <w:shd w:val="clear" w:color="auto" w:fill="DAEEF3" w:themeFill="accent5" w:themeFillTint="33"/>
            <w:vAlign w:val="center"/>
          </w:tcPr>
          <w:p w14:paraId="0E2B0237" w14:textId="1C6E775B" w:rsidR="00663F33" w:rsidRPr="00BD1B6F" w:rsidRDefault="00663F33" w:rsidP="00806272">
            <w:pPr>
              <w:pStyle w:val="BodyText"/>
              <w:spacing w:line="276" w:lineRule="auto"/>
              <w:jc w:val="center"/>
              <w:rPr>
                <w:color w:val="000000" w:themeColor="text1"/>
              </w:rPr>
            </w:pPr>
            <w:r w:rsidRPr="00BD1B6F">
              <w:rPr>
                <w:color w:val="000000" w:themeColor="text1"/>
              </w:rPr>
              <w:t>25. mjesto u EU (2020.)</w:t>
            </w:r>
          </w:p>
        </w:tc>
        <w:tc>
          <w:tcPr>
            <w:tcW w:w="2129" w:type="dxa"/>
            <w:tcBorders>
              <w:right w:val="dotted" w:sz="4" w:space="0" w:color="auto"/>
            </w:tcBorders>
            <w:shd w:val="clear" w:color="auto" w:fill="FFFFFF" w:themeFill="background1"/>
            <w:vAlign w:val="center"/>
          </w:tcPr>
          <w:p w14:paraId="23009DF9" w14:textId="12C5A980" w:rsidR="00663F33" w:rsidRPr="00BD1B6F" w:rsidRDefault="00663F33" w:rsidP="00806272">
            <w:pPr>
              <w:pStyle w:val="BodyText"/>
              <w:spacing w:line="276" w:lineRule="auto"/>
              <w:jc w:val="center"/>
              <w:rPr>
                <w:color w:val="000000" w:themeColor="text1"/>
              </w:rPr>
            </w:pPr>
            <w:r w:rsidRPr="00BD1B6F">
              <w:rPr>
                <w:color w:val="000000" w:themeColor="text1"/>
              </w:rPr>
              <w:t>&lt;18. mjesta</w:t>
            </w:r>
          </w:p>
        </w:tc>
        <w:tc>
          <w:tcPr>
            <w:tcW w:w="2275"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0C22EFEA" w14:textId="7500B9E4" w:rsidR="00663F33" w:rsidRPr="00BD1B6F" w:rsidRDefault="004204A7" w:rsidP="00806272">
            <w:pPr>
              <w:pStyle w:val="BodyText"/>
              <w:spacing w:line="276" w:lineRule="auto"/>
              <w:jc w:val="center"/>
              <w:divId w:val="1690375641"/>
              <w:rPr>
                <w:color w:val="000000" w:themeColor="text1"/>
              </w:rPr>
            </w:pPr>
            <w:r w:rsidRPr="00BD1B6F">
              <w:rPr>
                <w:color w:val="000000" w:themeColor="text1"/>
              </w:rPr>
              <w:t>22. mjesto (2022.)</w:t>
            </w:r>
          </w:p>
        </w:tc>
      </w:tr>
      <w:tr w:rsidR="00663F33" w:rsidRPr="008115FB" w14:paraId="1983912A" w14:textId="24F45613" w:rsidTr="00FD2238">
        <w:trPr>
          <w:jc w:val="center"/>
        </w:trPr>
        <w:tc>
          <w:tcPr>
            <w:tcW w:w="2830" w:type="dxa"/>
            <w:shd w:val="clear" w:color="auto" w:fill="FFFFFF" w:themeFill="background1"/>
            <w:vAlign w:val="center"/>
          </w:tcPr>
          <w:p w14:paraId="7BB9186A" w14:textId="587B97D3" w:rsidR="00663F33" w:rsidRPr="00BD1B6F" w:rsidRDefault="00663F33" w:rsidP="00806272">
            <w:pPr>
              <w:pStyle w:val="BodyText"/>
              <w:spacing w:line="276" w:lineRule="auto"/>
              <w:rPr>
                <w:color w:val="000000" w:themeColor="text1"/>
              </w:rPr>
            </w:pPr>
            <w:r w:rsidRPr="00BD1B6F">
              <w:rPr>
                <w:color w:val="000000" w:themeColor="text1"/>
              </w:rPr>
              <w:t>Udio ukupnih izdataka za istraživanje i razvoj (GERD) u BDP-u</w:t>
            </w:r>
          </w:p>
        </w:tc>
        <w:tc>
          <w:tcPr>
            <w:tcW w:w="1975" w:type="dxa"/>
            <w:shd w:val="clear" w:color="auto" w:fill="DAEEF3" w:themeFill="accent5" w:themeFillTint="33"/>
            <w:vAlign w:val="center"/>
          </w:tcPr>
          <w:p w14:paraId="06EA9864" w14:textId="1F195EF8" w:rsidR="00663F33" w:rsidRPr="00BD1B6F" w:rsidRDefault="00663F33" w:rsidP="00806272">
            <w:pPr>
              <w:pStyle w:val="BodyText"/>
              <w:spacing w:line="276" w:lineRule="auto"/>
              <w:jc w:val="center"/>
              <w:rPr>
                <w:color w:val="000000" w:themeColor="text1"/>
              </w:rPr>
            </w:pPr>
            <w:r w:rsidRPr="00BD1B6F">
              <w:rPr>
                <w:color w:val="000000" w:themeColor="text1"/>
              </w:rPr>
              <w:t>0,97% (2018.)</w:t>
            </w:r>
          </w:p>
        </w:tc>
        <w:tc>
          <w:tcPr>
            <w:tcW w:w="2129" w:type="dxa"/>
            <w:tcBorders>
              <w:right w:val="dotted" w:sz="4" w:space="0" w:color="auto"/>
            </w:tcBorders>
            <w:shd w:val="clear" w:color="auto" w:fill="FFFFFF" w:themeFill="background1"/>
            <w:vAlign w:val="center"/>
          </w:tcPr>
          <w:p w14:paraId="70E4EDCC" w14:textId="440447F3" w:rsidR="00663F33" w:rsidRPr="00BD1B6F" w:rsidRDefault="00663F33" w:rsidP="00806272">
            <w:pPr>
              <w:pStyle w:val="BodyText"/>
              <w:spacing w:line="276" w:lineRule="auto"/>
              <w:jc w:val="center"/>
              <w:rPr>
                <w:color w:val="000000" w:themeColor="text1"/>
              </w:rPr>
            </w:pPr>
            <w:r w:rsidRPr="00BD1B6F">
              <w:rPr>
                <w:color w:val="000000" w:themeColor="text1"/>
              </w:rPr>
              <w:t>3%</w:t>
            </w:r>
          </w:p>
        </w:tc>
        <w:tc>
          <w:tcPr>
            <w:tcW w:w="2275"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4C96D1CC" w14:textId="1EDD6E59" w:rsidR="00663F33" w:rsidRPr="00BD1B6F" w:rsidRDefault="004204A7" w:rsidP="00806272">
            <w:pPr>
              <w:pStyle w:val="BodyText"/>
              <w:spacing w:line="276" w:lineRule="auto"/>
              <w:jc w:val="center"/>
              <w:rPr>
                <w:color w:val="000000" w:themeColor="text1"/>
              </w:rPr>
            </w:pPr>
            <w:r w:rsidRPr="00BD1B6F">
              <w:rPr>
                <w:color w:val="000000" w:themeColor="text1"/>
              </w:rPr>
              <w:t>1,</w:t>
            </w:r>
            <w:r w:rsidR="004B7017">
              <w:rPr>
                <w:color w:val="000000" w:themeColor="text1"/>
              </w:rPr>
              <w:t>43</w:t>
            </w:r>
            <w:r w:rsidRPr="00BD1B6F">
              <w:rPr>
                <w:color w:val="000000" w:themeColor="text1"/>
              </w:rPr>
              <w:t>% (202</w:t>
            </w:r>
            <w:r w:rsidR="004B7017">
              <w:rPr>
                <w:color w:val="000000" w:themeColor="text1"/>
              </w:rPr>
              <w:t>2</w:t>
            </w:r>
            <w:r w:rsidRPr="00BD1B6F">
              <w:rPr>
                <w:color w:val="000000" w:themeColor="text1"/>
              </w:rPr>
              <w:t>.)</w:t>
            </w:r>
          </w:p>
        </w:tc>
      </w:tr>
      <w:tr w:rsidR="00663F33" w:rsidRPr="008115FB" w14:paraId="7E135FA2" w14:textId="43B0FB92" w:rsidTr="00FD2238">
        <w:trPr>
          <w:trHeight w:val="710"/>
          <w:jc w:val="center"/>
        </w:trPr>
        <w:tc>
          <w:tcPr>
            <w:tcW w:w="2830" w:type="dxa"/>
            <w:shd w:val="clear" w:color="auto" w:fill="FFFFFF" w:themeFill="background1"/>
            <w:vAlign w:val="center"/>
          </w:tcPr>
          <w:p w14:paraId="6764BB04" w14:textId="187C4E19" w:rsidR="00663F33" w:rsidRPr="00BD1B6F" w:rsidRDefault="00663F33" w:rsidP="00806272">
            <w:pPr>
              <w:pStyle w:val="BodyText"/>
              <w:spacing w:line="276" w:lineRule="auto"/>
              <w:rPr>
                <w:color w:val="000000" w:themeColor="text1"/>
              </w:rPr>
            </w:pPr>
            <w:r w:rsidRPr="00BD1B6F">
              <w:rPr>
                <w:color w:val="000000" w:themeColor="text1"/>
              </w:rPr>
              <w:t>Vrijednost izvoza roba i usluga, u % BDP-a</w:t>
            </w:r>
          </w:p>
        </w:tc>
        <w:tc>
          <w:tcPr>
            <w:tcW w:w="1975" w:type="dxa"/>
            <w:shd w:val="clear" w:color="auto" w:fill="DAEEF3" w:themeFill="accent5" w:themeFillTint="33"/>
            <w:vAlign w:val="center"/>
          </w:tcPr>
          <w:p w14:paraId="1E678297" w14:textId="64B95740" w:rsidR="00663F33" w:rsidRPr="00BD1B6F" w:rsidRDefault="00663F33" w:rsidP="00806272">
            <w:pPr>
              <w:pStyle w:val="BodyText"/>
              <w:spacing w:line="276" w:lineRule="auto"/>
              <w:jc w:val="center"/>
              <w:rPr>
                <w:color w:val="000000" w:themeColor="text1"/>
              </w:rPr>
            </w:pPr>
            <w:r w:rsidRPr="00BD1B6F">
              <w:rPr>
                <w:color w:val="000000" w:themeColor="text1"/>
              </w:rPr>
              <w:t>52,3% (2019.)</w:t>
            </w:r>
          </w:p>
        </w:tc>
        <w:tc>
          <w:tcPr>
            <w:tcW w:w="2129" w:type="dxa"/>
            <w:tcBorders>
              <w:right w:val="dotted" w:sz="4" w:space="0" w:color="auto"/>
            </w:tcBorders>
            <w:shd w:val="clear" w:color="auto" w:fill="FFFFFF" w:themeFill="background1"/>
            <w:vAlign w:val="center"/>
          </w:tcPr>
          <w:p w14:paraId="0409912F" w14:textId="734914CF" w:rsidR="00663F33" w:rsidRPr="00BD1B6F" w:rsidRDefault="00663F33" w:rsidP="00806272">
            <w:pPr>
              <w:pStyle w:val="BodyText"/>
              <w:spacing w:line="276" w:lineRule="auto"/>
              <w:jc w:val="center"/>
              <w:rPr>
                <w:color w:val="000000" w:themeColor="text1"/>
              </w:rPr>
            </w:pPr>
            <w:r w:rsidRPr="00BD1B6F">
              <w:rPr>
                <w:color w:val="000000" w:themeColor="text1"/>
              </w:rPr>
              <w:t>70%</w:t>
            </w:r>
          </w:p>
        </w:tc>
        <w:tc>
          <w:tcPr>
            <w:tcW w:w="2275"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77AFD86B" w14:textId="287250B3" w:rsidR="00663F33" w:rsidRPr="00BD1B6F" w:rsidRDefault="00806272" w:rsidP="00806272">
            <w:pPr>
              <w:pStyle w:val="BodyText"/>
              <w:spacing w:line="276" w:lineRule="auto"/>
              <w:jc w:val="center"/>
              <w:divId w:val="998197835"/>
              <w:rPr>
                <w:color w:val="000000" w:themeColor="text1"/>
              </w:rPr>
            </w:pPr>
            <w:r>
              <w:rPr>
                <w:color w:val="000000" w:themeColor="text1"/>
              </w:rPr>
              <w:t>6</w:t>
            </w:r>
            <w:r w:rsidR="00B9507D">
              <w:rPr>
                <w:color w:val="000000" w:themeColor="text1"/>
              </w:rPr>
              <w:t>0</w:t>
            </w:r>
            <w:r w:rsidR="00A93B2E">
              <w:rPr>
                <w:color w:val="000000" w:themeColor="text1"/>
              </w:rPr>
              <w:t>,</w:t>
            </w:r>
            <w:r w:rsidR="00B9507D">
              <w:rPr>
                <w:color w:val="000000" w:themeColor="text1"/>
              </w:rPr>
              <w:t xml:space="preserve">2% </w:t>
            </w:r>
            <w:r w:rsidR="00663F33" w:rsidRPr="00BD1B6F">
              <w:rPr>
                <w:color w:val="000000" w:themeColor="text1"/>
              </w:rPr>
              <w:t>(202</w:t>
            </w:r>
            <w:r w:rsidR="00F97E6D" w:rsidRPr="00BD1B6F">
              <w:rPr>
                <w:color w:val="000000" w:themeColor="text1"/>
              </w:rPr>
              <w:t>2</w:t>
            </w:r>
            <w:r w:rsidR="00663F33" w:rsidRPr="00BD1B6F">
              <w:rPr>
                <w:color w:val="000000" w:themeColor="text1"/>
              </w:rPr>
              <w:t>.)</w:t>
            </w:r>
          </w:p>
        </w:tc>
      </w:tr>
    </w:tbl>
    <w:p w14:paraId="057608E5" w14:textId="77777777" w:rsidR="00073332" w:rsidRPr="00BD1B6F" w:rsidRDefault="00073332" w:rsidP="00D318BD">
      <w:pPr>
        <w:ind w:left="851"/>
        <w:jc w:val="both"/>
        <w:rPr>
          <w:b/>
          <w:bCs/>
          <w:sz w:val="24"/>
          <w:szCs w:val="24"/>
        </w:rPr>
      </w:pPr>
      <w:bookmarkStart w:id="9" w:name="_Toc130784349"/>
      <w:bookmarkEnd w:id="8"/>
    </w:p>
    <w:p w14:paraId="46C3ED1B" w14:textId="77777777" w:rsidR="00794AAF" w:rsidRDefault="00794AAF" w:rsidP="004C1D5B">
      <w:bookmarkStart w:id="10" w:name="_Toc104741122"/>
      <w:bookmarkStart w:id="11" w:name="_Toc104746587"/>
      <w:bookmarkStart w:id="12" w:name="_Toc104746804"/>
      <w:bookmarkStart w:id="13" w:name="_Toc104747015"/>
      <w:bookmarkStart w:id="14" w:name="_Toc104741123"/>
      <w:bookmarkStart w:id="15" w:name="_Toc104746588"/>
      <w:bookmarkStart w:id="16" w:name="_Toc104746805"/>
      <w:bookmarkStart w:id="17" w:name="_Toc104747016"/>
      <w:bookmarkStart w:id="18" w:name="_Toc104741124"/>
      <w:bookmarkStart w:id="19" w:name="_Toc104746589"/>
      <w:bookmarkStart w:id="20" w:name="_Toc104746806"/>
      <w:bookmarkStart w:id="21" w:name="_Toc104747017"/>
      <w:bookmarkStart w:id="22" w:name="_Toc104741125"/>
      <w:bookmarkStart w:id="23" w:name="_Toc104746590"/>
      <w:bookmarkStart w:id="24" w:name="_Toc104746807"/>
      <w:bookmarkStart w:id="25" w:name="_Toc104747018"/>
      <w:bookmarkStart w:id="26" w:name="_Toc104741126"/>
      <w:bookmarkStart w:id="27" w:name="_Toc104746591"/>
      <w:bookmarkStart w:id="28" w:name="_Toc104746808"/>
      <w:bookmarkStart w:id="29" w:name="_Toc104747019"/>
      <w:bookmarkStart w:id="30" w:name="_Toc104741127"/>
      <w:bookmarkStart w:id="31" w:name="_Toc104746592"/>
      <w:bookmarkStart w:id="32" w:name="_Toc104746809"/>
      <w:bookmarkStart w:id="33" w:name="_Toc104747020"/>
      <w:bookmarkStart w:id="34" w:name="_Toc104741128"/>
      <w:bookmarkStart w:id="35" w:name="_Toc104746593"/>
      <w:bookmarkStart w:id="36" w:name="_Toc104746810"/>
      <w:bookmarkStart w:id="37" w:name="_Toc104747021"/>
      <w:bookmarkStart w:id="38" w:name="_Toc104741129"/>
      <w:bookmarkStart w:id="39" w:name="_Toc104746594"/>
      <w:bookmarkStart w:id="40" w:name="_Toc104746811"/>
      <w:bookmarkStart w:id="41" w:name="_Toc104747022"/>
      <w:bookmarkStart w:id="42" w:name="_Toc104741130"/>
      <w:bookmarkStart w:id="43" w:name="_Toc104746595"/>
      <w:bookmarkStart w:id="44" w:name="_Toc104746812"/>
      <w:bookmarkStart w:id="45" w:name="_Toc104747023"/>
      <w:bookmarkStart w:id="46" w:name="_Toc104741131"/>
      <w:bookmarkStart w:id="47" w:name="_Toc104746596"/>
      <w:bookmarkStart w:id="48" w:name="_Toc104746813"/>
      <w:bookmarkStart w:id="49" w:name="_Toc104747024"/>
      <w:bookmarkStart w:id="50" w:name="_Toc104741132"/>
      <w:bookmarkStart w:id="51" w:name="_Toc104746597"/>
      <w:bookmarkStart w:id="52" w:name="_Toc104746814"/>
      <w:bookmarkStart w:id="53" w:name="_Toc104747025"/>
      <w:bookmarkStart w:id="54" w:name="_Toc104741133"/>
      <w:bookmarkStart w:id="55" w:name="_Toc104746598"/>
      <w:bookmarkStart w:id="56" w:name="_Toc104746815"/>
      <w:bookmarkStart w:id="57" w:name="_Toc10474702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3309486" w14:textId="1B68A0CB" w:rsidR="00261744" w:rsidRPr="00BD1B6F" w:rsidRDefault="007B61D1" w:rsidP="00FD2238">
      <w:pPr>
        <w:pStyle w:val="Heading2"/>
        <w:ind w:left="426" w:firstLine="0"/>
        <w:rPr>
          <w:sz w:val="24"/>
          <w:szCs w:val="24"/>
        </w:rPr>
      </w:pPr>
      <w:bookmarkStart w:id="58" w:name="_Toc156819371"/>
      <w:r w:rsidRPr="00BD1B6F">
        <w:rPr>
          <w:sz w:val="24"/>
          <w:szCs w:val="24"/>
        </w:rPr>
        <w:t>1.</w:t>
      </w:r>
      <w:r w:rsidR="006067FA">
        <w:rPr>
          <w:sz w:val="24"/>
          <w:szCs w:val="24"/>
        </w:rPr>
        <w:t>2</w:t>
      </w:r>
      <w:r w:rsidRPr="00BD1B6F">
        <w:rPr>
          <w:sz w:val="24"/>
          <w:szCs w:val="24"/>
        </w:rPr>
        <w:t xml:space="preserve">. </w:t>
      </w:r>
      <w:r w:rsidR="0024518C" w:rsidRPr="00BD1B6F">
        <w:rPr>
          <w:sz w:val="24"/>
          <w:szCs w:val="24"/>
        </w:rPr>
        <w:t>Opis napretka u provedbi strate</w:t>
      </w:r>
      <w:r w:rsidRPr="00BD1B6F">
        <w:rPr>
          <w:sz w:val="24"/>
          <w:szCs w:val="24"/>
        </w:rPr>
        <w:t>škog cilja Konkurentno i inovativno gospodarstvo</w:t>
      </w:r>
      <w:bookmarkEnd w:id="58"/>
    </w:p>
    <w:p w14:paraId="63D6681D" w14:textId="5AE0F12B" w:rsidR="007B61D1" w:rsidRPr="00BD1B6F" w:rsidRDefault="007B61D1" w:rsidP="00FD2238">
      <w:pPr>
        <w:widowControl/>
        <w:autoSpaceDE/>
        <w:autoSpaceDN/>
        <w:spacing w:before="240" w:line="276" w:lineRule="auto"/>
        <w:ind w:left="426"/>
        <w:rPr>
          <w:rFonts w:eastAsia="Calibri"/>
          <w:b/>
          <w:bCs/>
          <w:kern w:val="2"/>
          <w:sz w:val="24"/>
          <w:szCs w:val="24"/>
        </w:rPr>
      </w:pPr>
      <w:r w:rsidRPr="00BD1B6F">
        <w:rPr>
          <w:rFonts w:eastAsia="Calibri"/>
          <w:b/>
          <w:bCs/>
          <w:kern w:val="2"/>
          <w:sz w:val="24"/>
          <w:szCs w:val="24"/>
        </w:rPr>
        <w:t xml:space="preserve">Razvoj globalno konkurentne, zelene i digitalne industrije </w:t>
      </w:r>
    </w:p>
    <w:p w14:paraId="62763018" w14:textId="77777777" w:rsidR="00B744AD" w:rsidRPr="00BD1B6F" w:rsidRDefault="00B744AD" w:rsidP="00B744AD">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U okolnostima vanjskih šokova uzrokovanih posljedicama pandemije COVID-19, razornim potresima te ruskom agresijom na Ukrajinu, hrvatsko gospodarstvo je i u 2022. pokazalo iznimnu otpornost te </w:t>
      </w:r>
      <w:r>
        <w:rPr>
          <w:rFonts w:eastAsia="Calibri"/>
          <w:kern w:val="2"/>
          <w:sz w:val="24"/>
          <w:szCs w:val="24"/>
        </w:rPr>
        <w:t>sposobnost</w:t>
      </w:r>
      <w:r w:rsidRPr="00BD1B6F">
        <w:rPr>
          <w:rFonts w:eastAsia="Calibri"/>
          <w:kern w:val="2"/>
          <w:sz w:val="24"/>
          <w:szCs w:val="24"/>
        </w:rPr>
        <w:t xml:space="preserve"> brzog oporavka. </w:t>
      </w:r>
    </w:p>
    <w:p w14:paraId="6B1FF357" w14:textId="77777777" w:rsidR="00B744AD" w:rsidRPr="00BD1B6F" w:rsidRDefault="00B744AD" w:rsidP="00B744AD">
      <w:pPr>
        <w:widowControl/>
        <w:autoSpaceDE/>
        <w:autoSpaceDN/>
        <w:spacing w:before="240" w:line="276" w:lineRule="auto"/>
        <w:jc w:val="both"/>
        <w:rPr>
          <w:rFonts w:eastAsia="Calibri"/>
          <w:kern w:val="2"/>
          <w:sz w:val="24"/>
          <w:szCs w:val="24"/>
        </w:rPr>
      </w:pPr>
      <w:r w:rsidRPr="00BD1B6F">
        <w:rPr>
          <w:rFonts w:eastAsia="Calibri"/>
          <w:kern w:val="2"/>
          <w:sz w:val="24"/>
          <w:szCs w:val="24"/>
        </w:rPr>
        <w:t>Prema Izvješću o globalnoj konkurentnosti, Instituta za razvoj poslovnog upravljanja (IMD) iz Lausannea (CH), Hrvatska je u 2022. zauzela 46. mjesto na ljestvici Svjetskog centra za konkurentnost (19. mjesto u EU), što predstavlja skok za 13 mjesta u odnosu na 2021., čime je Hrvatska ostvarila najveći pozitivni pomak od svih zemalja koje su bile obuhvaćene istraživanjem. Prema navedenom Izvješću, Hrvatska je ostvarila napredak u svim područjima konkurentnosti, a najveća su poboljšanja zabilje</w:t>
      </w:r>
      <w:r w:rsidRPr="00BD1B6F">
        <w:rPr>
          <w:rFonts w:eastAsia="Calibri"/>
          <w:kern w:val="2"/>
          <w:sz w:val="24"/>
          <w:szCs w:val="24"/>
        </w:rPr>
        <w:lastRenderedPageBreak/>
        <w:t>žena u području gospodarskih rezultata te učinkovitosti rada javnog i poslovnog sektora. Odgovorno upravljanje makroekonomskom i fiskalnom politikom, uz pravovremeno aktiviranje mjera za borbu s energetskom krizom i učinkovito korištenje sredstava iz EU fondova te nastavak reformi u javnom sektoru, značajno su doprinijeli unapr</w:t>
      </w:r>
      <w:r>
        <w:rPr>
          <w:rFonts w:eastAsia="Calibri"/>
          <w:kern w:val="2"/>
          <w:sz w:val="24"/>
          <w:szCs w:val="24"/>
        </w:rPr>
        <w:t>j</w:t>
      </w:r>
      <w:r w:rsidRPr="00BD1B6F">
        <w:rPr>
          <w:rFonts w:eastAsia="Calibri"/>
          <w:kern w:val="2"/>
          <w:sz w:val="24"/>
          <w:szCs w:val="24"/>
        </w:rPr>
        <w:t xml:space="preserve">eđenju konkurentnosti domaćeg gospodarstva. </w:t>
      </w:r>
    </w:p>
    <w:p w14:paraId="43C73CA7" w14:textId="77777777" w:rsidR="00B744AD" w:rsidRPr="00BD1B6F" w:rsidRDefault="00B744AD" w:rsidP="00B744AD">
      <w:pPr>
        <w:widowControl/>
        <w:autoSpaceDE/>
        <w:autoSpaceDN/>
        <w:spacing w:before="240" w:line="276" w:lineRule="auto"/>
        <w:jc w:val="both"/>
        <w:rPr>
          <w:rFonts w:eastAsia="Calibri"/>
          <w:kern w:val="2"/>
          <w:sz w:val="24"/>
          <w:szCs w:val="24"/>
        </w:rPr>
      </w:pPr>
      <w:r>
        <w:rPr>
          <w:rFonts w:eastAsia="Calibri"/>
          <w:kern w:val="2"/>
          <w:sz w:val="24"/>
          <w:szCs w:val="24"/>
        </w:rPr>
        <w:t>U</w:t>
      </w:r>
      <w:r w:rsidRPr="00BD1B6F">
        <w:rPr>
          <w:rFonts w:eastAsia="Calibri"/>
          <w:kern w:val="2"/>
          <w:sz w:val="24"/>
          <w:szCs w:val="24"/>
        </w:rPr>
        <w:t xml:space="preserve"> 2022. je ostvaren snažan gospodarski rast</w:t>
      </w:r>
      <w:r>
        <w:rPr>
          <w:rFonts w:eastAsia="Calibri"/>
          <w:kern w:val="2"/>
          <w:sz w:val="24"/>
          <w:szCs w:val="24"/>
        </w:rPr>
        <w:t xml:space="preserve">, na što ukazuju </w:t>
      </w:r>
      <w:r w:rsidRPr="00BD1B6F">
        <w:rPr>
          <w:rFonts w:eastAsia="Calibri"/>
          <w:kern w:val="2"/>
          <w:sz w:val="24"/>
          <w:szCs w:val="24"/>
        </w:rPr>
        <w:t>podaci</w:t>
      </w:r>
      <w:r>
        <w:rPr>
          <w:rFonts w:eastAsia="Calibri"/>
          <w:kern w:val="2"/>
          <w:sz w:val="24"/>
          <w:szCs w:val="24"/>
        </w:rPr>
        <w:t xml:space="preserve"> o</w:t>
      </w:r>
      <w:r w:rsidRPr="00BD1B6F">
        <w:rPr>
          <w:rFonts w:eastAsia="Calibri"/>
          <w:kern w:val="2"/>
          <w:sz w:val="24"/>
          <w:szCs w:val="24"/>
        </w:rPr>
        <w:t xml:space="preserve"> </w:t>
      </w:r>
      <w:r w:rsidRPr="008115FB">
        <w:rPr>
          <w:rFonts w:eastAsia="Calibri"/>
          <w:kern w:val="2"/>
          <w:sz w:val="24"/>
          <w:szCs w:val="24"/>
        </w:rPr>
        <w:t>BPD</w:t>
      </w:r>
      <w:r>
        <w:rPr>
          <w:rFonts w:eastAsia="Calibri"/>
          <w:kern w:val="2"/>
          <w:sz w:val="24"/>
          <w:szCs w:val="24"/>
        </w:rPr>
        <w:t>-u koji je u 2022.</w:t>
      </w:r>
      <w:r w:rsidRPr="00BD1B6F">
        <w:rPr>
          <w:rFonts w:eastAsia="Calibri"/>
          <w:kern w:val="2"/>
          <w:sz w:val="24"/>
          <w:szCs w:val="24"/>
        </w:rPr>
        <w:t xml:space="preserve"> zabilježio realni rast od 6,</w:t>
      </w:r>
      <w:r>
        <w:rPr>
          <w:rFonts w:eastAsia="Calibri"/>
          <w:kern w:val="2"/>
          <w:sz w:val="24"/>
          <w:szCs w:val="24"/>
        </w:rPr>
        <w:t>3</w:t>
      </w:r>
      <w:r w:rsidRPr="00BD1B6F">
        <w:rPr>
          <w:rFonts w:eastAsia="Calibri"/>
          <w:kern w:val="2"/>
          <w:sz w:val="24"/>
          <w:szCs w:val="24"/>
        </w:rPr>
        <w:t>% u odnosu na 2021. te je u tekućim cijenama iznosio ukupno 67,39 milijardi eura, odnosno 17.486 eura po stanovniku. Mjereno prema paritetu kupovne moći, udio BDP-a po stanovniku, u prosjeku država članica EU-a, porastao</w:t>
      </w:r>
      <w:r>
        <w:rPr>
          <w:rFonts w:eastAsia="Calibri"/>
          <w:kern w:val="2"/>
          <w:sz w:val="24"/>
          <w:szCs w:val="24"/>
        </w:rPr>
        <w:t xml:space="preserve"> je</w:t>
      </w:r>
      <w:r w:rsidRPr="00BD1B6F">
        <w:rPr>
          <w:rFonts w:eastAsia="Calibri"/>
          <w:kern w:val="2"/>
          <w:sz w:val="24"/>
          <w:szCs w:val="24"/>
        </w:rPr>
        <w:t xml:space="preserve"> na 73% u 2022. te je gotovo dostigao ciljnu vrijednost od 75% BDP-a. Najveći doprinos rastu BDP-a osiguran je rastom izvoza roba i usluga te osobne potrošnje i investicija. Vrijednost hrvatskog robnog izvoza iznosila je u 2022. ukupno 24,12 milijardi eura te je povećana za 5,76 milijardi eura (31,4%) u odnosu na 2021. Ukupna vrijednost izvoza robe i usluga porasla je na 6</w:t>
      </w:r>
      <w:r>
        <w:rPr>
          <w:rFonts w:eastAsia="Calibri"/>
          <w:kern w:val="2"/>
          <w:sz w:val="24"/>
          <w:szCs w:val="24"/>
        </w:rPr>
        <w:t>0,2</w:t>
      </w:r>
      <w:r w:rsidRPr="00BD1B6F">
        <w:rPr>
          <w:rFonts w:eastAsia="Calibri"/>
          <w:kern w:val="2"/>
          <w:sz w:val="24"/>
          <w:szCs w:val="24"/>
        </w:rPr>
        <w:t xml:space="preserve">% BDP-a, uz slabiju pokrivenost uvoza izvozom od 58% (u 2021. je iznosila </w:t>
      </w:r>
      <w:r>
        <w:rPr>
          <w:rFonts w:eastAsia="Calibri"/>
          <w:kern w:val="2"/>
          <w:sz w:val="24"/>
          <w:szCs w:val="24"/>
        </w:rPr>
        <w:t xml:space="preserve">oko </w:t>
      </w:r>
      <w:r w:rsidRPr="00BD1B6F">
        <w:rPr>
          <w:rFonts w:eastAsia="Calibri"/>
          <w:kern w:val="2"/>
          <w:sz w:val="24"/>
          <w:szCs w:val="24"/>
        </w:rPr>
        <w:t>6</w:t>
      </w:r>
      <w:r>
        <w:rPr>
          <w:rFonts w:eastAsia="Calibri"/>
          <w:kern w:val="2"/>
          <w:sz w:val="24"/>
          <w:szCs w:val="24"/>
        </w:rPr>
        <w:t>5</w:t>
      </w:r>
      <w:r w:rsidRPr="00BD1B6F">
        <w:rPr>
          <w:rFonts w:eastAsia="Calibri"/>
          <w:kern w:val="2"/>
          <w:sz w:val="24"/>
          <w:szCs w:val="24"/>
        </w:rPr>
        <w:t xml:space="preserve">%). Najvažniji vanjskotrgovinski partneri Hrvatske su zemlje EU-a, s kojima je robna razmjena iznosila oko 69% ukupnog izvoza te oko 71% ukupnog uvoza.  </w:t>
      </w:r>
    </w:p>
    <w:p w14:paraId="4D6EA9A9" w14:textId="77777777" w:rsidR="00B744AD" w:rsidRPr="00BD1B6F" w:rsidRDefault="00B744AD" w:rsidP="00B744AD">
      <w:pPr>
        <w:widowControl/>
        <w:autoSpaceDE/>
        <w:autoSpaceDN/>
        <w:spacing w:before="240" w:line="276" w:lineRule="auto"/>
        <w:jc w:val="both"/>
        <w:rPr>
          <w:rFonts w:eastAsia="Calibri"/>
          <w:kern w:val="2"/>
          <w:sz w:val="24"/>
          <w:szCs w:val="24"/>
        </w:rPr>
      </w:pPr>
      <w:r w:rsidRPr="00BD1B6F">
        <w:rPr>
          <w:rFonts w:eastAsia="Calibri"/>
          <w:kern w:val="2"/>
          <w:sz w:val="24"/>
          <w:szCs w:val="24"/>
        </w:rPr>
        <w:t>Inovacije su najsnažniji alat za postizanje gospodarskog rasta i održivog razvoja. S ciljem jačanja inovativnosti domaćeg gospodarstva, nastavljeni su napori na provedbi mehanizama za poticanje ulaganja u istraživanje i razvoj te je prema posljednjim dostupnim podacima, udio ukupnih izdvajanja za istraživanje i razvoj u BDP-u (GERD) iznosio 1,</w:t>
      </w:r>
      <w:r>
        <w:rPr>
          <w:rFonts w:eastAsia="Calibri"/>
          <w:kern w:val="2"/>
          <w:sz w:val="24"/>
          <w:szCs w:val="24"/>
        </w:rPr>
        <w:t>43</w:t>
      </w:r>
      <w:r w:rsidRPr="00BD1B6F">
        <w:rPr>
          <w:rFonts w:eastAsia="Calibri"/>
          <w:kern w:val="2"/>
          <w:sz w:val="24"/>
          <w:szCs w:val="24"/>
        </w:rPr>
        <w:t xml:space="preserve">%. Prema Europskoj ljestvici uspjeha u inoviranju 2022. (eng. </w:t>
      </w:r>
      <w:r w:rsidRPr="00BD1B6F">
        <w:rPr>
          <w:rFonts w:eastAsia="Calibri"/>
          <w:i/>
          <w:iCs/>
          <w:kern w:val="2"/>
          <w:sz w:val="24"/>
          <w:szCs w:val="24"/>
        </w:rPr>
        <w:t>European Innovation Scoreboard</w:t>
      </w:r>
      <w:r w:rsidRPr="00BD1B6F">
        <w:rPr>
          <w:rFonts w:eastAsia="Calibri"/>
          <w:kern w:val="2"/>
          <w:sz w:val="24"/>
          <w:szCs w:val="24"/>
        </w:rPr>
        <w:t xml:space="preserve"> </w:t>
      </w:r>
      <w:r>
        <w:rPr>
          <w:rFonts w:eastAsia="Calibri"/>
          <w:kern w:val="2"/>
          <w:sz w:val="24"/>
          <w:szCs w:val="24"/>
        </w:rPr>
        <w:t>-</w:t>
      </w:r>
      <w:r w:rsidRPr="00BD1B6F">
        <w:rPr>
          <w:rFonts w:eastAsia="Calibri"/>
          <w:kern w:val="2"/>
          <w:sz w:val="24"/>
          <w:szCs w:val="24"/>
        </w:rPr>
        <w:t xml:space="preserve"> EIS), Hrvatska je zauzela 22. mjesto od 27 zemalja EU-a te se s ukupnim rezultatom od 66,5% prosjeka EU-a i dalje nalazi u skupini zemalja „inovatora u nastajanju“ koji zaostaju za prosjekom EU-a. Prema EIS-u</w:t>
      </w:r>
      <w:r>
        <w:rPr>
          <w:rFonts w:eastAsia="Calibri"/>
          <w:kern w:val="2"/>
          <w:sz w:val="24"/>
          <w:szCs w:val="24"/>
        </w:rPr>
        <w:t>,</w:t>
      </w:r>
      <w:r w:rsidRPr="00BD1B6F">
        <w:rPr>
          <w:rFonts w:eastAsia="Calibri"/>
          <w:kern w:val="2"/>
          <w:sz w:val="24"/>
          <w:szCs w:val="24"/>
        </w:rPr>
        <w:t xml:space="preserve"> najsnažnije inovacijske dimenzije Hrvatske su inovacijski rezultati te suradnja javnog i privatnog istraživačkog sektora koji rastu brže od europskog prosjeka, dok su ulaganja poslovnog sektora u istraživanje, razvoj i inovacije, njena najslabija dimenzija te tu Hrvatska najviše zaostaje za europskim prosjekom. </w:t>
      </w:r>
    </w:p>
    <w:p w14:paraId="406170EE" w14:textId="0E4581F2" w:rsidR="00AE7410" w:rsidRPr="008115FB" w:rsidRDefault="00B744AD" w:rsidP="00AE7410">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U </w:t>
      </w:r>
      <w:r>
        <w:rPr>
          <w:rFonts w:eastAsia="Calibri"/>
          <w:kern w:val="2"/>
          <w:sz w:val="24"/>
          <w:szCs w:val="24"/>
        </w:rPr>
        <w:t xml:space="preserve">funkciji jačanja konkurentnosti hrvatskog gospodarstva, u </w:t>
      </w:r>
      <w:r w:rsidRPr="00BD1B6F">
        <w:rPr>
          <w:rFonts w:eastAsia="Calibri"/>
          <w:kern w:val="2"/>
          <w:sz w:val="24"/>
          <w:szCs w:val="24"/>
        </w:rPr>
        <w:t xml:space="preserve">okviru NPOO komponente C1.1. „Otporno, zeleno i digitalno gospodarstvo“, provedena su </w:t>
      </w:r>
      <w:r w:rsidRPr="008115FB">
        <w:rPr>
          <w:rFonts w:eastAsia="Calibri"/>
          <w:kern w:val="2"/>
          <w:sz w:val="24"/>
          <w:szCs w:val="24"/>
        </w:rPr>
        <w:t>4 javna p</w:t>
      </w:r>
      <w:r w:rsidRPr="00BD1B6F">
        <w:rPr>
          <w:rFonts w:eastAsia="Calibri"/>
          <w:kern w:val="2"/>
          <w:sz w:val="24"/>
          <w:szCs w:val="24"/>
        </w:rPr>
        <w:t>oziv</w:t>
      </w:r>
      <w:r w:rsidRPr="008115FB">
        <w:rPr>
          <w:rFonts w:eastAsia="Calibri"/>
          <w:kern w:val="2"/>
          <w:sz w:val="24"/>
          <w:szCs w:val="24"/>
        </w:rPr>
        <w:t>a</w:t>
      </w:r>
      <w:r w:rsidRPr="00BD1B6F">
        <w:rPr>
          <w:rFonts w:eastAsia="Calibri"/>
          <w:kern w:val="2"/>
          <w:sz w:val="24"/>
          <w:szCs w:val="24"/>
        </w:rPr>
        <w:t xml:space="preserve"> za dodjelu bespovratnih sredstava poduzetnicima, ukupne vrijednosti</w:t>
      </w:r>
      <w:r w:rsidRPr="008115FB">
        <w:rPr>
          <w:rFonts w:eastAsia="Calibri"/>
          <w:kern w:val="2"/>
          <w:sz w:val="24"/>
          <w:szCs w:val="24"/>
        </w:rPr>
        <w:t xml:space="preserve"> alokacije 348,75 </w:t>
      </w:r>
      <w:r w:rsidRPr="00BD1B6F">
        <w:rPr>
          <w:rFonts w:eastAsia="Calibri"/>
          <w:kern w:val="2"/>
          <w:sz w:val="24"/>
          <w:szCs w:val="24"/>
        </w:rPr>
        <w:t xml:space="preserve">milijuna eura. Bespovratna sredstva u okviru </w:t>
      </w:r>
      <w:r w:rsidRPr="008115FB">
        <w:rPr>
          <w:rFonts w:eastAsia="Calibri"/>
          <w:kern w:val="2"/>
          <w:sz w:val="24"/>
          <w:szCs w:val="24"/>
        </w:rPr>
        <w:t>provedenih poziva</w:t>
      </w:r>
      <w:r w:rsidRPr="00BD1B6F">
        <w:rPr>
          <w:rFonts w:eastAsia="Calibri"/>
          <w:kern w:val="2"/>
          <w:sz w:val="24"/>
          <w:szCs w:val="24"/>
        </w:rPr>
        <w:t xml:space="preserve"> </w:t>
      </w:r>
      <w:r w:rsidRPr="008115FB">
        <w:rPr>
          <w:rFonts w:eastAsia="Calibri"/>
          <w:kern w:val="2"/>
          <w:sz w:val="24"/>
          <w:szCs w:val="24"/>
        </w:rPr>
        <w:t>namijenjena su izravno poduzetnicima za potporu ulaganjima usmjerenima na tranziciju gospodarstva prema energetski i resursno učinkovitom gospodarstvu te na inovacije i razvoj i primjenu novih (digitalnih) tehnologija</w:t>
      </w:r>
      <w:r w:rsidRPr="00BD1B6F">
        <w:rPr>
          <w:rFonts w:eastAsia="Calibri"/>
          <w:kern w:val="2"/>
          <w:sz w:val="24"/>
          <w:szCs w:val="24"/>
        </w:rPr>
        <w:t xml:space="preserve">. </w:t>
      </w:r>
      <w:r w:rsidRPr="008115FB">
        <w:rPr>
          <w:rFonts w:eastAsia="Calibri"/>
          <w:kern w:val="2"/>
          <w:sz w:val="24"/>
          <w:szCs w:val="24"/>
        </w:rPr>
        <w:t xml:space="preserve">U okviru </w:t>
      </w:r>
      <w:r>
        <w:rPr>
          <w:rFonts w:eastAsia="Calibri"/>
          <w:kern w:val="2"/>
          <w:sz w:val="24"/>
          <w:szCs w:val="24"/>
        </w:rPr>
        <w:t>p</w:t>
      </w:r>
      <w:r w:rsidRPr="008115FB">
        <w:rPr>
          <w:rFonts w:eastAsia="Calibri"/>
          <w:kern w:val="2"/>
          <w:sz w:val="24"/>
          <w:szCs w:val="24"/>
        </w:rPr>
        <w:t xml:space="preserve">oziva </w:t>
      </w:r>
      <w:r>
        <w:rPr>
          <w:rFonts w:eastAsia="Calibri"/>
          <w:kern w:val="2"/>
          <w:sz w:val="24"/>
          <w:szCs w:val="24"/>
        </w:rPr>
        <w:t>„</w:t>
      </w:r>
      <w:r w:rsidRPr="008115FB">
        <w:rPr>
          <w:rFonts w:eastAsia="Calibri"/>
          <w:kern w:val="2"/>
          <w:sz w:val="24"/>
          <w:szCs w:val="24"/>
        </w:rPr>
        <w:t xml:space="preserve">Potpora poduzećima za </w:t>
      </w:r>
      <w:r w:rsidRPr="008115FB">
        <w:rPr>
          <w:rFonts w:eastAsia="Calibri"/>
          <w:kern w:val="2"/>
          <w:sz w:val="24"/>
          <w:szCs w:val="24"/>
        </w:rPr>
        <w:lastRenderedPageBreak/>
        <w:t>tranziciju na energetski i resursno učinkovito gospodarstvo</w:t>
      </w:r>
      <w:r>
        <w:rPr>
          <w:rFonts w:eastAsia="Calibri"/>
          <w:kern w:val="2"/>
          <w:sz w:val="24"/>
          <w:szCs w:val="24"/>
        </w:rPr>
        <w:t>“</w:t>
      </w:r>
      <w:r w:rsidRPr="008115FB">
        <w:rPr>
          <w:rFonts w:eastAsia="Calibri"/>
          <w:kern w:val="2"/>
          <w:sz w:val="24"/>
          <w:szCs w:val="24"/>
        </w:rPr>
        <w:t xml:space="preserve"> za mala i srednja poduzeća te srednje kapitalizirana poduzeća, ukupna alokacija od 250 milijuna eura bespovratnih sredstava namijenjena je financijski održivim poduzećima za ulaganja u zelene tehnologije koje doprinose energetski i resursno učinkovitom gospodarstvu. Ulaganja će biti usmjerena u energetski intenzivne industrije - metaloprerađivačku, tekstilnu, prehrambenu, kemijsku, građevinsku </w:t>
      </w:r>
      <w:r>
        <w:rPr>
          <w:rFonts w:eastAsia="Calibri"/>
          <w:kern w:val="2"/>
          <w:sz w:val="24"/>
          <w:szCs w:val="24"/>
        </w:rPr>
        <w:t xml:space="preserve">i </w:t>
      </w:r>
      <w:r w:rsidRPr="008115FB">
        <w:rPr>
          <w:rFonts w:eastAsia="Calibri"/>
          <w:kern w:val="2"/>
          <w:sz w:val="24"/>
          <w:szCs w:val="24"/>
        </w:rPr>
        <w:t>drvoprerađivačku industriju. Na Poziv su zaprimljena 253 projektna prijedloga ukupne vrijednosti 532 milijuna eura, a zatraženo je sufinanciranje u iznosu od ukupno 225,6 milijuna eura</w:t>
      </w:r>
      <w:r w:rsidRPr="00AC70CD">
        <w:rPr>
          <w:rFonts w:eastAsia="Calibri"/>
          <w:kern w:val="2"/>
          <w:sz w:val="24"/>
          <w:szCs w:val="24"/>
        </w:rPr>
        <w:t>.</w:t>
      </w:r>
      <w:r w:rsidRPr="008115FB">
        <w:rPr>
          <w:rFonts w:eastAsia="Calibri"/>
          <w:kern w:val="2"/>
          <w:sz w:val="24"/>
          <w:szCs w:val="24"/>
        </w:rPr>
        <w:t xml:space="preserve"> Pozivom </w:t>
      </w:r>
      <w:r>
        <w:rPr>
          <w:rFonts w:eastAsia="Calibri"/>
          <w:kern w:val="2"/>
          <w:sz w:val="24"/>
          <w:szCs w:val="24"/>
        </w:rPr>
        <w:t>„</w:t>
      </w:r>
      <w:r w:rsidRPr="008115FB">
        <w:rPr>
          <w:rFonts w:eastAsia="Calibri"/>
          <w:kern w:val="2"/>
          <w:sz w:val="24"/>
          <w:szCs w:val="24"/>
        </w:rPr>
        <w:t>Bespovratne potpore za novoosnovana poduzeća</w:t>
      </w:r>
      <w:r>
        <w:rPr>
          <w:rFonts w:eastAsia="Calibri"/>
          <w:kern w:val="2"/>
          <w:sz w:val="24"/>
          <w:szCs w:val="24"/>
        </w:rPr>
        <w:t>“</w:t>
      </w:r>
      <w:r w:rsidRPr="008115FB">
        <w:rPr>
          <w:rFonts w:eastAsia="Calibri"/>
          <w:kern w:val="2"/>
          <w:sz w:val="24"/>
          <w:szCs w:val="24"/>
        </w:rPr>
        <w:t>, ukupne vrijednosti alokacije 18,81 milijun eura,</w:t>
      </w:r>
      <w:r w:rsidRPr="008115FB" w:rsidDel="0043598F">
        <w:rPr>
          <w:rFonts w:eastAsia="Calibri"/>
          <w:kern w:val="2"/>
          <w:sz w:val="24"/>
          <w:szCs w:val="24"/>
        </w:rPr>
        <w:t xml:space="preserve"> </w:t>
      </w:r>
      <w:r w:rsidRPr="008115FB">
        <w:rPr>
          <w:rFonts w:eastAsia="Calibri"/>
          <w:kern w:val="2"/>
          <w:sz w:val="24"/>
          <w:szCs w:val="24"/>
        </w:rPr>
        <w:t xml:space="preserve">poticat će se ulaganja novoosnovanih </w:t>
      </w:r>
      <w:r>
        <w:rPr>
          <w:rFonts w:eastAsia="Calibri"/>
          <w:kern w:val="2"/>
          <w:sz w:val="24"/>
          <w:szCs w:val="24"/>
        </w:rPr>
        <w:t xml:space="preserve">mikro, malih i srednjih poduzeća (u daljnjem tekstu: </w:t>
      </w:r>
      <w:r w:rsidRPr="000E2A03">
        <w:rPr>
          <w:rFonts w:eastAsia="Calibri"/>
          <w:kern w:val="2"/>
          <w:sz w:val="24"/>
          <w:szCs w:val="24"/>
        </w:rPr>
        <w:t>MSP</w:t>
      </w:r>
      <w:r>
        <w:rPr>
          <w:rFonts w:eastAsia="Calibri"/>
          <w:kern w:val="2"/>
          <w:sz w:val="24"/>
          <w:szCs w:val="24"/>
        </w:rPr>
        <w:t xml:space="preserve">) </w:t>
      </w:r>
      <w:r w:rsidRPr="008115FB">
        <w:rPr>
          <w:rFonts w:eastAsia="Calibri"/>
          <w:kern w:val="2"/>
          <w:sz w:val="24"/>
          <w:szCs w:val="24"/>
        </w:rPr>
        <w:t>do 5 godina starosti, koja razvijaju inovacije bazirane na znanju i visokim tehnologijama. Riječ je o projektima čiji se proizvodi i usluge nalaze u predkomercijalnoj fazi i zahtijevaju dodatna financijska ulaganja za dovršetak tehnološke spremnosti. U okviru Poziva zaprimljeno je 612 projektnih prijedloga ukupne vrijednosti 103,9 milijuna eura, a zatražena je potpora za sufinanciranje u iznosu od ukupno 73,2 milijuna eura. Poziv</w:t>
      </w:r>
      <w:r>
        <w:rPr>
          <w:rFonts w:eastAsia="Calibri"/>
          <w:kern w:val="2"/>
          <w:sz w:val="24"/>
          <w:szCs w:val="24"/>
        </w:rPr>
        <w:t>om</w:t>
      </w:r>
      <w:r w:rsidRPr="008115FB">
        <w:rPr>
          <w:rFonts w:eastAsia="Calibri"/>
          <w:kern w:val="2"/>
          <w:sz w:val="24"/>
          <w:szCs w:val="24"/>
        </w:rPr>
        <w:t xml:space="preserve"> „Komercijalizacija inovacija“ ukupne alokacije 50,4 milijuna eura, osigurana je potpora MSP-ovima usmjerenima na proizvodnju naprednih i inovativnih proizvoda i usluga visoke dodane vrijednosti. Pozivom se potiču ulaganja neophodna za komercijalizaciju inovacija i rezultata istraživanja i razvoja, za proizvode i usluge koji su u fazi spremnosti za tržište. Za postupak dodjele zaprimljeno je 427 projektnih prijedloga, ukupne vrijednosti 336,78 milijuna eura, a zatražena je potpora za sufinanciranje u iznosu od ukupno 171,9 milijuna eura. Tijekom izvještajnog razdoblja doneseno je 87 odluka o financiranju u vrijednosti 36 milijuna eura</w:t>
      </w:r>
      <w:r>
        <w:rPr>
          <w:rFonts w:eastAsia="Calibri"/>
          <w:kern w:val="2"/>
          <w:sz w:val="24"/>
          <w:szCs w:val="24"/>
        </w:rPr>
        <w:t xml:space="preserve">, </w:t>
      </w:r>
      <w:r w:rsidRPr="008115FB">
        <w:rPr>
          <w:rFonts w:eastAsia="Calibri"/>
          <w:kern w:val="2"/>
          <w:sz w:val="24"/>
          <w:szCs w:val="24"/>
        </w:rPr>
        <w:t xml:space="preserve">potpisano je 59 ugovora o </w:t>
      </w:r>
      <w:r w:rsidR="000E1AC0" w:rsidRPr="008115FB">
        <w:rPr>
          <w:rFonts w:eastAsia="Calibri"/>
          <w:kern w:val="2"/>
          <w:sz w:val="24"/>
          <w:szCs w:val="24"/>
        </w:rPr>
        <w:t>dodjeli bespovratnih sredstava</w:t>
      </w:r>
      <w:r w:rsidR="003A77A4" w:rsidRPr="008115FB">
        <w:rPr>
          <w:rFonts w:eastAsia="Calibri"/>
          <w:kern w:val="2"/>
          <w:sz w:val="24"/>
          <w:szCs w:val="24"/>
        </w:rPr>
        <w:t>,</w:t>
      </w:r>
      <w:r w:rsidR="003E19FE" w:rsidRPr="008115FB">
        <w:rPr>
          <w:rFonts w:eastAsia="Calibri"/>
          <w:kern w:val="2"/>
          <w:sz w:val="24"/>
          <w:szCs w:val="24"/>
        </w:rPr>
        <w:t xml:space="preserve"> </w:t>
      </w:r>
      <w:r w:rsidR="00A6612B">
        <w:rPr>
          <w:rFonts w:eastAsia="Calibri"/>
          <w:kern w:val="2"/>
          <w:sz w:val="24"/>
          <w:szCs w:val="24"/>
        </w:rPr>
        <w:t>dok</w:t>
      </w:r>
      <w:r w:rsidR="003E19FE" w:rsidRPr="008115FB">
        <w:rPr>
          <w:rFonts w:eastAsia="Calibri"/>
          <w:kern w:val="2"/>
          <w:sz w:val="24"/>
          <w:szCs w:val="24"/>
        </w:rPr>
        <w:t xml:space="preserve"> će </w:t>
      </w:r>
      <w:r w:rsidR="006E4469" w:rsidRPr="008115FB">
        <w:rPr>
          <w:rFonts w:eastAsia="Calibri"/>
          <w:kern w:val="2"/>
          <w:sz w:val="24"/>
          <w:szCs w:val="24"/>
        </w:rPr>
        <w:t xml:space="preserve">se </w:t>
      </w:r>
      <w:r w:rsidR="003E19FE" w:rsidRPr="008115FB">
        <w:rPr>
          <w:rFonts w:eastAsia="Calibri"/>
          <w:kern w:val="2"/>
          <w:sz w:val="24"/>
          <w:szCs w:val="24"/>
        </w:rPr>
        <w:t>postup</w:t>
      </w:r>
      <w:r w:rsidR="006E4469" w:rsidRPr="008115FB">
        <w:rPr>
          <w:rFonts w:eastAsia="Calibri"/>
          <w:kern w:val="2"/>
          <w:sz w:val="24"/>
          <w:szCs w:val="24"/>
        </w:rPr>
        <w:t>ci</w:t>
      </w:r>
      <w:r w:rsidR="003E19FE" w:rsidRPr="008115FB">
        <w:rPr>
          <w:rFonts w:eastAsia="Calibri"/>
          <w:kern w:val="2"/>
          <w:sz w:val="24"/>
          <w:szCs w:val="24"/>
        </w:rPr>
        <w:t xml:space="preserve"> dodjele </w:t>
      </w:r>
      <w:r w:rsidR="00B66EB1" w:rsidRPr="008115FB">
        <w:rPr>
          <w:rFonts w:eastAsia="Calibri"/>
          <w:kern w:val="2"/>
          <w:sz w:val="24"/>
          <w:szCs w:val="24"/>
        </w:rPr>
        <w:t xml:space="preserve">preostale alokacije </w:t>
      </w:r>
      <w:r w:rsidR="003E19FE" w:rsidRPr="008115FB">
        <w:rPr>
          <w:rFonts w:eastAsia="Calibri"/>
          <w:kern w:val="2"/>
          <w:sz w:val="24"/>
          <w:szCs w:val="24"/>
        </w:rPr>
        <w:t xml:space="preserve">i </w:t>
      </w:r>
      <w:r w:rsidR="003A77A4" w:rsidRPr="008115FB">
        <w:rPr>
          <w:rFonts w:eastAsia="Calibri"/>
          <w:kern w:val="2"/>
          <w:sz w:val="24"/>
          <w:szCs w:val="24"/>
        </w:rPr>
        <w:t>u</w:t>
      </w:r>
      <w:r w:rsidR="003E19FE" w:rsidRPr="008115FB">
        <w:rPr>
          <w:rFonts w:eastAsia="Calibri"/>
          <w:kern w:val="2"/>
          <w:sz w:val="24"/>
          <w:szCs w:val="24"/>
        </w:rPr>
        <w:t>govaranje</w:t>
      </w:r>
      <w:r w:rsidR="003A77A4" w:rsidRPr="008115FB">
        <w:rPr>
          <w:rFonts w:eastAsia="Calibri"/>
          <w:kern w:val="2"/>
          <w:sz w:val="24"/>
          <w:szCs w:val="24"/>
        </w:rPr>
        <w:t xml:space="preserve"> projekata </w:t>
      </w:r>
      <w:r w:rsidR="003E19FE" w:rsidRPr="008115FB">
        <w:rPr>
          <w:rFonts w:eastAsia="Calibri"/>
          <w:kern w:val="2"/>
          <w:sz w:val="24"/>
          <w:szCs w:val="24"/>
        </w:rPr>
        <w:t xml:space="preserve">završiti </w:t>
      </w:r>
      <w:r w:rsidR="00A6612B">
        <w:rPr>
          <w:rFonts w:eastAsia="Calibri"/>
          <w:kern w:val="2"/>
          <w:sz w:val="24"/>
          <w:szCs w:val="24"/>
        </w:rPr>
        <w:t>u narednom razdoblju</w:t>
      </w:r>
      <w:r w:rsidR="006E4469" w:rsidRPr="008115FB">
        <w:rPr>
          <w:rFonts w:eastAsia="Calibri"/>
          <w:kern w:val="2"/>
          <w:sz w:val="24"/>
          <w:szCs w:val="24"/>
        </w:rPr>
        <w:t>.</w:t>
      </w:r>
      <w:r w:rsidR="00E12946" w:rsidRPr="008115FB">
        <w:rPr>
          <w:rFonts w:eastAsia="Calibri"/>
          <w:kern w:val="2"/>
          <w:sz w:val="24"/>
          <w:szCs w:val="24"/>
        </w:rPr>
        <w:t xml:space="preserve"> </w:t>
      </w:r>
      <w:r w:rsidR="003A0278" w:rsidRPr="008115FB">
        <w:rPr>
          <w:rFonts w:eastAsia="Calibri"/>
          <w:kern w:val="2"/>
          <w:sz w:val="24"/>
          <w:szCs w:val="24"/>
        </w:rPr>
        <w:t>U</w:t>
      </w:r>
      <w:r w:rsidR="00E12946" w:rsidRPr="008115FB">
        <w:rPr>
          <w:rFonts w:eastAsia="Calibri"/>
          <w:kern w:val="2"/>
          <w:sz w:val="24"/>
          <w:szCs w:val="24"/>
        </w:rPr>
        <w:t xml:space="preserve"> okviru Poziva „Bespovratne potpore za digitalizaciju“, </w:t>
      </w:r>
      <w:r w:rsidR="003A0278" w:rsidRPr="008115FB">
        <w:rPr>
          <w:rFonts w:eastAsia="Calibri"/>
          <w:kern w:val="2"/>
          <w:sz w:val="24"/>
          <w:szCs w:val="24"/>
        </w:rPr>
        <w:t xml:space="preserve">ukupne alokacije 27,3 milijuna eura, </w:t>
      </w:r>
      <w:r w:rsidR="0006610A" w:rsidRPr="008115FB">
        <w:rPr>
          <w:rFonts w:eastAsia="Calibri"/>
          <w:kern w:val="2"/>
          <w:sz w:val="24"/>
          <w:szCs w:val="24"/>
        </w:rPr>
        <w:t xml:space="preserve">potpora je </w:t>
      </w:r>
      <w:r w:rsidR="00E12946" w:rsidRPr="008115FB">
        <w:rPr>
          <w:rFonts w:eastAsia="Calibri"/>
          <w:kern w:val="2"/>
          <w:sz w:val="24"/>
          <w:szCs w:val="24"/>
        </w:rPr>
        <w:t xml:space="preserve">namijenjena MSP-ovima </w:t>
      </w:r>
      <w:r w:rsidR="00231A17" w:rsidRPr="008115FB">
        <w:rPr>
          <w:rFonts w:eastAsia="Calibri"/>
          <w:kern w:val="2"/>
          <w:sz w:val="24"/>
          <w:szCs w:val="24"/>
        </w:rPr>
        <w:t>za</w:t>
      </w:r>
      <w:r w:rsidR="00E12946" w:rsidRPr="008115FB">
        <w:rPr>
          <w:rFonts w:eastAsia="Calibri"/>
          <w:kern w:val="2"/>
          <w:sz w:val="24"/>
          <w:szCs w:val="24"/>
        </w:rPr>
        <w:t xml:space="preserve"> ulaganja u digitalne alate i opremu za uvođenje novih ili značajno poboljšanih proizvodnih postupaka, načina isporuke usluga ili organizacijskih praksi</w:t>
      </w:r>
      <w:r w:rsidR="0006610A" w:rsidRPr="008115FB">
        <w:rPr>
          <w:rFonts w:eastAsia="Calibri"/>
          <w:kern w:val="2"/>
          <w:sz w:val="24"/>
          <w:szCs w:val="24"/>
        </w:rPr>
        <w:t xml:space="preserve">. </w:t>
      </w:r>
      <w:r w:rsidR="00E12946" w:rsidRPr="008115FB">
        <w:rPr>
          <w:rFonts w:eastAsia="Calibri"/>
          <w:kern w:val="2"/>
          <w:sz w:val="24"/>
          <w:szCs w:val="24"/>
        </w:rPr>
        <w:t>Po predmetnom Pozivu je zaprimljeno 820 projektnih prijedloga ukupne vrijednosti 97 milijuna eura, zatražen</w:t>
      </w:r>
      <w:r w:rsidR="00D11E73" w:rsidRPr="008115FB">
        <w:rPr>
          <w:rFonts w:eastAsia="Calibri"/>
          <w:kern w:val="2"/>
          <w:sz w:val="24"/>
          <w:szCs w:val="24"/>
        </w:rPr>
        <w:t>e vrijednosti</w:t>
      </w:r>
      <w:r w:rsidR="00E12946" w:rsidRPr="008115FB">
        <w:rPr>
          <w:rFonts w:eastAsia="Calibri"/>
          <w:kern w:val="2"/>
          <w:sz w:val="24"/>
          <w:szCs w:val="24"/>
        </w:rPr>
        <w:t xml:space="preserve"> potpor</w:t>
      </w:r>
      <w:r w:rsidR="00D11E73" w:rsidRPr="008115FB">
        <w:rPr>
          <w:rFonts w:eastAsia="Calibri"/>
          <w:kern w:val="2"/>
          <w:sz w:val="24"/>
          <w:szCs w:val="24"/>
        </w:rPr>
        <w:t>e</w:t>
      </w:r>
      <w:r w:rsidR="00E12946" w:rsidRPr="008115FB">
        <w:rPr>
          <w:rFonts w:eastAsia="Calibri"/>
          <w:kern w:val="2"/>
          <w:sz w:val="24"/>
          <w:szCs w:val="24"/>
        </w:rPr>
        <w:t xml:space="preserve"> u iznosu od 40 milijuna eura. </w:t>
      </w:r>
      <w:r w:rsidR="00AE7410" w:rsidRPr="008115FB">
        <w:rPr>
          <w:rFonts w:eastAsia="Calibri"/>
          <w:kern w:val="2"/>
          <w:sz w:val="24"/>
          <w:szCs w:val="24"/>
        </w:rPr>
        <w:t xml:space="preserve">Tijekom izvještajnog </w:t>
      </w:r>
      <w:r w:rsidR="00AE7410">
        <w:rPr>
          <w:rFonts w:eastAsia="Calibri"/>
          <w:kern w:val="2"/>
          <w:sz w:val="24"/>
          <w:szCs w:val="24"/>
        </w:rPr>
        <w:t>razdoblja</w:t>
      </w:r>
      <w:r w:rsidR="00AE7410" w:rsidRPr="008115FB">
        <w:rPr>
          <w:rFonts w:eastAsia="Calibri"/>
          <w:kern w:val="2"/>
          <w:sz w:val="24"/>
          <w:szCs w:val="24"/>
        </w:rPr>
        <w:t xml:space="preserve"> doneseno je 390 odluka o financiranju ukupne vrijednosti 20,7 milijuna eura. </w:t>
      </w:r>
      <w:r w:rsidR="00AE7410">
        <w:rPr>
          <w:rFonts w:eastAsia="Calibri"/>
          <w:kern w:val="2"/>
          <w:sz w:val="24"/>
          <w:szCs w:val="24"/>
        </w:rPr>
        <w:t xml:space="preserve"> </w:t>
      </w:r>
      <w:r w:rsidR="00AE7410" w:rsidRPr="008115FB">
        <w:rPr>
          <w:rFonts w:eastAsia="Calibri"/>
          <w:kern w:val="2"/>
          <w:sz w:val="24"/>
          <w:szCs w:val="24"/>
        </w:rPr>
        <w:t xml:space="preserve">  </w:t>
      </w:r>
      <w:r w:rsidR="00AE7410" w:rsidRPr="008115FB" w:rsidDel="00AE11F1">
        <w:rPr>
          <w:rFonts w:eastAsia="Calibri"/>
          <w:kern w:val="2"/>
          <w:sz w:val="24"/>
          <w:szCs w:val="24"/>
        </w:rPr>
        <w:t xml:space="preserve"> </w:t>
      </w:r>
    </w:p>
    <w:p w14:paraId="753641C9" w14:textId="77777777" w:rsidR="00AE7410" w:rsidRPr="008115FB" w:rsidRDefault="00AE7410" w:rsidP="00AE7410">
      <w:pPr>
        <w:widowControl/>
        <w:autoSpaceDE/>
        <w:autoSpaceDN/>
        <w:spacing w:before="240" w:line="276" w:lineRule="auto"/>
        <w:jc w:val="both"/>
        <w:rPr>
          <w:rFonts w:eastAsia="Calibri"/>
          <w:kern w:val="2"/>
          <w:sz w:val="24"/>
          <w:szCs w:val="24"/>
        </w:rPr>
      </w:pPr>
      <w:r w:rsidRPr="008115FB">
        <w:rPr>
          <w:rFonts w:eastAsia="Calibri"/>
          <w:kern w:val="2"/>
          <w:sz w:val="24"/>
          <w:szCs w:val="24"/>
        </w:rPr>
        <w:t>Nadalje, tijekom 2022. zaključeni su sporazumi o provedbi 4 sljedeća financijska instrumenta</w:t>
      </w:r>
      <w:r w:rsidRPr="008115FB">
        <w:t xml:space="preserve"> </w:t>
      </w:r>
      <w:r w:rsidRPr="008115FB">
        <w:rPr>
          <w:rFonts w:eastAsia="Calibri"/>
          <w:kern w:val="2"/>
          <w:sz w:val="24"/>
          <w:szCs w:val="24"/>
        </w:rPr>
        <w:t>iz sredstava NPOO-a: „Financijski instrumenti za mikro, mala i srednja poduzeća“ ukupne alokacije 146 milijuna eura (provode HBOR i HAMAG BICRO)</w:t>
      </w:r>
      <w:r>
        <w:rPr>
          <w:rFonts w:eastAsia="Calibri"/>
          <w:kern w:val="2"/>
          <w:sz w:val="24"/>
          <w:szCs w:val="24"/>
        </w:rPr>
        <w:t>,</w:t>
      </w:r>
      <w:r w:rsidRPr="008115FB">
        <w:rPr>
          <w:rFonts w:eastAsia="Calibri"/>
          <w:kern w:val="2"/>
          <w:sz w:val="24"/>
          <w:szCs w:val="24"/>
        </w:rPr>
        <w:t xml:space="preserve"> „Financijski instrumenti za poduzeća srednje tržišne kapitalizacije i velika poduzeća“ ukupne alokacije 106,18 milijuna eura (provodi HBOR)</w:t>
      </w:r>
      <w:r>
        <w:rPr>
          <w:rFonts w:eastAsia="Calibri"/>
          <w:kern w:val="2"/>
          <w:sz w:val="24"/>
          <w:szCs w:val="24"/>
        </w:rPr>
        <w:t>,</w:t>
      </w:r>
      <w:r w:rsidRPr="008115FB">
        <w:rPr>
          <w:rFonts w:eastAsia="Calibri"/>
          <w:kern w:val="2"/>
          <w:sz w:val="24"/>
          <w:szCs w:val="24"/>
        </w:rPr>
        <w:t xml:space="preserve"> „Financijski instrumenti za subjekte javnog sektora“ ukupne alokacije 26,54 milijuna eura (provodi HBOR)</w:t>
      </w:r>
      <w:r>
        <w:rPr>
          <w:rFonts w:eastAsia="Calibri"/>
          <w:kern w:val="2"/>
          <w:sz w:val="24"/>
          <w:szCs w:val="24"/>
        </w:rPr>
        <w:t>,</w:t>
      </w:r>
      <w:r w:rsidRPr="008115FB">
        <w:rPr>
          <w:rFonts w:eastAsia="Calibri"/>
          <w:kern w:val="2"/>
          <w:sz w:val="24"/>
          <w:szCs w:val="24"/>
        </w:rPr>
        <w:t xml:space="preserve"> i „Ulaganje u instrumente vlasničkog i kvazivlasničkog financiranja“ ukupne alokacije </w:t>
      </w:r>
      <w:r w:rsidRPr="008115FB">
        <w:rPr>
          <w:rFonts w:eastAsia="Calibri"/>
          <w:kern w:val="2"/>
          <w:sz w:val="24"/>
          <w:szCs w:val="24"/>
        </w:rPr>
        <w:lastRenderedPageBreak/>
        <w:t xml:space="preserve">29,86 milijuna eura (provodi ga HBOR). U izvještajnom je razdoblju i započela provedba navedenih financijskih instrumenata te je tako HAMAG BICRO do kraja 2022. odobrio ukupno 253 kredita MSP-ovima, dok je HBOR odobrio 2 kredita MSP-ovima te 4 subvencije kamata po kreditima za MSP-ove. </w:t>
      </w:r>
    </w:p>
    <w:p w14:paraId="3D86A85E" w14:textId="77777777" w:rsidR="00AE7410" w:rsidRDefault="00AE7410" w:rsidP="00AE7410">
      <w:pPr>
        <w:widowControl/>
        <w:autoSpaceDE/>
        <w:autoSpaceDN/>
        <w:spacing w:before="240" w:line="276" w:lineRule="auto"/>
        <w:mirrorIndents/>
        <w:jc w:val="both"/>
        <w:rPr>
          <w:rFonts w:eastAsia="Calibri"/>
          <w:kern w:val="2"/>
          <w:sz w:val="24"/>
          <w:szCs w:val="24"/>
        </w:rPr>
      </w:pPr>
      <w:r w:rsidRPr="00BD1B6F">
        <w:rPr>
          <w:rFonts w:eastAsia="Calibri"/>
          <w:kern w:val="2"/>
          <w:sz w:val="24"/>
          <w:szCs w:val="24"/>
        </w:rPr>
        <w:t>Kako bi se osigurali preduvjeti za provedbu ulaganja u projekte istraživanja, razvoja i inovacija iz fondova EU</w:t>
      </w:r>
      <w:r>
        <w:rPr>
          <w:rFonts w:eastAsia="Calibri"/>
          <w:kern w:val="2"/>
          <w:sz w:val="24"/>
          <w:szCs w:val="24"/>
        </w:rPr>
        <w:t>-a</w:t>
      </w:r>
      <w:r w:rsidRPr="00BD1B6F">
        <w:rPr>
          <w:rFonts w:eastAsia="Calibri"/>
          <w:kern w:val="2"/>
          <w:sz w:val="24"/>
          <w:szCs w:val="24"/>
        </w:rPr>
        <w:t xml:space="preserve"> u financijskom razdoblju 2021.</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2027., izrađen je završni </w:t>
      </w:r>
      <w:r w:rsidRPr="008115FB">
        <w:rPr>
          <w:rFonts w:eastAsia="Calibri"/>
          <w:kern w:val="2"/>
          <w:sz w:val="24"/>
          <w:szCs w:val="24"/>
        </w:rPr>
        <w:t>Nacrt p</w:t>
      </w:r>
      <w:r w:rsidRPr="00BD1B6F">
        <w:rPr>
          <w:rFonts w:eastAsia="Calibri"/>
          <w:kern w:val="2"/>
          <w:sz w:val="24"/>
          <w:szCs w:val="24"/>
        </w:rPr>
        <w:t>rijedlog</w:t>
      </w:r>
      <w:r w:rsidRPr="008115FB">
        <w:rPr>
          <w:rFonts w:eastAsia="Calibri"/>
          <w:kern w:val="2"/>
          <w:sz w:val="24"/>
          <w:szCs w:val="24"/>
        </w:rPr>
        <w:t>a</w:t>
      </w:r>
      <w:r w:rsidRPr="00BD1B6F">
        <w:rPr>
          <w:rFonts w:eastAsia="Calibri"/>
          <w:kern w:val="2"/>
          <w:sz w:val="24"/>
          <w:szCs w:val="24"/>
        </w:rPr>
        <w:t xml:space="preserve"> Strategije pametne specijalizacije do 2029. godine. U prosincu 2022. završen je postupak javnog savjetovanja, na</w:t>
      </w:r>
      <w:r w:rsidRPr="008115FB">
        <w:rPr>
          <w:rFonts w:eastAsia="Calibri"/>
          <w:kern w:val="2"/>
          <w:sz w:val="24"/>
          <w:szCs w:val="24"/>
        </w:rPr>
        <w:t xml:space="preserve">kon čega su provedene konzultacije s Europskom komisijom koja se pozitivno izjasnila o Nacrtu. </w:t>
      </w:r>
      <w:r>
        <w:rPr>
          <w:rFonts w:eastAsia="Calibri"/>
          <w:kern w:val="2"/>
          <w:sz w:val="24"/>
          <w:szCs w:val="24"/>
        </w:rPr>
        <w:t>Dokument</w:t>
      </w:r>
      <w:r w:rsidRPr="008115FB">
        <w:rPr>
          <w:rFonts w:eastAsia="Calibri"/>
          <w:kern w:val="2"/>
          <w:sz w:val="24"/>
          <w:szCs w:val="24"/>
        </w:rPr>
        <w:t xml:space="preserve"> je u postupku završnog usuglašavanja sadržaja s relevantnim tijelima javne uprave, a donošenje Strategije pametne specijalizacije do 2029. godine</w:t>
      </w:r>
      <w:r w:rsidRPr="00AE7410">
        <w:rPr>
          <w:rFonts w:eastAsia="Calibri"/>
          <w:kern w:val="2"/>
          <w:sz w:val="24"/>
          <w:szCs w:val="24"/>
        </w:rPr>
        <w:t>,</w:t>
      </w:r>
      <w:r w:rsidRPr="00463708">
        <w:rPr>
          <w:rFonts w:eastAsia="Calibri"/>
          <w:kern w:val="2"/>
          <w:sz w:val="24"/>
          <w:szCs w:val="24"/>
        </w:rPr>
        <w:t xml:space="preserve"> očekuje do kraja 2023. godine</w:t>
      </w:r>
      <w:r w:rsidRPr="00AE7410">
        <w:rPr>
          <w:rFonts w:eastAsia="Calibri"/>
          <w:kern w:val="2"/>
          <w:sz w:val="24"/>
          <w:szCs w:val="24"/>
        </w:rPr>
        <w:t>.</w:t>
      </w:r>
      <w:r w:rsidRPr="008115FB">
        <w:rPr>
          <w:rFonts w:eastAsia="Calibri"/>
          <w:kern w:val="2"/>
          <w:sz w:val="24"/>
          <w:szCs w:val="24"/>
        </w:rPr>
        <w:t xml:space="preserve"> </w:t>
      </w:r>
      <w:r w:rsidRPr="00BD1B6F">
        <w:rPr>
          <w:rFonts w:eastAsia="Calibri"/>
          <w:kern w:val="2"/>
          <w:sz w:val="24"/>
          <w:szCs w:val="24"/>
        </w:rPr>
        <w:t>Provedbom Strategije doprinijet</w:t>
      </w:r>
      <w:r w:rsidRPr="008115FB">
        <w:rPr>
          <w:rFonts w:eastAsia="Calibri"/>
          <w:kern w:val="2"/>
          <w:sz w:val="24"/>
          <w:szCs w:val="24"/>
        </w:rPr>
        <w:t xml:space="preserve"> će se</w:t>
      </w:r>
      <w:r w:rsidRPr="00BD1B6F">
        <w:rPr>
          <w:rFonts w:eastAsia="Calibri"/>
          <w:kern w:val="2"/>
          <w:sz w:val="24"/>
          <w:szCs w:val="24"/>
        </w:rPr>
        <w:t xml:space="preserve"> smanjenju institucionalne rascjepkanosti sustava i usmjerit </w:t>
      </w:r>
      <w:r w:rsidRPr="008115FB">
        <w:rPr>
          <w:rFonts w:eastAsia="Calibri"/>
          <w:kern w:val="2"/>
          <w:sz w:val="24"/>
          <w:szCs w:val="24"/>
        </w:rPr>
        <w:t xml:space="preserve">će se </w:t>
      </w:r>
      <w:r w:rsidRPr="00BD1B6F">
        <w:rPr>
          <w:rFonts w:eastAsia="Calibri"/>
          <w:kern w:val="2"/>
          <w:sz w:val="24"/>
          <w:szCs w:val="24"/>
        </w:rPr>
        <w:t>ulaganja za provedbu aktivnosti istraživanja i razvoja u sektore koji najbolje odgovaraju potencijalu hrvatskog gospodarstva za inovacije. Pametna specijalizacija u izvozno orijentiranim sektorima koji se temelje na znanju i inovacijama, omogućit će transformaciju hrvatskog gospodarstva i povećanje njegove produktivnosti i konkurentnosti uz primjenu okolišno održivih tehnologija. Pri izradi Strategije uzeta su u obzir iskustva stečena provedbom prethodne Strategije pametne specijalizacije Republike Hrvatske za razdoblje 2016.</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2020. godine</w:t>
      </w:r>
      <w:r>
        <w:rPr>
          <w:rFonts w:eastAsia="Calibri"/>
          <w:kern w:val="2"/>
          <w:sz w:val="24"/>
          <w:szCs w:val="24"/>
        </w:rPr>
        <w:t>,</w:t>
      </w:r>
      <w:r w:rsidRPr="00BD1B6F">
        <w:rPr>
          <w:rFonts w:eastAsia="Calibri"/>
          <w:kern w:val="2"/>
          <w:sz w:val="24"/>
          <w:szCs w:val="24"/>
        </w:rPr>
        <w:t xml:space="preserve"> te naučene lekcije i dostupni dokazi, kako bi se postigla značajna poboljšanja u provedbi pametne specijalizacije u novom financijskom razdoblju 2021.</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2027. </w:t>
      </w:r>
      <w:r w:rsidRPr="00BD1B6F">
        <w:rPr>
          <w:rFonts w:eastAsia="Calibri"/>
          <w:kern w:val="2"/>
          <w:sz w:val="24"/>
          <w:szCs w:val="24"/>
        </w:rPr>
        <w:cr/>
      </w:r>
    </w:p>
    <w:p w14:paraId="71F5EAA6" w14:textId="77777777" w:rsidR="00AE7410" w:rsidRPr="00B85BCE" w:rsidRDefault="00AE7410" w:rsidP="00AE7410">
      <w:pPr>
        <w:widowControl/>
        <w:autoSpaceDE/>
        <w:autoSpaceDN/>
        <w:spacing w:after="240" w:line="276" w:lineRule="auto"/>
        <w:mirrorIndents/>
        <w:jc w:val="both"/>
        <w:rPr>
          <w:rFonts w:eastAsia="Calibri"/>
          <w:kern w:val="2"/>
          <w:sz w:val="24"/>
          <w:szCs w:val="24"/>
        </w:rPr>
      </w:pPr>
      <w:r>
        <w:rPr>
          <w:rFonts w:eastAsia="Calibri"/>
          <w:kern w:val="2"/>
          <w:sz w:val="24"/>
          <w:szCs w:val="24"/>
        </w:rPr>
        <w:t>Također, s</w:t>
      </w:r>
      <w:r w:rsidRPr="00BD1B6F">
        <w:rPr>
          <w:rFonts w:eastAsia="Calibri"/>
          <w:kern w:val="2"/>
          <w:sz w:val="24"/>
          <w:szCs w:val="24"/>
        </w:rPr>
        <w:t xml:space="preserve"> ciljem doprinosa jačanju konkurentnosti i inovativnosti domaćeg gospodarstva, u 2022. je pokrenuta izrada Nacionalnog plana industrijskog razvoja i poduzetništva do 2027. godine. Nacionalnim planom bit</w:t>
      </w:r>
      <w:r w:rsidRPr="008115FB">
        <w:rPr>
          <w:rFonts w:eastAsia="Calibri"/>
          <w:kern w:val="2"/>
          <w:sz w:val="24"/>
          <w:szCs w:val="24"/>
        </w:rPr>
        <w:t xml:space="preserve"> će </w:t>
      </w:r>
      <w:r w:rsidRPr="00BD1B6F">
        <w:rPr>
          <w:rFonts w:eastAsia="Calibri"/>
          <w:kern w:val="2"/>
          <w:sz w:val="24"/>
          <w:szCs w:val="24"/>
        </w:rPr>
        <w:t xml:space="preserve">utvrđeni razvojni prioriteti i posebni ciljevi za iskorištavanje punog potencijala hrvatske industrije i poduzetništva, kao pokretača rasta i razvoja te povećanja konkurentnosti domaćeg gospodarstva na međunarodnom tržištu. Provedbom ulaganja u okviru Nacionalnog plana omogućit će se daljnje povezivanje obrazovnog sustava i gospodarstva, </w:t>
      </w:r>
      <w:r w:rsidRPr="00672866">
        <w:rPr>
          <w:rFonts w:eastAsia="Calibri"/>
          <w:kern w:val="2"/>
          <w:sz w:val="24"/>
          <w:szCs w:val="24"/>
        </w:rPr>
        <w:t>snažn</w:t>
      </w:r>
      <w:r>
        <w:rPr>
          <w:rFonts w:eastAsia="Calibri"/>
          <w:kern w:val="2"/>
          <w:sz w:val="24"/>
          <w:szCs w:val="24"/>
        </w:rPr>
        <w:t>a</w:t>
      </w:r>
      <w:r w:rsidRPr="00672866">
        <w:rPr>
          <w:rFonts w:eastAsia="Calibri"/>
          <w:kern w:val="2"/>
          <w:sz w:val="24"/>
          <w:szCs w:val="24"/>
        </w:rPr>
        <w:t xml:space="preserve"> podršk</w:t>
      </w:r>
      <w:r>
        <w:rPr>
          <w:rFonts w:eastAsia="Calibri"/>
          <w:kern w:val="2"/>
          <w:sz w:val="24"/>
          <w:szCs w:val="24"/>
        </w:rPr>
        <w:t>a</w:t>
      </w:r>
      <w:r w:rsidRPr="00BD1B6F">
        <w:rPr>
          <w:rFonts w:eastAsia="Calibri"/>
          <w:kern w:val="2"/>
          <w:sz w:val="24"/>
          <w:szCs w:val="24"/>
        </w:rPr>
        <w:t xml:space="preserve"> poduzetništvu za stjecanje ključnih kompetencija, </w:t>
      </w:r>
      <w:r>
        <w:rPr>
          <w:rFonts w:eastAsia="Calibri"/>
          <w:kern w:val="2"/>
          <w:sz w:val="24"/>
          <w:szCs w:val="24"/>
        </w:rPr>
        <w:t>te provedba</w:t>
      </w:r>
      <w:r w:rsidRPr="00BD1B6F">
        <w:rPr>
          <w:rFonts w:eastAsia="Calibri"/>
          <w:kern w:val="2"/>
          <w:sz w:val="24"/>
          <w:szCs w:val="24"/>
        </w:rPr>
        <w:t xml:space="preserve"> digitalne transformacije uz razvoj i primjenu pametnih i čistih tehnologija u industriji</w:t>
      </w:r>
      <w:r>
        <w:rPr>
          <w:rFonts w:eastAsia="Calibri"/>
          <w:kern w:val="2"/>
          <w:sz w:val="24"/>
          <w:szCs w:val="24"/>
        </w:rPr>
        <w:t>, čime će se</w:t>
      </w:r>
      <w:r w:rsidRPr="00BD1B6F">
        <w:rPr>
          <w:rFonts w:eastAsia="Calibri"/>
          <w:kern w:val="2"/>
          <w:sz w:val="24"/>
          <w:szCs w:val="24"/>
        </w:rPr>
        <w:t xml:space="preserve"> unaprijediti cjelovito poslovno okruženje u Hrvatskoj.</w:t>
      </w:r>
    </w:p>
    <w:p w14:paraId="0237CD9B" w14:textId="77777777" w:rsidR="00AE7410" w:rsidRPr="005C1F95" w:rsidRDefault="00AE7410" w:rsidP="00AE7410">
      <w:pPr>
        <w:spacing w:after="112" w:line="264" w:lineRule="auto"/>
        <w:ind w:left="-15" w:firstLine="15"/>
        <w:jc w:val="both"/>
        <w:rPr>
          <w:rFonts w:eastAsia="Calibri"/>
          <w:kern w:val="2"/>
          <w:sz w:val="24"/>
          <w:szCs w:val="24"/>
        </w:rPr>
      </w:pPr>
      <w:r w:rsidRPr="00BD1B6F">
        <w:rPr>
          <w:rFonts w:eastAsia="Calibri"/>
          <w:kern w:val="2"/>
          <w:sz w:val="24"/>
          <w:szCs w:val="24"/>
        </w:rPr>
        <w:t>Kako bi se malim i srednjim poduzećima pomoglo u zaštiti njihovih prava intelektualnog vlasništva</w:t>
      </w:r>
      <w:r>
        <w:rPr>
          <w:rFonts w:eastAsia="Calibri"/>
          <w:kern w:val="2"/>
          <w:sz w:val="24"/>
          <w:szCs w:val="24"/>
        </w:rPr>
        <w:t>,</w:t>
      </w:r>
      <w:r w:rsidRPr="00BD1B6F">
        <w:rPr>
          <w:rFonts w:eastAsia="Calibri"/>
          <w:kern w:val="2"/>
          <w:sz w:val="24"/>
          <w:szCs w:val="24"/>
        </w:rPr>
        <w:t xml:space="preserve"> tijekom 2022. nastavljena </w:t>
      </w:r>
      <w:r>
        <w:rPr>
          <w:rFonts w:eastAsia="Calibri"/>
          <w:kern w:val="2"/>
          <w:sz w:val="24"/>
          <w:szCs w:val="24"/>
        </w:rPr>
        <w:t xml:space="preserve">je </w:t>
      </w:r>
      <w:r w:rsidRPr="00BD1B6F">
        <w:rPr>
          <w:rFonts w:eastAsia="Calibri"/>
          <w:kern w:val="2"/>
          <w:sz w:val="24"/>
          <w:szCs w:val="24"/>
        </w:rPr>
        <w:t>i dodatno proširena provedba Programa financijske potpore malim i srednjim poduzećima za zaštitu i upravljanje intelektualnim vlasništvom. Program u Hrvatskoj provodi Ured EU-a za intelektualno vlasništvo</w:t>
      </w:r>
      <w:r w:rsidRPr="008115FB">
        <w:rPr>
          <w:rFonts w:eastAsia="Calibri"/>
          <w:kern w:val="2"/>
          <w:sz w:val="24"/>
          <w:szCs w:val="24"/>
        </w:rPr>
        <w:t xml:space="preserve"> u suradnji s Državnim zavodom za intelektualno vlasništvo</w:t>
      </w:r>
      <w:r w:rsidRPr="00672866">
        <w:rPr>
          <w:rFonts w:eastAsia="Calibri"/>
          <w:kern w:val="2"/>
          <w:sz w:val="24"/>
          <w:szCs w:val="24"/>
        </w:rPr>
        <w:t>.</w:t>
      </w:r>
      <w:r w:rsidRPr="00BD1B6F">
        <w:rPr>
          <w:rFonts w:eastAsia="Calibri"/>
          <w:kern w:val="2"/>
          <w:sz w:val="24"/>
          <w:szCs w:val="24"/>
        </w:rPr>
        <w:t xml:space="preserve"> U skladu s novim Zakonom o autorskom pravu i srodnim pravima, u 2022. su doneseni podzakonski akti te </w:t>
      </w:r>
      <w:r w:rsidRPr="00BD1B6F">
        <w:rPr>
          <w:rFonts w:eastAsia="Calibri"/>
          <w:kern w:val="2"/>
          <w:sz w:val="24"/>
          <w:szCs w:val="24"/>
        </w:rPr>
        <w:lastRenderedPageBreak/>
        <w:t xml:space="preserve">su provedene sve predviđene prijelazne mjere, čime je u potpunosti dovršena modernizacija nacionalnog pravnog okvira za zaštitu </w:t>
      </w:r>
      <w:r w:rsidRPr="005C1F95">
        <w:rPr>
          <w:rFonts w:eastAsia="Calibri"/>
          <w:kern w:val="2"/>
          <w:sz w:val="24"/>
          <w:szCs w:val="24"/>
        </w:rPr>
        <w:t xml:space="preserve">autorskih prava, u skladu s potrebama digitalnog društva i pravnim okvirom EU-a. </w:t>
      </w:r>
      <w:r w:rsidRPr="004C1D5B">
        <w:rPr>
          <w:sz w:val="24"/>
        </w:rPr>
        <w:t>Također, nastavljeni su napori na razvoju sustava upravljanja kvalitetom u postupcima zaštite industrijskog vlasništva u Hrvatskoj te je provedena daljnja faza integriranja elektroničkih usluga vezanih za zaštitu prava industrijskog vlasništva</w:t>
      </w:r>
      <w:r w:rsidRPr="004C1D5B">
        <w:rPr>
          <w:b/>
          <w:sz w:val="24"/>
        </w:rPr>
        <w:t xml:space="preserve"> </w:t>
      </w:r>
      <w:r w:rsidRPr="004C1D5B">
        <w:rPr>
          <w:sz w:val="24"/>
        </w:rPr>
        <w:t xml:space="preserve">s javnim elektroničkim servisom e-građani. </w:t>
      </w:r>
    </w:p>
    <w:p w14:paraId="31D76AFB" w14:textId="77777777" w:rsidR="00AE7410" w:rsidRPr="00BD1B6F" w:rsidRDefault="00AE7410" w:rsidP="00AE7410">
      <w:pPr>
        <w:widowControl/>
        <w:autoSpaceDE/>
        <w:autoSpaceDN/>
        <w:spacing w:before="240" w:line="276" w:lineRule="auto"/>
        <w:jc w:val="both"/>
        <w:rPr>
          <w:rFonts w:eastAsia="Calibri"/>
          <w:kern w:val="2"/>
          <w:sz w:val="24"/>
          <w:szCs w:val="24"/>
          <w:highlight w:val="yellow"/>
        </w:rPr>
      </w:pPr>
      <w:r w:rsidRPr="00BD1B6F">
        <w:rPr>
          <w:rFonts w:eastAsia="Calibri"/>
          <w:kern w:val="2"/>
          <w:sz w:val="24"/>
          <w:szCs w:val="24"/>
        </w:rPr>
        <w:t>S ciljem stvaranja i prijenosa znanja te poticanja interakcije između istraživačkog, kreativnog i industrijskog sektora, započela je provedba NPOO investicije „Podrška za digitalne centre za inovacije“ (</w:t>
      </w:r>
      <w:r w:rsidRPr="0020412E">
        <w:rPr>
          <w:rFonts w:eastAsia="Calibri"/>
          <w:kern w:val="2"/>
          <w:sz w:val="24"/>
          <w:szCs w:val="24"/>
        </w:rPr>
        <w:t>C1.1.2.</w:t>
      </w:r>
      <w:r w:rsidRPr="00BD1B6F">
        <w:rPr>
          <w:rFonts w:eastAsia="Calibri"/>
          <w:kern w:val="2"/>
          <w:sz w:val="24"/>
          <w:szCs w:val="24"/>
        </w:rPr>
        <w:t xml:space="preserve"> R4-I1). U 2022. četiri su hrvatska kandidata za projekte Europskih digitalnih inovacijskih centara (EDIH</w:t>
      </w:r>
      <w:r w:rsidRPr="00BD1B6F">
        <w:rPr>
          <w:rStyle w:val="FootnoteReference"/>
          <w:rFonts w:eastAsia="Calibri"/>
          <w:kern w:val="2"/>
          <w:sz w:val="24"/>
          <w:szCs w:val="24"/>
        </w:rPr>
        <w:footnoteReference w:id="3"/>
      </w:r>
      <w:r w:rsidRPr="00BD1B6F">
        <w:rPr>
          <w:rFonts w:eastAsia="Calibri"/>
          <w:kern w:val="2"/>
          <w:sz w:val="24"/>
          <w:szCs w:val="24"/>
        </w:rPr>
        <w:t>), na natječaju u okviru Digital Europe Programa (DEP), osigurala sufinanciranje u iznosu od 5,</w:t>
      </w:r>
      <w:r w:rsidRPr="008115FB">
        <w:rPr>
          <w:rFonts w:eastAsia="Calibri"/>
          <w:kern w:val="2"/>
          <w:sz w:val="24"/>
          <w:szCs w:val="24"/>
        </w:rPr>
        <w:t>13</w:t>
      </w:r>
      <w:r w:rsidRPr="00BD1B6F">
        <w:rPr>
          <w:rFonts w:eastAsia="Calibri"/>
          <w:kern w:val="2"/>
          <w:sz w:val="24"/>
          <w:szCs w:val="24"/>
        </w:rPr>
        <w:t xml:space="preserve"> milijuna eura (50% vrijednosti projekata) te su pokrenute aktivnosti kako bi se osiguralo sufinanciranje projekata na nacionalnoj razini. </w:t>
      </w:r>
    </w:p>
    <w:p w14:paraId="302FF774" w14:textId="77777777" w:rsidR="00AE7410" w:rsidRPr="00BD1B6F" w:rsidRDefault="00AE7410" w:rsidP="00AE7410">
      <w:pPr>
        <w:widowControl/>
        <w:autoSpaceDE/>
        <w:autoSpaceDN/>
        <w:spacing w:before="240" w:line="276" w:lineRule="auto"/>
        <w:ind w:firstLine="720"/>
        <w:jc w:val="both"/>
        <w:rPr>
          <w:rFonts w:eastAsia="Calibri"/>
          <w:b/>
          <w:bCs/>
          <w:kern w:val="2"/>
          <w:sz w:val="24"/>
          <w:szCs w:val="24"/>
        </w:rPr>
      </w:pPr>
      <w:r w:rsidRPr="00BD1B6F">
        <w:rPr>
          <w:rFonts w:eastAsia="Calibri"/>
          <w:b/>
          <w:bCs/>
          <w:kern w:val="2"/>
          <w:sz w:val="24"/>
          <w:szCs w:val="24"/>
        </w:rPr>
        <w:t>Razvoj poduzetništva i obrta</w:t>
      </w:r>
    </w:p>
    <w:p w14:paraId="3266DC89" w14:textId="10BC4762" w:rsidR="007B61D1" w:rsidRPr="00BD1B6F" w:rsidRDefault="00AE7410" w:rsidP="00AE7410">
      <w:pPr>
        <w:widowControl/>
        <w:autoSpaceDE/>
        <w:autoSpaceDN/>
        <w:spacing w:before="240" w:line="276" w:lineRule="auto"/>
        <w:jc w:val="both"/>
        <w:rPr>
          <w:rFonts w:eastAsia="Calibri"/>
          <w:kern w:val="2"/>
          <w:sz w:val="24"/>
          <w:szCs w:val="24"/>
        </w:rPr>
      </w:pPr>
      <w:r w:rsidRPr="00BD1B6F">
        <w:rPr>
          <w:rFonts w:eastAsia="Calibri"/>
          <w:kern w:val="2"/>
          <w:sz w:val="24"/>
          <w:szCs w:val="24"/>
        </w:rPr>
        <w:t>Nastavak unaprjeđenja poslovne i investicijske klime kroz smanjenje troškovnog i administrativnog opterećenja poduzetnika u Hrvatskoj</w:t>
      </w:r>
      <w:r>
        <w:rPr>
          <w:rFonts w:eastAsia="Calibri"/>
          <w:kern w:val="2"/>
          <w:sz w:val="24"/>
          <w:szCs w:val="24"/>
        </w:rPr>
        <w:t>,</w:t>
      </w:r>
      <w:r w:rsidRPr="00BD1B6F">
        <w:rPr>
          <w:rFonts w:eastAsia="Calibri"/>
          <w:kern w:val="2"/>
          <w:sz w:val="24"/>
          <w:szCs w:val="24"/>
        </w:rPr>
        <w:t xml:space="preserve"> jedan je od prioriteta</w:t>
      </w:r>
      <w:r>
        <w:rPr>
          <w:rFonts w:eastAsia="Calibri"/>
          <w:kern w:val="2"/>
          <w:sz w:val="24"/>
          <w:szCs w:val="24"/>
        </w:rPr>
        <w:t xml:space="preserve"> javnih politika u Hrvatskoj, jer takve mjere mogu pojednostavniti regulatorno okruženje te rasteretiti resurse, što bi koristilo konkurentnosti poduzeća</w:t>
      </w:r>
      <w:r w:rsidRPr="00BD1B6F">
        <w:rPr>
          <w:rFonts w:eastAsia="Calibri"/>
          <w:kern w:val="2"/>
          <w:sz w:val="24"/>
          <w:szCs w:val="24"/>
        </w:rPr>
        <w:t xml:space="preserve">. </w:t>
      </w:r>
      <w:r>
        <w:rPr>
          <w:rFonts w:eastAsia="Calibri"/>
          <w:kern w:val="2"/>
          <w:sz w:val="24"/>
          <w:szCs w:val="24"/>
        </w:rPr>
        <w:t>S o</w:t>
      </w:r>
      <w:r w:rsidRPr="00BD1B6F">
        <w:rPr>
          <w:rFonts w:eastAsia="Calibri"/>
          <w:kern w:val="2"/>
          <w:sz w:val="24"/>
          <w:szCs w:val="24"/>
        </w:rPr>
        <w:t xml:space="preserve">bzirom </w:t>
      </w:r>
      <w:r>
        <w:rPr>
          <w:rFonts w:eastAsia="Calibri"/>
          <w:kern w:val="2"/>
          <w:sz w:val="24"/>
          <w:szCs w:val="24"/>
        </w:rPr>
        <w:t xml:space="preserve">na to </w:t>
      </w:r>
      <w:r w:rsidRPr="00BD1B6F">
        <w:rPr>
          <w:rFonts w:eastAsia="Calibri"/>
          <w:kern w:val="2"/>
          <w:sz w:val="24"/>
          <w:szCs w:val="24"/>
        </w:rPr>
        <w:t>da Hrvatsku karakterizira složeno administrativno okruženje za pokretanje i obavljanje poslovanja, prov</w:t>
      </w:r>
      <w:r>
        <w:rPr>
          <w:rFonts w:eastAsia="Calibri"/>
          <w:kern w:val="2"/>
          <w:sz w:val="24"/>
          <w:szCs w:val="24"/>
        </w:rPr>
        <w:t>o</w:t>
      </w:r>
      <w:r w:rsidRPr="00BD1B6F">
        <w:rPr>
          <w:rFonts w:eastAsia="Calibri"/>
          <w:kern w:val="2"/>
          <w:sz w:val="24"/>
          <w:szCs w:val="24"/>
        </w:rPr>
        <w:t>d</w:t>
      </w:r>
      <w:r>
        <w:rPr>
          <w:rFonts w:eastAsia="Calibri"/>
          <w:kern w:val="2"/>
          <w:sz w:val="24"/>
          <w:szCs w:val="24"/>
        </w:rPr>
        <w:t xml:space="preserve">e se </w:t>
      </w:r>
      <w:r w:rsidRPr="00BD1B6F">
        <w:rPr>
          <w:rFonts w:eastAsia="Calibri"/>
          <w:kern w:val="2"/>
          <w:sz w:val="24"/>
          <w:szCs w:val="24"/>
        </w:rPr>
        <w:t>mjer</w:t>
      </w:r>
      <w:r>
        <w:rPr>
          <w:rFonts w:eastAsia="Calibri"/>
          <w:kern w:val="2"/>
          <w:sz w:val="24"/>
          <w:szCs w:val="24"/>
        </w:rPr>
        <w:t>e</w:t>
      </w:r>
      <w:r w:rsidRPr="00BD1B6F">
        <w:rPr>
          <w:rFonts w:eastAsia="Calibri"/>
          <w:kern w:val="2"/>
          <w:sz w:val="24"/>
          <w:szCs w:val="24"/>
        </w:rPr>
        <w:t xml:space="preserve"> smanjenja administrativnog opterećenja gospodarstva te pojednostavljenja uvjeta poslovanja utvrđenih prvim Akcijskim planom za smanjenje neporeznih i parafiskalnih davanja. Akcijski plan </w:t>
      </w:r>
      <w:r w:rsidRPr="008115FB">
        <w:rPr>
          <w:rFonts w:eastAsia="Calibri"/>
          <w:kern w:val="2"/>
          <w:sz w:val="24"/>
          <w:szCs w:val="24"/>
        </w:rPr>
        <w:t xml:space="preserve"> usvojen </w:t>
      </w:r>
      <w:r>
        <w:rPr>
          <w:rFonts w:eastAsia="Calibri"/>
          <w:kern w:val="2"/>
          <w:sz w:val="24"/>
          <w:szCs w:val="24"/>
        </w:rPr>
        <w:t xml:space="preserve">je </w:t>
      </w:r>
      <w:r w:rsidRPr="008115FB">
        <w:rPr>
          <w:rFonts w:eastAsia="Calibri"/>
          <w:kern w:val="2"/>
          <w:sz w:val="24"/>
          <w:szCs w:val="24"/>
        </w:rPr>
        <w:t xml:space="preserve">u svibnju 2020., </w:t>
      </w:r>
      <w:r>
        <w:rPr>
          <w:rFonts w:eastAsia="Calibri"/>
          <w:kern w:val="2"/>
          <w:sz w:val="24"/>
          <w:szCs w:val="24"/>
        </w:rPr>
        <w:t>čime</w:t>
      </w:r>
      <w:r w:rsidRPr="008115FB">
        <w:rPr>
          <w:rFonts w:eastAsia="Calibri"/>
          <w:kern w:val="2"/>
          <w:sz w:val="24"/>
          <w:szCs w:val="24"/>
        </w:rPr>
        <w:t xml:space="preserve"> je ispunjena jedna od obveza preuzetih u okviru Europskog semestra i Nacionalnog programa reformi. </w:t>
      </w:r>
      <w:r>
        <w:rPr>
          <w:rFonts w:eastAsia="Calibri"/>
          <w:kern w:val="2"/>
          <w:sz w:val="24"/>
          <w:szCs w:val="24"/>
        </w:rPr>
        <w:t>Njime</w:t>
      </w:r>
      <w:r w:rsidRPr="008115FB">
        <w:rPr>
          <w:rFonts w:eastAsia="Calibri"/>
          <w:kern w:val="2"/>
          <w:sz w:val="24"/>
          <w:szCs w:val="24"/>
        </w:rPr>
        <w:t xml:space="preserve"> je utvrđeno ukupno 50 mjera rasterećenja, od kojih se 33 odnosilo na ukidanje ili smanjenje odabranih neporeznih i parafiskalnih davanja, a 17 mjera odnosilo </w:t>
      </w:r>
      <w:r>
        <w:rPr>
          <w:rFonts w:eastAsia="Calibri"/>
          <w:kern w:val="2"/>
          <w:sz w:val="24"/>
          <w:szCs w:val="24"/>
        </w:rPr>
        <w:t xml:space="preserve">se </w:t>
      </w:r>
      <w:r w:rsidRPr="008115FB">
        <w:rPr>
          <w:rFonts w:eastAsia="Calibri"/>
          <w:kern w:val="2"/>
          <w:sz w:val="24"/>
          <w:szCs w:val="24"/>
        </w:rPr>
        <w:t>na smanjenje naknada za stručne ispite.</w:t>
      </w:r>
      <w:r w:rsidRPr="008115FB" w:rsidDel="00F70B18">
        <w:rPr>
          <w:rFonts w:eastAsia="Calibri"/>
          <w:kern w:val="2"/>
          <w:sz w:val="24"/>
          <w:szCs w:val="24"/>
        </w:rPr>
        <w:t xml:space="preserve"> </w:t>
      </w:r>
      <w:r w:rsidRPr="008115FB">
        <w:rPr>
          <w:rFonts w:eastAsia="Calibri"/>
          <w:kern w:val="2"/>
          <w:sz w:val="24"/>
          <w:szCs w:val="24"/>
        </w:rPr>
        <w:t xml:space="preserve">S </w:t>
      </w:r>
      <w:r w:rsidRPr="00BD1B6F">
        <w:rPr>
          <w:rFonts w:eastAsia="Calibri"/>
          <w:kern w:val="2"/>
          <w:sz w:val="24"/>
          <w:szCs w:val="24"/>
        </w:rPr>
        <w:t>prv</w:t>
      </w:r>
      <w:r w:rsidRPr="008115FB">
        <w:rPr>
          <w:rFonts w:eastAsia="Calibri"/>
          <w:kern w:val="2"/>
          <w:sz w:val="24"/>
          <w:szCs w:val="24"/>
        </w:rPr>
        <w:t>im</w:t>
      </w:r>
      <w:r w:rsidRPr="00BD1B6F">
        <w:rPr>
          <w:rFonts w:eastAsia="Calibri"/>
          <w:kern w:val="2"/>
          <w:sz w:val="24"/>
          <w:szCs w:val="24"/>
        </w:rPr>
        <w:t xml:space="preserve"> kvartal</w:t>
      </w:r>
      <w:r w:rsidRPr="008115FB">
        <w:rPr>
          <w:rFonts w:eastAsia="Calibri"/>
          <w:kern w:val="2"/>
          <w:sz w:val="24"/>
          <w:szCs w:val="24"/>
        </w:rPr>
        <w:t>om</w:t>
      </w:r>
      <w:r w:rsidRPr="00BD1B6F">
        <w:rPr>
          <w:rFonts w:eastAsia="Calibri"/>
          <w:kern w:val="2"/>
          <w:sz w:val="24"/>
          <w:szCs w:val="24"/>
        </w:rPr>
        <w:t xml:space="preserve"> 2022. proved</w:t>
      </w:r>
      <w:r w:rsidRPr="008115FB">
        <w:rPr>
          <w:rFonts w:eastAsia="Calibri"/>
          <w:kern w:val="2"/>
          <w:sz w:val="24"/>
          <w:szCs w:val="24"/>
        </w:rPr>
        <w:t>eno je</w:t>
      </w:r>
      <w:r w:rsidRPr="00BD1B6F">
        <w:rPr>
          <w:rFonts w:eastAsia="Calibri"/>
          <w:kern w:val="2"/>
          <w:sz w:val="24"/>
          <w:szCs w:val="24"/>
        </w:rPr>
        <w:t xml:space="preserve"> svih 50 mjera </w:t>
      </w:r>
      <w:r w:rsidRPr="008115FB">
        <w:rPr>
          <w:rFonts w:eastAsia="Calibri"/>
          <w:kern w:val="2"/>
          <w:sz w:val="24"/>
          <w:szCs w:val="24"/>
        </w:rPr>
        <w:t>iz</w:t>
      </w:r>
      <w:r w:rsidRPr="00BD1B6F">
        <w:rPr>
          <w:rFonts w:eastAsia="Calibri"/>
          <w:kern w:val="2"/>
          <w:sz w:val="24"/>
          <w:szCs w:val="24"/>
        </w:rPr>
        <w:t xml:space="preserve"> Akcijsk</w:t>
      </w:r>
      <w:r w:rsidRPr="008115FB">
        <w:rPr>
          <w:rFonts w:eastAsia="Calibri"/>
          <w:kern w:val="2"/>
          <w:sz w:val="24"/>
          <w:szCs w:val="24"/>
        </w:rPr>
        <w:t>og</w:t>
      </w:r>
      <w:r w:rsidRPr="00BD1B6F">
        <w:rPr>
          <w:rFonts w:eastAsia="Calibri"/>
          <w:kern w:val="2"/>
          <w:sz w:val="24"/>
          <w:szCs w:val="24"/>
        </w:rPr>
        <w:t xml:space="preserve"> plan</w:t>
      </w:r>
      <w:r w:rsidRPr="008115FB">
        <w:rPr>
          <w:rFonts w:eastAsia="Calibri"/>
          <w:kern w:val="2"/>
          <w:sz w:val="24"/>
          <w:szCs w:val="24"/>
        </w:rPr>
        <w:t>a</w:t>
      </w:r>
      <w:r w:rsidRPr="00BD1B6F">
        <w:rPr>
          <w:rFonts w:eastAsia="Calibri"/>
          <w:kern w:val="2"/>
          <w:sz w:val="24"/>
          <w:szCs w:val="24"/>
        </w:rPr>
        <w:t xml:space="preserve">, </w:t>
      </w:r>
      <w:r>
        <w:rPr>
          <w:rFonts w:eastAsia="Calibri"/>
          <w:kern w:val="2"/>
          <w:sz w:val="24"/>
          <w:szCs w:val="24"/>
        </w:rPr>
        <w:t>čime</w:t>
      </w:r>
      <w:r w:rsidRPr="008115FB">
        <w:rPr>
          <w:rFonts w:eastAsia="Calibri"/>
          <w:kern w:val="2"/>
          <w:sz w:val="24"/>
          <w:szCs w:val="24"/>
        </w:rPr>
        <w:t xml:space="preserve"> je </w:t>
      </w:r>
      <w:r w:rsidRPr="00BD1B6F">
        <w:rPr>
          <w:rFonts w:eastAsia="Calibri"/>
          <w:kern w:val="2"/>
          <w:sz w:val="24"/>
          <w:szCs w:val="24"/>
        </w:rPr>
        <w:t>ostvareno rasterećenje gospodarstva u ukupnom iznosu od 70,6 milijuna eura.</w:t>
      </w:r>
    </w:p>
    <w:p w14:paraId="554268E3" w14:textId="7FAB4FEA" w:rsidR="00707148" w:rsidRPr="008115FB" w:rsidRDefault="00B50CFA" w:rsidP="00707148">
      <w:pPr>
        <w:widowControl/>
        <w:autoSpaceDE/>
        <w:autoSpaceDN/>
        <w:spacing w:before="240" w:line="276" w:lineRule="auto"/>
        <w:jc w:val="both"/>
        <w:rPr>
          <w:rFonts w:eastAsia="Calibri"/>
          <w:kern w:val="2"/>
          <w:sz w:val="24"/>
          <w:szCs w:val="24"/>
        </w:rPr>
      </w:pPr>
      <w:r w:rsidRPr="00BD1B6F">
        <w:rPr>
          <w:rFonts w:eastAsia="Calibri"/>
          <w:kern w:val="2"/>
          <w:sz w:val="24"/>
          <w:szCs w:val="24"/>
        </w:rPr>
        <w:t>Nadalje</w:t>
      </w:r>
      <w:r w:rsidR="00F03813" w:rsidRPr="008115FB">
        <w:rPr>
          <w:rFonts w:eastAsia="Calibri"/>
          <w:kern w:val="2"/>
          <w:sz w:val="24"/>
          <w:szCs w:val="24"/>
        </w:rPr>
        <w:t>, u</w:t>
      </w:r>
      <w:r w:rsidR="00616416" w:rsidRPr="008115FB">
        <w:rPr>
          <w:rFonts w:eastAsia="Calibri"/>
          <w:kern w:val="2"/>
          <w:sz w:val="24"/>
          <w:szCs w:val="24"/>
        </w:rPr>
        <w:t>z</w:t>
      </w:r>
      <w:r w:rsidR="00707148" w:rsidRPr="008115FB">
        <w:rPr>
          <w:rFonts w:eastAsia="Calibri"/>
          <w:kern w:val="2"/>
          <w:sz w:val="24"/>
          <w:szCs w:val="24"/>
        </w:rPr>
        <w:t xml:space="preserve"> </w:t>
      </w:r>
      <w:r w:rsidR="00616416" w:rsidRPr="008115FB">
        <w:rPr>
          <w:rFonts w:eastAsia="Calibri"/>
          <w:kern w:val="2"/>
          <w:sz w:val="24"/>
          <w:szCs w:val="24"/>
        </w:rPr>
        <w:t xml:space="preserve">potporu u </w:t>
      </w:r>
      <w:r w:rsidR="00707148" w:rsidRPr="008115FB">
        <w:rPr>
          <w:rFonts w:eastAsia="Calibri"/>
          <w:kern w:val="2"/>
          <w:sz w:val="24"/>
          <w:szCs w:val="24"/>
        </w:rPr>
        <w:t>okviru N</w:t>
      </w:r>
      <w:r w:rsidR="00F03813" w:rsidRPr="008115FB">
        <w:rPr>
          <w:rFonts w:eastAsia="Calibri"/>
          <w:kern w:val="2"/>
          <w:sz w:val="24"/>
          <w:szCs w:val="24"/>
        </w:rPr>
        <w:t>POO</w:t>
      </w:r>
      <w:r w:rsidR="00707148" w:rsidRPr="008115FB">
        <w:rPr>
          <w:rFonts w:eastAsia="Calibri"/>
          <w:kern w:val="2"/>
          <w:sz w:val="24"/>
          <w:szCs w:val="24"/>
        </w:rPr>
        <w:t xml:space="preserve"> </w:t>
      </w:r>
      <w:r w:rsidR="00F03813" w:rsidRPr="008115FB">
        <w:rPr>
          <w:rFonts w:eastAsia="Calibri"/>
          <w:kern w:val="2"/>
          <w:sz w:val="24"/>
          <w:szCs w:val="24"/>
        </w:rPr>
        <w:t>investicije (</w:t>
      </w:r>
      <w:r w:rsidR="00707148" w:rsidRPr="00707148">
        <w:rPr>
          <w:rFonts w:eastAsia="Calibri"/>
          <w:kern w:val="2"/>
          <w:sz w:val="24"/>
          <w:szCs w:val="24"/>
        </w:rPr>
        <w:t>C1.1.1.</w:t>
      </w:r>
      <w:r w:rsidR="00707148" w:rsidRPr="008115FB">
        <w:rPr>
          <w:rFonts w:eastAsia="Calibri"/>
          <w:kern w:val="2"/>
          <w:sz w:val="24"/>
          <w:szCs w:val="24"/>
        </w:rPr>
        <w:t xml:space="preserve"> R1-I2</w:t>
      </w:r>
      <w:r w:rsidR="00F03813" w:rsidRPr="008115FB">
        <w:rPr>
          <w:rFonts w:eastAsia="Calibri"/>
          <w:kern w:val="2"/>
          <w:sz w:val="24"/>
          <w:szCs w:val="24"/>
        </w:rPr>
        <w:t>) „</w:t>
      </w:r>
      <w:r w:rsidR="00707148" w:rsidRPr="008115FB">
        <w:rPr>
          <w:rFonts w:eastAsia="Calibri"/>
          <w:kern w:val="2"/>
          <w:sz w:val="24"/>
          <w:szCs w:val="24"/>
        </w:rPr>
        <w:t>Nastavak administrativnog i fiskalnog rasterećenja</w:t>
      </w:r>
      <w:r w:rsidR="00F03813" w:rsidRPr="008115FB">
        <w:rPr>
          <w:rFonts w:eastAsia="Calibri"/>
          <w:kern w:val="2"/>
          <w:sz w:val="24"/>
          <w:szCs w:val="24"/>
        </w:rPr>
        <w:t>“</w:t>
      </w:r>
      <w:r w:rsidR="00707148" w:rsidRPr="008115FB">
        <w:rPr>
          <w:rFonts w:eastAsia="Calibri"/>
          <w:kern w:val="2"/>
          <w:sz w:val="24"/>
          <w:szCs w:val="24"/>
        </w:rPr>
        <w:t xml:space="preserve"> </w:t>
      </w:r>
      <w:r w:rsidR="008C3DCF" w:rsidRPr="008115FB">
        <w:rPr>
          <w:rFonts w:eastAsia="Calibri"/>
          <w:kern w:val="2"/>
          <w:sz w:val="24"/>
          <w:szCs w:val="24"/>
        </w:rPr>
        <w:t>nastavljena je</w:t>
      </w:r>
      <w:r w:rsidR="00707148" w:rsidRPr="008115FB">
        <w:rPr>
          <w:rFonts w:eastAsia="Calibri"/>
          <w:kern w:val="2"/>
          <w:sz w:val="24"/>
          <w:szCs w:val="24"/>
        </w:rPr>
        <w:t xml:space="preserve"> provedb</w:t>
      </w:r>
      <w:r w:rsidR="008C3DCF" w:rsidRPr="008115FB">
        <w:rPr>
          <w:rFonts w:eastAsia="Calibri"/>
          <w:kern w:val="2"/>
          <w:sz w:val="24"/>
          <w:szCs w:val="24"/>
        </w:rPr>
        <w:t>a</w:t>
      </w:r>
      <w:r w:rsidR="00707148" w:rsidRPr="008115FB">
        <w:rPr>
          <w:rFonts w:eastAsia="Calibri"/>
          <w:kern w:val="2"/>
          <w:sz w:val="24"/>
          <w:szCs w:val="24"/>
        </w:rPr>
        <w:t xml:space="preserve"> mjera iz </w:t>
      </w:r>
      <w:r w:rsidR="00295BE8">
        <w:rPr>
          <w:rFonts w:eastAsia="Calibri"/>
          <w:kern w:val="2"/>
          <w:sz w:val="24"/>
          <w:szCs w:val="24"/>
        </w:rPr>
        <w:t>a</w:t>
      </w:r>
      <w:r w:rsidR="00707148" w:rsidRPr="008115FB">
        <w:rPr>
          <w:rFonts w:eastAsia="Calibri"/>
          <w:kern w:val="2"/>
          <w:sz w:val="24"/>
          <w:szCs w:val="24"/>
        </w:rPr>
        <w:t xml:space="preserve">kcijskih planova za administrativno rasterećenje gospodarstva </w:t>
      </w:r>
      <w:r w:rsidR="00616416" w:rsidRPr="008115FB">
        <w:rPr>
          <w:rFonts w:eastAsia="Calibri"/>
          <w:kern w:val="2"/>
          <w:sz w:val="24"/>
          <w:szCs w:val="24"/>
        </w:rPr>
        <w:t xml:space="preserve">za </w:t>
      </w:r>
      <w:r w:rsidR="00707148" w:rsidRPr="008115FB">
        <w:rPr>
          <w:rFonts w:eastAsia="Calibri"/>
          <w:kern w:val="2"/>
          <w:sz w:val="24"/>
          <w:szCs w:val="24"/>
        </w:rPr>
        <w:t>2018</w:t>
      </w:r>
      <w:r w:rsidR="00616416" w:rsidRPr="008115FB">
        <w:rPr>
          <w:rFonts w:eastAsia="Calibri"/>
          <w:kern w:val="2"/>
          <w:sz w:val="24"/>
          <w:szCs w:val="24"/>
        </w:rPr>
        <w:t>.</w:t>
      </w:r>
      <w:r w:rsidR="00707148" w:rsidRPr="008115FB">
        <w:rPr>
          <w:rFonts w:eastAsia="Calibri"/>
          <w:kern w:val="2"/>
          <w:sz w:val="24"/>
          <w:szCs w:val="24"/>
        </w:rPr>
        <w:t>, 2019</w:t>
      </w:r>
      <w:r w:rsidR="00616416" w:rsidRPr="008115FB">
        <w:rPr>
          <w:rFonts w:eastAsia="Calibri"/>
          <w:kern w:val="2"/>
          <w:sz w:val="24"/>
          <w:szCs w:val="24"/>
        </w:rPr>
        <w:t>.</w:t>
      </w:r>
      <w:r w:rsidR="00707148" w:rsidRPr="008115FB">
        <w:rPr>
          <w:rFonts w:eastAsia="Calibri"/>
          <w:kern w:val="2"/>
          <w:sz w:val="24"/>
          <w:szCs w:val="24"/>
        </w:rPr>
        <w:t xml:space="preserve"> i 2020</w:t>
      </w:r>
      <w:r w:rsidR="00616416" w:rsidRPr="008115FB">
        <w:rPr>
          <w:rFonts w:eastAsia="Calibri"/>
          <w:kern w:val="2"/>
          <w:sz w:val="24"/>
          <w:szCs w:val="24"/>
        </w:rPr>
        <w:t>.</w:t>
      </w:r>
      <w:r w:rsidR="00707148" w:rsidRPr="008115FB">
        <w:rPr>
          <w:rFonts w:eastAsia="Calibri"/>
          <w:kern w:val="2"/>
          <w:sz w:val="24"/>
          <w:szCs w:val="24"/>
        </w:rPr>
        <w:t xml:space="preserve"> </w:t>
      </w:r>
      <w:r w:rsidR="000878FF" w:rsidRPr="008115FB">
        <w:rPr>
          <w:rFonts w:eastAsia="Calibri"/>
          <w:kern w:val="2"/>
          <w:sz w:val="24"/>
          <w:szCs w:val="24"/>
        </w:rPr>
        <w:t xml:space="preserve">Tijekom 2022. </w:t>
      </w:r>
      <w:r w:rsidR="00AE6659" w:rsidRPr="008115FB">
        <w:rPr>
          <w:rFonts w:eastAsia="Calibri"/>
          <w:kern w:val="2"/>
          <w:sz w:val="24"/>
          <w:szCs w:val="24"/>
        </w:rPr>
        <w:t>provedeni su napori na</w:t>
      </w:r>
      <w:r w:rsidR="00707148" w:rsidRPr="008115FB">
        <w:rPr>
          <w:rFonts w:eastAsia="Calibri"/>
          <w:kern w:val="2"/>
          <w:sz w:val="24"/>
          <w:szCs w:val="24"/>
        </w:rPr>
        <w:t xml:space="preserve"> provedb</w:t>
      </w:r>
      <w:r w:rsidR="00AE6659" w:rsidRPr="008115FB">
        <w:rPr>
          <w:rFonts w:eastAsia="Calibri"/>
          <w:kern w:val="2"/>
          <w:sz w:val="24"/>
          <w:szCs w:val="24"/>
        </w:rPr>
        <w:t>i</w:t>
      </w:r>
      <w:r w:rsidR="00707148" w:rsidRPr="008115FB">
        <w:rPr>
          <w:rFonts w:eastAsia="Calibri"/>
          <w:kern w:val="2"/>
          <w:sz w:val="24"/>
          <w:szCs w:val="24"/>
        </w:rPr>
        <w:t xml:space="preserve"> 390 od </w:t>
      </w:r>
      <w:r w:rsidR="00AE6659" w:rsidRPr="008115FB">
        <w:rPr>
          <w:rFonts w:eastAsia="Calibri"/>
          <w:kern w:val="2"/>
          <w:sz w:val="24"/>
          <w:szCs w:val="24"/>
        </w:rPr>
        <w:t xml:space="preserve">ukupno </w:t>
      </w:r>
      <w:r w:rsidR="00707148" w:rsidRPr="008115FB">
        <w:rPr>
          <w:rFonts w:eastAsia="Calibri"/>
          <w:kern w:val="2"/>
          <w:sz w:val="24"/>
          <w:szCs w:val="24"/>
        </w:rPr>
        <w:t>466 mjera</w:t>
      </w:r>
      <w:r w:rsidR="005C52F8" w:rsidRPr="008115FB">
        <w:rPr>
          <w:rFonts w:eastAsia="Calibri"/>
          <w:kern w:val="2"/>
          <w:sz w:val="24"/>
          <w:szCs w:val="24"/>
        </w:rPr>
        <w:t xml:space="preserve"> rasterećenja</w:t>
      </w:r>
      <w:r w:rsidR="00AE6659" w:rsidRPr="008115FB">
        <w:rPr>
          <w:rFonts w:eastAsia="Calibri"/>
          <w:kern w:val="2"/>
          <w:sz w:val="24"/>
          <w:szCs w:val="24"/>
        </w:rPr>
        <w:t>, čime je</w:t>
      </w:r>
      <w:r w:rsidR="00707148" w:rsidRPr="008115FB">
        <w:rPr>
          <w:rFonts w:eastAsia="Calibri"/>
          <w:kern w:val="2"/>
          <w:sz w:val="24"/>
          <w:szCs w:val="24"/>
        </w:rPr>
        <w:t xml:space="preserve"> ostvareno </w:t>
      </w:r>
      <w:r w:rsidR="00E32F1C" w:rsidRPr="008115FB">
        <w:rPr>
          <w:rFonts w:eastAsia="Calibri"/>
          <w:kern w:val="2"/>
          <w:sz w:val="24"/>
          <w:szCs w:val="24"/>
        </w:rPr>
        <w:t xml:space="preserve">rasterećenje gospodarstva u </w:t>
      </w:r>
      <w:r w:rsidRPr="008115FB">
        <w:rPr>
          <w:rFonts w:eastAsia="Calibri"/>
          <w:kern w:val="2"/>
          <w:sz w:val="24"/>
          <w:szCs w:val="24"/>
        </w:rPr>
        <w:t>ukupno</w:t>
      </w:r>
      <w:r w:rsidR="00AD1247">
        <w:rPr>
          <w:rFonts w:eastAsia="Calibri"/>
          <w:kern w:val="2"/>
          <w:sz w:val="24"/>
          <w:szCs w:val="24"/>
        </w:rPr>
        <w:t>m</w:t>
      </w:r>
      <w:r w:rsidRPr="008115FB">
        <w:rPr>
          <w:rFonts w:eastAsia="Calibri"/>
          <w:kern w:val="2"/>
          <w:sz w:val="24"/>
          <w:szCs w:val="24"/>
        </w:rPr>
        <w:t xml:space="preserve"> </w:t>
      </w:r>
      <w:r w:rsidR="00E32F1C" w:rsidRPr="008115FB">
        <w:rPr>
          <w:rFonts w:eastAsia="Calibri"/>
          <w:kern w:val="2"/>
          <w:sz w:val="24"/>
          <w:szCs w:val="24"/>
        </w:rPr>
        <w:t xml:space="preserve">iznosu od 252,8 milijuna eura, odnosno </w:t>
      </w:r>
      <w:r w:rsidR="00707148" w:rsidRPr="008115FB">
        <w:rPr>
          <w:rFonts w:eastAsia="Calibri"/>
          <w:kern w:val="2"/>
          <w:sz w:val="24"/>
          <w:szCs w:val="24"/>
        </w:rPr>
        <w:lastRenderedPageBreak/>
        <w:t xml:space="preserve">98,22% </w:t>
      </w:r>
      <w:r w:rsidR="00D9166C" w:rsidRPr="008115FB">
        <w:rPr>
          <w:rFonts w:eastAsia="Calibri"/>
          <w:kern w:val="2"/>
          <w:sz w:val="24"/>
          <w:szCs w:val="24"/>
        </w:rPr>
        <w:t>planiran</w:t>
      </w:r>
      <w:r w:rsidR="000B39EC" w:rsidRPr="008115FB">
        <w:rPr>
          <w:rFonts w:eastAsia="Calibri"/>
          <w:kern w:val="2"/>
          <w:sz w:val="24"/>
          <w:szCs w:val="24"/>
        </w:rPr>
        <w:t xml:space="preserve">og </w:t>
      </w:r>
      <w:r w:rsidR="00707148" w:rsidRPr="008115FB">
        <w:rPr>
          <w:rFonts w:eastAsia="Calibri"/>
          <w:kern w:val="2"/>
          <w:sz w:val="24"/>
          <w:szCs w:val="24"/>
        </w:rPr>
        <w:t>administrativnog rasterećenja</w:t>
      </w:r>
      <w:r w:rsidRPr="008115FB">
        <w:rPr>
          <w:rFonts w:eastAsia="Calibri"/>
          <w:kern w:val="2"/>
          <w:sz w:val="24"/>
          <w:szCs w:val="24"/>
        </w:rPr>
        <w:t xml:space="preserve"> gospodarstva</w:t>
      </w:r>
      <w:r w:rsidR="00EC1929" w:rsidRPr="008115FB">
        <w:rPr>
          <w:rFonts w:eastAsia="Calibri"/>
          <w:kern w:val="2"/>
          <w:sz w:val="24"/>
          <w:szCs w:val="24"/>
        </w:rPr>
        <w:t>.</w:t>
      </w:r>
      <w:r w:rsidRPr="008115FB">
        <w:rPr>
          <w:rFonts w:eastAsia="Calibri"/>
          <w:kern w:val="2"/>
          <w:sz w:val="24"/>
          <w:szCs w:val="24"/>
        </w:rPr>
        <w:t xml:space="preserve"> </w:t>
      </w:r>
      <w:r w:rsidR="008B7944" w:rsidRPr="008115FB">
        <w:rPr>
          <w:rFonts w:eastAsia="Calibri"/>
          <w:kern w:val="2"/>
          <w:sz w:val="24"/>
          <w:szCs w:val="24"/>
        </w:rPr>
        <w:t>Dodatno</w:t>
      </w:r>
      <w:r w:rsidRPr="008115FB">
        <w:rPr>
          <w:rFonts w:eastAsia="Calibri"/>
          <w:kern w:val="2"/>
          <w:sz w:val="24"/>
          <w:szCs w:val="24"/>
        </w:rPr>
        <w:t xml:space="preserve">, </w:t>
      </w:r>
      <w:r w:rsidR="005E258E" w:rsidRPr="008115FB">
        <w:rPr>
          <w:rFonts w:eastAsia="Calibri"/>
          <w:kern w:val="2"/>
          <w:sz w:val="24"/>
          <w:szCs w:val="24"/>
        </w:rPr>
        <w:t xml:space="preserve">novim Akcijskim planom za administrativno rasterećenje gospodarstva </w:t>
      </w:r>
      <w:r w:rsidR="00CC6102" w:rsidRPr="008115FB">
        <w:rPr>
          <w:rFonts w:eastAsia="Calibri"/>
          <w:kern w:val="2"/>
          <w:sz w:val="24"/>
          <w:szCs w:val="24"/>
        </w:rPr>
        <w:t>planirano je</w:t>
      </w:r>
      <w:r w:rsidR="00707148" w:rsidRPr="008115FB">
        <w:rPr>
          <w:rFonts w:eastAsia="Calibri"/>
          <w:kern w:val="2"/>
          <w:sz w:val="24"/>
          <w:szCs w:val="24"/>
        </w:rPr>
        <w:t xml:space="preserve"> daljnje smanjenj</w:t>
      </w:r>
      <w:r w:rsidR="00CC6102" w:rsidRPr="008115FB">
        <w:rPr>
          <w:rFonts w:eastAsia="Calibri"/>
          <w:kern w:val="2"/>
          <w:sz w:val="24"/>
          <w:szCs w:val="24"/>
        </w:rPr>
        <w:t>e</w:t>
      </w:r>
      <w:r w:rsidR="00707148" w:rsidRPr="008115FB">
        <w:rPr>
          <w:rFonts w:eastAsia="Calibri"/>
          <w:kern w:val="2"/>
          <w:sz w:val="24"/>
          <w:szCs w:val="24"/>
        </w:rPr>
        <w:t xml:space="preserve"> administrativnog opterećenja gospodarstva u iznosu od </w:t>
      </w:r>
      <w:r w:rsidR="00830184" w:rsidRPr="008115FB">
        <w:rPr>
          <w:rFonts w:eastAsia="Calibri"/>
          <w:kern w:val="2"/>
          <w:sz w:val="24"/>
          <w:szCs w:val="24"/>
        </w:rPr>
        <w:t>najmanje</w:t>
      </w:r>
      <w:r w:rsidR="00707148" w:rsidRPr="008115FB">
        <w:rPr>
          <w:rFonts w:eastAsia="Calibri"/>
          <w:kern w:val="2"/>
          <w:sz w:val="24"/>
          <w:szCs w:val="24"/>
        </w:rPr>
        <w:t xml:space="preserve"> 265</w:t>
      </w:r>
      <w:r w:rsidR="005E258E" w:rsidRPr="008115FB">
        <w:rPr>
          <w:rFonts w:eastAsia="Calibri"/>
          <w:kern w:val="2"/>
          <w:sz w:val="24"/>
          <w:szCs w:val="24"/>
        </w:rPr>
        <w:t>,5 milijuna eura</w:t>
      </w:r>
      <w:r w:rsidR="00707148" w:rsidRPr="008115FB">
        <w:rPr>
          <w:rFonts w:eastAsia="Calibri"/>
          <w:kern w:val="2"/>
          <w:sz w:val="24"/>
          <w:szCs w:val="24"/>
        </w:rPr>
        <w:t>. Provedb</w:t>
      </w:r>
      <w:r w:rsidR="00BB0766" w:rsidRPr="008115FB">
        <w:rPr>
          <w:rFonts w:eastAsia="Calibri"/>
          <w:kern w:val="2"/>
          <w:sz w:val="24"/>
          <w:szCs w:val="24"/>
        </w:rPr>
        <w:t>om</w:t>
      </w:r>
      <w:r w:rsidR="00707148" w:rsidRPr="008115FB">
        <w:rPr>
          <w:rFonts w:eastAsia="Calibri"/>
          <w:kern w:val="2"/>
          <w:sz w:val="24"/>
          <w:szCs w:val="24"/>
        </w:rPr>
        <w:t xml:space="preserve"> prvog </w:t>
      </w:r>
      <w:r w:rsidR="00CC6102" w:rsidRPr="008115FB">
        <w:rPr>
          <w:rFonts w:eastAsia="Calibri"/>
          <w:kern w:val="2"/>
          <w:sz w:val="24"/>
          <w:szCs w:val="24"/>
        </w:rPr>
        <w:t xml:space="preserve">paketa </w:t>
      </w:r>
      <w:r w:rsidR="00707148" w:rsidRPr="008115FB">
        <w:rPr>
          <w:rFonts w:eastAsia="Calibri"/>
          <w:kern w:val="2"/>
          <w:sz w:val="24"/>
          <w:szCs w:val="24"/>
        </w:rPr>
        <w:t>mjera</w:t>
      </w:r>
      <w:r w:rsidR="00830184" w:rsidRPr="008115FB">
        <w:rPr>
          <w:rFonts w:eastAsia="Calibri"/>
          <w:kern w:val="2"/>
          <w:sz w:val="24"/>
          <w:szCs w:val="24"/>
        </w:rPr>
        <w:t>,</w:t>
      </w:r>
      <w:r w:rsidR="00707148" w:rsidRPr="008115FB">
        <w:rPr>
          <w:rFonts w:eastAsia="Calibri"/>
          <w:kern w:val="2"/>
          <w:sz w:val="24"/>
          <w:szCs w:val="24"/>
        </w:rPr>
        <w:t xml:space="preserve"> utvrđen</w:t>
      </w:r>
      <w:r w:rsidR="00BB0766" w:rsidRPr="008115FB">
        <w:rPr>
          <w:rFonts w:eastAsia="Calibri"/>
          <w:kern w:val="2"/>
          <w:sz w:val="24"/>
          <w:szCs w:val="24"/>
        </w:rPr>
        <w:t>og</w:t>
      </w:r>
      <w:r w:rsidR="00707148" w:rsidRPr="008115FB">
        <w:rPr>
          <w:rFonts w:eastAsia="Calibri"/>
          <w:kern w:val="2"/>
          <w:sz w:val="24"/>
          <w:szCs w:val="24"/>
        </w:rPr>
        <w:t xml:space="preserve"> u </w:t>
      </w:r>
      <w:r w:rsidR="00BB2615" w:rsidRPr="008115FB">
        <w:rPr>
          <w:rFonts w:eastAsia="Calibri"/>
          <w:kern w:val="2"/>
          <w:sz w:val="24"/>
          <w:szCs w:val="24"/>
        </w:rPr>
        <w:t xml:space="preserve">prijedlogu </w:t>
      </w:r>
      <w:r w:rsidR="00707148" w:rsidRPr="008115FB">
        <w:rPr>
          <w:rFonts w:eastAsia="Calibri"/>
          <w:kern w:val="2"/>
          <w:sz w:val="24"/>
          <w:szCs w:val="24"/>
        </w:rPr>
        <w:t>novo</w:t>
      </w:r>
      <w:r w:rsidR="00BB2615" w:rsidRPr="008115FB">
        <w:rPr>
          <w:rFonts w:eastAsia="Calibri"/>
          <w:kern w:val="2"/>
          <w:sz w:val="24"/>
          <w:szCs w:val="24"/>
        </w:rPr>
        <w:t>g</w:t>
      </w:r>
      <w:r w:rsidR="00707148" w:rsidRPr="008115FB">
        <w:rPr>
          <w:rFonts w:eastAsia="Calibri"/>
          <w:kern w:val="2"/>
          <w:sz w:val="24"/>
          <w:szCs w:val="24"/>
        </w:rPr>
        <w:t xml:space="preserve"> Akcijsko</w:t>
      </w:r>
      <w:r w:rsidR="00BB2615" w:rsidRPr="008115FB">
        <w:rPr>
          <w:rFonts w:eastAsia="Calibri"/>
          <w:kern w:val="2"/>
          <w:sz w:val="24"/>
          <w:szCs w:val="24"/>
        </w:rPr>
        <w:t>g</w:t>
      </w:r>
      <w:r w:rsidR="00707148" w:rsidRPr="008115FB">
        <w:rPr>
          <w:rFonts w:eastAsia="Calibri"/>
          <w:kern w:val="2"/>
          <w:sz w:val="24"/>
          <w:szCs w:val="24"/>
        </w:rPr>
        <w:t xml:space="preserve"> plan</w:t>
      </w:r>
      <w:r w:rsidR="00BB2615" w:rsidRPr="008115FB">
        <w:rPr>
          <w:rFonts w:eastAsia="Calibri"/>
          <w:kern w:val="2"/>
          <w:sz w:val="24"/>
          <w:szCs w:val="24"/>
        </w:rPr>
        <w:t>a, rasteretit će se gospodarstv</w:t>
      </w:r>
      <w:r w:rsidR="00F14026" w:rsidRPr="008115FB">
        <w:rPr>
          <w:rFonts w:eastAsia="Calibri"/>
          <w:kern w:val="2"/>
          <w:sz w:val="24"/>
          <w:szCs w:val="24"/>
        </w:rPr>
        <w:t>o</w:t>
      </w:r>
      <w:r w:rsidR="00BB2615" w:rsidRPr="008115FB">
        <w:rPr>
          <w:rFonts w:eastAsia="Calibri"/>
          <w:kern w:val="2"/>
          <w:sz w:val="24"/>
          <w:szCs w:val="24"/>
        </w:rPr>
        <w:t xml:space="preserve"> </w:t>
      </w:r>
      <w:r w:rsidR="00707148" w:rsidRPr="008115FB">
        <w:rPr>
          <w:rFonts w:eastAsia="Calibri"/>
          <w:kern w:val="2"/>
          <w:sz w:val="24"/>
          <w:szCs w:val="24"/>
        </w:rPr>
        <w:t xml:space="preserve">u iznosu od </w:t>
      </w:r>
      <w:r w:rsidR="00830184" w:rsidRPr="008115FB">
        <w:rPr>
          <w:rFonts w:eastAsia="Calibri"/>
          <w:kern w:val="2"/>
          <w:sz w:val="24"/>
          <w:szCs w:val="24"/>
        </w:rPr>
        <w:t>najmanje</w:t>
      </w:r>
      <w:r w:rsidR="00707148" w:rsidRPr="008115FB">
        <w:rPr>
          <w:rFonts w:eastAsia="Calibri"/>
          <w:kern w:val="2"/>
          <w:sz w:val="24"/>
          <w:szCs w:val="24"/>
        </w:rPr>
        <w:t xml:space="preserve"> 132</w:t>
      </w:r>
      <w:r w:rsidR="00BB2615" w:rsidRPr="008115FB">
        <w:rPr>
          <w:rFonts w:eastAsia="Calibri"/>
          <w:kern w:val="2"/>
          <w:sz w:val="24"/>
          <w:szCs w:val="24"/>
        </w:rPr>
        <w:t>,</w:t>
      </w:r>
      <w:r w:rsidR="00707148" w:rsidRPr="008115FB">
        <w:rPr>
          <w:rFonts w:eastAsia="Calibri"/>
          <w:kern w:val="2"/>
          <w:sz w:val="24"/>
          <w:szCs w:val="24"/>
        </w:rPr>
        <w:t>7</w:t>
      </w:r>
      <w:r w:rsidR="00BB2615" w:rsidRPr="008115FB">
        <w:rPr>
          <w:rFonts w:eastAsia="Calibri"/>
          <w:kern w:val="2"/>
          <w:sz w:val="24"/>
          <w:szCs w:val="24"/>
        </w:rPr>
        <w:t xml:space="preserve"> milijuna eura </w:t>
      </w:r>
      <w:r w:rsidR="00F14026" w:rsidRPr="008115FB">
        <w:rPr>
          <w:rFonts w:eastAsia="Calibri"/>
          <w:kern w:val="2"/>
          <w:sz w:val="24"/>
          <w:szCs w:val="24"/>
        </w:rPr>
        <w:t>u razdoblju</w:t>
      </w:r>
      <w:r w:rsidR="00707148" w:rsidRPr="008115FB">
        <w:rPr>
          <w:rFonts w:eastAsia="Calibri"/>
          <w:kern w:val="2"/>
          <w:sz w:val="24"/>
          <w:szCs w:val="24"/>
        </w:rPr>
        <w:t xml:space="preserve"> do kraja 2024., a drug</w:t>
      </w:r>
      <w:r w:rsidR="00F14026" w:rsidRPr="008115FB">
        <w:rPr>
          <w:rFonts w:eastAsia="Calibri"/>
          <w:kern w:val="2"/>
          <w:sz w:val="24"/>
          <w:szCs w:val="24"/>
        </w:rPr>
        <w:t xml:space="preserve">im paketom </w:t>
      </w:r>
      <w:r w:rsidR="00707148" w:rsidRPr="008115FB">
        <w:rPr>
          <w:rFonts w:eastAsia="Calibri"/>
          <w:kern w:val="2"/>
          <w:sz w:val="24"/>
          <w:szCs w:val="24"/>
        </w:rPr>
        <w:t xml:space="preserve">mjera </w:t>
      </w:r>
      <w:r w:rsidR="0096004B" w:rsidRPr="008115FB">
        <w:rPr>
          <w:rFonts w:eastAsia="Calibri"/>
          <w:kern w:val="2"/>
          <w:sz w:val="24"/>
          <w:szCs w:val="24"/>
        </w:rPr>
        <w:t xml:space="preserve">ostvarit će se dodatno rasterećenje u </w:t>
      </w:r>
      <w:r w:rsidR="00707148" w:rsidRPr="008115FB">
        <w:rPr>
          <w:rFonts w:eastAsia="Calibri"/>
          <w:kern w:val="2"/>
          <w:sz w:val="24"/>
          <w:szCs w:val="24"/>
        </w:rPr>
        <w:t>iznosu od 132</w:t>
      </w:r>
      <w:r w:rsidR="0096004B" w:rsidRPr="008115FB">
        <w:rPr>
          <w:rFonts w:eastAsia="Calibri"/>
          <w:kern w:val="2"/>
          <w:sz w:val="24"/>
          <w:szCs w:val="24"/>
        </w:rPr>
        <w:t>,</w:t>
      </w:r>
      <w:r w:rsidR="00707148" w:rsidRPr="008115FB">
        <w:rPr>
          <w:rFonts w:eastAsia="Calibri"/>
          <w:kern w:val="2"/>
          <w:sz w:val="24"/>
          <w:szCs w:val="24"/>
        </w:rPr>
        <w:t>7</w:t>
      </w:r>
      <w:r w:rsidR="0096004B" w:rsidRPr="008115FB">
        <w:rPr>
          <w:rFonts w:eastAsia="Calibri"/>
          <w:kern w:val="2"/>
          <w:sz w:val="24"/>
          <w:szCs w:val="24"/>
        </w:rPr>
        <w:t xml:space="preserve"> milijuna eura </w:t>
      </w:r>
      <w:r w:rsidR="00BB0766" w:rsidRPr="008115FB">
        <w:rPr>
          <w:rFonts w:eastAsia="Calibri"/>
          <w:kern w:val="2"/>
          <w:sz w:val="24"/>
          <w:szCs w:val="24"/>
        </w:rPr>
        <w:t>u razdoblju</w:t>
      </w:r>
      <w:r w:rsidR="00707148" w:rsidRPr="008115FB">
        <w:rPr>
          <w:rFonts w:eastAsia="Calibri"/>
          <w:kern w:val="2"/>
          <w:sz w:val="24"/>
          <w:szCs w:val="24"/>
        </w:rPr>
        <w:t xml:space="preserve"> do kraja 2025.</w:t>
      </w:r>
    </w:p>
    <w:p w14:paraId="58A0A53D" w14:textId="77777777" w:rsidR="002F3368" w:rsidRPr="008115FB" w:rsidRDefault="002F3368" w:rsidP="002F3368">
      <w:pPr>
        <w:widowControl/>
        <w:autoSpaceDE/>
        <w:autoSpaceDN/>
        <w:spacing w:before="240" w:line="276" w:lineRule="auto"/>
        <w:jc w:val="both"/>
        <w:rPr>
          <w:rFonts w:eastAsia="Calibri"/>
          <w:kern w:val="2"/>
          <w:sz w:val="24"/>
          <w:szCs w:val="24"/>
        </w:rPr>
      </w:pPr>
      <w:r w:rsidRPr="00BD1B6F">
        <w:rPr>
          <w:rFonts w:eastAsia="Calibri"/>
          <w:kern w:val="2"/>
          <w:sz w:val="24"/>
          <w:szCs w:val="24"/>
        </w:rPr>
        <w:t>S ciljem osiguravanja preduvjeta za daljnje rasterećenje gospodarstva, pokrenute su aktivnosti na provedbi reformske mjere „Nastavak reforme poslovnog i regulatornog okruženja“ (</w:t>
      </w:r>
      <w:r w:rsidRPr="0020412E">
        <w:rPr>
          <w:sz w:val="24"/>
          <w:szCs w:val="24"/>
        </w:rPr>
        <w:t>C1.1.1.</w:t>
      </w:r>
      <w:r w:rsidRPr="00BD1B6F">
        <w:rPr>
          <w:sz w:val="24"/>
          <w:szCs w:val="24"/>
        </w:rPr>
        <w:t xml:space="preserve"> R1)</w:t>
      </w:r>
      <w:r w:rsidRPr="00BD1B6F">
        <w:rPr>
          <w:rFonts w:eastAsia="Calibri"/>
          <w:kern w:val="2"/>
          <w:sz w:val="24"/>
          <w:szCs w:val="24"/>
        </w:rPr>
        <w:t xml:space="preserve"> kojom će se pojednostavniti administrativni uvjeti i smanjiti troškovi poslovanja za gospodarstvenike te će se doprinijeti poboljšanju poslovnog okruženja. U okviru reformske mjere, izradit će se drugi </w:t>
      </w:r>
      <w:r>
        <w:rPr>
          <w:rFonts w:eastAsia="Calibri"/>
          <w:kern w:val="2"/>
          <w:sz w:val="24"/>
          <w:szCs w:val="24"/>
        </w:rPr>
        <w:t>a</w:t>
      </w:r>
      <w:r w:rsidRPr="00BD1B6F">
        <w:rPr>
          <w:rFonts w:eastAsia="Calibri"/>
          <w:kern w:val="2"/>
          <w:sz w:val="24"/>
          <w:szCs w:val="24"/>
        </w:rPr>
        <w:t xml:space="preserve">kcijski plan za smanjenje neporeznih i parafiskalnih davanja, radi omogućavanja uvjeta za jednostavnije i povoljnije poslovanje hrvatskih poduzetnika. Procjenjuje se kako će se provedbom mjera iz drugog </w:t>
      </w:r>
      <w:r>
        <w:rPr>
          <w:rFonts w:eastAsia="Calibri"/>
          <w:kern w:val="2"/>
          <w:sz w:val="24"/>
          <w:szCs w:val="24"/>
        </w:rPr>
        <w:t>a</w:t>
      </w:r>
      <w:r w:rsidRPr="00BD1B6F">
        <w:rPr>
          <w:rFonts w:eastAsia="Calibri"/>
          <w:kern w:val="2"/>
          <w:sz w:val="24"/>
          <w:szCs w:val="24"/>
        </w:rPr>
        <w:t xml:space="preserve">kcijskog plana za smanjenje neporeznih i parafiskalnih davanja ostvariti dodatno rasterećenje gospodarstva u iznosu većem od 132,7 milijuna eura. </w:t>
      </w:r>
      <w:r w:rsidRPr="008115FB">
        <w:rPr>
          <w:rFonts w:eastAsia="Calibri"/>
          <w:kern w:val="2"/>
          <w:sz w:val="24"/>
          <w:szCs w:val="24"/>
        </w:rPr>
        <w:t>U tijeku su aktivnosti na pripremi prijedloga mjera za smanjenje neporeznih i parafiskalnih davanja te usuglašavanj</w:t>
      </w:r>
      <w:r>
        <w:rPr>
          <w:rFonts w:eastAsia="Calibri"/>
          <w:kern w:val="2"/>
          <w:sz w:val="24"/>
          <w:szCs w:val="24"/>
        </w:rPr>
        <w:t>e</w:t>
      </w:r>
      <w:r w:rsidRPr="008115FB">
        <w:rPr>
          <w:rFonts w:eastAsia="Calibri"/>
          <w:kern w:val="2"/>
          <w:sz w:val="24"/>
          <w:szCs w:val="24"/>
        </w:rPr>
        <w:t xml:space="preserve"> njihova sadržaja s nadležnim tijelima. U pripremu prijedloga mjera rasterećenja, osim nadležnih tijela državne uprave</w:t>
      </w:r>
      <w:r>
        <w:rPr>
          <w:rFonts w:eastAsia="Calibri"/>
          <w:kern w:val="2"/>
          <w:sz w:val="24"/>
          <w:szCs w:val="24"/>
        </w:rPr>
        <w:t>,</w:t>
      </w:r>
      <w:r w:rsidRPr="008115FB">
        <w:rPr>
          <w:rFonts w:eastAsia="Calibri"/>
          <w:kern w:val="2"/>
          <w:sz w:val="24"/>
          <w:szCs w:val="24"/>
        </w:rPr>
        <w:t xml:space="preserve"> uključit će se i strukovna udruženja, socijalni partneri i gospodarstvenici. </w:t>
      </w:r>
    </w:p>
    <w:p w14:paraId="25F00003" w14:textId="77777777" w:rsidR="002F3368" w:rsidRPr="00BD1B6F" w:rsidRDefault="002F3368" w:rsidP="002F3368">
      <w:pPr>
        <w:widowControl/>
        <w:autoSpaceDE/>
        <w:autoSpaceDN/>
        <w:spacing w:before="240" w:line="276" w:lineRule="auto"/>
        <w:jc w:val="both"/>
        <w:rPr>
          <w:rFonts w:eastAsia="Calibri"/>
          <w:kern w:val="2"/>
          <w:sz w:val="24"/>
          <w:szCs w:val="24"/>
        </w:rPr>
      </w:pPr>
      <w:r>
        <w:rPr>
          <w:rFonts w:eastAsia="Calibri"/>
          <w:kern w:val="2"/>
          <w:sz w:val="24"/>
          <w:szCs w:val="24"/>
        </w:rPr>
        <w:t>R</w:t>
      </w:r>
      <w:r w:rsidRPr="00BD1B6F">
        <w:rPr>
          <w:rFonts w:eastAsia="Calibri"/>
          <w:kern w:val="2"/>
          <w:sz w:val="24"/>
          <w:szCs w:val="24"/>
        </w:rPr>
        <w:t xml:space="preserve">adi osiguravanja kontinuiteta u provedbi regulatornih reformi i stvaranja uvjeta za uspostavu moderne javne uprave kao servisa gospodarstva i građana, tijekom 2022. izrađen </w:t>
      </w:r>
      <w:r>
        <w:rPr>
          <w:rFonts w:eastAsia="Calibri"/>
          <w:kern w:val="2"/>
          <w:sz w:val="24"/>
          <w:szCs w:val="24"/>
        </w:rPr>
        <w:t xml:space="preserve">je </w:t>
      </w:r>
      <w:r w:rsidRPr="00BD1B6F">
        <w:rPr>
          <w:rFonts w:eastAsia="Calibri"/>
          <w:kern w:val="2"/>
          <w:sz w:val="24"/>
          <w:szCs w:val="24"/>
        </w:rPr>
        <w:t xml:space="preserve">prijedlog Strategije za procjenu ekonomskog učinka propisa na sektor malog i srednjeg poduzetništva za razdoblje od 2023. do 2027. godine s pripadajućim Akcijskim planom za provedbu od 2023. do 2025. godine. Donošenje Strategije očekuje </w:t>
      </w:r>
      <w:r>
        <w:rPr>
          <w:rFonts w:eastAsia="Calibri"/>
          <w:kern w:val="2"/>
          <w:sz w:val="24"/>
          <w:szCs w:val="24"/>
        </w:rPr>
        <w:t xml:space="preserve">se </w:t>
      </w:r>
      <w:r w:rsidRPr="00BD1B6F">
        <w:rPr>
          <w:rFonts w:eastAsia="Calibri"/>
          <w:kern w:val="2"/>
          <w:sz w:val="24"/>
          <w:szCs w:val="24"/>
        </w:rPr>
        <w:t xml:space="preserve">u drugom kvartalu 2023., a njenom provedbom ojačat će se regulatorni okvir za sektor malog i srednjeg poduzetništva i poboljšati poslovno okruženje u Hrvatskoj u skladu s načelom </w:t>
      </w:r>
      <w:r>
        <w:rPr>
          <w:rFonts w:eastAsia="Calibri"/>
          <w:kern w:val="2"/>
          <w:sz w:val="24"/>
          <w:szCs w:val="24"/>
        </w:rPr>
        <w:t>b</w:t>
      </w:r>
      <w:r w:rsidRPr="00BD1B6F">
        <w:rPr>
          <w:rFonts w:eastAsia="Calibri"/>
          <w:kern w:val="2"/>
          <w:sz w:val="24"/>
          <w:szCs w:val="24"/>
        </w:rPr>
        <w:t xml:space="preserve">oljih propisa.    </w:t>
      </w:r>
    </w:p>
    <w:p w14:paraId="033D3E52" w14:textId="77777777" w:rsidR="002F3368" w:rsidRPr="00BD1B6F" w:rsidRDefault="002F3368" w:rsidP="002F3368">
      <w:pPr>
        <w:widowControl/>
        <w:autoSpaceDE/>
        <w:autoSpaceDN/>
        <w:spacing w:before="240" w:line="276" w:lineRule="auto"/>
        <w:jc w:val="both"/>
        <w:rPr>
          <w:rFonts w:eastAsia="Calibri"/>
          <w:kern w:val="2"/>
          <w:sz w:val="24"/>
          <w:szCs w:val="24"/>
        </w:rPr>
      </w:pPr>
      <w:r w:rsidRPr="00BD1B6F">
        <w:rPr>
          <w:rFonts w:eastAsia="Calibri"/>
          <w:kern w:val="2"/>
          <w:sz w:val="24"/>
          <w:szCs w:val="24"/>
        </w:rPr>
        <w:t>S ciljem stvaranja uvjeta za daljnji razvoj poduzetništva, poticanjem usvajanja ključnih vještina i kompetencija za obrtnička zanimanja te poticanjem zapošljavanja i samozapošljavanja u obrtništvu, provedeno je sufinanciranje troškova obrazovanja za obavljanje vezanih obrta, u okviru kojeg je dodijeljeno 815 potpora u iznosu od 265 tisuća eura. Također, radi poticanja razvoja zadružnog poduzetništva koje ostvaruje tržišnu uspješnost, povećava zaposlenost te potiče rast i razvoj gospodarstva, dodijeljene su 23 potpore u ukupnom iznosu od 264 tisuće eura.</w:t>
      </w:r>
    </w:p>
    <w:p w14:paraId="5F8C915A" w14:textId="77777777" w:rsidR="002F3368" w:rsidRPr="00BD1B6F" w:rsidRDefault="002F3368" w:rsidP="002F3368">
      <w:pPr>
        <w:widowControl/>
        <w:autoSpaceDE/>
        <w:autoSpaceDN/>
        <w:spacing w:before="240" w:line="276" w:lineRule="auto"/>
        <w:ind w:firstLine="720"/>
        <w:jc w:val="both"/>
        <w:rPr>
          <w:rFonts w:eastAsia="Calibri"/>
          <w:b/>
          <w:bCs/>
          <w:kern w:val="2"/>
          <w:sz w:val="24"/>
          <w:szCs w:val="24"/>
        </w:rPr>
      </w:pPr>
      <w:r w:rsidRPr="00BD1B6F">
        <w:rPr>
          <w:rFonts w:eastAsia="Calibri"/>
          <w:b/>
          <w:bCs/>
          <w:kern w:val="2"/>
          <w:sz w:val="24"/>
          <w:szCs w:val="24"/>
        </w:rPr>
        <w:t>Razvoj znanosti i tehnologije</w:t>
      </w:r>
    </w:p>
    <w:p w14:paraId="2EB10111" w14:textId="77777777" w:rsidR="002F3368" w:rsidRDefault="002F3368" w:rsidP="002F3368">
      <w:pPr>
        <w:widowControl/>
        <w:autoSpaceDE/>
        <w:autoSpaceDN/>
        <w:spacing w:before="240" w:line="276" w:lineRule="auto"/>
        <w:jc w:val="both"/>
        <w:rPr>
          <w:rFonts w:eastAsia="Calibri"/>
          <w:kern w:val="2"/>
          <w:sz w:val="24"/>
          <w:szCs w:val="24"/>
        </w:rPr>
      </w:pPr>
      <w:r w:rsidRPr="00BD1B6F">
        <w:rPr>
          <w:rFonts w:eastAsia="Calibri"/>
          <w:kern w:val="2"/>
          <w:sz w:val="24"/>
          <w:szCs w:val="24"/>
        </w:rPr>
        <w:lastRenderedPageBreak/>
        <w:t xml:space="preserve">Neki od glavnih izazova s kojima se suočavaju visoka učilišta i javne istraživačke organizacije u Hrvatskoj su rascjepkanost istraživačkih kapaciteta, zastarjela infrastruktura te niska razina mobilnosti istraživača između javnog i privatnog sektora. Prema podacima </w:t>
      </w:r>
      <w:r w:rsidRPr="00950F0F">
        <w:rPr>
          <w:rFonts w:eastAsia="Calibri"/>
          <w:kern w:val="2"/>
          <w:sz w:val="24"/>
          <w:szCs w:val="24"/>
        </w:rPr>
        <w:t>Upisnik</w:t>
      </w:r>
      <w:r>
        <w:rPr>
          <w:rFonts w:eastAsia="Calibri"/>
          <w:kern w:val="2"/>
          <w:sz w:val="24"/>
          <w:szCs w:val="24"/>
        </w:rPr>
        <w:t>a</w:t>
      </w:r>
      <w:r w:rsidRPr="00BD1B6F">
        <w:rPr>
          <w:rFonts w:eastAsia="Calibri"/>
          <w:kern w:val="2"/>
          <w:sz w:val="24"/>
          <w:szCs w:val="24"/>
        </w:rPr>
        <w:t xml:space="preserve"> znanstvenih organizacija</w:t>
      </w:r>
      <w:r>
        <w:rPr>
          <w:rFonts w:eastAsia="Calibri"/>
          <w:kern w:val="2"/>
          <w:sz w:val="24"/>
          <w:szCs w:val="24"/>
        </w:rPr>
        <w:t>,</w:t>
      </w:r>
      <w:r w:rsidRPr="00BD1B6F">
        <w:rPr>
          <w:rFonts w:eastAsia="Calibri"/>
          <w:kern w:val="2"/>
          <w:sz w:val="24"/>
          <w:szCs w:val="24"/>
        </w:rPr>
        <w:t xml:space="preserve"> hrvatski znanstveno-inovacijski sustav sastoji </w:t>
      </w:r>
      <w:r>
        <w:rPr>
          <w:rFonts w:eastAsia="Calibri"/>
          <w:kern w:val="2"/>
          <w:sz w:val="24"/>
          <w:szCs w:val="24"/>
        </w:rPr>
        <w:t xml:space="preserve">se </w:t>
      </w:r>
      <w:r w:rsidRPr="00BD1B6F">
        <w:rPr>
          <w:rFonts w:eastAsia="Calibri"/>
          <w:kern w:val="2"/>
          <w:sz w:val="24"/>
          <w:szCs w:val="24"/>
        </w:rPr>
        <w:t>od ukupno 191 znanstveno-istraživačke ustanove, od čega je 2</w:t>
      </w:r>
      <w:r w:rsidRPr="008115FB">
        <w:rPr>
          <w:rFonts w:eastAsia="Calibri"/>
          <w:kern w:val="2"/>
          <w:sz w:val="24"/>
          <w:szCs w:val="24"/>
        </w:rPr>
        <w:t>5</w:t>
      </w:r>
      <w:r w:rsidRPr="00BD1B6F">
        <w:rPr>
          <w:rFonts w:eastAsia="Calibri"/>
          <w:kern w:val="2"/>
          <w:sz w:val="24"/>
          <w:szCs w:val="24"/>
        </w:rPr>
        <w:t xml:space="preserve"> javnih </w:t>
      </w:r>
      <w:r w:rsidRPr="008115FB">
        <w:rPr>
          <w:rFonts w:eastAsia="Calibri"/>
          <w:kern w:val="2"/>
          <w:sz w:val="24"/>
          <w:szCs w:val="24"/>
        </w:rPr>
        <w:t>znanstvenih</w:t>
      </w:r>
      <w:r w:rsidRPr="00BD1B6F">
        <w:rPr>
          <w:rFonts w:eastAsia="Calibri"/>
          <w:kern w:val="2"/>
          <w:sz w:val="24"/>
          <w:szCs w:val="24"/>
        </w:rPr>
        <w:t xml:space="preserve"> instituta.</w:t>
      </w:r>
    </w:p>
    <w:p w14:paraId="5782ABB6" w14:textId="77777777" w:rsidR="002F3368" w:rsidRPr="00BD1B6F" w:rsidRDefault="002F3368" w:rsidP="002F3368">
      <w:pPr>
        <w:widowControl/>
        <w:autoSpaceDE/>
        <w:autoSpaceDN/>
        <w:spacing w:before="240" w:line="276" w:lineRule="auto"/>
        <w:jc w:val="both"/>
        <w:rPr>
          <w:rFonts w:eastAsia="Calibri"/>
          <w:kern w:val="2"/>
          <w:sz w:val="24"/>
          <w:szCs w:val="24"/>
        </w:rPr>
      </w:pPr>
      <w:r w:rsidRPr="00582329">
        <w:rPr>
          <w:rFonts w:eastAsia="Calibri"/>
          <w:kern w:val="2"/>
          <w:sz w:val="24"/>
          <w:szCs w:val="24"/>
        </w:rPr>
        <w:t xml:space="preserve">Kako bi se povećala djelotvornost visokih učilišta i javnih istraživačkih organizacija, tijekom 2022. nastavljena </w:t>
      </w:r>
      <w:r>
        <w:rPr>
          <w:rFonts w:eastAsia="Calibri"/>
          <w:kern w:val="2"/>
          <w:sz w:val="24"/>
          <w:szCs w:val="24"/>
        </w:rPr>
        <w:t xml:space="preserve">je </w:t>
      </w:r>
      <w:r w:rsidRPr="00582329">
        <w:rPr>
          <w:rFonts w:eastAsia="Calibri"/>
          <w:kern w:val="2"/>
          <w:sz w:val="24"/>
          <w:szCs w:val="24"/>
        </w:rPr>
        <w:t xml:space="preserve">provedba napora na provedbi politika usmjerenih </w:t>
      </w:r>
      <w:r>
        <w:rPr>
          <w:rFonts w:eastAsia="Calibri"/>
          <w:kern w:val="2"/>
          <w:sz w:val="24"/>
          <w:szCs w:val="24"/>
        </w:rPr>
        <w:t>ka</w:t>
      </w:r>
      <w:r w:rsidRPr="00582329">
        <w:rPr>
          <w:rFonts w:eastAsia="Calibri"/>
          <w:kern w:val="2"/>
          <w:sz w:val="24"/>
          <w:szCs w:val="24"/>
        </w:rPr>
        <w:t xml:space="preserve"> poboljšanj</w:t>
      </w:r>
      <w:r>
        <w:rPr>
          <w:rFonts w:eastAsia="Calibri"/>
          <w:kern w:val="2"/>
          <w:sz w:val="24"/>
          <w:szCs w:val="24"/>
        </w:rPr>
        <w:t>u</w:t>
      </w:r>
      <w:r w:rsidRPr="00582329">
        <w:rPr>
          <w:rFonts w:eastAsia="Calibri"/>
          <w:kern w:val="2"/>
          <w:sz w:val="24"/>
          <w:szCs w:val="24"/>
        </w:rPr>
        <w:t xml:space="preserve"> upravljanja, financiranja, umrežavanja i internacionalizacije znanstveno-inovacijskog sustava u Hrvatskoj</w:t>
      </w:r>
      <w:r>
        <w:rPr>
          <w:rFonts w:eastAsia="Calibri"/>
          <w:kern w:val="2"/>
          <w:sz w:val="24"/>
          <w:szCs w:val="24"/>
        </w:rPr>
        <w:t>.</w:t>
      </w:r>
    </w:p>
    <w:p w14:paraId="4B024A58" w14:textId="77777777" w:rsidR="002F3368" w:rsidRPr="00BD1B6F" w:rsidRDefault="002F3368" w:rsidP="002F3368">
      <w:pPr>
        <w:widowControl/>
        <w:autoSpaceDE/>
        <w:autoSpaceDN/>
        <w:spacing w:before="240" w:line="276" w:lineRule="auto"/>
        <w:jc w:val="both"/>
        <w:rPr>
          <w:rFonts w:eastAsia="Calibri"/>
          <w:kern w:val="2"/>
          <w:sz w:val="24"/>
          <w:szCs w:val="24"/>
        </w:rPr>
      </w:pPr>
      <w:r w:rsidRPr="00327CA6">
        <w:rPr>
          <w:rFonts w:eastAsia="Calibri"/>
          <w:kern w:val="2"/>
          <w:sz w:val="24"/>
          <w:szCs w:val="24"/>
        </w:rPr>
        <w:t xml:space="preserve">U Hrvatskoj </w:t>
      </w:r>
      <w:r>
        <w:rPr>
          <w:rFonts w:eastAsia="Calibri"/>
          <w:kern w:val="2"/>
          <w:sz w:val="24"/>
          <w:szCs w:val="24"/>
        </w:rPr>
        <w:t xml:space="preserve">je </w:t>
      </w:r>
      <w:r w:rsidRPr="00327CA6">
        <w:rPr>
          <w:rFonts w:eastAsia="Calibri"/>
          <w:kern w:val="2"/>
          <w:sz w:val="24"/>
          <w:szCs w:val="24"/>
        </w:rPr>
        <w:t>u 2022. na istraživačko-razvojnu djelatnost utrošen</w:t>
      </w:r>
      <w:r>
        <w:rPr>
          <w:rFonts w:eastAsia="Calibri"/>
          <w:kern w:val="2"/>
          <w:sz w:val="24"/>
          <w:szCs w:val="24"/>
        </w:rPr>
        <w:t>o ukupno 955,6</w:t>
      </w:r>
      <w:r w:rsidRPr="00327CA6">
        <w:rPr>
          <w:rFonts w:eastAsia="Calibri"/>
          <w:kern w:val="2"/>
          <w:sz w:val="24"/>
          <w:szCs w:val="24"/>
        </w:rPr>
        <w:t xml:space="preserve"> milij</w:t>
      </w:r>
      <w:r>
        <w:rPr>
          <w:rFonts w:eastAsia="Calibri"/>
          <w:kern w:val="2"/>
          <w:sz w:val="24"/>
          <w:szCs w:val="24"/>
        </w:rPr>
        <w:t>una eura</w:t>
      </w:r>
      <w:r w:rsidRPr="00327CA6">
        <w:rPr>
          <w:rFonts w:eastAsia="Calibri"/>
          <w:kern w:val="2"/>
          <w:sz w:val="24"/>
          <w:szCs w:val="24"/>
        </w:rPr>
        <w:t>,</w:t>
      </w:r>
      <w:r>
        <w:rPr>
          <w:rFonts w:eastAsia="Calibri"/>
          <w:kern w:val="2"/>
          <w:sz w:val="24"/>
          <w:szCs w:val="24"/>
        </w:rPr>
        <w:t xml:space="preserve"> odnosno 1,43% BDP-a,</w:t>
      </w:r>
      <w:r w:rsidRPr="00327CA6">
        <w:rPr>
          <w:rFonts w:eastAsia="Calibri"/>
          <w:kern w:val="2"/>
          <w:sz w:val="24"/>
          <w:szCs w:val="24"/>
        </w:rPr>
        <w:t xml:space="preserve"> što je za 32,4% više u odnosu na </w:t>
      </w:r>
      <w:r>
        <w:rPr>
          <w:rFonts w:eastAsia="Calibri"/>
          <w:kern w:val="2"/>
          <w:sz w:val="24"/>
          <w:szCs w:val="24"/>
        </w:rPr>
        <w:t>2021</w:t>
      </w:r>
      <w:r w:rsidRPr="00327CA6">
        <w:rPr>
          <w:rFonts w:eastAsia="Calibri"/>
          <w:kern w:val="2"/>
          <w:sz w:val="24"/>
          <w:szCs w:val="24"/>
        </w:rPr>
        <w:t xml:space="preserve">. Od ukupnih sredstava za </w:t>
      </w:r>
      <w:r>
        <w:rPr>
          <w:rFonts w:eastAsia="Calibri"/>
          <w:kern w:val="2"/>
          <w:sz w:val="24"/>
          <w:szCs w:val="24"/>
        </w:rPr>
        <w:t>istraživanje i razvoj</w:t>
      </w:r>
      <w:r w:rsidRPr="00327CA6">
        <w:rPr>
          <w:rFonts w:eastAsia="Calibri"/>
          <w:kern w:val="2"/>
          <w:sz w:val="24"/>
          <w:szCs w:val="24"/>
        </w:rPr>
        <w:t xml:space="preserve">, najviše je utrošeno u poslovnom sektoru </w:t>
      </w:r>
      <w:r>
        <w:rPr>
          <w:rFonts w:eastAsia="Calibri"/>
          <w:kern w:val="2"/>
          <w:sz w:val="24"/>
          <w:szCs w:val="24"/>
        </w:rPr>
        <w:t xml:space="preserve">- </w:t>
      </w:r>
      <w:r w:rsidRPr="00327CA6">
        <w:rPr>
          <w:rFonts w:eastAsia="Calibri"/>
          <w:kern w:val="2"/>
          <w:sz w:val="24"/>
          <w:szCs w:val="24"/>
        </w:rPr>
        <w:t>54,3%</w:t>
      </w:r>
      <w:r>
        <w:rPr>
          <w:rFonts w:eastAsia="Calibri"/>
          <w:kern w:val="2"/>
          <w:sz w:val="24"/>
          <w:szCs w:val="24"/>
        </w:rPr>
        <w:t>, s</w:t>
      </w:r>
      <w:r w:rsidRPr="00327CA6">
        <w:rPr>
          <w:rFonts w:eastAsia="Calibri"/>
          <w:kern w:val="2"/>
          <w:sz w:val="24"/>
          <w:szCs w:val="24"/>
        </w:rPr>
        <w:t xml:space="preserve">lijedi visoko obrazovanje s 27,8%, </w:t>
      </w:r>
      <w:r>
        <w:rPr>
          <w:rFonts w:eastAsia="Calibri"/>
          <w:kern w:val="2"/>
          <w:sz w:val="24"/>
          <w:szCs w:val="24"/>
        </w:rPr>
        <w:t>te 17,9% u</w:t>
      </w:r>
      <w:r w:rsidRPr="00327CA6">
        <w:rPr>
          <w:rFonts w:eastAsia="Calibri"/>
          <w:kern w:val="2"/>
          <w:sz w:val="24"/>
          <w:szCs w:val="24"/>
        </w:rPr>
        <w:t xml:space="preserve"> državnom</w:t>
      </w:r>
      <w:r>
        <w:rPr>
          <w:rFonts w:eastAsia="Calibri"/>
          <w:kern w:val="2"/>
          <w:sz w:val="24"/>
          <w:szCs w:val="24"/>
        </w:rPr>
        <w:t xml:space="preserve"> </w:t>
      </w:r>
      <w:r w:rsidRPr="00327CA6">
        <w:rPr>
          <w:rFonts w:eastAsia="Calibri"/>
          <w:kern w:val="2"/>
          <w:sz w:val="24"/>
          <w:szCs w:val="24"/>
        </w:rPr>
        <w:t>i privatnom neprofitnom sektoru.</w:t>
      </w:r>
      <w:r>
        <w:rPr>
          <w:rFonts w:eastAsia="Calibri"/>
          <w:kern w:val="2"/>
          <w:sz w:val="24"/>
          <w:szCs w:val="24"/>
        </w:rPr>
        <w:t xml:space="preserve"> Javna</w:t>
      </w:r>
      <w:r w:rsidRPr="00BD1B6F">
        <w:rPr>
          <w:rFonts w:eastAsia="Calibri"/>
          <w:kern w:val="2"/>
          <w:sz w:val="24"/>
          <w:szCs w:val="24"/>
        </w:rPr>
        <w:t xml:space="preserve"> proračunska izdvajanja za istraživanje i razvoj relativno su stabilna zadnjih godina te su u 2022. iznosila </w:t>
      </w:r>
      <w:r>
        <w:rPr>
          <w:rFonts w:eastAsia="Calibri"/>
          <w:kern w:val="2"/>
          <w:sz w:val="24"/>
          <w:szCs w:val="24"/>
        </w:rPr>
        <w:t>0,66</w:t>
      </w:r>
      <w:r w:rsidRPr="00BD1B6F">
        <w:rPr>
          <w:rFonts w:eastAsia="Calibri"/>
          <w:kern w:val="2"/>
          <w:sz w:val="24"/>
          <w:szCs w:val="24"/>
        </w:rPr>
        <w:t xml:space="preserve">% </w:t>
      </w:r>
      <w:r>
        <w:rPr>
          <w:rFonts w:eastAsia="Calibri"/>
          <w:kern w:val="2"/>
          <w:sz w:val="24"/>
          <w:szCs w:val="24"/>
        </w:rPr>
        <w:t>BDP-a</w:t>
      </w:r>
      <w:r w:rsidRPr="00BD1B6F">
        <w:rPr>
          <w:rFonts w:eastAsia="Calibri"/>
          <w:kern w:val="2"/>
          <w:sz w:val="24"/>
          <w:szCs w:val="24"/>
        </w:rPr>
        <w:t xml:space="preserve">, </w:t>
      </w:r>
      <w:r>
        <w:rPr>
          <w:rFonts w:eastAsia="Calibri"/>
          <w:kern w:val="2"/>
          <w:sz w:val="24"/>
          <w:szCs w:val="24"/>
        </w:rPr>
        <w:t>dok je</w:t>
      </w:r>
      <w:r w:rsidRPr="00BD1B6F">
        <w:rPr>
          <w:rFonts w:eastAsia="Calibri"/>
          <w:kern w:val="2"/>
          <w:sz w:val="24"/>
          <w:szCs w:val="24"/>
        </w:rPr>
        <w:t xml:space="preserve"> prosjek EU-a </w:t>
      </w:r>
      <w:r>
        <w:rPr>
          <w:rFonts w:eastAsia="Calibri"/>
          <w:kern w:val="2"/>
          <w:sz w:val="24"/>
          <w:szCs w:val="24"/>
        </w:rPr>
        <w:t>iznosio 0,74</w:t>
      </w:r>
      <w:r w:rsidRPr="00BD1B6F">
        <w:rPr>
          <w:rFonts w:eastAsia="Calibri"/>
          <w:kern w:val="2"/>
          <w:sz w:val="24"/>
          <w:szCs w:val="24"/>
        </w:rPr>
        <w:t>%</w:t>
      </w:r>
      <w:r>
        <w:rPr>
          <w:rFonts w:eastAsia="Calibri"/>
          <w:kern w:val="2"/>
          <w:sz w:val="24"/>
          <w:szCs w:val="24"/>
        </w:rPr>
        <w:t xml:space="preserve"> BDP-a</w:t>
      </w:r>
      <w:r w:rsidRPr="00BD1B6F">
        <w:rPr>
          <w:rFonts w:eastAsia="Calibri"/>
          <w:kern w:val="2"/>
          <w:sz w:val="24"/>
          <w:szCs w:val="24"/>
        </w:rPr>
        <w:t xml:space="preserve">. </w:t>
      </w:r>
      <w:r>
        <w:rPr>
          <w:rFonts w:eastAsia="Calibri"/>
          <w:kern w:val="2"/>
          <w:sz w:val="24"/>
          <w:szCs w:val="24"/>
        </w:rPr>
        <w:t>D</w:t>
      </w:r>
      <w:r w:rsidRPr="00BD1B6F">
        <w:rPr>
          <w:rFonts w:eastAsia="Calibri"/>
          <w:kern w:val="2"/>
          <w:sz w:val="24"/>
          <w:szCs w:val="24"/>
        </w:rPr>
        <w:t>ostupni</w:t>
      </w:r>
      <w:r>
        <w:rPr>
          <w:rFonts w:eastAsia="Calibri"/>
          <w:kern w:val="2"/>
          <w:sz w:val="24"/>
          <w:szCs w:val="24"/>
        </w:rPr>
        <w:t>m</w:t>
      </w:r>
      <w:r w:rsidRPr="00BD1B6F">
        <w:rPr>
          <w:rFonts w:eastAsia="Calibri"/>
          <w:kern w:val="2"/>
          <w:sz w:val="24"/>
          <w:szCs w:val="24"/>
        </w:rPr>
        <w:t xml:space="preserve"> program</w:t>
      </w:r>
      <w:r>
        <w:rPr>
          <w:rFonts w:eastAsia="Calibri"/>
          <w:kern w:val="2"/>
          <w:sz w:val="24"/>
          <w:szCs w:val="24"/>
        </w:rPr>
        <w:t>ima</w:t>
      </w:r>
      <w:r w:rsidRPr="00BD1B6F">
        <w:rPr>
          <w:rFonts w:eastAsia="Calibri"/>
          <w:kern w:val="2"/>
          <w:sz w:val="24"/>
          <w:szCs w:val="24"/>
        </w:rPr>
        <w:t xml:space="preserve"> potpore iz fondova EU</w:t>
      </w:r>
      <w:r>
        <w:rPr>
          <w:rFonts w:eastAsia="Calibri"/>
          <w:kern w:val="2"/>
          <w:sz w:val="24"/>
          <w:szCs w:val="24"/>
        </w:rPr>
        <w:t>-a</w:t>
      </w:r>
      <w:r w:rsidRPr="00BD1B6F">
        <w:rPr>
          <w:rFonts w:eastAsia="Calibri"/>
          <w:kern w:val="2"/>
          <w:sz w:val="24"/>
          <w:szCs w:val="24"/>
        </w:rPr>
        <w:t>, ost</w:t>
      </w:r>
      <w:r>
        <w:rPr>
          <w:rFonts w:eastAsia="Calibri"/>
          <w:kern w:val="2"/>
          <w:sz w:val="24"/>
          <w:szCs w:val="24"/>
        </w:rPr>
        <w:t>vareni su pomaci u rješavanju</w:t>
      </w:r>
      <w:r w:rsidRPr="00BD1B6F">
        <w:rPr>
          <w:rFonts w:eastAsia="Calibri"/>
          <w:kern w:val="2"/>
          <w:sz w:val="24"/>
          <w:szCs w:val="24"/>
        </w:rPr>
        <w:t xml:space="preserve"> ključn</w:t>
      </w:r>
      <w:r>
        <w:rPr>
          <w:rFonts w:eastAsia="Calibri"/>
          <w:kern w:val="2"/>
          <w:sz w:val="24"/>
          <w:szCs w:val="24"/>
        </w:rPr>
        <w:t>og</w:t>
      </w:r>
      <w:r w:rsidRPr="00BD1B6F">
        <w:rPr>
          <w:rFonts w:eastAsia="Calibri"/>
          <w:kern w:val="2"/>
          <w:sz w:val="24"/>
          <w:szCs w:val="24"/>
        </w:rPr>
        <w:t xml:space="preserve"> izazov</w:t>
      </w:r>
      <w:r>
        <w:rPr>
          <w:rFonts w:eastAsia="Calibri"/>
          <w:kern w:val="2"/>
          <w:sz w:val="24"/>
          <w:szCs w:val="24"/>
        </w:rPr>
        <w:t>a</w:t>
      </w:r>
      <w:r w:rsidRPr="00BD1B6F">
        <w:rPr>
          <w:rFonts w:eastAsia="Calibri"/>
          <w:kern w:val="2"/>
          <w:sz w:val="24"/>
          <w:szCs w:val="24"/>
        </w:rPr>
        <w:t xml:space="preserve"> za poboljšanje uspješnosti istraživanja i razvoja u Hrvatskoj, </w:t>
      </w:r>
      <w:r>
        <w:rPr>
          <w:rFonts w:eastAsia="Calibri"/>
          <w:kern w:val="2"/>
          <w:sz w:val="24"/>
          <w:szCs w:val="24"/>
        </w:rPr>
        <w:t xml:space="preserve">odnosno </w:t>
      </w:r>
      <w:r w:rsidRPr="00BD1B6F">
        <w:rPr>
          <w:rFonts w:eastAsia="Calibri"/>
          <w:kern w:val="2"/>
          <w:sz w:val="24"/>
          <w:szCs w:val="24"/>
        </w:rPr>
        <w:t>povećan</w:t>
      </w:r>
      <w:r>
        <w:rPr>
          <w:rFonts w:eastAsia="Calibri"/>
          <w:kern w:val="2"/>
          <w:sz w:val="24"/>
          <w:szCs w:val="24"/>
        </w:rPr>
        <w:t>ja</w:t>
      </w:r>
      <w:r w:rsidRPr="00BD1B6F">
        <w:rPr>
          <w:rFonts w:eastAsia="Calibri"/>
          <w:kern w:val="2"/>
          <w:sz w:val="24"/>
          <w:szCs w:val="24"/>
        </w:rPr>
        <w:t xml:space="preserve"> razin</w:t>
      </w:r>
      <w:r>
        <w:rPr>
          <w:rFonts w:eastAsia="Calibri"/>
          <w:kern w:val="2"/>
          <w:sz w:val="24"/>
          <w:szCs w:val="24"/>
        </w:rPr>
        <w:t>e</w:t>
      </w:r>
      <w:r w:rsidRPr="00BD1B6F">
        <w:rPr>
          <w:rFonts w:eastAsia="Calibri"/>
          <w:kern w:val="2"/>
          <w:sz w:val="24"/>
          <w:szCs w:val="24"/>
        </w:rPr>
        <w:t xml:space="preserve"> suradnje između znanosti i gospodarstva</w:t>
      </w:r>
      <w:r>
        <w:rPr>
          <w:rFonts w:eastAsia="Calibri"/>
          <w:kern w:val="2"/>
          <w:sz w:val="24"/>
          <w:szCs w:val="24"/>
        </w:rPr>
        <w:t xml:space="preserve"> te</w:t>
      </w:r>
      <w:r w:rsidRPr="00BD1B6F">
        <w:rPr>
          <w:rFonts w:eastAsia="Calibri"/>
          <w:kern w:val="2"/>
          <w:sz w:val="24"/>
          <w:szCs w:val="24"/>
        </w:rPr>
        <w:t xml:space="preserve"> </w:t>
      </w:r>
      <w:r>
        <w:rPr>
          <w:rFonts w:eastAsia="Calibri"/>
          <w:kern w:val="2"/>
          <w:sz w:val="24"/>
          <w:szCs w:val="24"/>
        </w:rPr>
        <w:t xml:space="preserve">su u 2022. porasla ulaganja </w:t>
      </w:r>
      <w:r w:rsidRPr="00BD1B6F">
        <w:rPr>
          <w:rFonts w:eastAsia="Calibri"/>
          <w:kern w:val="2"/>
          <w:sz w:val="24"/>
          <w:szCs w:val="24"/>
        </w:rPr>
        <w:t xml:space="preserve">poslovnog sektora u istraživanje i razvoj </w:t>
      </w:r>
      <w:r>
        <w:rPr>
          <w:rFonts w:eastAsia="Calibri"/>
          <w:kern w:val="2"/>
          <w:sz w:val="24"/>
          <w:szCs w:val="24"/>
        </w:rPr>
        <w:t>na</w:t>
      </w:r>
      <w:r w:rsidRPr="00BD1B6F">
        <w:rPr>
          <w:rFonts w:eastAsia="Calibri"/>
          <w:kern w:val="2"/>
          <w:sz w:val="24"/>
          <w:szCs w:val="24"/>
        </w:rPr>
        <w:t xml:space="preserve"> 0,</w:t>
      </w:r>
      <w:r>
        <w:rPr>
          <w:rFonts w:eastAsia="Calibri"/>
          <w:kern w:val="2"/>
          <w:sz w:val="24"/>
          <w:szCs w:val="24"/>
        </w:rPr>
        <w:t>77%</w:t>
      </w:r>
      <w:r w:rsidRPr="00BD1B6F">
        <w:rPr>
          <w:rFonts w:eastAsia="Calibri"/>
          <w:kern w:val="2"/>
          <w:sz w:val="24"/>
          <w:szCs w:val="24"/>
        </w:rPr>
        <w:t xml:space="preserve"> BDP-a </w:t>
      </w:r>
      <w:r>
        <w:rPr>
          <w:rFonts w:eastAsia="Calibri"/>
          <w:kern w:val="2"/>
          <w:sz w:val="24"/>
          <w:szCs w:val="24"/>
        </w:rPr>
        <w:t>(0,58% u 2021.</w:t>
      </w:r>
      <w:r w:rsidRPr="00BD1B6F">
        <w:rPr>
          <w:rFonts w:eastAsia="Calibri"/>
          <w:kern w:val="2"/>
          <w:sz w:val="24"/>
          <w:szCs w:val="24"/>
        </w:rPr>
        <w:t xml:space="preserve">). </w:t>
      </w:r>
      <w:r>
        <w:rPr>
          <w:rFonts w:eastAsia="Calibri"/>
          <w:kern w:val="2"/>
          <w:sz w:val="24"/>
          <w:szCs w:val="24"/>
        </w:rPr>
        <w:t>Povećanjem</w:t>
      </w:r>
      <w:r w:rsidRPr="00BD1B6F">
        <w:rPr>
          <w:rFonts w:eastAsia="Calibri"/>
          <w:kern w:val="2"/>
          <w:sz w:val="24"/>
          <w:szCs w:val="24"/>
        </w:rPr>
        <w:t xml:space="preserve"> ulaganja poslovnog sektora u istraživanje i razvoj </w:t>
      </w:r>
      <w:r>
        <w:rPr>
          <w:rFonts w:eastAsia="Calibri"/>
          <w:kern w:val="2"/>
          <w:sz w:val="24"/>
          <w:szCs w:val="24"/>
        </w:rPr>
        <w:t>jača se</w:t>
      </w:r>
      <w:r w:rsidRPr="00BD1B6F">
        <w:rPr>
          <w:rFonts w:eastAsia="Calibri"/>
          <w:kern w:val="2"/>
          <w:sz w:val="24"/>
          <w:szCs w:val="24"/>
        </w:rPr>
        <w:t xml:space="preserve"> ukupn</w:t>
      </w:r>
      <w:r>
        <w:rPr>
          <w:rFonts w:eastAsia="Calibri"/>
          <w:kern w:val="2"/>
          <w:sz w:val="24"/>
          <w:szCs w:val="24"/>
        </w:rPr>
        <w:t>a</w:t>
      </w:r>
      <w:r w:rsidRPr="00BD1B6F">
        <w:rPr>
          <w:rFonts w:eastAsia="Calibri"/>
          <w:kern w:val="2"/>
          <w:sz w:val="24"/>
          <w:szCs w:val="24"/>
        </w:rPr>
        <w:t xml:space="preserve"> inovativnost</w:t>
      </w:r>
      <w:r>
        <w:rPr>
          <w:rFonts w:eastAsia="Calibri"/>
          <w:kern w:val="2"/>
          <w:sz w:val="24"/>
          <w:szCs w:val="24"/>
        </w:rPr>
        <w:t xml:space="preserve"> gospodarstva</w:t>
      </w:r>
      <w:r w:rsidRPr="00BD1B6F">
        <w:rPr>
          <w:rFonts w:eastAsia="Calibri"/>
          <w:kern w:val="2"/>
          <w:sz w:val="24"/>
          <w:szCs w:val="24"/>
        </w:rPr>
        <w:t xml:space="preserve">, </w:t>
      </w:r>
      <w:r>
        <w:rPr>
          <w:rFonts w:eastAsia="Calibri"/>
          <w:kern w:val="2"/>
          <w:sz w:val="24"/>
          <w:szCs w:val="24"/>
        </w:rPr>
        <w:t>budući da</w:t>
      </w:r>
      <w:r w:rsidRPr="00BD1B6F">
        <w:rPr>
          <w:rFonts w:eastAsia="Calibri"/>
          <w:kern w:val="2"/>
          <w:sz w:val="24"/>
          <w:szCs w:val="24"/>
        </w:rPr>
        <w:t xml:space="preserve"> su takva ulaganja najčešće povezana s primijenjenim istraživanjima i razvojem novih proizvoda za koje postoji veća vjerojatnost da će rezultirati inovacijama, odnosno širom društvenom koristi.</w:t>
      </w:r>
    </w:p>
    <w:p w14:paraId="31EAFB05" w14:textId="77777777" w:rsidR="002F3368" w:rsidRPr="00BD1B6F" w:rsidRDefault="002F3368" w:rsidP="002F3368">
      <w:pPr>
        <w:widowControl/>
        <w:autoSpaceDE/>
        <w:autoSpaceDN/>
        <w:spacing w:before="240" w:line="276" w:lineRule="auto"/>
        <w:jc w:val="both"/>
        <w:rPr>
          <w:rFonts w:eastAsia="Calibri"/>
          <w:kern w:val="2"/>
          <w:sz w:val="24"/>
          <w:szCs w:val="24"/>
        </w:rPr>
      </w:pPr>
      <w:r>
        <w:rPr>
          <w:rFonts w:eastAsia="Calibri"/>
          <w:kern w:val="2"/>
          <w:sz w:val="24"/>
          <w:szCs w:val="24"/>
        </w:rPr>
        <w:t>Izraženo ekvivalentom pune zaposlenosti,</w:t>
      </w:r>
      <w:r w:rsidRPr="00BD1B6F">
        <w:rPr>
          <w:rFonts w:eastAsia="Calibri"/>
          <w:kern w:val="2"/>
          <w:sz w:val="24"/>
          <w:szCs w:val="24"/>
        </w:rPr>
        <w:t xml:space="preserve"> u Hrvatskoj </w:t>
      </w:r>
      <w:r>
        <w:rPr>
          <w:rFonts w:eastAsia="Calibri"/>
          <w:kern w:val="2"/>
          <w:sz w:val="24"/>
          <w:szCs w:val="24"/>
        </w:rPr>
        <w:t>je na poslovima istraživanja i razvoja u 2022. bilo zaposleno ukupno 17.191</w:t>
      </w:r>
      <w:r w:rsidRPr="00BD1B6F">
        <w:rPr>
          <w:rFonts w:eastAsia="Calibri"/>
          <w:kern w:val="2"/>
          <w:sz w:val="24"/>
          <w:szCs w:val="24"/>
        </w:rPr>
        <w:t> istraživača</w:t>
      </w:r>
      <w:r>
        <w:rPr>
          <w:rFonts w:eastAsia="Calibri"/>
          <w:kern w:val="2"/>
          <w:sz w:val="24"/>
          <w:szCs w:val="24"/>
        </w:rPr>
        <w:t xml:space="preserve"> (16.528 u 2021.),</w:t>
      </w:r>
      <w:r w:rsidRPr="00BD1B6F">
        <w:rPr>
          <w:rFonts w:eastAsia="Calibri"/>
          <w:kern w:val="2"/>
          <w:sz w:val="24"/>
          <w:szCs w:val="24"/>
        </w:rPr>
        <w:t xml:space="preserve"> odnosno 9.</w:t>
      </w:r>
      <w:r>
        <w:rPr>
          <w:rFonts w:eastAsia="Calibri"/>
          <w:kern w:val="2"/>
          <w:sz w:val="24"/>
          <w:szCs w:val="24"/>
        </w:rPr>
        <w:t>913</w:t>
      </w:r>
      <w:r w:rsidRPr="00BD1B6F">
        <w:rPr>
          <w:rFonts w:eastAsia="Calibri"/>
          <w:kern w:val="2"/>
          <w:sz w:val="24"/>
          <w:szCs w:val="24"/>
        </w:rPr>
        <w:t xml:space="preserve"> istraživača </w:t>
      </w:r>
      <w:r w:rsidRPr="00E353F2">
        <w:rPr>
          <w:rFonts w:eastAsia="Calibri"/>
          <w:kern w:val="2"/>
          <w:sz w:val="24"/>
          <w:szCs w:val="24"/>
        </w:rPr>
        <w:t xml:space="preserve">u ekvivalentu punog radnog vremena (FTE) </w:t>
      </w:r>
      <w:r>
        <w:rPr>
          <w:rFonts w:eastAsia="Calibri"/>
          <w:kern w:val="2"/>
          <w:sz w:val="24"/>
          <w:szCs w:val="24"/>
        </w:rPr>
        <w:t>(9.507 u 2021.)</w:t>
      </w:r>
      <w:r w:rsidRPr="00BD1B6F">
        <w:rPr>
          <w:rFonts w:eastAsia="Calibri"/>
          <w:kern w:val="2"/>
          <w:sz w:val="24"/>
          <w:szCs w:val="24"/>
        </w:rPr>
        <w:t xml:space="preserve">. U navedenom broju istraživača, udio istraživača zaposlenih u privatnom sektoru nastavio </w:t>
      </w:r>
      <w:r>
        <w:rPr>
          <w:rFonts w:eastAsia="Calibri"/>
          <w:kern w:val="2"/>
          <w:sz w:val="24"/>
          <w:szCs w:val="24"/>
        </w:rPr>
        <w:t xml:space="preserve">je </w:t>
      </w:r>
      <w:r w:rsidRPr="00BD1B6F">
        <w:rPr>
          <w:rFonts w:eastAsia="Calibri"/>
          <w:kern w:val="2"/>
          <w:sz w:val="24"/>
          <w:szCs w:val="24"/>
        </w:rPr>
        <w:t xml:space="preserve">rasti te se povećao na </w:t>
      </w:r>
      <w:r>
        <w:rPr>
          <w:rFonts w:eastAsia="Calibri"/>
          <w:kern w:val="2"/>
          <w:sz w:val="24"/>
          <w:szCs w:val="24"/>
        </w:rPr>
        <w:t>46</w:t>
      </w:r>
      <w:r w:rsidRPr="00BD1B6F">
        <w:rPr>
          <w:rFonts w:eastAsia="Calibri"/>
          <w:kern w:val="2"/>
          <w:sz w:val="24"/>
          <w:szCs w:val="24"/>
        </w:rPr>
        <w:t>% ukupnog broja istraživača, no i dalje naj</w:t>
      </w:r>
      <w:r>
        <w:rPr>
          <w:rFonts w:eastAsia="Calibri"/>
          <w:kern w:val="2"/>
          <w:sz w:val="24"/>
          <w:szCs w:val="24"/>
        </w:rPr>
        <w:t>veći</w:t>
      </w:r>
      <w:r w:rsidRPr="00BD1B6F">
        <w:rPr>
          <w:rFonts w:eastAsia="Calibri"/>
          <w:kern w:val="2"/>
          <w:sz w:val="24"/>
          <w:szCs w:val="24"/>
        </w:rPr>
        <w:t xml:space="preserve"> dio (</w:t>
      </w:r>
      <w:r>
        <w:rPr>
          <w:rFonts w:eastAsia="Calibri"/>
          <w:kern w:val="2"/>
          <w:sz w:val="24"/>
          <w:szCs w:val="24"/>
        </w:rPr>
        <w:t>5</w:t>
      </w:r>
      <w:r w:rsidRPr="00BD1B6F">
        <w:rPr>
          <w:rFonts w:eastAsia="Calibri"/>
          <w:kern w:val="2"/>
          <w:sz w:val="24"/>
          <w:szCs w:val="24"/>
        </w:rPr>
        <w:t xml:space="preserve">4%) istraživača </w:t>
      </w:r>
      <w:r>
        <w:rPr>
          <w:rFonts w:eastAsia="Calibri"/>
          <w:kern w:val="2"/>
          <w:sz w:val="24"/>
          <w:szCs w:val="24"/>
        </w:rPr>
        <w:t xml:space="preserve">u Hrvatskoj </w:t>
      </w:r>
      <w:r w:rsidRPr="00BD1B6F">
        <w:rPr>
          <w:rFonts w:eastAsia="Calibri"/>
          <w:kern w:val="2"/>
          <w:sz w:val="24"/>
          <w:szCs w:val="24"/>
        </w:rPr>
        <w:t xml:space="preserve">radi u javnim istraživačkim organizacijama. Usprkos povećanju ukupnog broja istraživača, prosječan broj istraživača u javnim istraživačkim organizacijama i dalje iznosi manje od 100 istraživača po ustanovi. Relativno mala istraživačka zajednica u kombinaciji s trendom „odljeva mozgova” otežava poduzimanje aktivnosti usmjerenih na poboljšanje rezultata istraživačkih projekata, kao i ostvarivanje znanstvene izvrsnosti.   </w:t>
      </w:r>
    </w:p>
    <w:p w14:paraId="1EACBB9F" w14:textId="77777777" w:rsidR="002F3368" w:rsidRPr="00BD1B6F" w:rsidRDefault="002F3368" w:rsidP="002F3368">
      <w:pPr>
        <w:widowControl/>
        <w:autoSpaceDE/>
        <w:autoSpaceDN/>
        <w:spacing w:before="240" w:line="276" w:lineRule="auto"/>
        <w:jc w:val="both"/>
        <w:rPr>
          <w:rFonts w:eastAsia="Calibri"/>
          <w:kern w:val="2"/>
          <w:sz w:val="24"/>
          <w:szCs w:val="24"/>
        </w:rPr>
      </w:pPr>
      <w:r w:rsidRPr="00BD1B6F">
        <w:rPr>
          <w:rFonts w:eastAsia="Calibri"/>
          <w:kern w:val="2"/>
          <w:sz w:val="24"/>
          <w:szCs w:val="24"/>
        </w:rPr>
        <w:lastRenderedPageBreak/>
        <w:t>Prema podacima za 2022.</w:t>
      </w:r>
      <w:r>
        <w:rPr>
          <w:rFonts w:eastAsia="Calibri"/>
          <w:kern w:val="2"/>
          <w:sz w:val="24"/>
          <w:szCs w:val="24"/>
        </w:rPr>
        <w:t>,</w:t>
      </w:r>
      <w:r w:rsidRPr="00BD1B6F">
        <w:rPr>
          <w:rFonts w:eastAsia="Calibri"/>
          <w:kern w:val="2"/>
          <w:sz w:val="24"/>
          <w:szCs w:val="24"/>
        </w:rPr>
        <w:t xml:space="preserve"> broj prijava patenata Europskom patentnom uredu nastavio je pozitivan trend rasta te su zabilježene ukupno 32 prijave (18,5% više u odnosu na 2021.). </w:t>
      </w:r>
    </w:p>
    <w:p w14:paraId="63A67D34" w14:textId="77777777" w:rsidR="002F3368" w:rsidRPr="008115FB" w:rsidRDefault="002F3368" w:rsidP="002F3368">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S ciljem jačanja konkurentnosti i inovativnosti hrvatskog gospodarstva u 2022. </w:t>
      </w:r>
      <w:r w:rsidRPr="008115FB">
        <w:rPr>
          <w:rFonts w:eastAsia="Calibri"/>
          <w:kern w:val="2"/>
          <w:sz w:val="24"/>
          <w:szCs w:val="24"/>
        </w:rPr>
        <w:t xml:space="preserve">u okviru </w:t>
      </w:r>
      <w:r>
        <w:rPr>
          <w:rFonts w:eastAsia="Calibri"/>
          <w:kern w:val="2"/>
          <w:sz w:val="24"/>
          <w:szCs w:val="24"/>
        </w:rPr>
        <w:t>Operativnog programa „Konkurentnost i kohezija“</w:t>
      </w:r>
      <w:r w:rsidRPr="008115FB">
        <w:rPr>
          <w:rFonts w:eastAsia="Calibri"/>
          <w:kern w:val="2"/>
          <w:sz w:val="24"/>
          <w:szCs w:val="24"/>
        </w:rPr>
        <w:t xml:space="preserve"> 2014.</w:t>
      </w:r>
      <w:r>
        <w:rPr>
          <w:rFonts w:eastAsia="Calibri"/>
          <w:kern w:val="2"/>
          <w:sz w:val="24"/>
          <w:szCs w:val="24"/>
        </w:rPr>
        <w:t xml:space="preserve"> </w:t>
      </w:r>
      <w:r w:rsidRPr="008115FB">
        <w:rPr>
          <w:rFonts w:eastAsia="Calibri"/>
          <w:kern w:val="2"/>
          <w:sz w:val="24"/>
          <w:szCs w:val="24"/>
        </w:rPr>
        <w:t>-</w:t>
      </w:r>
      <w:r>
        <w:rPr>
          <w:rFonts w:eastAsia="Calibri"/>
          <w:kern w:val="2"/>
          <w:sz w:val="24"/>
          <w:szCs w:val="24"/>
        </w:rPr>
        <w:t xml:space="preserve"> </w:t>
      </w:r>
      <w:r w:rsidRPr="008115FB">
        <w:rPr>
          <w:rFonts w:eastAsia="Calibri"/>
          <w:kern w:val="2"/>
          <w:sz w:val="24"/>
          <w:szCs w:val="24"/>
        </w:rPr>
        <w:t xml:space="preserve">2020. </w:t>
      </w:r>
      <w:r>
        <w:rPr>
          <w:rFonts w:eastAsia="Calibri"/>
          <w:kern w:val="2"/>
          <w:sz w:val="24"/>
          <w:szCs w:val="24"/>
        </w:rPr>
        <w:t xml:space="preserve">(u daljnjem tekstu: OPKK 2014. - 2020.), </w:t>
      </w:r>
      <w:r w:rsidRPr="008115FB">
        <w:rPr>
          <w:rFonts w:eastAsia="Calibri"/>
          <w:kern w:val="2"/>
          <w:sz w:val="24"/>
          <w:szCs w:val="24"/>
        </w:rPr>
        <w:t xml:space="preserve">od ukupno 11 objavljenih </w:t>
      </w:r>
      <w:r>
        <w:rPr>
          <w:rFonts w:eastAsia="Calibri"/>
          <w:kern w:val="2"/>
          <w:sz w:val="24"/>
          <w:szCs w:val="24"/>
        </w:rPr>
        <w:t>p</w:t>
      </w:r>
      <w:r w:rsidRPr="008115FB">
        <w:rPr>
          <w:rFonts w:eastAsia="Calibri"/>
          <w:kern w:val="2"/>
          <w:sz w:val="24"/>
          <w:szCs w:val="24"/>
        </w:rPr>
        <w:t xml:space="preserve">oziva Ministarstva znanosti i obrazovanja, </w:t>
      </w:r>
      <w:r>
        <w:rPr>
          <w:rFonts w:eastAsia="Calibri"/>
          <w:kern w:val="2"/>
          <w:sz w:val="24"/>
          <w:szCs w:val="24"/>
        </w:rPr>
        <w:t xml:space="preserve">financiranje putem poziva nastavljeno je kod njih 10. </w:t>
      </w:r>
      <w:r w:rsidRPr="008115FB">
        <w:rPr>
          <w:rFonts w:eastAsia="Calibri"/>
          <w:kern w:val="2"/>
          <w:sz w:val="24"/>
          <w:szCs w:val="24"/>
        </w:rPr>
        <w:t>U izvještajnom razdoblju</w:t>
      </w:r>
      <w:r>
        <w:rPr>
          <w:rFonts w:eastAsia="Calibri"/>
          <w:kern w:val="2"/>
          <w:sz w:val="24"/>
          <w:szCs w:val="24"/>
        </w:rPr>
        <w:t>,</w:t>
      </w:r>
      <w:r w:rsidRPr="008115FB">
        <w:rPr>
          <w:rFonts w:eastAsia="Calibri"/>
          <w:kern w:val="2"/>
          <w:sz w:val="24"/>
          <w:szCs w:val="24"/>
        </w:rPr>
        <w:t xml:space="preserve"> s provedbom su završila 23 projekta te je isplaćeno 60,7</w:t>
      </w:r>
      <w:r>
        <w:rPr>
          <w:rFonts w:eastAsia="Calibri"/>
          <w:kern w:val="2"/>
          <w:sz w:val="24"/>
          <w:szCs w:val="24"/>
        </w:rPr>
        <w:t xml:space="preserve"> </w:t>
      </w:r>
      <w:r w:rsidRPr="008115FB">
        <w:rPr>
          <w:rFonts w:eastAsia="Calibri"/>
          <w:kern w:val="2"/>
          <w:sz w:val="24"/>
          <w:szCs w:val="24"/>
        </w:rPr>
        <w:t xml:space="preserve">milijuna eura bespovratnih </w:t>
      </w:r>
      <w:r w:rsidRPr="00235D37">
        <w:rPr>
          <w:rFonts w:eastAsia="Calibri"/>
          <w:kern w:val="2"/>
          <w:sz w:val="24"/>
          <w:szCs w:val="24"/>
        </w:rPr>
        <w:t>sredst</w:t>
      </w:r>
      <w:r>
        <w:rPr>
          <w:rFonts w:eastAsia="Calibri"/>
          <w:kern w:val="2"/>
          <w:sz w:val="24"/>
          <w:szCs w:val="24"/>
        </w:rPr>
        <w:t>a</w:t>
      </w:r>
      <w:r w:rsidRPr="00235D37">
        <w:rPr>
          <w:rFonts w:eastAsia="Calibri"/>
          <w:kern w:val="2"/>
          <w:sz w:val="24"/>
          <w:szCs w:val="24"/>
        </w:rPr>
        <w:t>va.</w:t>
      </w:r>
      <w:r w:rsidRPr="008115FB">
        <w:rPr>
          <w:rFonts w:eastAsia="Calibri"/>
          <w:kern w:val="2"/>
          <w:sz w:val="24"/>
          <w:szCs w:val="24"/>
        </w:rPr>
        <w:t xml:space="preserve"> Od navedenih projekata uspješno su završena 4 infrastrukturna projekta istraživanja, razvoja i inovacija (što kumulativno do kraja 2022. čini 24 infrastrukturna projekta te 6 projekata istraživanja i razvoja </w:t>
      </w:r>
      <w:r w:rsidRPr="00235D37">
        <w:rPr>
          <w:rFonts w:eastAsia="Calibri"/>
          <w:kern w:val="2"/>
          <w:sz w:val="24"/>
          <w:szCs w:val="24"/>
        </w:rPr>
        <w:t>koj</w:t>
      </w:r>
      <w:r>
        <w:rPr>
          <w:rFonts w:eastAsia="Calibri"/>
          <w:kern w:val="2"/>
          <w:sz w:val="24"/>
          <w:szCs w:val="24"/>
        </w:rPr>
        <w:t>e</w:t>
      </w:r>
      <w:r w:rsidRPr="008115FB">
        <w:rPr>
          <w:rFonts w:eastAsia="Calibri"/>
          <w:kern w:val="2"/>
          <w:sz w:val="24"/>
          <w:szCs w:val="24"/>
        </w:rPr>
        <w:t xml:space="preserve"> su provele istraživačke organizacije</w:t>
      </w:r>
      <w:r>
        <w:rPr>
          <w:rFonts w:eastAsia="Calibri"/>
          <w:kern w:val="2"/>
          <w:sz w:val="24"/>
          <w:szCs w:val="24"/>
        </w:rPr>
        <w:t>)</w:t>
      </w:r>
      <w:r w:rsidRPr="008115FB">
        <w:rPr>
          <w:rFonts w:eastAsia="Calibri"/>
          <w:kern w:val="2"/>
          <w:sz w:val="24"/>
          <w:szCs w:val="24"/>
        </w:rPr>
        <w:t xml:space="preserve">. Provedbom navedenih projekata je tijekom 2022. za dodatnih 445 istraživača omogućen rad u poboljšanoj istraživačkoj infrastrukturi (što ukupno do kraja 2022. </w:t>
      </w:r>
      <w:r>
        <w:rPr>
          <w:rFonts w:eastAsia="Calibri"/>
          <w:kern w:val="2"/>
          <w:sz w:val="24"/>
          <w:szCs w:val="24"/>
        </w:rPr>
        <w:t xml:space="preserve">čini </w:t>
      </w:r>
      <w:r w:rsidRPr="008115FB">
        <w:rPr>
          <w:rFonts w:eastAsia="Calibri"/>
          <w:kern w:val="2"/>
          <w:sz w:val="24"/>
          <w:szCs w:val="24"/>
        </w:rPr>
        <w:t>745 istraživača)</w:t>
      </w:r>
      <w:r>
        <w:rPr>
          <w:rFonts w:eastAsia="Calibri"/>
          <w:kern w:val="2"/>
          <w:sz w:val="24"/>
          <w:szCs w:val="24"/>
        </w:rPr>
        <w:t>,</w:t>
      </w:r>
      <w:r w:rsidRPr="008115FB">
        <w:rPr>
          <w:rFonts w:eastAsia="Calibri"/>
          <w:kern w:val="2"/>
          <w:sz w:val="24"/>
          <w:szCs w:val="24"/>
        </w:rPr>
        <w:t xml:space="preserve"> </w:t>
      </w:r>
      <w:r>
        <w:rPr>
          <w:rFonts w:eastAsia="Calibri"/>
          <w:kern w:val="2"/>
          <w:sz w:val="24"/>
          <w:szCs w:val="24"/>
        </w:rPr>
        <w:t>dok</w:t>
      </w:r>
      <w:r w:rsidRPr="008115FB">
        <w:rPr>
          <w:rFonts w:eastAsia="Calibri"/>
          <w:kern w:val="2"/>
          <w:sz w:val="24"/>
          <w:szCs w:val="24"/>
        </w:rPr>
        <w:t xml:space="preserve"> je u projekte suradnje s istraživačkim organizacijama uključeno dodatnih 38 poduzeća. </w:t>
      </w:r>
    </w:p>
    <w:p w14:paraId="051E27CF" w14:textId="77777777" w:rsidR="002F3368" w:rsidRPr="00BD1B6F" w:rsidRDefault="002F3368" w:rsidP="002F3368">
      <w:pPr>
        <w:widowControl/>
        <w:autoSpaceDE/>
        <w:autoSpaceDN/>
        <w:spacing w:before="240" w:line="276" w:lineRule="auto"/>
        <w:jc w:val="both"/>
        <w:rPr>
          <w:rFonts w:eastAsia="Calibri"/>
          <w:kern w:val="2"/>
          <w:sz w:val="24"/>
          <w:szCs w:val="24"/>
        </w:rPr>
      </w:pPr>
      <w:r w:rsidRPr="008115FB">
        <w:rPr>
          <w:rFonts w:eastAsia="Calibri"/>
          <w:kern w:val="2"/>
          <w:sz w:val="24"/>
          <w:szCs w:val="24"/>
        </w:rPr>
        <w:t>Nadalje,</w:t>
      </w:r>
      <w:r w:rsidRPr="00BD1B6F">
        <w:rPr>
          <w:rFonts w:eastAsia="Calibri"/>
          <w:kern w:val="2"/>
          <w:sz w:val="24"/>
          <w:szCs w:val="24"/>
        </w:rPr>
        <w:t xml:space="preserve"> u okviru NPOO komponente C3.2. „Podizanje istraživačkog i inovacijskog kapaciteta“, pokrenuti su napori </w:t>
      </w:r>
      <w:r>
        <w:rPr>
          <w:rFonts w:eastAsia="Calibri"/>
          <w:kern w:val="2"/>
          <w:sz w:val="24"/>
          <w:szCs w:val="24"/>
        </w:rPr>
        <w:t>u</w:t>
      </w:r>
      <w:r w:rsidRPr="00BD1B6F">
        <w:rPr>
          <w:rFonts w:eastAsia="Calibri"/>
          <w:kern w:val="2"/>
          <w:sz w:val="24"/>
          <w:szCs w:val="24"/>
        </w:rPr>
        <w:t xml:space="preserve"> provedbi </w:t>
      </w:r>
      <w:r>
        <w:rPr>
          <w:rFonts w:eastAsia="Calibri"/>
          <w:kern w:val="2"/>
          <w:sz w:val="24"/>
          <w:szCs w:val="24"/>
        </w:rPr>
        <w:t>3</w:t>
      </w:r>
      <w:r w:rsidRPr="00BD1B6F">
        <w:rPr>
          <w:rFonts w:eastAsia="Calibri"/>
          <w:kern w:val="2"/>
          <w:sz w:val="24"/>
          <w:szCs w:val="24"/>
        </w:rPr>
        <w:t xml:space="preserve"> reformske mjere usmjerene na rješavanje ključnih izazova u području istraživanja i razvoja u Hrvatskoj. </w:t>
      </w:r>
    </w:p>
    <w:p w14:paraId="70E9E399" w14:textId="77777777" w:rsidR="002F3368" w:rsidRPr="00BD1B6F" w:rsidRDefault="002F3368" w:rsidP="002F3368">
      <w:pPr>
        <w:widowControl/>
        <w:autoSpaceDE/>
        <w:autoSpaceDN/>
        <w:spacing w:before="240" w:line="276" w:lineRule="auto"/>
        <w:jc w:val="both"/>
        <w:rPr>
          <w:rFonts w:eastAsia="Calibri"/>
          <w:kern w:val="2"/>
          <w:sz w:val="24"/>
          <w:szCs w:val="24"/>
        </w:rPr>
      </w:pPr>
      <w:r w:rsidRPr="00BD1B6F">
        <w:rPr>
          <w:rFonts w:eastAsia="Calibri"/>
          <w:kern w:val="2"/>
          <w:sz w:val="24"/>
          <w:szCs w:val="24"/>
        </w:rPr>
        <w:t>S ciljem uspostavljanja odgovarajućeg modela financiranja i organizacije sveučilišta i znanstvenih instituta, provodi se NPOO reformska mjera „Reforma i jačanje kapaciteta javnog znanstveno-istraživačkog sektora za istraživanje i razvoj“ (</w:t>
      </w:r>
      <w:r w:rsidRPr="001C30CB">
        <w:rPr>
          <w:rFonts w:eastAsia="Calibri"/>
          <w:kern w:val="2"/>
          <w:sz w:val="24"/>
          <w:szCs w:val="24"/>
        </w:rPr>
        <w:t>C3.2.</w:t>
      </w:r>
      <w:r w:rsidRPr="00BD1B6F">
        <w:rPr>
          <w:rFonts w:eastAsia="Calibri"/>
          <w:kern w:val="2"/>
          <w:sz w:val="24"/>
          <w:szCs w:val="24"/>
        </w:rPr>
        <w:t xml:space="preserve"> R1). U okviru reforme, tijekom 2022. pokrenuta</w:t>
      </w:r>
      <w:r>
        <w:rPr>
          <w:rFonts w:eastAsia="Calibri"/>
          <w:kern w:val="2"/>
          <w:sz w:val="24"/>
          <w:szCs w:val="24"/>
        </w:rPr>
        <w:t xml:space="preserve"> je</w:t>
      </w:r>
      <w:r w:rsidRPr="00BD1B6F">
        <w:rPr>
          <w:rFonts w:eastAsia="Calibri"/>
          <w:kern w:val="2"/>
          <w:sz w:val="24"/>
          <w:szCs w:val="24"/>
        </w:rPr>
        <w:t xml:space="preserve"> izrada Uredbe o programskom financiranju javnih visokih učilišta i javnih znanstvenih instituta u Republic</w:t>
      </w:r>
      <w:r>
        <w:rPr>
          <w:rFonts w:eastAsia="Calibri"/>
          <w:kern w:val="2"/>
          <w:sz w:val="24"/>
          <w:szCs w:val="24"/>
        </w:rPr>
        <w:t>i</w:t>
      </w:r>
      <w:r w:rsidRPr="00BD1B6F">
        <w:rPr>
          <w:rFonts w:eastAsia="Calibri"/>
          <w:kern w:val="2"/>
          <w:sz w:val="24"/>
          <w:szCs w:val="24"/>
        </w:rPr>
        <w:t xml:space="preserve"> Hrvatskoj, kojom će se urediti obvezni sadržaj programskih ugovora za financiranje istraživačkih organizacija u Hrvatskoj, metodologija njihove izrade te način praćenja i vrednovanja provedbe. U okviru navedenih aktivnosti provedene su konzultacije s</w:t>
      </w:r>
      <w:r>
        <w:rPr>
          <w:rFonts w:eastAsia="Calibri"/>
          <w:kern w:val="2"/>
          <w:sz w:val="24"/>
          <w:szCs w:val="24"/>
        </w:rPr>
        <w:t>a</w:t>
      </w:r>
      <w:r w:rsidRPr="00BD1B6F">
        <w:rPr>
          <w:rFonts w:eastAsia="Calibri"/>
          <w:kern w:val="2"/>
          <w:sz w:val="24"/>
          <w:szCs w:val="24"/>
        </w:rPr>
        <w:t xml:space="preserve"> znanstvenim institucijama te je nastavljen rad na utvrđivanju sadržaja novih programskih ugovora za javna visoka učilišta i javne znanstvene institute. </w:t>
      </w:r>
      <w:r>
        <w:rPr>
          <w:rFonts w:eastAsia="Calibri"/>
          <w:kern w:val="2"/>
          <w:sz w:val="24"/>
          <w:szCs w:val="24"/>
        </w:rPr>
        <w:t>P</w:t>
      </w:r>
      <w:r w:rsidRPr="008255DF">
        <w:rPr>
          <w:rFonts w:eastAsia="Calibri"/>
          <w:kern w:val="2"/>
          <w:sz w:val="24"/>
          <w:szCs w:val="24"/>
        </w:rPr>
        <w:t>rogramski</w:t>
      </w:r>
      <w:r w:rsidRPr="00BD1B6F">
        <w:rPr>
          <w:rFonts w:eastAsia="Calibri"/>
          <w:kern w:val="2"/>
          <w:sz w:val="24"/>
          <w:szCs w:val="24"/>
        </w:rPr>
        <w:t xml:space="preserve"> ugovori predstavljaju temelj za provedbu NPOO investicije C3.2. R1-I2 usmjerene na potporu projektima ulaganja u jačanje institucionalnih, infrastrukturnih i organizacijskih kapaciteta sveučilišta i znanstvenih instituta, procijenjene vrijednosti ulaganja veće od </w:t>
      </w:r>
      <w:r w:rsidRPr="008115FB">
        <w:rPr>
          <w:rFonts w:eastAsia="Calibri"/>
          <w:kern w:val="2"/>
          <w:sz w:val="24"/>
          <w:szCs w:val="24"/>
        </w:rPr>
        <w:t xml:space="preserve">62 </w:t>
      </w:r>
      <w:r w:rsidRPr="00BD1B6F">
        <w:rPr>
          <w:rFonts w:eastAsia="Calibri"/>
          <w:kern w:val="2"/>
          <w:sz w:val="24"/>
          <w:szCs w:val="24"/>
        </w:rPr>
        <w:t xml:space="preserve">milijuna eura.  </w:t>
      </w:r>
    </w:p>
    <w:p w14:paraId="57CD55A6" w14:textId="77777777" w:rsidR="002F3368" w:rsidRPr="00BD1B6F" w:rsidRDefault="002F3368" w:rsidP="002F3368">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Radi stvaranja preduvjeta koji će ohrabrivati istraživače </w:t>
      </w:r>
      <w:r>
        <w:rPr>
          <w:rFonts w:eastAsia="Calibri"/>
          <w:kern w:val="2"/>
          <w:sz w:val="24"/>
          <w:szCs w:val="24"/>
        </w:rPr>
        <w:t>da ostanu</w:t>
      </w:r>
      <w:r w:rsidRPr="00BD1B6F">
        <w:rPr>
          <w:rFonts w:eastAsia="Calibri"/>
          <w:kern w:val="2"/>
          <w:sz w:val="24"/>
          <w:szCs w:val="24"/>
        </w:rPr>
        <w:t xml:space="preserve"> u Hrvatskoj, ali i poticati povratak hrvatskih znanstvenika iz inozemstva te dolazak inozemnih istraživača u Hrvatsku, u okviru NPOO reforme „Stvaranje okvira za privlačenje studenata i istraživača u STEM i ICT područjima“ (C3.2. R2) provode se aktivnosti unaprjeđe</w:t>
      </w:r>
      <w:r w:rsidRPr="00BD1B6F">
        <w:rPr>
          <w:rFonts w:eastAsia="Calibri"/>
          <w:kern w:val="2"/>
          <w:sz w:val="24"/>
          <w:szCs w:val="24"/>
        </w:rPr>
        <w:lastRenderedPageBreak/>
        <w:t>nja zakonodavnog okvira za razvoj karijere istraživača</w:t>
      </w:r>
      <w:r>
        <w:rPr>
          <w:rFonts w:eastAsia="Calibri"/>
          <w:kern w:val="2"/>
          <w:sz w:val="24"/>
          <w:szCs w:val="24"/>
        </w:rPr>
        <w:t>,</w:t>
      </w:r>
      <w:r w:rsidRPr="00BD1B6F">
        <w:rPr>
          <w:rFonts w:eastAsia="Calibri"/>
          <w:kern w:val="2"/>
          <w:sz w:val="24"/>
          <w:szCs w:val="24"/>
        </w:rPr>
        <w:t xml:space="preserve"> a planiraju se provesti programi jačanja znanstvenih kapaciteta te uspostaviti nacionalna mreža znanstveno-tehnološke infrastrukture. Reformom će se omogućiti</w:t>
      </w:r>
      <w:r w:rsidRPr="00BD1B6F">
        <w:t xml:space="preserve"> </w:t>
      </w:r>
      <w:r w:rsidRPr="00BD1B6F">
        <w:rPr>
          <w:rFonts w:eastAsia="Calibri"/>
          <w:kern w:val="2"/>
          <w:sz w:val="24"/>
          <w:szCs w:val="24"/>
        </w:rPr>
        <w:t>novi poticajni uvjeti za rad u znanosti te osigurati otvoreniji pristup tehnološkim infrastrukturama za povezivanje znanosti i poduzetništva, u skladu sa specifičnostima znanstvenih STEM i I</w:t>
      </w:r>
      <w:r>
        <w:rPr>
          <w:rFonts w:eastAsia="Calibri"/>
          <w:kern w:val="2"/>
          <w:sz w:val="24"/>
          <w:szCs w:val="24"/>
        </w:rPr>
        <w:t>C</w:t>
      </w:r>
      <w:r w:rsidRPr="00BD1B6F">
        <w:rPr>
          <w:rFonts w:eastAsia="Calibri"/>
          <w:kern w:val="2"/>
          <w:sz w:val="24"/>
          <w:szCs w:val="24"/>
        </w:rPr>
        <w:t xml:space="preserve">T područja. Novim poticajnim okvirom za razvoj karijera istraživača, doprinijet će se povećanju broja i kvalitete istraživača i stručnjaka u znanstvenom i poslovno-istraživačkom sektoru te osnaživanju nacionalnih inovacijskih potencijala. </w:t>
      </w:r>
    </w:p>
    <w:p w14:paraId="7B5B9EE3" w14:textId="77777777" w:rsidR="002F3368" w:rsidRPr="00BD1B6F" w:rsidRDefault="002F3368" w:rsidP="002F3368">
      <w:pPr>
        <w:widowControl/>
        <w:autoSpaceDE/>
        <w:autoSpaceDN/>
        <w:spacing w:before="240" w:line="276" w:lineRule="auto"/>
        <w:jc w:val="both"/>
        <w:rPr>
          <w:rFonts w:eastAsia="Calibri"/>
          <w:kern w:val="2"/>
          <w:sz w:val="24"/>
          <w:szCs w:val="24"/>
        </w:rPr>
      </w:pPr>
      <w:r w:rsidRPr="00BD1B6F">
        <w:rPr>
          <w:rFonts w:eastAsia="Calibri"/>
          <w:kern w:val="2"/>
          <w:sz w:val="24"/>
          <w:szCs w:val="24"/>
        </w:rPr>
        <w:t>S ciljem revidiranja postojećeg i razvoja novog programskog okvira politik</w:t>
      </w:r>
      <w:r>
        <w:rPr>
          <w:rFonts w:eastAsia="Calibri"/>
          <w:kern w:val="2"/>
          <w:sz w:val="24"/>
          <w:szCs w:val="24"/>
        </w:rPr>
        <w:t>e</w:t>
      </w:r>
      <w:r w:rsidRPr="00BD1B6F">
        <w:rPr>
          <w:rFonts w:eastAsia="Calibri"/>
          <w:kern w:val="2"/>
          <w:sz w:val="24"/>
          <w:szCs w:val="24"/>
        </w:rPr>
        <w:t xml:space="preserve"> financiranja istraživanja, razvoja i inovacija te provedbe novog učinkovitijeg modela financiranja projekata istraživanja i inovacija, nastavljeni su napori na provedbi NPOO reforme „Poboljšanje učinkovitosti javnih ulaganja u području istraživanja, razvoja i inovacija“ (C3.2. R3). U okviru reforme</w:t>
      </w:r>
      <w:r>
        <w:rPr>
          <w:rFonts w:eastAsia="Calibri"/>
          <w:kern w:val="2"/>
          <w:sz w:val="24"/>
          <w:szCs w:val="24"/>
        </w:rPr>
        <w:t>,</w:t>
      </w:r>
      <w:r w:rsidRPr="00BD1B6F">
        <w:rPr>
          <w:rFonts w:eastAsia="Calibri"/>
          <w:kern w:val="2"/>
          <w:sz w:val="24"/>
          <w:szCs w:val="24"/>
        </w:rPr>
        <w:t xml:space="preserve"> tijekom 2022. donesen je novi Zakon o Hrvatskoj zakladi za znanost. </w:t>
      </w:r>
      <w:r>
        <w:rPr>
          <w:rFonts w:eastAsia="Calibri"/>
          <w:kern w:val="2"/>
          <w:sz w:val="24"/>
          <w:szCs w:val="24"/>
        </w:rPr>
        <w:t xml:space="preserve">Njime se </w:t>
      </w:r>
      <w:r w:rsidRPr="00BD1B6F">
        <w:rPr>
          <w:rFonts w:eastAsia="Calibri"/>
          <w:kern w:val="2"/>
          <w:sz w:val="24"/>
          <w:szCs w:val="24"/>
        </w:rPr>
        <w:t xml:space="preserve">osiguravaju uvjeti za snažniju orijentaciju hrvatskog znanstveno-istraživačkog sektora prema inovacijskim aktivnostima, uz transparentnije financiranje programa i projekata istraživanja i razvoja te jednostavniju provedbu inovacijskih aktivnosti u suradnji s poslovnim sektorom. Također, u okviru reforme provodi </w:t>
      </w:r>
      <w:r>
        <w:rPr>
          <w:rFonts w:eastAsia="Calibri"/>
          <w:kern w:val="2"/>
          <w:sz w:val="24"/>
          <w:szCs w:val="24"/>
        </w:rPr>
        <w:t xml:space="preserve">se </w:t>
      </w:r>
      <w:r w:rsidRPr="00BD1B6F">
        <w:rPr>
          <w:rFonts w:eastAsia="Calibri"/>
          <w:kern w:val="2"/>
          <w:sz w:val="24"/>
          <w:szCs w:val="24"/>
        </w:rPr>
        <w:t>investicija „Uvođenje funkcionalnijeg programskog okvira projektnog financiranja istraživanja, razvoja i inovacija“</w:t>
      </w:r>
      <w:r w:rsidRPr="00BD1B6F">
        <w:t xml:space="preserve"> </w:t>
      </w:r>
      <w:r w:rsidRPr="00BD1B6F">
        <w:rPr>
          <w:rFonts w:eastAsia="Calibri"/>
          <w:kern w:val="2"/>
          <w:sz w:val="24"/>
          <w:szCs w:val="24"/>
        </w:rPr>
        <w:t>(</w:t>
      </w:r>
      <w:r w:rsidRPr="006926FD">
        <w:rPr>
          <w:rFonts w:eastAsia="Calibri"/>
          <w:kern w:val="2"/>
          <w:sz w:val="24"/>
          <w:szCs w:val="24"/>
        </w:rPr>
        <w:t>C3.2.</w:t>
      </w:r>
      <w:r w:rsidRPr="00BD1B6F">
        <w:rPr>
          <w:rFonts w:eastAsia="Calibri"/>
          <w:kern w:val="2"/>
          <w:sz w:val="24"/>
          <w:szCs w:val="24"/>
        </w:rPr>
        <w:t xml:space="preserve"> R3-I1) koja uključuje razvoj i financiranje provedbe novih programa za istraživanje i razvoj, uz uvažavanje poteškoća i manjkavosti uočenih u dosadašnjoj provedbi inovacijskih aktivnosti te jačanje kapaciteta Hrvatske zaklade za znanost za učinkovitu provedbu razvijenih programa.</w:t>
      </w:r>
    </w:p>
    <w:p w14:paraId="04EB65A7" w14:textId="77777777" w:rsidR="002F3368" w:rsidRPr="00BD1B6F" w:rsidRDefault="002F3368" w:rsidP="002F3368">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Tijekom 2022. objavljena su 4 javna poziva kojima se promiče razvoj karijera (mladih) istraživača te razvoj novih proizvoda, usluga i tehnoloških procesa u znanstvenim organizacijama i poduzećima. </w:t>
      </w:r>
    </w:p>
    <w:p w14:paraId="55A75C75" w14:textId="77777777" w:rsidR="002F3368" w:rsidRPr="00BD1B6F" w:rsidRDefault="002F3368" w:rsidP="002F3368">
      <w:pPr>
        <w:widowControl/>
        <w:autoSpaceDE/>
        <w:autoSpaceDN/>
        <w:spacing w:before="240" w:line="276" w:lineRule="auto"/>
        <w:jc w:val="both"/>
        <w:rPr>
          <w:rFonts w:eastAsia="Calibri"/>
          <w:kern w:val="2"/>
          <w:sz w:val="24"/>
          <w:szCs w:val="24"/>
        </w:rPr>
      </w:pPr>
      <w:r>
        <w:rPr>
          <w:rFonts w:eastAsia="Calibri"/>
          <w:kern w:val="2"/>
          <w:sz w:val="24"/>
          <w:szCs w:val="24"/>
        </w:rPr>
        <w:t>R</w:t>
      </w:r>
      <w:r w:rsidRPr="00BD1B6F">
        <w:rPr>
          <w:rFonts w:eastAsia="Calibri"/>
          <w:kern w:val="2"/>
          <w:sz w:val="24"/>
          <w:szCs w:val="24"/>
        </w:rPr>
        <w:t xml:space="preserve">adi poboljšanja uvjeta za komercijalizaciju rezultata istraživanja i razvoja te boljeg usmjeravanja projekata istraživanja na potrebe gospodarstva i poticanja istraživačko-razvojne suradnje između istraživačkih organizacija i poslovnog sektora, u prosincu 2022. donesene su Nacionalne smjernice za transfer tehnologije i znanja. Donošenje Smjernica predstavlja važan korak </w:t>
      </w:r>
      <w:r>
        <w:rPr>
          <w:rFonts w:eastAsia="Calibri"/>
          <w:kern w:val="2"/>
          <w:sz w:val="24"/>
          <w:szCs w:val="24"/>
        </w:rPr>
        <w:t>prema</w:t>
      </w:r>
      <w:r w:rsidRPr="00BD1B6F">
        <w:rPr>
          <w:rFonts w:eastAsia="Calibri"/>
          <w:kern w:val="2"/>
          <w:sz w:val="24"/>
          <w:szCs w:val="24"/>
        </w:rPr>
        <w:t xml:space="preserve"> jasno</w:t>
      </w:r>
      <w:r>
        <w:rPr>
          <w:rFonts w:eastAsia="Calibri"/>
          <w:kern w:val="2"/>
          <w:sz w:val="24"/>
          <w:szCs w:val="24"/>
        </w:rPr>
        <w:t>m</w:t>
      </w:r>
      <w:r w:rsidRPr="00BD1B6F">
        <w:rPr>
          <w:rFonts w:eastAsia="Calibri"/>
          <w:kern w:val="2"/>
          <w:sz w:val="24"/>
          <w:szCs w:val="24"/>
        </w:rPr>
        <w:t xml:space="preserve"> definiranj</w:t>
      </w:r>
      <w:r>
        <w:rPr>
          <w:rFonts w:eastAsia="Calibri"/>
          <w:kern w:val="2"/>
          <w:sz w:val="24"/>
          <w:szCs w:val="24"/>
        </w:rPr>
        <w:t>u</w:t>
      </w:r>
      <w:r w:rsidRPr="00BD1B6F">
        <w:rPr>
          <w:rFonts w:eastAsia="Calibri"/>
          <w:kern w:val="2"/>
          <w:sz w:val="24"/>
          <w:szCs w:val="24"/>
        </w:rPr>
        <w:t xml:space="preserve"> uloge i jačanj</w:t>
      </w:r>
      <w:r>
        <w:rPr>
          <w:rFonts w:eastAsia="Calibri"/>
          <w:kern w:val="2"/>
          <w:sz w:val="24"/>
          <w:szCs w:val="24"/>
        </w:rPr>
        <w:t>u</w:t>
      </w:r>
      <w:r w:rsidRPr="00BD1B6F">
        <w:rPr>
          <w:rFonts w:eastAsia="Calibri"/>
          <w:kern w:val="2"/>
          <w:sz w:val="24"/>
          <w:szCs w:val="24"/>
        </w:rPr>
        <w:t xml:space="preserve"> položaja sveučilišnih ureda za transfer tehnologije u nacionalnom inovacijskom sustavu. </w:t>
      </w:r>
    </w:p>
    <w:p w14:paraId="1092D577" w14:textId="77777777" w:rsidR="002F3368" w:rsidRPr="00BD1B6F" w:rsidRDefault="002F3368" w:rsidP="002F3368">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Također, doneseni su novi Zakon o osiguravanju kvalitete u visokom obrazovanju i znanosti i Pravilnik o izmjenama i dopunama </w:t>
      </w:r>
      <w:r>
        <w:rPr>
          <w:rFonts w:eastAsia="Calibri"/>
          <w:kern w:val="2"/>
          <w:sz w:val="24"/>
          <w:szCs w:val="24"/>
        </w:rPr>
        <w:t>P</w:t>
      </w:r>
      <w:r w:rsidRPr="00BD1B6F">
        <w:rPr>
          <w:rFonts w:eastAsia="Calibri"/>
          <w:kern w:val="2"/>
          <w:sz w:val="24"/>
          <w:szCs w:val="24"/>
        </w:rPr>
        <w:t xml:space="preserve">ravilnika o uvjetima za izbor u znanstvena zvanja, kojima se uređuje unutarnje osiguravanje i unaprjeđivanje kvalitete visokih učilišta i znanstvenih instituta, vanjsko vrednovanje kvalitete visokih učilišta </w:t>
      </w:r>
      <w:r w:rsidRPr="00BD1B6F">
        <w:rPr>
          <w:rFonts w:eastAsia="Calibri"/>
          <w:kern w:val="2"/>
          <w:sz w:val="24"/>
          <w:szCs w:val="24"/>
        </w:rPr>
        <w:lastRenderedPageBreak/>
        <w:t>i znanstvenih instituta</w:t>
      </w:r>
      <w:r>
        <w:rPr>
          <w:rFonts w:eastAsia="Calibri"/>
          <w:kern w:val="2"/>
          <w:sz w:val="24"/>
          <w:szCs w:val="24"/>
        </w:rPr>
        <w:t>,</w:t>
      </w:r>
      <w:r w:rsidRPr="00BD1B6F">
        <w:rPr>
          <w:rFonts w:eastAsia="Calibri"/>
          <w:kern w:val="2"/>
          <w:sz w:val="24"/>
          <w:szCs w:val="24"/>
        </w:rPr>
        <w:t xml:space="preserve"> te ustrojstvo i ovlasti Agencije za znanost i visoko obrazovanje. Novi zakonodavni okvir omogućuje moderniji i fleksibilniji sustav napredovanja za istraživače koji potiče unutarnju i vanjsku mobilnost istraživača, razvoj karijera istraživača u poduzetništvu te ujedno predstavlja i regulatorni okvir za provedbu novih programa financiranja utvrđenih u okviru NPOO-a.</w:t>
      </w:r>
    </w:p>
    <w:p w14:paraId="530ADFDB" w14:textId="3B569F93" w:rsidR="007B61D1" w:rsidRPr="00BD1B6F" w:rsidRDefault="002F3368" w:rsidP="001C078B">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U okviru strateškog projekta „Znanstveno i tehnologijsko predviđanje“ nastavljen je razvoj Informacijskog sustava o hrvatskoj znanstvenoj djelatnosti - CroRIS. CroRIS će biti središnje mjesto koje će osiguravati sveobuhvatne, cjelovite i pouzdane informacije o svim elementima sustava znanosti u Hrvatskoj i djelovati kao spona za povezivanje sustava znanosti s gospodarstvom i promoviranje otvorene znanosti. </w:t>
      </w:r>
      <w:r w:rsidR="007B61D1" w:rsidRPr="00BD1B6F">
        <w:rPr>
          <w:rFonts w:eastAsia="Calibri"/>
          <w:kern w:val="2"/>
          <w:sz w:val="24"/>
          <w:szCs w:val="24"/>
        </w:rPr>
        <w:t xml:space="preserve"> </w:t>
      </w:r>
    </w:p>
    <w:p w14:paraId="0926A39E" w14:textId="77777777" w:rsidR="00463708" w:rsidRPr="00BD1B6F" w:rsidRDefault="00463708" w:rsidP="00463708">
      <w:pPr>
        <w:widowControl/>
        <w:autoSpaceDE/>
        <w:autoSpaceDN/>
        <w:spacing w:before="240" w:line="276" w:lineRule="auto"/>
        <w:ind w:firstLine="720"/>
        <w:jc w:val="both"/>
        <w:rPr>
          <w:rFonts w:eastAsia="Calibri"/>
          <w:b/>
          <w:bCs/>
          <w:kern w:val="2"/>
          <w:sz w:val="24"/>
          <w:szCs w:val="24"/>
        </w:rPr>
      </w:pPr>
      <w:r w:rsidRPr="00BD1B6F">
        <w:rPr>
          <w:rFonts w:eastAsia="Calibri"/>
          <w:b/>
          <w:bCs/>
          <w:kern w:val="2"/>
          <w:sz w:val="24"/>
          <w:szCs w:val="24"/>
        </w:rPr>
        <w:t>Razvoj održivog, inovativnog i otpornog turizma</w:t>
      </w:r>
    </w:p>
    <w:p w14:paraId="2A5FA5E3" w14:textId="77777777" w:rsidR="00463708" w:rsidRPr="00BD1B6F" w:rsidRDefault="00463708" w:rsidP="00463708">
      <w:pPr>
        <w:widowControl/>
        <w:autoSpaceDE/>
        <w:autoSpaceDN/>
        <w:spacing w:before="240" w:line="276" w:lineRule="auto"/>
        <w:jc w:val="both"/>
        <w:rPr>
          <w:rFonts w:eastAsia="Calibri"/>
          <w:kern w:val="2"/>
          <w:sz w:val="24"/>
          <w:szCs w:val="24"/>
        </w:rPr>
      </w:pPr>
      <w:r>
        <w:rPr>
          <w:rFonts w:eastAsia="Calibri"/>
          <w:kern w:val="2"/>
          <w:sz w:val="24"/>
          <w:szCs w:val="24"/>
        </w:rPr>
        <w:t xml:space="preserve">Turizam ima vrlo važnu ulogu u nacionalnom gospodarstvu te uvelike doprinosi njegovoj konkurentnosti. </w:t>
      </w:r>
      <w:r w:rsidRPr="00BD1B6F">
        <w:rPr>
          <w:rFonts w:eastAsia="Calibri"/>
          <w:kern w:val="2"/>
          <w:sz w:val="24"/>
          <w:szCs w:val="24"/>
        </w:rPr>
        <w:t xml:space="preserve">Za hrvatski turizam 2022. je bila izuzetno uspješna godina. U razdoblju od 1. siječnja do 31. prosinca 2022. zabilježeno je ukupno </w:t>
      </w:r>
      <w:r w:rsidRPr="008115FB">
        <w:rPr>
          <w:rFonts w:eastAsia="Calibri"/>
          <w:kern w:val="2"/>
          <w:sz w:val="24"/>
          <w:szCs w:val="24"/>
        </w:rPr>
        <w:t>17,8</w:t>
      </w:r>
      <w:r w:rsidRPr="00BD1B6F">
        <w:rPr>
          <w:rFonts w:eastAsia="Calibri"/>
          <w:kern w:val="2"/>
          <w:sz w:val="24"/>
          <w:szCs w:val="24"/>
        </w:rPr>
        <w:t xml:space="preserve"> milijuna dolazaka i </w:t>
      </w:r>
      <w:r w:rsidRPr="008115FB">
        <w:rPr>
          <w:rFonts w:eastAsia="Calibri"/>
          <w:kern w:val="2"/>
          <w:sz w:val="24"/>
          <w:szCs w:val="24"/>
        </w:rPr>
        <w:t>90</w:t>
      </w:r>
      <w:r w:rsidRPr="00BD1B6F">
        <w:rPr>
          <w:rFonts w:eastAsia="Calibri"/>
          <w:kern w:val="2"/>
          <w:sz w:val="24"/>
          <w:szCs w:val="24"/>
        </w:rPr>
        <w:t xml:space="preserve"> milijuna noćenja, odnosno 39,1% više dolazaka i 2</w:t>
      </w:r>
      <w:r w:rsidRPr="008115FB">
        <w:rPr>
          <w:rFonts w:eastAsia="Calibri"/>
          <w:kern w:val="2"/>
          <w:sz w:val="24"/>
          <w:szCs w:val="24"/>
        </w:rPr>
        <w:t>8,3</w:t>
      </w:r>
      <w:r w:rsidRPr="00BD1B6F">
        <w:rPr>
          <w:rFonts w:eastAsia="Calibri"/>
          <w:kern w:val="2"/>
          <w:sz w:val="24"/>
          <w:szCs w:val="24"/>
        </w:rPr>
        <w:t>% više noćenja u odnosu na rezultate ostvarene u 2021.</w:t>
      </w:r>
      <w:r w:rsidRPr="008115FB">
        <w:rPr>
          <w:rFonts w:eastAsia="Calibri"/>
          <w:kern w:val="2"/>
          <w:sz w:val="24"/>
          <w:szCs w:val="24"/>
        </w:rPr>
        <w:t xml:space="preserve"> </w:t>
      </w:r>
      <w:r w:rsidRPr="00BD1B6F">
        <w:rPr>
          <w:rFonts w:eastAsia="Calibri"/>
          <w:kern w:val="2"/>
          <w:sz w:val="24"/>
          <w:szCs w:val="24"/>
        </w:rPr>
        <w:t xml:space="preserve">Također, ostvareni su rekordni rezultati u prihodima od stranih turista koji su iznosili 13,1 milijardu eura, što je rast od 44% u odnosu na prihode u 2021. i za 24% više nego u dosad rekordnoj 2019. Osim na godišnjoj razini, značajan rast prihoda ostvaren je i izvan ljetne sezone, gdje je zabilježen prosječan rast od 19% u odnosu na isto razdoblje dosad rekordne 2019. Prema podacima Porezne uprave, u djelatnostima pružanja smještaja te pripreme i usluživanja hrane i pića, ukupan fiskalizirani promet je u 2022. iznosio </w:t>
      </w:r>
      <w:r w:rsidRPr="008115FB">
        <w:rPr>
          <w:rFonts w:eastAsia="Calibri"/>
          <w:kern w:val="2"/>
          <w:sz w:val="24"/>
          <w:szCs w:val="24"/>
        </w:rPr>
        <w:t>više od 5</w:t>
      </w:r>
      <w:r w:rsidRPr="00BD1B6F">
        <w:rPr>
          <w:rFonts w:eastAsia="Calibri"/>
          <w:kern w:val="2"/>
          <w:sz w:val="24"/>
          <w:szCs w:val="24"/>
        </w:rPr>
        <w:t xml:space="preserve"> milijard</w:t>
      </w:r>
      <w:r w:rsidRPr="008115FB">
        <w:rPr>
          <w:rFonts w:eastAsia="Calibri"/>
          <w:kern w:val="2"/>
          <w:sz w:val="24"/>
          <w:szCs w:val="24"/>
        </w:rPr>
        <w:t>i</w:t>
      </w:r>
      <w:r w:rsidRPr="00BD1B6F">
        <w:rPr>
          <w:rFonts w:eastAsia="Calibri"/>
          <w:kern w:val="2"/>
          <w:sz w:val="24"/>
          <w:szCs w:val="24"/>
        </w:rPr>
        <w:t xml:space="preserve"> eura, uz porast od 5</w:t>
      </w:r>
      <w:r w:rsidRPr="008115FB">
        <w:rPr>
          <w:rFonts w:eastAsia="Calibri"/>
          <w:kern w:val="2"/>
          <w:sz w:val="24"/>
          <w:szCs w:val="24"/>
        </w:rPr>
        <w:t>1</w:t>
      </w:r>
      <w:r w:rsidRPr="00BD1B6F">
        <w:rPr>
          <w:rFonts w:eastAsia="Calibri"/>
          <w:kern w:val="2"/>
          <w:sz w:val="24"/>
          <w:szCs w:val="24"/>
        </w:rPr>
        <w:t>% u odnosu na promet ostvaren u 2021.</w:t>
      </w:r>
    </w:p>
    <w:p w14:paraId="326BC5DD" w14:textId="77777777" w:rsidR="00463708" w:rsidRPr="00BD1B6F" w:rsidRDefault="00463708" w:rsidP="00463708">
      <w:pPr>
        <w:widowControl/>
        <w:autoSpaceDE/>
        <w:autoSpaceDN/>
        <w:spacing w:before="240" w:line="276" w:lineRule="auto"/>
        <w:jc w:val="both"/>
        <w:rPr>
          <w:rFonts w:eastAsia="Calibri"/>
          <w:kern w:val="2"/>
          <w:sz w:val="24"/>
          <w:szCs w:val="24"/>
        </w:rPr>
      </w:pPr>
      <w:r>
        <w:rPr>
          <w:rFonts w:eastAsia="Calibri"/>
          <w:kern w:val="2"/>
          <w:sz w:val="24"/>
          <w:szCs w:val="24"/>
        </w:rPr>
        <w:t>U kontekstu razvojnih potreba i potencijala, k</w:t>
      </w:r>
      <w:r w:rsidRPr="00BD1B6F">
        <w:rPr>
          <w:rFonts w:eastAsia="Calibri"/>
          <w:kern w:val="2"/>
          <w:sz w:val="24"/>
          <w:szCs w:val="24"/>
        </w:rPr>
        <w:t xml:space="preserve">ako bi uspostavio sveobuhvatan i učinkovit organizacijski i pravni okvir za upravljanje razvojem održivog turizma, u okviru NPOO-a </w:t>
      </w:r>
      <w:r>
        <w:rPr>
          <w:rFonts w:eastAsia="Calibri"/>
          <w:kern w:val="2"/>
          <w:sz w:val="24"/>
          <w:szCs w:val="24"/>
        </w:rPr>
        <w:t xml:space="preserve">pokrenuta je </w:t>
      </w:r>
      <w:r w:rsidRPr="00BD1B6F">
        <w:rPr>
          <w:rFonts w:eastAsia="Calibri"/>
          <w:kern w:val="2"/>
          <w:sz w:val="24"/>
          <w:szCs w:val="24"/>
        </w:rPr>
        <w:t>provedba reforme C1.6. R1 „Povećanje otpornosti i održivosti turističkog sektora“. Reformom je predviđena provedba niza investicija u sektoru turizma za koje su osigurana sredstva u iznosu od ukupno 290 milijuna eura. Od provedenih aktivnosti u okviru reforme, donesena je Strategija održivog razvoja turizma do 2030. godine te je u tijeku izrada Nacionalnog plana razvoja održivog turizma do 2027. godine kojim će se operacionalizirati provedba ciljeva i prioriteta utvrđenih Strategijom. Pokrenute su aktivnosti na razvoju Satelitskog računa održivog turizma Hrvatske, u okviru kojih je izrađena Studija izvedivosti uspostavljanja Sustava satelitskih računa održivog turizma Republike Hrvatske, s pripadajućim akcijskim planom. Također, pokrenute su aktivnosti na izradi novog Zakona o turizmu koji je u</w:t>
      </w:r>
      <w:r w:rsidRPr="00BD1B6F">
        <w:rPr>
          <w:rFonts w:eastAsia="Calibri"/>
          <w:kern w:val="2"/>
          <w:sz w:val="24"/>
          <w:szCs w:val="24"/>
        </w:rPr>
        <w:lastRenderedPageBreak/>
        <w:t xml:space="preserve">vršten u Plan zakonodavnih aktivnosti za 2023. Novim </w:t>
      </w:r>
      <w:r>
        <w:rPr>
          <w:rFonts w:eastAsia="Calibri"/>
          <w:kern w:val="2"/>
          <w:sz w:val="24"/>
          <w:szCs w:val="24"/>
        </w:rPr>
        <w:t>z</w:t>
      </w:r>
      <w:r w:rsidRPr="00BD1B6F">
        <w:rPr>
          <w:rFonts w:eastAsia="Calibri"/>
          <w:kern w:val="2"/>
          <w:sz w:val="24"/>
          <w:szCs w:val="24"/>
        </w:rPr>
        <w:t>akonom će se usmjeriti ulaganja poduzetnika u turizmu u zelenu i održivu gradnju, energetsku učinkovitost i korištenje obnovljivih izvora energije te širu primjenu modela kružnog gospodarstva.</w:t>
      </w:r>
    </w:p>
    <w:p w14:paraId="6B92854D" w14:textId="77777777" w:rsidR="00463708" w:rsidRPr="00BD1B6F" w:rsidRDefault="00463708" w:rsidP="00463708">
      <w:pPr>
        <w:widowControl/>
        <w:autoSpaceDE/>
        <w:autoSpaceDN/>
        <w:spacing w:before="240" w:after="240" w:line="276" w:lineRule="auto"/>
        <w:jc w:val="both"/>
        <w:rPr>
          <w:rFonts w:eastAsia="Calibri"/>
          <w:kern w:val="2"/>
          <w:sz w:val="24"/>
          <w:szCs w:val="24"/>
        </w:rPr>
      </w:pPr>
      <w:r w:rsidRPr="00BD1B6F">
        <w:rPr>
          <w:rFonts w:eastAsia="Calibri"/>
          <w:kern w:val="2"/>
          <w:sz w:val="24"/>
          <w:szCs w:val="24"/>
        </w:rPr>
        <w:t xml:space="preserve">Radi podrške ulaganjima u zelenu i digitalnu tranziciju te poticanja razvoja održivih oblika turizma, u okviru NPOO-a objavljena </w:t>
      </w:r>
      <w:r>
        <w:rPr>
          <w:rFonts w:eastAsia="Calibri"/>
          <w:kern w:val="2"/>
          <w:sz w:val="24"/>
          <w:szCs w:val="24"/>
        </w:rPr>
        <w:t>su 2</w:t>
      </w:r>
      <w:r w:rsidRPr="00BD1B6F">
        <w:rPr>
          <w:rFonts w:eastAsia="Calibri"/>
          <w:kern w:val="2"/>
          <w:sz w:val="24"/>
          <w:szCs w:val="24"/>
        </w:rPr>
        <w:t xml:space="preserve"> javna poziva </w:t>
      </w:r>
      <w:r>
        <w:rPr>
          <w:rFonts w:eastAsia="Calibri"/>
          <w:kern w:val="2"/>
          <w:sz w:val="24"/>
          <w:szCs w:val="24"/>
        </w:rPr>
        <w:t>n</w:t>
      </w:r>
      <w:r w:rsidRPr="00BD1B6F">
        <w:rPr>
          <w:rFonts w:eastAsia="Calibri"/>
          <w:kern w:val="2"/>
          <w:sz w:val="24"/>
          <w:szCs w:val="24"/>
        </w:rPr>
        <w:t xml:space="preserve">a dostavu projektnih prijedloga za dodjelu bespovratnih sredstava. U okviru </w:t>
      </w:r>
      <w:r>
        <w:rPr>
          <w:rFonts w:eastAsia="Calibri"/>
          <w:kern w:val="2"/>
          <w:sz w:val="24"/>
          <w:szCs w:val="24"/>
        </w:rPr>
        <w:t>j</w:t>
      </w:r>
      <w:r w:rsidRPr="00BD1B6F">
        <w:rPr>
          <w:rFonts w:eastAsia="Calibri"/>
          <w:kern w:val="2"/>
          <w:sz w:val="24"/>
          <w:szCs w:val="24"/>
        </w:rPr>
        <w:t xml:space="preserve">avnog poziva „Regionalna diversifikacija i specijalizacija hrvatskog turizma kroz ulaganja u razvoj turističkih proizvoda visoke dodane vrijednosti“, ukupno je planirano 123 milijuna eura bespovratnih sredstava za provedbu projekata razvoja javne turističke infrastrukture. U okviru </w:t>
      </w:r>
      <w:r>
        <w:rPr>
          <w:rFonts w:eastAsia="Calibri"/>
          <w:kern w:val="2"/>
          <w:sz w:val="24"/>
          <w:szCs w:val="24"/>
        </w:rPr>
        <w:t>j</w:t>
      </w:r>
      <w:r w:rsidRPr="00BD1B6F">
        <w:rPr>
          <w:rFonts w:eastAsia="Calibri"/>
          <w:kern w:val="2"/>
          <w:sz w:val="24"/>
          <w:szCs w:val="24"/>
        </w:rPr>
        <w:t>avnog poziva „Jačanje održivosti te poticanje zelene i digitalne tranzicije poduzetnika u sektoru turizma“</w:t>
      </w:r>
      <w:r w:rsidRPr="00BD1B6F">
        <w:rPr>
          <w:rFonts w:eastAsia="Calibri"/>
          <w:i/>
          <w:iCs/>
          <w:kern w:val="2"/>
          <w:sz w:val="24"/>
          <w:szCs w:val="24"/>
        </w:rPr>
        <w:t>,</w:t>
      </w:r>
      <w:r w:rsidRPr="00BD1B6F">
        <w:rPr>
          <w:rFonts w:eastAsia="Calibri"/>
          <w:kern w:val="2"/>
          <w:sz w:val="24"/>
          <w:szCs w:val="24"/>
        </w:rPr>
        <w:t xml:space="preserve"> ukupno je planirano 166 milijuna eura bespovratnih sredstava za provedbu projekata zelene i digitalne tranzicije poduzeća u turističkom sektoru. </w:t>
      </w:r>
    </w:p>
    <w:p w14:paraId="6F10C8E4" w14:textId="77777777" w:rsidR="00463708" w:rsidRDefault="00463708" w:rsidP="00463708">
      <w:pPr>
        <w:widowControl/>
        <w:autoSpaceDE/>
        <w:autoSpaceDN/>
        <w:spacing w:line="276" w:lineRule="auto"/>
        <w:ind w:right="259"/>
        <w:jc w:val="both"/>
        <w:rPr>
          <w:rFonts w:eastAsia="Calibri"/>
          <w:kern w:val="2"/>
          <w:sz w:val="24"/>
          <w:szCs w:val="24"/>
        </w:rPr>
      </w:pPr>
      <w:r w:rsidRPr="00DF7B91">
        <w:rPr>
          <w:sz w:val="24"/>
          <w:szCs w:val="24"/>
        </w:rPr>
        <w:t>U 2022.</w:t>
      </w:r>
      <w:r w:rsidRPr="00463708">
        <w:rPr>
          <w:sz w:val="24"/>
          <w:szCs w:val="24"/>
        </w:rPr>
        <w:t xml:space="preserve"> pokrenute</w:t>
      </w:r>
      <w:r>
        <w:rPr>
          <w:sz w:val="24"/>
          <w:szCs w:val="24"/>
        </w:rPr>
        <w:t xml:space="preserve"> su aktivnosti na provedbi</w:t>
      </w:r>
      <w:r w:rsidRPr="00907E81">
        <w:rPr>
          <w:sz w:val="24"/>
          <w:szCs w:val="24"/>
        </w:rPr>
        <w:t xml:space="preserve"> </w:t>
      </w:r>
      <w:r>
        <w:rPr>
          <w:sz w:val="24"/>
          <w:szCs w:val="24"/>
        </w:rPr>
        <w:t>NPOO</w:t>
      </w:r>
      <w:r w:rsidRPr="00907E81">
        <w:rPr>
          <w:sz w:val="24"/>
          <w:szCs w:val="24"/>
        </w:rPr>
        <w:t xml:space="preserve"> reform</w:t>
      </w:r>
      <w:r>
        <w:rPr>
          <w:sz w:val="24"/>
          <w:szCs w:val="24"/>
        </w:rPr>
        <w:t>e</w:t>
      </w:r>
      <w:r w:rsidRPr="00907E81">
        <w:rPr>
          <w:sz w:val="24"/>
          <w:szCs w:val="24"/>
        </w:rPr>
        <w:t xml:space="preserve"> (C 1.6) pod nazivom „Razvoj održivog, inovativnog i otpornog turizma”. U okviru reforme</w:t>
      </w:r>
      <w:r>
        <w:rPr>
          <w:sz w:val="24"/>
          <w:szCs w:val="24"/>
        </w:rPr>
        <w:t>,</w:t>
      </w:r>
      <w:r w:rsidRPr="00907E81">
        <w:rPr>
          <w:sz w:val="24"/>
          <w:szCs w:val="24"/>
        </w:rPr>
        <w:t xml:space="preserve"> tripartitnim „ Sporazumom o partnerstvu u provedbi aktivnosti u okviru reforme predviđene Nacionalnim planom oporavka i otpornosti” između Ministarstva turizma i sporta, Ministarstva znanosti i obrazovanja te Instituta za turizam</w:t>
      </w:r>
      <w:r>
        <w:rPr>
          <w:sz w:val="24"/>
          <w:szCs w:val="24"/>
        </w:rPr>
        <w:t>,</w:t>
      </w:r>
      <w:r w:rsidRPr="00907E81">
        <w:rPr>
          <w:sz w:val="24"/>
          <w:szCs w:val="24"/>
        </w:rPr>
        <w:t xml:space="preserve"> </w:t>
      </w:r>
      <w:r>
        <w:rPr>
          <w:sz w:val="24"/>
          <w:szCs w:val="24"/>
        </w:rPr>
        <w:t>u travnju</w:t>
      </w:r>
      <w:r w:rsidRPr="00907E81">
        <w:rPr>
          <w:sz w:val="24"/>
          <w:szCs w:val="24"/>
        </w:rPr>
        <w:t xml:space="preserve"> 2022.</w:t>
      </w:r>
      <w:r>
        <w:rPr>
          <w:sz w:val="24"/>
          <w:szCs w:val="24"/>
        </w:rPr>
        <w:t xml:space="preserve"> pokrenuta</w:t>
      </w:r>
      <w:r w:rsidRPr="00907E81">
        <w:rPr>
          <w:sz w:val="24"/>
          <w:szCs w:val="24"/>
        </w:rPr>
        <w:t xml:space="preserve"> </w:t>
      </w:r>
      <w:r>
        <w:rPr>
          <w:sz w:val="24"/>
          <w:szCs w:val="24"/>
        </w:rPr>
        <w:t xml:space="preserve">je </w:t>
      </w:r>
      <w:r w:rsidRPr="00907E81">
        <w:rPr>
          <w:sz w:val="24"/>
          <w:szCs w:val="24"/>
        </w:rPr>
        <w:t>izrada i uspostava Sustava satelitskih računa održivog turizma Republike Hrvatske za 2022. godinu (Sustav SAT-ROT RH)</w:t>
      </w:r>
      <w:r>
        <w:rPr>
          <w:sz w:val="24"/>
          <w:szCs w:val="24"/>
        </w:rPr>
        <w:t>. Sustav</w:t>
      </w:r>
      <w:r w:rsidRPr="00907E81">
        <w:rPr>
          <w:sz w:val="24"/>
          <w:szCs w:val="24"/>
        </w:rPr>
        <w:t xml:space="preserve"> će postati alat za upravljanje javnim politikama </w:t>
      </w:r>
      <w:r>
        <w:rPr>
          <w:sz w:val="24"/>
          <w:szCs w:val="24"/>
        </w:rPr>
        <w:t>za razvoj održivog turizma u Hrvatskoj, a k</w:t>
      </w:r>
      <w:r w:rsidRPr="00907E81">
        <w:rPr>
          <w:sz w:val="24"/>
          <w:szCs w:val="24"/>
        </w:rPr>
        <w:t xml:space="preserve">rajnji cilj </w:t>
      </w:r>
      <w:r>
        <w:rPr>
          <w:sz w:val="24"/>
          <w:szCs w:val="24"/>
        </w:rPr>
        <w:t>njegove izrade</w:t>
      </w:r>
      <w:r w:rsidRPr="00907E81">
        <w:rPr>
          <w:sz w:val="24"/>
          <w:szCs w:val="24"/>
        </w:rPr>
        <w:t xml:space="preserve"> je trajno uspostaviti tokove podataka, metodologije za njihovu </w:t>
      </w:r>
      <w:r>
        <w:rPr>
          <w:sz w:val="24"/>
          <w:szCs w:val="24"/>
        </w:rPr>
        <w:t>provjeru</w:t>
      </w:r>
      <w:r w:rsidRPr="00907E81">
        <w:rPr>
          <w:sz w:val="24"/>
          <w:szCs w:val="24"/>
        </w:rPr>
        <w:t xml:space="preserve"> i obradu te </w:t>
      </w:r>
      <w:r>
        <w:rPr>
          <w:sz w:val="24"/>
          <w:szCs w:val="24"/>
        </w:rPr>
        <w:t xml:space="preserve">omogućiti izvješćivanje i </w:t>
      </w:r>
      <w:r w:rsidRPr="00907E81">
        <w:rPr>
          <w:sz w:val="24"/>
          <w:szCs w:val="24"/>
        </w:rPr>
        <w:t xml:space="preserve">prikaz </w:t>
      </w:r>
      <w:r>
        <w:rPr>
          <w:sz w:val="24"/>
          <w:szCs w:val="24"/>
        </w:rPr>
        <w:t>podataka</w:t>
      </w:r>
      <w:r w:rsidRPr="00907E81">
        <w:rPr>
          <w:sz w:val="24"/>
          <w:szCs w:val="24"/>
        </w:rPr>
        <w:t xml:space="preserve"> javnosti, kao i osigurati integriranu organizacijsku i međuinstitucionalnu suradnju </w:t>
      </w:r>
      <w:r>
        <w:rPr>
          <w:sz w:val="24"/>
          <w:szCs w:val="24"/>
        </w:rPr>
        <w:t>za</w:t>
      </w:r>
      <w:r w:rsidRPr="00907E81">
        <w:rPr>
          <w:sz w:val="24"/>
          <w:szCs w:val="24"/>
        </w:rPr>
        <w:t xml:space="preserve"> dugoročn</w:t>
      </w:r>
      <w:r>
        <w:rPr>
          <w:sz w:val="24"/>
          <w:szCs w:val="24"/>
        </w:rPr>
        <w:t>u</w:t>
      </w:r>
      <w:r w:rsidRPr="00907E81">
        <w:rPr>
          <w:sz w:val="24"/>
          <w:szCs w:val="24"/>
        </w:rPr>
        <w:t xml:space="preserve"> održiv</w:t>
      </w:r>
      <w:r>
        <w:rPr>
          <w:sz w:val="24"/>
          <w:szCs w:val="24"/>
        </w:rPr>
        <w:t>ost Sustava</w:t>
      </w:r>
      <w:r w:rsidRPr="00907E81">
        <w:rPr>
          <w:sz w:val="24"/>
          <w:szCs w:val="24"/>
        </w:rPr>
        <w:t xml:space="preserve">. </w:t>
      </w:r>
    </w:p>
    <w:p w14:paraId="71F7BEA6" w14:textId="77777777" w:rsidR="00463708" w:rsidRPr="00BD1B6F" w:rsidRDefault="00463708" w:rsidP="00463708">
      <w:pPr>
        <w:spacing w:before="240" w:after="240" w:line="276" w:lineRule="auto"/>
        <w:jc w:val="both"/>
        <w:rPr>
          <w:rFonts w:eastAsia="Calibri"/>
          <w:kern w:val="2"/>
          <w:sz w:val="24"/>
          <w:szCs w:val="24"/>
        </w:rPr>
      </w:pPr>
      <w:r w:rsidRPr="00BD1B6F">
        <w:rPr>
          <w:rFonts w:eastAsia="Calibri"/>
          <w:kern w:val="2"/>
          <w:sz w:val="24"/>
          <w:szCs w:val="24"/>
        </w:rPr>
        <w:t xml:space="preserve">Nastavljena je provedba </w:t>
      </w:r>
      <w:r>
        <w:rPr>
          <w:rFonts w:eastAsia="Calibri"/>
          <w:kern w:val="2"/>
          <w:sz w:val="24"/>
          <w:szCs w:val="24"/>
        </w:rPr>
        <w:t>p</w:t>
      </w:r>
      <w:r w:rsidRPr="00BD1B6F">
        <w:rPr>
          <w:rFonts w:eastAsia="Calibri"/>
          <w:kern w:val="2"/>
          <w:sz w:val="24"/>
          <w:szCs w:val="24"/>
        </w:rPr>
        <w:t xml:space="preserve">rojekata regionalnih centara kompetentnosti u sektoru turizma i ugostiteljstva, aktivnostima na razvoju i provedbi novih formalnih srednjoškolskih obrazovnih programa te novih formalnih i neformalnih programa u obrazovanju i osposobljavanju odraslih za rad </w:t>
      </w:r>
      <w:r>
        <w:rPr>
          <w:rFonts w:eastAsia="Calibri"/>
          <w:kern w:val="2"/>
          <w:sz w:val="24"/>
          <w:szCs w:val="24"/>
        </w:rPr>
        <w:t xml:space="preserve">u </w:t>
      </w:r>
      <w:r w:rsidRPr="00BD1B6F">
        <w:rPr>
          <w:rFonts w:eastAsia="Calibri"/>
          <w:kern w:val="2"/>
          <w:sz w:val="24"/>
          <w:szCs w:val="24"/>
        </w:rPr>
        <w:t xml:space="preserve">sektoru turizma i ugostiteljstva. Projekte provodi 6 regionalnih centara kompetentnosti u okviru </w:t>
      </w:r>
      <w:r>
        <w:rPr>
          <w:rFonts w:eastAsia="Calibri"/>
          <w:kern w:val="2"/>
          <w:sz w:val="24"/>
          <w:szCs w:val="24"/>
        </w:rPr>
        <w:t>p</w:t>
      </w:r>
      <w:r w:rsidRPr="00BD1B6F">
        <w:rPr>
          <w:rFonts w:eastAsia="Calibri"/>
          <w:kern w:val="2"/>
          <w:sz w:val="24"/>
          <w:szCs w:val="24"/>
        </w:rPr>
        <w:t xml:space="preserve">oziva „Projekti regionalnih centara kompetentnosti u sektoru turizma i ugostiteljstva“ ukupne vrijednosti 51,53 milijuna eura bespovratnih sredstava iz </w:t>
      </w:r>
      <w:r w:rsidRPr="006056DF">
        <w:rPr>
          <w:rFonts w:eastAsia="Calibri"/>
          <w:color w:val="000000"/>
          <w:sz w:val="24"/>
          <w:szCs w:val="24"/>
        </w:rPr>
        <w:t>Operativn</w:t>
      </w:r>
      <w:r>
        <w:rPr>
          <w:rFonts w:eastAsia="Calibri"/>
          <w:color w:val="000000"/>
          <w:sz w:val="24"/>
          <w:szCs w:val="24"/>
        </w:rPr>
        <w:t xml:space="preserve">og </w:t>
      </w:r>
      <w:r w:rsidRPr="006056DF">
        <w:rPr>
          <w:rFonts w:eastAsia="Calibri"/>
          <w:color w:val="000000"/>
          <w:sz w:val="24"/>
          <w:szCs w:val="24"/>
        </w:rPr>
        <w:t>program</w:t>
      </w:r>
      <w:r>
        <w:rPr>
          <w:rFonts w:eastAsia="Calibri"/>
          <w:color w:val="000000"/>
          <w:sz w:val="24"/>
          <w:szCs w:val="24"/>
        </w:rPr>
        <w:t>a</w:t>
      </w:r>
      <w:r w:rsidRPr="006056DF">
        <w:rPr>
          <w:rFonts w:eastAsia="Calibri"/>
          <w:color w:val="000000"/>
          <w:sz w:val="24"/>
          <w:szCs w:val="24"/>
        </w:rPr>
        <w:t xml:space="preserve"> </w:t>
      </w:r>
      <w:r w:rsidRPr="006056DF">
        <w:rPr>
          <w:color w:val="000000"/>
          <w:sz w:val="24"/>
          <w:szCs w:val="24"/>
        </w:rPr>
        <w:t>„Učinkoviti</w:t>
      </w:r>
      <w:r w:rsidRPr="006056DF">
        <w:rPr>
          <w:rFonts w:eastAsia="Calibri"/>
          <w:color w:val="000000"/>
          <w:sz w:val="24"/>
          <w:szCs w:val="24"/>
        </w:rPr>
        <w:t xml:space="preserve"> ljudski potencijali 2014.</w:t>
      </w:r>
      <w:r>
        <w:rPr>
          <w:rFonts w:eastAsia="Calibri"/>
          <w:color w:val="000000"/>
          <w:sz w:val="24"/>
          <w:szCs w:val="24"/>
        </w:rPr>
        <w:t xml:space="preserve"> </w:t>
      </w:r>
      <w:r w:rsidRPr="006056DF">
        <w:rPr>
          <w:rFonts w:eastAsia="Calibri"/>
          <w:color w:val="000000"/>
          <w:sz w:val="24"/>
          <w:szCs w:val="24"/>
        </w:rPr>
        <w:t>-</w:t>
      </w:r>
      <w:r>
        <w:rPr>
          <w:rFonts w:eastAsia="Calibri"/>
          <w:color w:val="000000"/>
          <w:sz w:val="24"/>
          <w:szCs w:val="24"/>
        </w:rPr>
        <w:t xml:space="preserve"> </w:t>
      </w:r>
      <w:r w:rsidRPr="006056DF">
        <w:rPr>
          <w:rFonts w:eastAsia="Calibri"/>
          <w:color w:val="000000"/>
          <w:sz w:val="24"/>
          <w:szCs w:val="24"/>
        </w:rPr>
        <w:t>2020</w:t>
      </w:r>
      <w:r w:rsidRPr="006056DF">
        <w:rPr>
          <w:color w:val="000000"/>
          <w:sz w:val="24"/>
          <w:szCs w:val="24"/>
        </w:rPr>
        <w:t>.“</w:t>
      </w:r>
      <w:r>
        <w:rPr>
          <w:rFonts w:eastAsia="Calibri"/>
          <w:color w:val="000000"/>
          <w:sz w:val="24"/>
          <w:szCs w:val="24"/>
        </w:rPr>
        <w:t xml:space="preserve"> (u daljnjem tekstu: </w:t>
      </w:r>
      <w:r>
        <w:rPr>
          <w:rFonts w:eastAsia="Calibri"/>
          <w:kern w:val="2"/>
          <w:sz w:val="24"/>
          <w:szCs w:val="24"/>
        </w:rPr>
        <w:t>OPULJP-a</w:t>
      </w:r>
      <w:r w:rsidRPr="00C376E4" w:rsidDel="007D7535">
        <w:rPr>
          <w:rFonts w:eastAsia="Calibri"/>
          <w:color w:val="FF0000"/>
          <w:kern w:val="2"/>
          <w:sz w:val="24"/>
          <w:szCs w:val="24"/>
        </w:rPr>
        <w:t xml:space="preserve"> </w:t>
      </w:r>
      <w:r w:rsidDel="007D7535">
        <w:rPr>
          <w:rFonts w:eastAsia="Calibri"/>
          <w:kern w:val="2"/>
          <w:sz w:val="24"/>
          <w:szCs w:val="24"/>
        </w:rPr>
        <w:t>2014.</w:t>
      </w:r>
      <w:r>
        <w:rPr>
          <w:rFonts w:eastAsia="Calibri"/>
          <w:kern w:val="2"/>
          <w:sz w:val="24"/>
          <w:szCs w:val="24"/>
        </w:rPr>
        <w:t xml:space="preserve"> </w:t>
      </w:r>
      <w:r w:rsidDel="007D7535">
        <w:rPr>
          <w:rFonts w:eastAsia="Calibri"/>
          <w:kern w:val="2"/>
          <w:sz w:val="24"/>
          <w:szCs w:val="24"/>
        </w:rPr>
        <w:t>-</w:t>
      </w:r>
      <w:r>
        <w:rPr>
          <w:rFonts w:eastAsia="Calibri"/>
          <w:kern w:val="2"/>
          <w:sz w:val="24"/>
          <w:szCs w:val="24"/>
        </w:rPr>
        <w:t xml:space="preserve"> </w:t>
      </w:r>
      <w:r w:rsidDel="007D7535">
        <w:rPr>
          <w:rFonts w:eastAsia="Calibri"/>
          <w:kern w:val="2"/>
          <w:sz w:val="24"/>
          <w:szCs w:val="24"/>
        </w:rPr>
        <w:t>2020</w:t>
      </w:r>
      <w:r w:rsidRPr="00DE3832">
        <w:rPr>
          <w:rFonts w:eastAsia="Calibri"/>
          <w:kern w:val="2"/>
          <w:sz w:val="24"/>
          <w:szCs w:val="24"/>
        </w:rPr>
        <w:t xml:space="preserve">.). </w:t>
      </w:r>
      <w:r>
        <w:rPr>
          <w:rFonts w:eastAsia="Calibri"/>
          <w:kern w:val="2"/>
          <w:sz w:val="24"/>
          <w:szCs w:val="24"/>
        </w:rPr>
        <w:t>U</w:t>
      </w:r>
      <w:r w:rsidRPr="00BD1B6F">
        <w:rPr>
          <w:rFonts w:eastAsia="Calibri"/>
          <w:kern w:val="2"/>
          <w:sz w:val="24"/>
          <w:szCs w:val="24"/>
        </w:rPr>
        <w:t xml:space="preserve"> okviru projektnih aktivnosti regionalnih centara kompetentnosti, razvijen je ukupno 41 obrazovni program u čiju je provedbu </w:t>
      </w:r>
      <w:r w:rsidRPr="008115FB">
        <w:rPr>
          <w:rFonts w:eastAsia="Calibri"/>
          <w:kern w:val="2"/>
          <w:sz w:val="24"/>
          <w:szCs w:val="24"/>
        </w:rPr>
        <w:t xml:space="preserve">od početka provedbe (2020.) </w:t>
      </w:r>
      <w:r w:rsidRPr="00BD1B6F">
        <w:rPr>
          <w:rFonts w:eastAsia="Calibri"/>
          <w:kern w:val="2"/>
          <w:sz w:val="24"/>
          <w:szCs w:val="24"/>
        </w:rPr>
        <w:t xml:space="preserve">izravno bilo uključeno </w:t>
      </w:r>
      <w:r w:rsidRPr="008115FB">
        <w:rPr>
          <w:rFonts w:eastAsia="Calibri"/>
          <w:kern w:val="2"/>
          <w:sz w:val="24"/>
          <w:szCs w:val="24"/>
        </w:rPr>
        <w:t>822</w:t>
      </w:r>
      <w:r w:rsidRPr="00BD1B6F">
        <w:rPr>
          <w:rFonts w:eastAsia="Calibri"/>
          <w:kern w:val="2"/>
          <w:sz w:val="24"/>
          <w:szCs w:val="24"/>
        </w:rPr>
        <w:t xml:space="preserve"> nastavnika i </w:t>
      </w:r>
      <w:r>
        <w:rPr>
          <w:rFonts w:eastAsia="Calibri"/>
          <w:kern w:val="2"/>
          <w:sz w:val="24"/>
          <w:szCs w:val="24"/>
        </w:rPr>
        <w:t>3.244</w:t>
      </w:r>
      <w:r w:rsidRPr="00BD1B6F">
        <w:rPr>
          <w:rFonts w:eastAsia="Calibri"/>
          <w:kern w:val="2"/>
          <w:sz w:val="24"/>
          <w:szCs w:val="24"/>
        </w:rPr>
        <w:t xml:space="preserve"> polaznika (učenika i odraslih). </w:t>
      </w:r>
      <w:r w:rsidRPr="008115FB">
        <w:rPr>
          <w:rFonts w:eastAsia="Calibri"/>
          <w:kern w:val="2"/>
          <w:sz w:val="24"/>
          <w:szCs w:val="24"/>
        </w:rPr>
        <w:t xml:space="preserve">Tijekom 2022. u provedbu aktivnosti </w:t>
      </w:r>
      <w:r w:rsidRPr="008115FB">
        <w:rPr>
          <w:rFonts w:eastAsia="Calibri"/>
          <w:kern w:val="2"/>
          <w:sz w:val="24"/>
          <w:szCs w:val="24"/>
        </w:rPr>
        <w:lastRenderedPageBreak/>
        <w:t>bilo je uključeno 426 nastavnika</w:t>
      </w:r>
      <w:r>
        <w:rPr>
          <w:rFonts w:eastAsia="Calibri"/>
          <w:kern w:val="2"/>
          <w:sz w:val="24"/>
          <w:szCs w:val="24"/>
        </w:rPr>
        <w:t xml:space="preserve"> i </w:t>
      </w:r>
      <w:r w:rsidRPr="00112117">
        <w:rPr>
          <w:rFonts w:eastAsia="Calibri"/>
          <w:kern w:val="2"/>
          <w:sz w:val="24"/>
          <w:szCs w:val="24"/>
        </w:rPr>
        <w:t>2.301 polaznik</w:t>
      </w:r>
      <w:r w:rsidRPr="008115FB">
        <w:rPr>
          <w:rFonts w:eastAsia="Calibri"/>
          <w:kern w:val="2"/>
          <w:sz w:val="24"/>
          <w:szCs w:val="24"/>
        </w:rPr>
        <w:t xml:space="preserve">. </w:t>
      </w:r>
      <w:r w:rsidRPr="00BD1B6F">
        <w:rPr>
          <w:rFonts w:eastAsia="Calibri"/>
          <w:kern w:val="2"/>
          <w:sz w:val="24"/>
          <w:szCs w:val="24"/>
        </w:rPr>
        <w:t>Aktivnosti u okviru projekata regionalnih centara kompetentnosti u sektoru turizma i ugostiteljstva provodit</w:t>
      </w:r>
      <w:r>
        <w:rPr>
          <w:rFonts w:eastAsia="Calibri"/>
          <w:kern w:val="2"/>
          <w:sz w:val="24"/>
          <w:szCs w:val="24"/>
        </w:rPr>
        <w:t xml:space="preserve"> će se </w:t>
      </w:r>
      <w:r w:rsidRPr="00BD1B6F">
        <w:rPr>
          <w:rFonts w:eastAsia="Calibri"/>
          <w:kern w:val="2"/>
          <w:sz w:val="24"/>
          <w:szCs w:val="24"/>
        </w:rPr>
        <w:t xml:space="preserve">do kraja 2023.  </w:t>
      </w:r>
    </w:p>
    <w:p w14:paraId="4859CED4" w14:textId="77777777" w:rsidR="00463708" w:rsidRPr="00BD1B6F" w:rsidRDefault="00463708" w:rsidP="00463708">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U 2022. započela </w:t>
      </w:r>
      <w:r>
        <w:rPr>
          <w:rFonts w:eastAsia="Calibri"/>
          <w:kern w:val="2"/>
          <w:sz w:val="24"/>
          <w:szCs w:val="24"/>
        </w:rPr>
        <w:t xml:space="preserve">je </w:t>
      </w:r>
      <w:r w:rsidRPr="00BD1B6F">
        <w:rPr>
          <w:rFonts w:eastAsia="Calibri"/>
          <w:kern w:val="2"/>
          <w:sz w:val="24"/>
          <w:szCs w:val="24"/>
        </w:rPr>
        <w:t xml:space="preserve">provedba 14 projekata ugovorenih u okviru </w:t>
      </w:r>
      <w:r>
        <w:rPr>
          <w:rFonts w:eastAsia="Calibri"/>
          <w:kern w:val="2"/>
          <w:sz w:val="24"/>
          <w:szCs w:val="24"/>
        </w:rPr>
        <w:t>p</w:t>
      </w:r>
      <w:r w:rsidRPr="00BD1B6F">
        <w:rPr>
          <w:rFonts w:eastAsia="Calibri"/>
          <w:kern w:val="2"/>
          <w:sz w:val="24"/>
          <w:szCs w:val="24"/>
        </w:rPr>
        <w:t>oziva „Poboljšanje pristupa ranjivih skupina tržištu rada u sektoru turizma i ugostiteljstva</w:t>
      </w:r>
      <w:r w:rsidRPr="00BD1B6F">
        <w:rPr>
          <w:rFonts w:eastAsia="Calibri"/>
          <w:i/>
          <w:iCs/>
          <w:kern w:val="2"/>
          <w:sz w:val="24"/>
          <w:szCs w:val="24"/>
        </w:rPr>
        <w:t xml:space="preserve"> </w:t>
      </w:r>
      <w:r w:rsidRPr="00BD1B6F">
        <w:rPr>
          <w:rFonts w:eastAsia="Calibri"/>
          <w:kern w:val="2"/>
          <w:sz w:val="24"/>
          <w:szCs w:val="24"/>
        </w:rPr>
        <w:t>II“, ukupne vrijednosti 3,6</w:t>
      </w:r>
      <w:r w:rsidRPr="008115FB">
        <w:rPr>
          <w:rFonts w:eastAsia="Calibri"/>
          <w:kern w:val="2"/>
          <w:sz w:val="24"/>
          <w:szCs w:val="24"/>
        </w:rPr>
        <w:t>2</w:t>
      </w:r>
      <w:r w:rsidRPr="00BD1B6F">
        <w:rPr>
          <w:rFonts w:eastAsia="Calibri"/>
          <w:kern w:val="2"/>
          <w:sz w:val="24"/>
          <w:szCs w:val="24"/>
        </w:rPr>
        <w:t xml:space="preserve"> milijuna eura sredstava iz OPULJP 2014.</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2020. Aktivnostima u okviru projekata izravno se odgovara na društvene potrebe osoba s invaliditetom, provedbom obrazovnih programa u sektoru turizma i ugostiteljstva te jačanjem stručnih znanja predavača i mentora za rad s osobama s invaliditetom. </w:t>
      </w:r>
      <w:r w:rsidRPr="008115FB">
        <w:rPr>
          <w:rFonts w:eastAsia="Calibri"/>
          <w:kern w:val="2"/>
          <w:sz w:val="24"/>
          <w:szCs w:val="24"/>
        </w:rPr>
        <w:t xml:space="preserve">Do kraja 2022. u provedbu je bilo uključeno 170 nezaposlenih osoba s invaliditetom te 77 stručnjaka iz sektora turizma i ugostiteljstva koji su osposobljavani za rad s osobama s invaliditetom. Također, u provedbu projektnih aktivnosti uključeno je 17 poduzetnika kao projektnih partnera. Aktivnosti se provode na području 11 županija s ciljem razvoja i provedbe 10 standarda zanimanja i standarda kvalifikacija te 11 obrazovnih programa. </w:t>
      </w:r>
      <w:r w:rsidRPr="00BD1B6F">
        <w:rPr>
          <w:rFonts w:eastAsia="Calibri"/>
          <w:kern w:val="2"/>
          <w:sz w:val="24"/>
          <w:szCs w:val="24"/>
        </w:rPr>
        <w:t xml:space="preserve">Projekti u okviru Poziva </w:t>
      </w:r>
      <w:r>
        <w:rPr>
          <w:rFonts w:eastAsia="Calibri"/>
          <w:kern w:val="2"/>
          <w:sz w:val="24"/>
          <w:szCs w:val="24"/>
        </w:rPr>
        <w:t>provodit će se</w:t>
      </w:r>
      <w:r w:rsidRPr="00BD1B6F">
        <w:rPr>
          <w:rFonts w:eastAsia="Calibri"/>
          <w:kern w:val="2"/>
          <w:sz w:val="24"/>
          <w:szCs w:val="24"/>
        </w:rPr>
        <w:t xml:space="preserve"> do kraja 2023. </w:t>
      </w:r>
    </w:p>
    <w:p w14:paraId="386083D7" w14:textId="77777777" w:rsidR="00463708" w:rsidRPr="00BD1B6F" w:rsidRDefault="00463708" w:rsidP="00463708">
      <w:pPr>
        <w:widowControl/>
        <w:autoSpaceDE/>
        <w:autoSpaceDN/>
        <w:spacing w:before="240" w:line="276" w:lineRule="auto"/>
        <w:jc w:val="both"/>
        <w:rPr>
          <w:rFonts w:eastAsia="Calibri"/>
          <w:kern w:val="2"/>
          <w:sz w:val="24"/>
          <w:szCs w:val="24"/>
        </w:rPr>
      </w:pPr>
      <w:r w:rsidRPr="00BD1B6F">
        <w:rPr>
          <w:rFonts w:eastAsia="Calibri"/>
          <w:kern w:val="2"/>
          <w:sz w:val="24"/>
          <w:szCs w:val="24"/>
        </w:rPr>
        <w:t>Nastavljena je provedba projekta Hrvatski digitalni turizam „e-Turizam“, ukupne vrijednosti 7,1</w:t>
      </w:r>
      <w:r w:rsidRPr="008115FB">
        <w:rPr>
          <w:rFonts w:eastAsia="Calibri"/>
          <w:kern w:val="2"/>
          <w:sz w:val="24"/>
          <w:szCs w:val="24"/>
        </w:rPr>
        <w:t>8</w:t>
      </w:r>
      <w:r w:rsidRPr="00BD1B6F">
        <w:rPr>
          <w:rFonts w:eastAsia="Calibri"/>
          <w:kern w:val="2"/>
          <w:sz w:val="24"/>
          <w:szCs w:val="24"/>
        </w:rPr>
        <w:t xml:space="preserve"> milijuna eura, koji se sufinancira sredstvima iz OPKK 2014.</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2020.</w:t>
      </w:r>
      <w:r w:rsidRPr="008115FB">
        <w:rPr>
          <w:rFonts w:eastAsia="Calibri"/>
          <w:kern w:val="2"/>
          <w:sz w:val="24"/>
          <w:szCs w:val="24"/>
        </w:rPr>
        <w:t xml:space="preserve"> i OPULJP 2014.</w:t>
      </w:r>
      <w:r>
        <w:rPr>
          <w:rFonts w:eastAsia="Calibri"/>
          <w:kern w:val="2"/>
          <w:sz w:val="24"/>
          <w:szCs w:val="24"/>
        </w:rPr>
        <w:t xml:space="preserve"> </w:t>
      </w:r>
      <w:r w:rsidRPr="008115FB">
        <w:rPr>
          <w:rFonts w:eastAsia="Calibri"/>
          <w:kern w:val="2"/>
          <w:sz w:val="24"/>
          <w:szCs w:val="24"/>
        </w:rPr>
        <w:t>-</w:t>
      </w:r>
      <w:r>
        <w:rPr>
          <w:rFonts w:eastAsia="Calibri"/>
          <w:kern w:val="2"/>
          <w:sz w:val="24"/>
          <w:szCs w:val="24"/>
        </w:rPr>
        <w:t xml:space="preserve"> </w:t>
      </w:r>
      <w:r w:rsidRPr="008115FB">
        <w:rPr>
          <w:rFonts w:eastAsia="Calibri"/>
          <w:kern w:val="2"/>
          <w:sz w:val="24"/>
          <w:szCs w:val="24"/>
        </w:rPr>
        <w:t>2020.</w:t>
      </w:r>
      <w:r w:rsidRPr="00BD1B6F">
        <w:rPr>
          <w:rFonts w:eastAsia="Calibri"/>
          <w:kern w:val="2"/>
          <w:sz w:val="24"/>
          <w:szCs w:val="24"/>
        </w:rPr>
        <w:t xml:space="preserve"> Projektom se kroz optimizaciju procesa tijela javne uprave te njihovo povezivanje i digitalizaciju objedinjuju sve usluge javne uprave u turizmu na jednom mjestu. U okviru projekta, do kraja 2022. razvijeno je ukupno 5 javnih e-usluga (sustav za prijavu i odjavu gostiju - eVisitor, turističko-informacijski portal - croatia.hr, središnji turistički registar - TuRegistar, sustav za registraciju obavljanja djelatnosti </w:t>
      </w:r>
      <w:r>
        <w:rPr>
          <w:rFonts w:eastAsia="Calibri"/>
          <w:kern w:val="2"/>
          <w:sz w:val="24"/>
          <w:szCs w:val="24"/>
        </w:rPr>
        <w:t>–</w:t>
      </w:r>
      <w:r w:rsidRPr="00BD1B6F">
        <w:rPr>
          <w:rFonts w:eastAsia="Calibri"/>
          <w:kern w:val="2"/>
          <w:sz w:val="24"/>
          <w:szCs w:val="24"/>
        </w:rPr>
        <w:t xml:space="preserve"> TuStart</w:t>
      </w:r>
      <w:r>
        <w:rPr>
          <w:rFonts w:eastAsia="Calibri"/>
          <w:kern w:val="2"/>
          <w:sz w:val="24"/>
          <w:szCs w:val="24"/>
        </w:rPr>
        <w:t>,</w:t>
      </w:r>
      <w:r w:rsidRPr="00BD1B6F">
        <w:rPr>
          <w:rFonts w:eastAsia="Calibri"/>
          <w:kern w:val="2"/>
          <w:sz w:val="24"/>
          <w:szCs w:val="24"/>
        </w:rPr>
        <w:t xml:space="preserve"> te sustav za dodjelu dostupnih potpora u turizmu - Tu</w:t>
      </w:r>
      <w:r w:rsidRPr="008115FB">
        <w:rPr>
          <w:rFonts w:eastAsia="Calibri"/>
          <w:kern w:val="2"/>
          <w:sz w:val="24"/>
          <w:szCs w:val="24"/>
        </w:rPr>
        <w:t>Riznica</w:t>
      </w:r>
      <w:r w:rsidRPr="00BD1B6F">
        <w:rPr>
          <w:rFonts w:eastAsia="Calibri"/>
          <w:kern w:val="2"/>
          <w:sz w:val="24"/>
          <w:szCs w:val="24"/>
        </w:rPr>
        <w:t>). Osim povećanja učinkovitosti i kvalitete javnih usluga, projektom se doprinosi većoj transparentnosti javne uprave i olakšava poslovanje gospodarskih subjekata u sektoru turizma.</w:t>
      </w:r>
    </w:p>
    <w:p w14:paraId="69AEAD5D" w14:textId="77777777" w:rsidR="00463708" w:rsidRPr="00BD1B6F" w:rsidRDefault="00463708" w:rsidP="00463708">
      <w:pPr>
        <w:widowControl/>
        <w:autoSpaceDE/>
        <w:autoSpaceDN/>
        <w:spacing w:before="240" w:line="276" w:lineRule="auto"/>
        <w:jc w:val="both"/>
        <w:rPr>
          <w:rFonts w:eastAsia="Calibri"/>
          <w:kern w:val="2"/>
          <w:sz w:val="24"/>
          <w:szCs w:val="24"/>
        </w:rPr>
      </w:pPr>
      <w:r>
        <w:rPr>
          <w:rFonts w:eastAsia="Calibri"/>
          <w:kern w:val="2"/>
          <w:sz w:val="24"/>
          <w:szCs w:val="24"/>
        </w:rPr>
        <w:t>Radi</w:t>
      </w:r>
      <w:r w:rsidRPr="00BD1B6F">
        <w:rPr>
          <w:rFonts w:eastAsia="Calibri"/>
          <w:kern w:val="2"/>
          <w:sz w:val="24"/>
          <w:szCs w:val="24"/>
        </w:rPr>
        <w:t xml:space="preserve"> povećanja standarda i kvalitete te razvijanja dodatne ponude smještajnih kapaciteta i novih turističkih proizvoda, kao i saniranja posljedica potresa na ugostiteljskim i turističkim objektima Sisačko-moslavačke županije, proveden je </w:t>
      </w:r>
      <w:r>
        <w:rPr>
          <w:rFonts w:eastAsia="Calibri"/>
          <w:kern w:val="2"/>
          <w:sz w:val="24"/>
          <w:szCs w:val="24"/>
        </w:rPr>
        <w:t>p</w:t>
      </w:r>
      <w:r w:rsidRPr="00BD1B6F">
        <w:rPr>
          <w:rFonts w:eastAsia="Calibri"/>
          <w:kern w:val="2"/>
          <w:sz w:val="24"/>
          <w:szCs w:val="24"/>
        </w:rPr>
        <w:t xml:space="preserve">rogram potpora male vrijednosti „Konkurentnost turističkog gospodarstva“. U okviru Programa, dodijeljene su potpore subjektima malog gospodarstva i obiteljskih poljoprivrednih gospodarstava koji pružaju ugostiteljske i turističke usluge, za provedbu 218 projekata u ukupnom iznosu od 2,8 milijuna eura sredstava </w:t>
      </w:r>
      <w:r>
        <w:rPr>
          <w:rFonts w:eastAsia="Calibri"/>
          <w:kern w:val="2"/>
          <w:sz w:val="24"/>
          <w:szCs w:val="24"/>
        </w:rPr>
        <w:t>iz D</w:t>
      </w:r>
      <w:r w:rsidRPr="00672866">
        <w:rPr>
          <w:rFonts w:eastAsia="Calibri"/>
          <w:kern w:val="2"/>
          <w:sz w:val="24"/>
          <w:szCs w:val="24"/>
        </w:rPr>
        <w:t>ržavnog</w:t>
      </w:r>
      <w:r w:rsidRPr="00BD1B6F">
        <w:rPr>
          <w:rFonts w:eastAsia="Calibri"/>
          <w:kern w:val="2"/>
          <w:sz w:val="24"/>
          <w:szCs w:val="24"/>
        </w:rPr>
        <w:t xml:space="preserve"> proračuna. </w:t>
      </w:r>
    </w:p>
    <w:p w14:paraId="6D3DB5F4" w14:textId="77777777" w:rsidR="00463708" w:rsidRPr="00BD1B6F" w:rsidRDefault="00463708" w:rsidP="00463708">
      <w:pPr>
        <w:widowControl/>
        <w:autoSpaceDE/>
        <w:autoSpaceDN/>
        <w:spacing w:before="240" w:line="276" w:lineRule="auto"/>
        <w:jc w:val="both"/>
        <w:rPr>
          <w:rFonts w:eastAsia="Calibri"/>
          <w:kern w:val="2"/>
          <w:sz w:val="24"/>
          <w:szCs w:val="24"/>
        </w:rPr>
      </w:pPr>
      <w:r w:rsidRPr="00BD1B6F">
        <w:rPr>
          <w:rFonts w:eastAsia="Calibri"/>
          <w:kern w:val="2"/>
          <w:sz w:val="24"/>
          <w:szCs w:val="24"/>
        </w:rPr>
        <w:t>U okviru programa za poticanje obrazovanja kadrova u ugostiteljstvu i turizmu „Stipendije 202</w:t>
      </w:r>
      <w:r w:rsidRPr="008115FB">
        <w:rPr>
          <w:rFonts w:eastAsia="Calibri"/>
          <w:kern w:val="2"/>
          <w:sz w:val="24"/>
          <w:szCs w:val="24"/>
        </w:rPr>
        <w:t>2.“</w:t>
      </w:r>
      <w:r>
        <w:rPr>
          <w:rFonts w:eastAsia="Calibri"/>
          <w:kern w:val="2"/>
          <w:sz w:val="24"/>
          <w:szCs w:val="24"/>
        </w:rPr>
        <w:t>,</w:t>
      </w:r>
      <w:r w:rsidRPr="008115FB">
        <w:t xml:space="preserve"> </w:t>
      </w:r>
      <w:r w:rsidRPr="008115FB">
        <w:rPr>
          <w:rFonts w:eastAsia="Calibri"/>
          <w:kern w:val="2"/>
          <w:sz w:val="24"/>
          <w:szCs w:val="24"/>
        </w:rPr>
        <w:t xml:space="preserve">osigurane su stipendije za novih 246 učenika i studenata u partnerstvu s 58 tvrtki i obrta koji se obrazuju za ugostiteljsko-turistička zanimanja. Za </w:t>
      </w:r>
      <w:r>
        <w:rPr>
          <w:rFonts w:eastAsia="Calibri"/>
          <w:kern w:val="2"/>
          <w:sz w:val="24"/>
          <w:szCs w:val="24"/>
        </w:rPr>
        <w:t xml:space="preserve">dodjelu </w:t>
      </w:r>
      <w:r w:rsidRPr="008115FB">
        <w:rPr>
          <w:rFonts w:eastAsia="Calibri"/>
          <w:kern w:val="2"/>
          <w:sz w:val="24"/>
          <w:szCs w:val="24"/>
        </w:rPr>
        <w:t>stipendij</w:t>
      </w:r>
      <w:r>
        <w:rPr>
          <w:rFonts w:eastAsia="Calibri"/>
          <w:kern w:val="2"/>
          <w:sz w:val="24"/>
          <w:szCs w:val="24"/>
        </w:rPr>
        <w:t>a</w:t>
      </w:r>
      <w:r w:rsidRPr="008115FB">
        <w:rPr>
          <w:rFonts w:eastAsia="Calibri"/>
          <w:kern w:val="2"/>
          <w:sz w:val="24"/>
          <w:szCs w:val="24"/>
        </w:rPr>
        <w:t xml:space="preserve"> je u 2022. izdvojeno ukupno 1,35 milijuna eura.</w:t>
      </w:r>
    </w:p>
    <w:p w14:paraId="737A446E" w14:textId="77777777" w:rsidR="00463708" w:rsidRDefault="00463708" w:rsidP="00463708">
      <w:pPr>
        <w:widowControl/>
        <w:autoSpaceDE/>
        <w:autoSpaceDN/>
        <w:spacing w:before="240" w:line="276" w:lineRule="auto"/>
        <w:jc w:val="both"/>
        <w:rPr>
          <w:rFonts w:eastAsia="Calibri"/>
          <w:kern w:val="2"/>
          <w:sz w:val="24"/>
          <w:szCs w:val="24"/>
        </w:rPr>
      </w:pPr>
      <w:r w:rsidRPr="00907E81">
        <w:rPr>
          <w:sz w:val="24"/>
          <w:szCs w:val="24"/>
        </w:rPr>
        <w:lastRenderedPageBreak/>
        <w:t>S ciljem razvoja funkcionalnih i održivih turističkih regija radi ponude cjelovitog turističkog doživljaja i produljenja sezone, Ministarstvo turizma i sporta i Hrvatski planinarski savez su 2022. godine sklopili Sporazum o dugoročnoj suradnji na razvoju i uređenju planinarske infrastrukture u f</w:t>
      </w:r>
      <w:r>
        <w:rPr>
          <w:sz w:val="24"/>
          <w:szCs w:val="24"/>
        </w:rPr>
        <w:t>unkciji</w:t>
      </w:r>
      <w:r w:rsidRPr="00907E81">
        <w:rPr>
          <w:sz w:val="24"/>
          <w:szCs w:val="24"/>
        </w:rPr>
        <w:t xml:space="preserve"> </w:t>
      </w:r>
      <w:r>
        <w:rPr>
          <w:sz w:val="24"/>
          <w:szCs w:val="24"/>
        </w:rPr>
        <w:t xml:space="preserve">razvoja cjelogodišnjeg </w:t>
      </w:r>
      <w:r w:rsidRPr="00907E81">
        <w:rPr>
          <w:sz w:val="24"/>
          <w:szCs w:val="24"/>
        </w:rPr>
        <w:t>turizma. Na temelju Sporazuma potpisan je Ugovor o razvoju i ure</w:t>
      </w:r>
      <w:r>
        <w:rPr>
          <w:sz w:val="24"/>
          <w:szCs w:val="24"/>
        </w:rPr>
        <w:t>đ</w:t>
      </w:r>
      <w:r w:rsidRPr="00907E81">
        <w:rPr>
          <w:sz w:val="24"/>
          <w:szCs w:val="24"/>
        </w:rPr>
        <w:t>enju planinarske infrastrukture u funkciji turizma te su Hrvatskom planinarskom savezu, kao krovnoj planinarskoj udruzi, dodijeljena sredstva u ukupnom iznosu od 42</w:t>
      </w:r>
      <w:r>
        <w:rPr>
          <w:sz w:val="24"/>
          <w:szCs w:val="24"/>
        </w:rPr>
        <w:t>9 tisuća eura</w:t>
      </w:r>
      <w:r w:rsidRPr="00907E81">
        <w:rPr>
          <w:sz w:val="24"/>
          <w:szCs w:val="24"/>
        </w:rPr>
        <w:t xml:space="preserve"> za provedbu aktivnosti u </w:t>
      </w:r>
      <w:r>
        <w:rPr>
          <w:sz w:val="24"/>
          <w:szCs w:val="24"/>
        </w:rPr>
        <w:t>okviru</w:t>
      </w:r>
      <w:r w:rsidRPr="00907E81">
        <w:rPr>
          <w:sz w:val="24"/>
          <w:szCs w:val="24"/>
        </w:rPr>
        <w:t xml:space="preserve"> projekta „Sigurna i održiva planinarska infrastruktura; projekt održavanja, uređenja i opremanja planinarske infrastrukture”. Planinarstvo</w:t>
      </w:r>
      <w:r>
        <w:rPr>
          <w:sz w:val="24"/>
          <w:szCs w:val="24"/>
        </w:rPr>
        <w:t>,</w:t>
      </w:r>
      <w:r w:rsidRPr="00907E81">
        <w:rPr>
          <w:sz w:val="24"/>
          <w:szCs w:val="24"/>
        </w:rPr>
        <w:t xml:space="preserve"> kao dio aktivnog (rekreativnog) turizma</w:t>
      </w:r>
      <w:r>
        <w:rPr>
          <w:sz w:val="24"/>
          <w:szCs w:val="24"/>
        </w:rPr>
        <w:t>,</w:t>
      </w:r>
      <w:r w:rsidRPr="00907E81">
        <w:rPr>
          <w:sz w:val="24"/>
          <w:szCs w:val="24"/>
        </w:rPr>
        <w:t xml:space="preserve"> doprinosi konkurentnosti i razvoju turističkih destinacija te poticanju razvoja održivog, otpornog, cjelogodišnjeg i regionalno uravnoteženog turizma.</w:t>
      </w:r>
    </w:p>
    <w:p w14:paraId="34A0144A" w14:textId="77777777" w:rsidR="00463708" w:rsidRPr="00BD1B6F" w:rsidRDefault="00463708" w:rsidP="00463708">
      <w:pPr>
        <w:widowControl/>
        <w:autoSpaceDE/>
        <w:autoSpaceDN/>
        <w:spacing w:before="240" w:line="276" w:lineRule="auto"/>
        <w:ind w:firstLine="720"/>
        <w:jc w:val="both"/>
        <w:rPr>
          <w:rFonts w:eastAsia="Calibri"/>
          <w:b/>
          <w:bCs/>
          <w:kern w:val="2"/>
          <w:sz w:val="24"/>
          <w:szCs w:val="24"/>
        </w:rPr>
      </w:pPr>
      <w:r w:rsidRPr="00BD1B6F">
        <w:rPr>
          <w:rFonts w:eastAsia="Calibri"/>
          <w:b/>
          <w:bCs/>
          <w:kern w:val="2"/>
          <w:sz w:val="24"/>
          <w:szCs w:val="24"/>
        </w:rPr>
        <w:t>Poticanje razvoja kulture i medija</w:t>
      </w:r>
    </w:p>
    <w:p w14:paraId="7C373D1C" w14:textId="77777777" w:rsidR="00463708" w:rsidRPr="00BD1B6F" w:rsidRDefault="00463708" w:rsidP="00463708">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S ciljem stvaranja </w:t>
      </w:r>
      <w:r>
        <w:rPr>
          <w:rFonts w:eastAsia="Calibri"/>
          <w:kern w:val="2"/>
          <w:sz w:val="24"/>
          <w:szCs w:val="24"/>
        </w:rPr>
        <w:t>pozitivnog suodnosa između kulture i gospodarstva</w:t>
      </w:r>
      <w:r w:rsidRPr="00BD1B6F">
        <w:rPr>
          <w:rFonts w:eastAsia="Calibri"/>
          <w:kern w:val="2"/>
          <w:sz w:val="24"/>
          <w:szCs w:val="24"/>
        </w:rPr>
        <w:t xml:space="preserve">, nastavljeni su napori na provedbi programskih i administrativnih aktivnosti u području kulture i </w:t>
      </w:r>
      <w:r w:rsidRPr="008115FB">
        <w:rPr>
          <w:rFonts w:eastAsia="Calibri"/>
          <w:kern w:val="2"/>
          <w:sz w:val="24"/>
          <w:szCs w:val="24"/>
        </w:rPr>
        <w:t>medija</w:t>
      </w:r>
      <w:r w:rsidRPr="00BD1B6F">
        <w:rPr>
          <w:rFonts w:eastAsia="Calibri"/>
          <w:kern w:val="2"/>
          <w:sz w:val="24"/>
          <w:szCs w:val="24"/>
        </w:rPr>
        <w:t xml:space="preserve">. Nastavljeno je poticanje </w:t>
      </w:r>
      <w:r w:rsidRPr="008115FB">
        <w:rPr>
          <w:rFonts w:eastAsia="Calibri"/>
          <w:kern w:val="2"/>
          <w:sz w:val="24"/>
          <w:szCs w:val="24"/>
        </w:rPr>
        <w:t xml:space="preserve">kulturnog </w:t>
      </w:r>
      <w:r w:rsidRPr="00BD1B6F">
        <w:rPr>
          <w:rFonts w:eastAsia="Calibri"/>
          <w:kern w:val="2"/>
          <w:sz w:val="24"/>
          <w:szCs w:val="24"/>
        </w:rPr>
        <w:t>stvaralaštva i ulaganj</w:t>
      </w:r>
      <w:r w:rsidRPr="008115FB">
        <w:rPr>
          <w:rFonts w:eastAsia="Calibri"/>
          <w:kern w:val="2"/>
          <w:sz w:val="24"/>
          <w:szCs w:val="24"/>
        </w:rPr>
        <w:t>e</w:t>
      </w:r>
      <w:r w:rsidRPr="00BD1B6F">
        <w:rPr>
          <w:rFonts w:eastAsia="Calibri"/>
          <w:kern w:val="2"/>
          <w:sz w:val="24"/>
          <w:szCs w:val="24"/>
        </w:rPr>
        <w:t xml:space="preserve"> u </w:t>
      </w:r>
      <w:r w:rsidRPr="008115FB">
        <w:rPr>
          <w:rFonts w:eastAsia="Calibri"/>
          <w:kern w:val="2"/>
          <w:sz w:val="24"/>
          <w:szCs w:val="24"/>
        </w:rPr>
        <w:t>produkciju</w:t>
      </w:r>
      <w:r w:rsidRPr="00BD1B6F">
        <w:rPr>
          <w:rFonts w:eastAsia="Calibri"/>
          <w:kern w:val="2"/>
          <w:sz w:val="24"/>
          <w:szCs w:val="24"/>
        </w:rPr>
        <w:t xml:space="preserve"> i distribuciju kulturnih sadržaja te poticanje aktivnog sudjelovanja građana u kulturi, čime se doprinosi razvoju održivog, konkurentnog i inovativnog gospodarstva.</w:t>
      </w:r>
    </w:p>
    <w:p w14:paraId="6E306064" w14:textId="77777777" w:rsidR="00463708" w:rsidRPr="008115FB" w:rsidRDefault="00463708" w:rsidP="00463708">
      <w:pPr>
        <w:widowControl/>
        <w:autoSpaceDE/>
        <w:autoSpaceDN/>
        <w:spacing w:before="240" w:line="276" w:lineRule="auto"/>
        <w:jc w:val="both"/>
        <w:rPr>
          <w:rFonts w:eastAsia="Calibri"/>
          <w:kern w:val="2"/>
          <w:sz w:val="24"/>
          <w:szCs w:val="24"/>
        </w:rPr>
      </w:pPr>
      <w:r w:rsidRPr="00BD1B6F">
        <w:rPr>
          <w:rFonts w:eastAsia="Calibri"/>
          <w:kern w:val="2"/>
          <w:sz w:val="24"/>
          <w:szCs w:val="24"/>
        </w:rPr>
        <w:t>U okviru „Programa javnih potreba u kulturi Republike Hrvatske za 2022. godinu“ isplaćeno je 29,4 milijuna eura, a potpore su namijenjene poticanju izvedbenih umjetnosti, kulturno-umjetničkog amaterizma, vizualnih umjetnosti, književnosti i nakladništva, inovativnih umjetničkih i kulturnih praksi, knjižnične i muzejske djelatnosti, zaštite nematerijalnih, pokretnih i nepokretnih kulturnih dobara, gradnje, rekonstrukcije i opremanja kulturne infrastrukture te međunarodne kulturne suradnje. Kroz posebne poziv</w:t>
      </w:r>
      <w:r w:rsidRPr="008115FB">
        <w:rPr>
          <w:rFonts w:eastAsia="Calibri"/>
          <w:kern w:val="2"/>
          <w:sz w:val="24"/>
          <w:szCs w:val="24"/>
        </w:rPr>
        <w:t>e financira se otkup knjiga za narodne knjižnice, poticanje književnog, glazbenog, dramskog, plesnog i vizualnog stvaralaštva, poduzetništvo u kulturnim i kreativnim industrijama, razvoj publike u kulturi, program Ruksak (pun) kulture</w:t>
      </w:r>
      <w:r>
        <w:rPr>
          <w:rFonts w:eastAsia="Calibri"/>
          <w:kern w:val="2"/>
          <w:sz w:val="24"/>
          <w:szCs w:val="24"/>
        </w:rPr>
        <w:t>,</w:t>
      </w:r>
      <w:r w:rsidRPr="008115FB">
        <w:rPr>
          <w:rFonts w:eastAsia="Calibri"/>
          <w:kern w:val="2"/>
          <w:sz w:val="24"/>
          <w:szCs w:val="24"/>
        </w:rPr>
        <w:t xml:space="preserve"> te omogućavanje pristupa i dostupnosti kulturnih sadržaja za osobe s invaliditetom i djecu i mlade s teškoćama u razvoju. Kroz pozive za programe audiovizualne djelatnosti Hrvatskog audiovizualnog centra osigurano je 8,2 milijuna eura za razvoj i proizvodnju filmova, TV djela i videoigara, kinodistribuciju i komplementarne djelatnosti, a dodatno je osigurano 7,8 milijuna eura za program poticanja ulaganja u proizvodnju audiovizualnih djela. Agencija za elektroničke medije kroz pozive</w:t>
      </w:r>
      <w:r>
        <w:rPr>
          <w:rFonts w:eastAsia="Calibri"/>
          <w:kern w:val="2"/>
          <w:sz w:val="24"/>
          <w:szCs w:val="24"/>
        </w:rPr>
        <w:t xml:space="preserve"> je</w:t>
      </w:r>
      <w:r w:rsidRPr="008115FB">
        <w:rPr>
          <w:rFonts w:eastAsia="Calibri"/>
          <w:kern w:val="2"/>
          <w:sz w:val="24"/>
          <w:szCs w:val="24"/>
        </w:rPr>
        <w:t xml:space="preserve"> osigurala 4,9 milijuna eura za proizvodnju i objavljivanje audiovizualnih i radijskih projekata, programa i sadržaja, elektroničkih publikacija te poticanje kvalitetnog novinarstva. Programi Hrvatskog restauratorskog zavoda i Međunarodnog centra za podvodnu arheologiju financirani su s 4,9 milijuna eura.</w:t>
      </w:r>
    </w:p>
    <w:p w14:paraId="50EEDAE2" w14:textId="77777777" w:rsidR="00463708" w:rsidRPr="008115FB" w:rsidRDefault="00463708" w:rsidP="00463708">
      <w:pPr>
        <w:widowControl/>
        <w:autoSpaceDE/>
        <w:autoSpaceDN/>
        <w:spacing w:before="240" w:line="276" w:lineRule="auto"/>
        <w:jc w:val="both"/>
        <w:rPr>
          <w:rFonts w:eastAsia="Calibri"/>
          <w:kern w:val="2"/>
          <w:sz w:val="24"/>
          <w:szCs w:val="24"/>
        </w:rPr>
      </w:pPr>
      <w:r w:rsidRPr="008115FB">
        <w:rPr>
          <w:rFonts w:eastAsia="Calibri"/>
          <w:kern w:val="2"/>
          <w:sz w:val="24"/>
          <w:szCs w:val="24"/>
        </w:rPr>
        <w:lastRenderedPageBreak/>
        <w:t>U izvještajnom razdoblju usvojene su izmjene i dopune „Programa jamstava za kredite za poduzetnike aktivne u kulturi i kreativnim industrijama“ kojima je trajanje programa produljeno do 30. lipnja 2022. Program omogućuje dodjelu državne potpore poduzetnicima u kulturi i kreativnim industrijama koji su bili suočeni s poteškoćama uslijed pandemije COVID-19. Provodi se od srpnja 2020. i omogućava 39,8 milijuna eura za odobravanje jamstava na kredite za obrtni kapital, operativne troškove i druge troškove vezane za rad i likvidnost poslovanja.</w:t>
      </w:r>
    </w:p>
    <w:p w14:paraId="764FE1FF" w14:textId="77777777" w:rsidR="00463708" w:rsidRPr="008115FB" w:rsidRDefault="00463708" w:rsidP="00463708">
      <w:pPr>
        <w:widowControl/>
        <w:autoSpaceDE/>
        <w:autoSpaceDN/>
        <w:spacing w:before="240" w:line="276" w:lineRule="auto"/>
        <w:jc w:val="both"/>
        <w:rPr>
          <w:rFonts w:eastAsia="Calibri"/>
          <w:kern w:val="2"/>
          <w:sz w:val="24"/>
          <w:szCs w:val="24"/>
        </w:rPr>
      </w:pPr>
      <w:r w:rsidRPr="008115FB">
        <w:rPr>
          <w:rFonts w:eastAsia="Calibri"/>
          <w:kern w:val="2"/>
          <w:sz w:val="24"/>
          <w:szCs w:val="24"/>
        </w:rPr>
        <w:t xml:space="preserve">U </w:t>
      </w:r>
      <w:r>
        <w:rPr>
          <w:rFonts w:eastAsia="Calibri"/>
          <w:kern w:val="2"/>
          <w:sz w:val="24"/>
          <w:szCs w:val="24"/>
        </w:rPr>
        <w:t>okviru</w:t>
      </w:r>
      <w:r w:rsidRPr="007E34BA">
        <w:rPr>
          <w:rFonts w:eastAsia="Calibri"/>
          <w:kern w:val="2"/>
          <w:sz w:val="24"/>
          <w:szCs w:val="24"/>
        </w:rPr>
        <w:t xml:space="preserve"> </w:t>
      </w:r>
      <w:r>
        <w:rPr>
          <w:rFonts w:eastAsia="Calibri"/>
          <w:kern w:val="2"/>
          <w:sz w:val="24"/>
          <w:szCs w:val="24"/>
        </w:rPr>
        <w:t>OPULJP 2014. - 2020.,</w:t>
      </w:r>
      <w:r w:rsidRPr="008115FB">
        <w:rPr>
          <w:rFonts w:eastAsia="Calibri"/>
          <w:kern w:val="2"/>
          <w:sz w:val="24"/>
          <w:szCs w:val="24"/>
        </w:rPr>
        <w:t xml:space="preserve"> kroz pozive „Umjetnost i kultura </w:t>
      </w:r>
      <w:r w:rsidRPr="00A3155F">
        <w:rPr>
          <w:rFonts w:eastAsia="Calibri"/>
          <w:i/>
          <w:iCs/>
          <w:kern w:val="2"/>
          <w:sz w:val="24"/>
          <w:szCs w:val="24"/>
        </w:rPr>
        <w:t>online</w:t>
      </w:r>
      <w:r w:rsidRPr="008115FB">
        <w:rPr>
          <w:rFonts w:eastAsia="Calibri"/>
          <w:kern w:val="2"/>
          <w:sz w:val="24"/>
          <w:szCs w:val="24"/>
        </w:rPr>
        <w:t>“ i „Čitanjem do uključivog društva“ ugovoreno je 36 projekata ukupne vrijednosti 1,8 milijuna eura, a nastavljene su i redovne isplate te praćenje projekata ugovorenih kroz prethodne provedene pozive. Također, odobreno je 224 tisuće eura za sufinanciranje projekata u programu Kreativna Europa - potprogram Kultura te 1,8 milijuna eura za programe podrške Zaklade „Kultura nova“.</w:t>
      </w:r>
    </w:p>
    <w:p w14:paraId="719DE1EE" w14:textId="77777777" w:rsidR="00463708" w:rsidRDefault="00463708" w:rsidP="00463708">
      <w:pPr>
        <w:widowControl/>
        <w:autoSpaceDE/>
        <w:autoSpaceDN/>
        <w:spacing w:before="240" w:line="276" w:lineRule="auto"/>
        <w:jc w:val="both"/>
        <w:rPr>
          <w:rFonts w:eastAsia="Calibri"/>
          <w:kern w:val="2"/>
          <w:sz w:val="24"/>
          <w:szCs w:val="24"/>
        </w:rPr>
      </w:pPr>
      <w:r w:rsidRPr="008115FB">
        <w:rPr>
          <w:rFonts w:eastAsia="Calibri"/>
          <w:kern w:val="2"/>
          <w:sz w:val="24"/>
          <w:szCs w:val="24"/>
        </w:rPr>
        <w:t>Za sanaciju šteta na kulturnoj baštini uzrokovanih serijom razornih potresa u 2020.</w:t>
      </w:r>
      <w:r>
        <w:rPr>
          <w:rFonts w:eastAsia="Calibri"/>
          <w:kern w:val="2"/>
          <w:sz w:val="24"/>
          <w:szCs w:val="24"/>
        </w:rPr>
        <w:t>,</w:t>
      </w:r>
      <w:r w:rsidRPr="008115FB">
        <w:rPr>
          <w:rFonts w:eastAsia="Calibri"/>
          <w:kern w:val="2"/>
          <w:sz w:val="24"/>
          <w:szCs w:val="24"/>
        </w:rPr>
        <w:t xml:space="preserve"> putem poziva za dodjelu bespovratnih sredstava iz Fonda solidarnosti EU</w:t>
      </w:r>
      <w:r>
        <w:rPr>
          <w:rFonts w:eastAsia="Calibri"/>
          <w:kern w:val="2"/>
          <w:sz w:val="24"/>
          <w:szCs w:val="24"/>
        </w:rPr>
        <w:t>-a</w:t>
      </w:r>
      <w:r w:rsidRPr="008115FB">
        <w:rPr>
          <w:rFonts w:eastAsia="Calibri"/>
          <w:kern w:val="2"/>
          <w:sz w:val="24"/>
          <w:szCs w:val="24"/>
        </w:rPr>
        <w:t xml:space="preserve"> osigurana su bespovratna sredstva za pripremu projektne dokumentacije i provedbu svih potrebnih mjera zaštite kulturne baštine, osobito izvođenje radova osiguranja i stabiliziranja objekata oštećenih u potresu i zbrinjavanje vrijedne pokretne građe. Kroz </w:t>
      </w:r>
      <w:r>
        <w:rPr>
          <w:rFonts w:eastAsia="Calibri"/>
          <w:kern w:val="2"/>
          <w:sz w:val="24"/>
          <w:szCs w:val="24"/>
        </w:rPr>
        <w:t>2</w:t>
      </w:r>
      <w:r w:rsidRPr="008115FB">
        <w:rPr>
          <w:rFonts w:eastAsia="Calibri"/>
          <w:kern w:val="2"/>
          <w:sz w:val="24"/>
          <w:szCs w:val="24"/>
        </w:rPr>
        <w:t xml:space="preserve"> poziva prijavljen</w:t>
      </w:r>
      <w:r>
        <w:rPr>
          <w:rFonts w:eastAsia="Calibri"/>
          <w:kern w:val="2"/>
          <w:sz w:val="24"/>
          <w:szCs w:val="24"/>
        </w:rPr>
        <w:t>a su</w:t>
      </w:r>
      <w:r w:rsidRPr="008115FB">
        <w:rPr>
          <w:rFonts w:eastAsia="Calibri"/>
          <w:kern w:val="2"/>
          <w:sz w:val="24"/>
          <w:szCs w:val="24"/>
        </w:rPr>
        <w:t xml:space="preserve"> 194 projekta te </w:t>
      </w:r>
      <w:r>
        <w:rPr>
          <w:rFonts w:eastAsia="Calibri"/>
          <w:kern w:val="2"/>
          <w:sz w:val="24"/>
          <w:szCs w:val="24"/>
        </w:rPr>
        <w:t xml:space="preserve">je </w:t>
      </w:r>
      <w:r w:rsidRPr="008115FB">
        <w:rPr>
          <w:rFonts w:eastAsia="Calibri"/>
          <w:kern w:val="2"/>
          <w:sz w:val="24"/>
          <w:szCs w:val="24"/>
        </w:rPr>
        <w:t xml:space="preserve">ugovoreno 137 </w:t>
      </w:r>
      <w:r w:rsidRPr="007E34BA">
        <w:rPr>
          <w:rFonts w:eastAsia="Calibri"/>
          <w:kern w:val="2"/>
          <w:sz w:val="24"/>
          <w:szCs w:val="24"/>
        </w:rPr>
        <w:t>projek</w:t>
      </w:r>
      <w:r>
        <w:rPr>
          <w:rFonts w:eastAsia="Calibri"/>
          <w:kern w:val="2"/>
          <w:sz w:val="24"/>
          <w:szCs w:val="24"/>
        </w:rPr>
        <w:t>a</w:t>
      </w:r>
      <w:r w:rsidRPr="007E34BA">
        <w:rPr>
          <w:rFonts w:eastAsia="Calibri"/>
          <w:kern w:val="2"/>
          <w:sz w:val="24"/>
          <w:szCs w:val="24"/>
        </w:rPr>
        <w:t>ta</w:t>
      </w:r>
      <w:r>
        <w:rPr>
          <w:rFonts w:eastAsia="Calibri"/>
          <w:kern w:val="2"/>
          <w:sz w:val="24"/>
          <w:szCs w:val="24"/>
        </w:rPr>
        <w:t xml:space="preserve"> </w:t>
      </w:r>
      <w:r w:rsidRPr="008115FB">
        <w:rPr>
          <w:rFonts w:eastAsia="Calibri"/>
          <w:kern w:val="2"/>
          <w:sz w:val="24"/>
          <w:szCs w:val="24"/>
        </w:rPr>
        <w:t>ukupn</w:t>
      </w:r>
      <w:r>
        <w:rPr>
          <w:rFonts w:eastAsia="Calibri"/>
          <w:kern w:val="2"/>
          <w:sz w:val="24"/>
          <w:szCs w:val="24"/>
        </w:rPr>
        <w:t>e vrijednosti</w:t>
      </w:r>
      <w:r w:rsidRPr="008115FB">
        <w:rPr>
          <w:rFonts w:eastAsia="Calibri"/>
          <w:kern w:val="2"/>
          <w:sz w:val="24"/>
          <w:szCs w:val="24"/>
        </w:rPr>
        <w:t xml:space="preserve"> dodijeljeni</w:t>
      </w:r>
      <w:r>
        <w:rPr>
          <w:rFonts w:eastAsia="Calibri"/>
          <w:kern w:val="2"/>
          <w:sz w:val="24"/>
          <w:szCs w:val="24"/>
        </w:rPr>
        <w:t xml:space="preserve">h bespovratnih </w:t>
      </w:r>
      <w:r w:rsidRPr="008115FB">
        <w:rPr>
          <w:rFonts w:eastAsia="Calibri"/>
          <w:kern w:val="2"/>
          <w:sz w:val="24"/>
          <w:szCs w:val="24"/>
        </w:rPr>
        <w:t>sredst</w:t>
      </w:r>
      <w:r>
        <w:rPr>
          <w:rFonts w:eastAsia="Calibri"/>
          <w:kern w:val="2"/>
          <w:sz w:val="24"/>
          <w:szCs w:val="24"/>
        </w:rPr>
        <w:t>a</w:t>
      </w:r>
      <w:r w:rsidRPr="008115FB">
        <w:rPr>
          <w:rFonts w:eastAsia="Calibri"/>
          <w:kern w:val="2"/>
          <w:sz w:val="24"/>
          <w:szCs w:val="24"/>
        </w:rPr>
        <w:t>va u iznosu od 196,7 milijuna eura. Ministarstvo kulture i medija također je provelo hitne mjere zaštite u ukupnom iznosu od 11,2 milijuna eura na još 194 kulturna dobra u svrhu sprječavanja daljnje štete dok ne budu osigurana sredstva za njihovu daljnju obnovu. Do kraja 2022. dovršen</w:t>
      </w:r>
      <w:r>
        <w:rPr>
          <w:rFonts w:eastAsia="Calibri"/>
          <w:kern w:val="2"/>
          <w:sz w:val="24"/>
          <w:szCs w:val="24"/>
        </w:rPr>
        <w:t>a</w:t>
      </w:r>
      <w:r w:rsidRPr="008115FB">
        <w:rPr>
          <w:rFonts w:eastAsia="Calibri"/>
          <w:kern w:val="2"/>
          <w:sz w:val="24"/>
          <w:szCs w:val="24"/>
        </w:rPr>
        <w:t xml:space="preserve"> je </w:t>
      </w:r>
      <w:r>
        <w:rPr>
          <w:rFonts w:eastAsia="Calibri"/>
          <w:kern w:val="2"/>
          <w:sz w:val="24"/>
          <w:szCs w:val="24"/>
        </w:rPr>
        <w:t xml:space="preserve">provedba </w:t>
      </w:r>
      <w:r w:rsidRPr="008115FB">
        <w:rPr>
          <w:rFonts w:eastAsia="Calibri"/>
          <w:kern w:val="2"/>
          <w:sz w:val="24"/>
          <w:szCs w:val="24"/>
        </w:rPr>
        <w:t>15 projekata.</w:t>
      </w:r>
    </w:p>
    <w:p w14:paraId="50F14FAF" w14:textId="77777777" w:rsidR="00463708" w:rsidRPr="008115FB" w:rsidRDefault="00463708" w:rsidP="00463708">
      <w:pPr>
        <w:widowControl/>
        <w:autoSpaceDE/>
        <w:autoSpaceDN/>
        <w:spacing w:before="240" w:line="276" w:lineRule="auto"/>
        <w:jc w:val="both"/>
        <w:rPr>
          <w:rFonts w:eastAsia="Calibri"/>
          <w:kern w:val="2"/>
          <w:sz w:val="24"/>
          <w:szCs w:val="24"/>
        </w:rPr>
      </w:pPr>
      <w:r w:rsidRPr="008115FB">
        <w:rPr>
          <w:rFonts w:eastAsia="Calibri"/>
          <w:kern w:val="2"/>
          <w:sz w:val="24"/>
          <w:szCs w:val="24"/>
        </w:rPr>
        <w:t>Za provedbu investicija u području kulture i medija u razdoblju do 2026.</w:t>
      </w:r>
      <w:r>
        <w:rPr>
          <w:rFonts w:eastAsia="Calibri"/>
          <w:kern w:val="2"/>
          <w:sz w:val="24"/>
          <w:szCs w:val="24"/>
        </w:rPr>
        <w:t>,</w:t>
      </w:r>
      <w:r w:rsidRPr="008115FB">
        <w:rPr>
          <w:rFonts w:eastAsia="Calibri"/>
          <w:kern w:val="2"/>
          <w:sz w:val="24"/>
          <w:szCs w:val="24"/>
        </w:rPr>
        <w:t xml:space="preserve"> NPOO-om je ukupno osigurano više od 119,4 milijuna eura. S ciljem izgradnje i uspostave pouzdanog sustava za provjeru činjenica i sustava javne objave relevantnih podataka o vlasništvu i financiranju medija, u izvještajnom razdoblju započela </w:t>
      </w:r>
      <w:r>
        <w:rPr>
          <w:rFonts w:eastAsia="Calibri"/>
          <w:kern w:val="2"/>
          <w:sz w:val="24"/>
          <w:szCs w:val="24"/>
        </w:rPr>
        <w:t xml:space="preserve">je </w:t>
      </w:r>
      <w:r w:rsidRPr="008115FB">
        <w:rPr>
          <w:rFonts w:eastAsia="Calibri"/>
          <w:kern w:val="2"/>
          <w:sz w:val="24"/>
          <w:szCs w:val="24"/>
        </w:rPr>
        <w:t>provedba aktivnosti u okviru investicije C1.1.1.</w:t>
      </w:r>
      <w:r>
        <w:rPr>
          <w:rFonts w:eastAsia="Calibri"/>
          <w:kern w:val="2"/>
          <w:sz w:val="24"/>
          <w:szCs w:val="24"/>
        </w:rPr>
        <w:t xml:space="preserve"> </w:t>
      </w:r>
      <w:r w:rsidRPr="008115FB">
        <w:rPr>
          <w:rFonts w:eastAsia="Calibri"/>
          <w:kern w:val="2"/>
          <w:sz w:val="24"/>
          <w:szCs w:val="24"/>
        </w:rPr>
        <w:t xml:space="preserve">R6.-I2 „Uspostava provjere medijskih činjenica i sustava javne objave podataka“. </w:t>
      </w:r>
    </w:p>
    <w:p w14:paraId="548ADFE3" w14:textId="77777777" w:rsidR="00463708" w:rsidRPr="008115FB" w:rsidRDefault="00463708" w:rsidP="00463708">
      <w:pPr>
        <w:widowControl/>
        <w:autoSpaceDE/>
        <w:autoSpaceDN/>
        <w:spacing w:before="240" w:line="276" w:lineRule="auto"/>
        <w:jc w:val="both"/>
        <w:rPr>
          <w:rFonts w:eastAsia="Calibri"/>
          <w:kern w:val="2"/>
          <w:sz w:val="24"/>
          <w:szCs w:val="24"/>
        </w:rPr>
      </w:pPr>
      <w:r w:rsidRPr="008115FB">
        <w:rPr>
          <w:rFonts w:eastAsia="Calibri"/>
          <w:kern w:val="2"/>
          <w:sz w:val="24"/>
          <w:szCs w:val="24"/>
        </w:rPr>
        <w:t>S ciljem uklanjanja administrativnih prepreka investitorima u procesu ishođenja dozvola</w:t>
      </w:r>
      <w:r>
        <w:rPr>
          <w:rFonts w:eastAsia="Calibri"/>
          <w:kern w:val="2"/>
          <w:sz w:val="24"/>
          <w:szCs w:val="24"/>
        </w:rPr>
        <w:t>,</w:t>
      </w:r>
      <w:r w:rsidRPr="008115FB">
        <w:rPr>
          <w:rFonts w:eastAsia="Calibri"/>
          <w:kern w:val="2"/>
          <w:sz w:val="24"/>
          <w:szCs w:val="24"/>
        </w:rPr>
        <w:t xml:space="preserve"> sukladno Zakonu o zaštiti i očuvanju kulturnih dobara</w:t>
      </w:r>
      <w:r>
        <w:rPr>
          <w:rFonts w:eastAsia="Calibri"/>
          <w:kern w:val="2"/>
          <w:sz w:val="24"/>
          <w:szCs w:val="24"/>
        </w:rPr>
        <w:t>,</w:t>
      </w:r>
      <w:r w:rsidRPr="008115FB">
        <w:rPr>
          <w:rFonts w:eastAsia="Calibri"/>
          <w:kern w:val="2"/>
          <w:sz w:val="24"/>
          <w:szCs w:val="24"/>
        </w:rPr>
        <w:t xml:space="preserve"> te ubrzavanja procesa izdavanja dozvola za gradnju na području cijele države, u izvještajnom razdoblju pokrenuta je NPOO investicija C2.2. R3-I1 „Uspostava digitalne infrastrukture i usluga javne uprave izradom sustava konzervatorskih podloga“. Provedbom investicije razvit će se digitalna infrastruktura povezana s ostalim sustavima za prostorno planiranje </w:t>
      </w:r>
      <w:r w:rsidRPr="008115FB">
        <w:rPr>
          <w:rFonts w:eastAsia="Calibri"/>
          <w:kern w:val="2"/>
          <w:sz w:val="24"/>
          <w:szCs w:val="24"/>
        </w:rPr>
        <w:lastRenderedPageBreak/>
        <w:t>te će se uspostaviti nova e-usluga javne administracije za izradu konzervatorskih podloga, čime će se osigurati veća pravna sigurnost vezana za konzervatorsko postupanje i izravno doprinijeti poboljšanju poslovnog okruženja.</w:t>
      </w:r>
    </w:p>
    <w:p w14:paraId="6EBBF635" w14:textId="77777777" w:rsidR="00463708" w:rsidRPr="008115FB" w:rsidRDefault="00463708" w:rsidP="00463708">
      <w:pPr>
        <w:rPr>
          <w:rFonts w:eastAsia="Calibri"/>
          <w:kern w:val="2"/>
          <w:sz w:val="24"/>
          <w:szCs w:val="24"/>
        </w:rPr>
      </w:pPr>
    </w:p>
    <w:p w14:paraId="20F12D58" w14:textId="20F1A283" w:rsidR="008F29E5" w:rsidRPr="00BD1B6F" w:rsidRDefault="00463708" w:rsidP="00FD2238">
      <w:pPr>
        <w:spacing w:line="276" w:lineRule="auto"/>
        <w:jc w:val="both"/>
        <w:rPr>
          <w:rFonts w:eastAsia="Calibri"/>
          <w:kern w:val="2"/>
          <w:sz w:val="24"/>
          <w:szCs w:val="24"/>
        </w:rPr>
      </w:pPr>
      <w:r w:rsidRPr="008115FB">
        <w:rPr>
          <w:rFonts w:eastAsia="Calibri"/>
          <w:kern w:val="2"/>
          <w:sz w:val="24"/>
          <w:szCs w:val="24"/>
        </w:rPr>
        <w:t xml:space="preserve">Radi smanjenja troškova i poboljšanja učinkovitosti i sigurnosti u upravljanju dokumentacijom kod javnih tijela i institucija, u okviru NPOO-a pokrenuta </w:t>
      </w:r>
      <w:r>
        <w:rPr>
          <w:rFonts w:eastAsia="Calibri"/>
          <w:kern w:val="2"/>
          <w:sz w:val="24"/>
          <w:szCs w:val="24"/>
        </w:rPr>
        <w:t xml:space="preserve">je </w:t>
      </w:r>
      <w:r w:rsidRPr="008115FB">
        <w:rPr>
          <w:rFonts w:eastAsia="Calibri"/>
          <w:kern w:val="2"/>
          <w:sz w:val="24"/>
          <w:szCs w:val="24"/>
        </w:rPr>
        <w:t>provedba investicije C2.2. R3-I2 „Unaprjeđenje digitalne infrastrukture i usluga javnog sektora razvojem nacionalnog arhivskog informacijskog sustava i jačanjem nacionalne mreže arhiva</w:t>
      </w:r>
      <w:r>
        <w:rPr>
          <w:rFonts w:eastAsia="Calibri"/>
          <w:kern w:val="2"/>
          <w:sz w:val="24"/>
          <w:szCs w:val="24"/>
        </w:rPr>
        <w:t xml:space="preserve">“, koja će rezultirati i novom uslugom </w:t>
      </w:r>
      <w:r w:rsidRPr="008115FB">
        <w:rPr>
          <w:rFonts w:eastAsia="Calibri"/>
          <w:kern w:val="2"/>
          <w:sz w:val="24"/>
          <w:szCs w:val="24"/>
        </w:rPr>
        <w:t xml:space="preserve"> „e-Arhiv“</w:t>
      </w:r>
      <w:r>
        <w:rPr>
          <w:rFonts w:eastAsia="Calibri"/>
          <w:kern w:val="2"/>
          <w:sz w:val="24"/>
          <w:szCs w:val="24"/>
        </w:rPr>
        <w:t xml:space="preserve">. </w:t>
      </w:r>
      <w:r w:rsidRPr="008115FB">
        <w:rPr>
          <w:rFonts w:eastAsia="Calibri"/>
          <w:kern w:val="2"/>
          <w:sz w:val="24"/>
          <w:szCs w:val="24"/>
        </w:rPr>
        <w:t>Tijekom izvještajnog razdoblja ugovorena je usluga razvoja nacionalnog arhivskog informacijskog sustava i započeti su postupci javne nabave za usluge i radove na unapr</w:t>
      </w:r>
      <w:r>
        <w:rPr>
          <w:rFonts w:eastAsia="Calibri"/>
          <w:kern w:val="2"/>
          <w:sz w:val="24"/>
          <w:szCs w:val="24"/>
        </w:rPr>
        <w:t>j</w:t>
      </w:r>
      <w:r w:rsidRPr="008115FB">
        <w:rPr>
          <w:rFonts w:eastAsia="Calibri"/>
          <w:kern w:val="2"/>
          <w:sz w:val="24"/>
          <w:szCs w:val="24"/>
        </w:rPr>
        <w:t>eđenju spremišnih kapaciteta područnih državnih arhiva.</w:t>
      </w:r>
      <w:r w:rsidR="008F29E5" w:rsidRPr="00BD1B6F">
        <w:rPr>
          <w:rFonts w:eastAsia="Calibri"/>
          <w:kern w:val="2"/>
          <w:sz w:val="24"/>
          <w:szCs w:val="24"/>
        </w:rPr>
        <w:br w:type="page"/>
      </w:r>
    </w:p>
    <w:p w14:paraId="4885783D" w14:textId="0C811418" w:rsidR="0032607E" w:rsidRPr="00BD1B6F" w:rsidRDefault="00DC1412" w:rsidP="00280456">
      <w:pPr>
        <w:pStyle w:val="Heading2"/>
        <w:rPr>
          <w:sz w:val="24"/>
          <w:szCs w:val="24"/>
        </w:rPr>
      </w:pPr>
      <w:bookmarkStart w:id="59" w:name="_Toc133420940"/>
      <w:bookmarkStart w:id="60" w:name="_Toc156819372"/>
      <w:r w:rsidRPr="00BD1B6F">
        <w:rPr>
          <w:sz w:val="24"/>
          <w:szCs w:val="24"/>
        </w:rPr>
        <w:lastRenderedPageBreak/>
        <w:t xml:space="preserve">2. </w:t>
      </w:r>
      <w:r w:rsidR="0032607E" w:rsidRPr="00BD1B6F">
        <w:rPr>
          <w:sz w:val="24"/>
          <w:szCs w:val="24"/>
        </w:rPr>
        <w:t>Obrazovani i zaposleni ljudi</w:t>
      </w:r>
      <w:bookmarkEnd w:id="59"/>
      <w:bookmarkEnd w:id="60"/>
    </w:p>
    <w:p w14:paraId="3A3DB75C" w14:textId="37334793" w:rsidR="0032607E" w:rsidRPr="00BD1B6F" w:rsidRDefault="00560378" w:rsidP="00280456">
      <w:pPr>
        <w:pStyle w:val="Heading3"/>
        <w:rPr>
          <w:sz w:val="24"/>
          <w:szCs w:val="24"/>
        </w:rPr>
      </w:pPr>
      <w:bookmarkStart w:id="61" w:name="_Toc130784352"/>
      <w:bookmarkStart w:id="62" w:name="_Toc156819373"/>
      <w:r w:rsidRPr="00BD1B6F">
        <w:rPr>
          <w:sz w:val="24"/>
          <w:szCs w:val="24"/>
        </w:rPr>
        <w:t>2.1.</w:t>
      </w:r>
      <w:r w:rsidR="00E5104E" w:rsidRPr="00BD1B6F">
        <w:rPr>
          <w:sz w:val="24"/>
          <w:szCs w:val="24"/>
        </w:rPr>
        <w:t xml:space="preserve"> </w:t>
      </w:r>
      <w:r w:rsidR="0032607E" w:rsidRPr="00BD1B6F">
        <w:rPr>
          <w:sz w:val="24"/>
          <w:szCs w:val="24"/>
        </w:rPr>
        <w:t>Ostvarene vrijednosti pokazatelja uspješnosti</w:t>
      </w:r>
      <w:bookmarkEnd w:id="61"/>
      <w:bookmarkEnd w:id="62"/>
      <w:r w:rsidR="0032607E" w:rsidRPr="00BD1B6F">
        <w:rPr>
          <w:sz w:val="24"/>
          <w:szCs w:val="24"/>
        </w:rPr>
        <w:t xml:space="preserve"> </w:t>
      </w:r>
    </w:p>
    <w:p w14:paraId="2ABAFAB0" w14:textId="77777777" w:rsidR="00F2477D" w:rsidRPr="00BD1B6F" w:rsidRDefault="00F2477D" w:rsidP="00280456">
      <w:pPr>
        <w:pStyle w:val="BodyText"/>
      </w:pPr>
    </w:p>
    <w:tbl>
      <w:tblPr>
        <w:tblStyle w:val="Reetkatablice1"/>
        <w:tblW w:w="9217" w:type="dxa"/>
        <w:jc w:val="center"/>
        <w:tblBorders>
          <w:top w:val="dotted" w:sz="2" w:space="0" w:color="auto"/>
          <w:left w:val="dotted" w:sz="2" w:space="0" w:color="auto"/>
          <w:bottom w:val="dotted" w:sz="2" w:space="0" w:color="auto"/>
          <w:right w:val="dotted" w:sz="2" w:space="0" w:color="auto"/>
          <w:insideH w:val="dotted" w:sz="2" w:space="0" w:color="auto"/>
          <w:insideV w:val="none" w:sz="0" w:space="0" w:color="auto"/>
        </w:tblBorders>
        <w:shd w:val="clear" w:color="auto" w:fill="FFFFFF" w:themeFill="background1"/>
        <w:tblLayout w:type="fixed"/>
        <w:tblLook w:val="04A0" w:firstRow="1" w:lastRow="0" w:firstColumn="1" w:lastColumn="0" w:noHBand="0" w:noVBand="1"/>
      </w:tblPr>
      <w:tblGrid>
        <w:gridCol w:w="2549"/>
        <w:gridCol w:w="2268"/>
        <w:gridCol w:w="1984"/>
        <w:gridCol w:w="2416"/>
      </w:tblGrid>
      <w:tr w:rsidR="00A66B7C" w:rsidRPr="008115FB" w14:paraId="6CD938B0" w14:textId="77777777" w:rsidTr="00FD2238">
        <w:trPr>
          <w:trHeight w:val="784"/>
          <w:tblHeader/>
          <w:jc w:val="center"/>
        </w:trPr>
        <w:tc>
          <w:tcPr>
            <w:tcW w:w="2549" w:type="dxa"/>
            <w:tcBorders>
              <w:right w:val="dotted" w:sz="2" w:space="0" w:color="auto"/>
            </w:tcBorders>
            <w:shd w:val="clear" w:color="auto" w:fill="B6DDE8" w:themeFill="accent5" w:themeFillTint="66"/>
            <w:vAlign w:val="center"/>
          </w:tcPr>
          <w:p w14:paraId="3A550FB9" w14:textId="77777777" w:rsidR="0032607E" w:rsidRPr="00BD1B6F" w:rsidRDefault="0032607E" w:rsidP="00343B4E">
            <w:pPr>
              <w:spacing w:line="276" w:lineRule="auto"/>
              <w:jc w:val="center"/>
              <w:rPr>
                <w:b/>
                <w:bCs/>
                <w:color w:val="000000" w:themeColor="text1"/>
                <w:sz w:val="24"/>
                <w:szCs w:val="24"/>
              </w:rPr>
            </w:pPr>
            <w:r w:rsidRPr="00BD1B6F">
              <w:rPr>
                <w:b/>
                <w:bCs/>
                <w:color w:val="000000" w:themeColor="text1"/>
                <w:sz w:val="24"/>
                <w:szCs w:val="24"/>
              </w:rPr>
              <w:t>Pokazatelj uspješnosti</w:t>
            </w:r>
          </w:p>
        </w:tc>
        <w:tc>
          <w:tcPr>
            <w:tcW w:w="2268" w:type="dxa"/>
            <w:tcBorders>
              <w:left w:val="dotted" w:sz="2" w:space="0" w:color="auto"/>
              <w:right w:val="dotted" w:sz="2" w:space="0" w:color="auto"/>
            </w:tcBorders>
            <w:shd w:val="clear" w:color="auto" w:fill="B6DDE8" w:themeFill="accent5" w:themeFillTint="66"/>
            <w:vAlign w:val="center"/>
          </w:tcPr>
          <w:p w14:paraId="79302311" w14:textId="77777777" w:rsidR="00974D8E" w:rsidRPr="00BD1B6F" w:rsidRDefault="0032607E" w:rsidP="00343B4E">
            <w:pPr>
              <w:spacing w:line="276" w:lineRule="auto"/>
              <w:jc w:val="center"/>
              <w:rPr>
                <w:b/>
                <w:bCs/>
                <w:color w:val="000000" w:themeColor="text1"/>
                <w:sz w:val="24"/>
                <w:szCs w:val="24"/>
              </w:rPr>
            </w:pPr>
            <w:r w:rsidRPr="00BD1B6F">
              <w:rPr>
                <w:b/>
                <w:bCs/>
                <w:color w:val="000000" w:themeColor="text1"/>
                <w:sz w:val="24"/>
                <w:szCs w:val="24"/>
              </w:rPr>
              <w:t xml:space="preserve">Početna </w:t>
            </w:r>
          </w:p>
          <w:p w14:paraId="6C48EE11" w14:textId="7C4B8B69" w:rsidR="0032607E" w:rsidRPr="00BD1B6F" w:rsidRDefault="0032607E" w:rsidP="00343B4E">
            <w:pPr>
              <w:spacing w:line="276" w:lineRule="auto"/>
              <w:jc w:val="center"/>
              <w:rPr>
                <w:b/>
                <w:bCs/>
                <w:color w:val="000000" w:themeColor="text1"/>
                <w:sz w:val="24"/>
                <w:szCs w:val="24"/>
              </w:rPr>
            </w:pPr>
            <w:r w:rsidRPr="00BD1B6F">
              <w:rPr>
                <w:b/>
                <w:bCs/>
                <w:color w:val="000000" w:themeColor="text1"/>
                <w:sz w:val="24"/>
                <w:szCs w:val="24"/>
              </w:rPr>
              <w:t>vrijednost</w:t>
            </w:r>
          </w:p>
        </w:tc>
        <w:tc>
          <w:tcPr>
            <w:tcW w:w="1984" w:type="dxa"/>
            <w:tcBorders>
              <w:left w:val="dotted" w:sz="2" w:space="0" w:color="auto"/>
              <w:right w:val="dotted" w:sz="2" w:space="0" w:color="auto"/>
            </w:tcBorders>
            <w:shd w:val="clear" w:color="auto" w:fill="B6DDE8" w:themeFill="accent5" w:themeFillTint="66"/>
            <w:vAlign w:val="center"/>
          </w:tcPr>
          <w:p w14:paraId="14206214" w14:textId="77777777" w:rsidR="00974D8E" w:rsidRPr="00BD1B6F" w:rsidRDefault="0032607E" w:rsidP="00343B4E">
            <w:pPr>
              <w:spacing w:line="276" w:lineRule="auto"/>
              <w:jc w:val="center"/>
              <w:rPr>
                <w:b/>
                <w:bCs/>
                <w:color w:val="000000" w:themeColor="text1"/>
                <w:sz w:val="24"/>
                <w:szCs w:val="24"/>
              </w:rPr>
            </w:pPr>
            <w:r w:rsidRPr="00BD1B6F">
              <w:rPr>
                <w:b/>
                <w:bCs/>
                <w:color w:val="000000" w:themeColor="text1"/>
                <w:sz w:val="24"/>
                <w:szCs w:val="24"/>
              </w:rPr>
              <w:t xml:space="preserve">Ciljna </w:t>
            </w:r>
          </w:p>
          <w:p w14:paraId="44E1F56A" w14:textId="7148E259" w:rsidR="0032607E" w:rsidRPr="00BD1B6F" w:rsidRDefault="0032607E" w:rsidP="00343B4E">
            <w:pPr>
              <w:spacing w:line="276" w:lineRule="auto"/>
              <w:jc w:val="center"/>
              <w:rPr>
                <w:b/>
                <w:bCs/>
                <w:color w:val="000000" w:themeColor="text1"/>
                <w:sz w:val="24"/>
                <w:szCs w:val="24"/>
              </w:rPr>
            </w:pPr>
            <w:r w:rsidRPr="00BD1B6F">
              <w:rPr>
                <w:b/>
                <w:bCs/>
                <w:color w:val="000000" w:themeColor="text1"/>
                <w:sz w:val="24"/>
                <w:szCs w:val="24"/>
              </w:rPr>
              <w:t>vrijednost</w:t>
            </w:r>
          </w:p>
        </w:tc>
        <w:tc>
          <w:tcPr>
            <w:tcW w:w="2416" w:type="dxa"/>
            <w:tcBorders>
              <w:left w:val="dotted" w:sz="2" w:space="0" w:color="auto"/>
            </w:tcBorders>
            <w:shd w:val="clear" w:color="auto" w:fill="B6DDE8" w:themeFill="accent5" w:themeFillTint="66"/>
            <w:vAlign w:val="center"/>
          </w:tcPr>
          <w:p w14:paraId="364CE3C2" w14:textId="77777777" w:rsidR="00974D8E" w:rsidRPr="00BD1B6F" w:rsidRDefault="0032607E" w:rsidP="00343B4E">
            <w:pPr>
              <w:spacing w:line="276" w:lineRule="auto"/>
              <w:ind w:left="-83"/>
              <w:jc w:val="center"/>
              <w:rPr>
                <w:b/>
                <w:bCs/>
                <w:color w:val="000000" w:themeColor="text1"/>
                <w:sz w:val="24"/>
                <w:szCs w:val="24"/>
              </w:rPr>
            </w:pPr>
            <w:r w:rsidRPr="00BD1B6F">
              <w:rPr>
                <w:b/>
                <w:bCs/>
                <w:color w:val="000000" w:themeColor="text1"/>
                <w:sz w:val="24"/>
                <w:szCs w:val="24"/>
              </w:rPr>
              <w:t xml:space="preserve">Ostvarena </w:t>
            </w:r>
          </w:p>
          <w:p w14:paraId="2B90CB6F" w14:textId="129697DE" w:rsidR="0032607E" w:rsidRPr="00BD1B6F" w:rsidRDefault="0032607E" w:rsidP="00343B4E">
            <w:pPr>
              <w:spacing w:line="276" w:lineRule="auto"/>
              <w:ind w:left="-83"/>
              <w:jc w:val="center"/>
              <w:rPr>
                <w:b/>
                <w:bCs/>
                <w:color w:val="000000" w:themeColor="text1"/>
                <w:sz w:val="24"/>
                <w:szCs w:val="24"/>
              </w:rPr>
            </w:pPr>
            <w:r w:rsidRPr="00BD1B6F">
              <w:rPr>
                <w:b/>
                <w:bCs/>
                <w:color w:val="000000" w:themeColor="text1"/>
                <w:sz w:val="24"/>
                <w:szCs w:val="24"/>
              </w:rPr>
              <w:t>vrijednost</w:t>
            </w:r>
          </w:p>
        </w:tc>
      </w:tr>
      <w:tr w:rsidR="00A66B7C" w:rsidRPr="008115FB" w14:paraId="38944341" w14:textId="77777777" w:rsidTr="00FD2238">
        <w:trPr>
          <w:trHeight w:val="1460"/>
          <w:jc w:val="center"/>
        </w:trPr>
        <w:tc>
          <w:tcPr>
            <w:tcW w:w="2549" w:type="dxa"/>
            <w:shd w:val="clear" w:color="auto" w:fill="FFFFFF" w:themeFill="background1"/>
            <w:vAlign w:val="center"/>
          </w:tcPr>
          <w:p w14:paraId="6460B032" w14:textId="77777777" w:rsidR="0032607E" w:rsidRPr="00BD1B6F" w:rsidRDefault="0032607E" w:rsidP="00343B4E">
            <w:pPr>
              <w:rPr>
                <w:color w:val="000000" w:themeColor="text1"/>
                <w:sz w:val="24"/>
                <w:szCs w:val="24"/>
              </w:rPr>
            </w:pPr>
            <w:r w:rsidRPr="00BD1B6F">
              <w:rPr>
                <w:color w:val="000000" w:themeColor="text1"/>
                <w:sz w:val="24"/>
                <w:szCs w:val="24"/>
              </w:rPr>
              <w:t>PISA - Program međunarodne procjene znanja i vještina učenika</w:t>
            </w:r>
          </w:p>
        </w:tc>
        <w:tc>
          <w:tcPr>
            <w:tcW w:w="2268" w:type="dxa"/>
            <w:shd w:val="clear" w:color="auto" w:fill="DAEEF3" w:themeFill="accent5" w:themeFillTint="33"/>
            <w:vAlign w:val="center"/>
          </w:tcPr>
          <w:p w14:paraId="6C545C88" w14:textId="77777777" w:rsidR="0032607E" w:rsidRPr="00BD1B6F" w:rsidRDefault="0032607E" w:rsidP="00343B4E">
            <w:pPr>
              <w:spacing w:line="276" w:lineRule="auto"/>
              <w:jc w:val="center"/>
              <w:rPr>
                <w:color w:val="000000" w:themeColor="text1"/>
                <w:sz w:val="24"/>
                <w:szCs w:val="24"/>
              </w:rPr>
            </w:pPr>
            <w:r w:rsidRPr="00BD1B6F">
              <w:rPr>
                <w:color w:val="000000" w:themeColor="text1"/>
                <w:sz w:val="24"/>
                <w:szCs w:val="24"/>
              </w:rPr>
              <w:t>479 bodova (čitalačka pismenost) (2018.)</w:t>
            </w:r>
          </w:p>
        </w:tc>
        <w:tc>
          <w:tcPr>
            <w:tcW w:w="1984" w:type="dxa"/>
            <w:shd w:val="clear" w:color="auto" w:fill="FFFFFF" w:themeFill="background1"/>
            <w:vAlign w:val="center"/>
          </w:tcPr>
          <w:p w14:paraId="7B6EBC99" w14:textId="77777777" w:rsidR="0032607E" w:rsidRPr="00BD1B6F" w:rsidRDefault="0032607E" w:rsidP="00343B4E">
            <w:pPr>
              <w:spacing w:line="276" w:lineRule="auto"/>
              <w:jc w:val="center"/>
              <w:rPr>
                <w:color w:val="000000" w:themeColor="text1"/>
                <w:sz w:val="24"/>
                <w:szCs w:val="24"/>
              </w:rPr>
            </w:pPr>
            <w:r w:rsidRPr="00BD1B6F">
              <w:rPr>
                <w:color w:val="000000" w:themeColor="text1"/>
                <w:sz w:val="24"/>
                <w:szCs w:val="24"/>
              </w:rPr>
              <w:t xml:space="preserve">Dostići prosjek zemalja OECD-a </w:t>
            </w:r>
          </w:p>
        </w:tc>
        <w:tc>
          <w:tcPr>
            <w:tcW w:w="2416" w:type="dxa"/>
            <w:shd w:val="clear" w:color="auto" w:fill="DAEEF3" w:themeFill="accent5" w:themeFillTint="33"/>
            <w:vAlign w:val="center"/>
          </w:tcPr>
          <w:p w14:paraId="44B46401" w14:textId="77777777" w:rsidR="007F34BA" w:rsidRDefault="00A96964" w:rsidP="00F56EA7">
            <w:pPr>
              <w:spacing w:line="276" w:lineRule="auto"/>
              <w:ind w:left="-83"/>
              <w:jc w:val="center"/>
              <w:rPr>
                <w:color w:val="000000" w:themeColor="text1"/>
                <w:sz w:val="24"/>
                <w:szCs w:val="24"/>
              </w:rPr>
            </w:pPr>
            <w:r>
              <w:rPr>
                <w:color w:val="000000" w:themeColor="text1"/>
                <w:sz w:val="24"/>
                <w:szCs w:val="24"/>
              </w:rPr>
              <w:t>475</w:t>
            </w:r>
            <w:r w:rsidR="00A96EAC">
              <w:rPr>
                <w:color w:val="000000" w:themeColor="text1"/>
                <w:sz w:val="24"/>
                <w:szCs w:val="24"/>
              </w:rPr>
              <w:t xml:space="preserve"> bodova </w:t>
            </w:r>
          </w:p>
          <w:p w14:paraId="2C9E4974" w14:textId="77777777" w:rsidR="007F34BA" w:rsidRDefault="007F34BA" w:rsidP="00F56EA7">
            <w:pPr>
              <w:spacing w:line="276" w:lineRule="auto"/>
              <w:ind w:left="-83"/>
              <w:jc w:val="center"/>
              <w:rPr>
                <w:color w:val="000000" w:themeColor="text1"/>
                <w:sz w:val="24"/>
                <w:szCs w:val="24"/>
              </w:rPr>
            </w:pPr>
            <w:r>
              <w:rPr>
                <w:color w:val="000000" w:themeColor="text1"/>
                <w:sz w:val="24"/>
                <w:szCs w:val="24"/>
              </w:rPr>
              <w:t>(čitalačka pismenost)</w:t>
            </w:r>
          </w:p>
          <w:p w14:paraId="624628B3" w14:textId="38BC5888" w:rsidR="0032607E" w:rsidRPr="00BD1B6F" w:rsidRDefault="00A96EAC" w:rsidP="00F56EA7">
            <w:pPr>
              <w:spacing w:line="276" w:lineRule="auto"/>
              <w:ind w:left="-83"/>
              <w:jc w:val="center"/>
              <w:rPr>
                <w:color w:val="000000" w:themeColor="text1"/>
                <w:sz w:val="24"/>
                <w:szCs w:val="24"/>
              </w:rPr>
            </w:pPr>
            <w:r>
              <w:rPr>
                <w:color w:val="000000" w:themeColor="text1"/>
                <w:sz w:val="24"/>
                <w:szCs w:val="24"/>
              </w:rPr>
              <w:t>(</w:t>
            </w:r>
            <w:r w:rsidR="00141C5A">
              <w:rPr>
                <w:color w:val="000000" w:themeColor="text1"/>
                <w:sz w:val="24"/>
                <w:szCs w:val="24"/>
              </w:rPr>
              <w:t>2022.)</w:t>
            </w:r>
          </w:p>
        </w:tc>
      </w:tr>
      <w:tr w:rsidR="00A66B7C" w:rsidRPr="008115FB" w14:paraId="2EFA1C91" w14:textId="77777777" w:rsidTr="00FD2238">
        <w:trPr>
          <w:trHeight w:val="1136"/>
          <w:jc w:val="center"/>
        </w:trPr>
        <w:tc>
          <w:tcPr>
            <w:tcW w:w="2549" w:type="dxa"/>
            <w:shd w:val="clear" w:color="auto" w:fill="FFFFFF" w:themeFill="background1"/>
            <w:vAlign w:val="center"/>
          </w:tcPr>
          <w:p w14:paraId="2AE4E17E" w14:textId="293AC3AD" w:rsidR="0032607E" w:rsidRPr="00BD1B6F" w:rsidRDefault="0032607E" w:rsidP="00343B4E">
            <w:pPr>
              <w:rPr>
                <w:color w:val="000000" w:themeColor="text1"/>
                <w:sz w:val="24"/>
                <w:szCs w:val="24"/>
              </w:rPr>
            </w:pPr>
            <w:r w:rsidRPr="00BD1B6F">
              <w:rPr>
                <w:color w:val="000000" w:themeColor="text1"/>
                <w:sz w:val="24"/>
                <w:szCs w:val="24"/>
              </w:rPr>
              <w:t xml:space="preserve">Obuhvat djece od </w:t>
            </w:r>
            <w:r w:rsidR="008108CB" w:rsidRPr="00BD1B6F">
              <w:rPr>
                <w:color w:val="000000" w:themeColor="text1"/>
                <w:sz w:val="24"/>
                <w:szCs w:val="24"/>
              </w:rPr>
              <w:t>4</w:t>
            </w:r>
            <w:r w:rsidRPr="00BD1B6F">
              <w:rPr>
                <w:color w:val="000000" w:themeColor="text1"/>
                <w:sz w:val="24"/>
                <w:szCs w:val="24"/>
              </w:rPr>
              <w:t xml:space="preserve"> godine do početka obveznog obrazovanja (predškolski odgoj)</w:t>
            </w:r>
          </w:p>
        </w:tc>
        <w:tc>
          <w:tcPr>
            <w:tcW w:w="2268" w:type="dxa"/>
            <w:shd w:val="clear" w:color="auto" w:fill="DAEEF3" w:themeFill="accent5" w:themeFillTint="33"/>
            <w:vAlign w:val="center"/>
          </w:tcPr>
          <w:p w14:paraId="29AB6030" w14:textId="25658212" w:rsidR="0032607E" w:rsidRPr="00BD1B6F" w:rsidRDefault="008108CB" w:rsidP="00343B4E">
            <w:pPr>
              <w:spacing w:line="276" w:lineRule="auto"/>
              <w:jc w:val="center"/>
              <w:rPr>
                <w:color w:val="000000" w:themeColor="text1"/>
                <w:sz w:val="24"/>
                <w:szCs w:val="24"/>
              </w:rPr>
            </w:pPr>
            <w:r w:rsidRPr="00BD1B6F">
              <w:rPr>
                <w:color w:val="000000" w:themeColor="text1"/>
                <w:sz w:val="24"/>
                <w:szCs w:val="24"/>
              </w:rPr>
              <w:t>8</w:t>
            </w:r>
            <w:r w:rsidR="003F0C22">
              <w:rPr>
                <w:color w:val="000000" w:themeColor="text1"/>
                <w:sz w:val="24"/>
                <w:szCs w:val="24"/>
              </w:rPr>
              <w:t>3</w:t>
            </w:r>
            <w:r w:rsidR="001D03A3" w:rsidRPr="00BD1B6F">
              <w:rPr>
                <w:color w:val="000000" w:themeColor="text1"/>
                <w:sz w:val="24"/>
                <w:szCs w:val="24"/>
              </w:rPr>
              <w:t>,</w:t>
            </w:r>
            <w:r w:rsidR="003F0C22">
              <w:rPr>
                <w:color w:val="000000" w:themeColor="text1"/>
                <w:sz w:val="24"/>
                <w:szCs w:val="24"/>
              </w:rPr>
              <w:t>0</w:t>
            </w:r>
            <w:r w:rsidR="006C121D">
              <w:rPr>
                <w:color w:val="000000" w:themeColor="text1"/>
                <w:sz w:val="24"/>
                <w:szCs w:val="24"/>
              </w:rPr>
              <w:t>000</w:t>
            </w:r>
            <w:r w:rsidR="0032607E" w:rsidRPr="00BD1B6F">
              <w:rPr>
                <w:color w:val="000000" w:themeColor="text1"/>
                <w:sz w:val="24"/>
                <w:szCs w:val="24"/>
              </w:rPr>
              <w:t>% (2019.)</w:t>
            </w:r>
          </w:p>
        </w:tc>
        <w:tc>
          <w:tcPr>
            <w:tcW w:w="1984" w:type="dxa"/>
            <w:shd w:val="clear" w:color="auto" w:fill="FFFFFF" w:themeFill="background1"/>
            <w:vAlign w:val="center"/>
          </w:tcPr>
          <w:p w14:paraId="2E95DADE" w14:textId="00681941" w:rsidR="0032607E" w:rsidRPr="00BD1B6F" w:rsidRDefault="0032607E" w:rsidP="00343B4E">
            <w:pPr>
              <w:spacing w:line="276" w:lineRule="auto"/>
              <w:jc w:val="center"/>
              <w:rPr>
                <w:color w:val="000000" w:themeColor="text1"/>
                <w:sz w:val="24"/>
                <w:szCs w:val="24"/>
              </w:rPr>
            </w:pPr>
            <w:r w:rsidRPr="00BD1B6F">
              <w:rPr>
                <w:color w:val="000000" w:themeColor="text1"/>
                <w:sz w:val="24"/>
                <w:szCs w:val="24"/>
              </w:rPr>
              <w:t>&gt; 97%</w:t>
            </w:r>
          </w:p>
        </w:tc>
        <w:tc>
          <w:tcPr>
            <w:tcW w:w="2416" w:type="dxa"/>
            <w:shd w:val="clear" w:color="auto" w:fill="DAEEF3" w:themeFill="accent5" w:themeFillTint="33"/>
            <w:vAlign w:val="center"/>
          </w:tcPr>
          <w:p w14:paraId="45FA50CA" w14:textId="22F537C4" w:rsidR="0032607E" w:rsidRPr="00BD1B6F" w:rsidRDefault="006A08D0" w:rsidP="00343B4E">
            <w:pPr>
              <w:spacing w:line="276" w:lineRule="auto"/>
              <w:ind w:left="-83"/>
              <w:jc w:val="center"/>
              <w:rPr>
                <w:color w:val="000000" w:themeColor="text1"/>
                <w:sz w:val="24"/>
                <w:szCs w:val="24"/>
              </w:rPr>
            </w:pPr>
            <w:r w:rsidRPr="00BD1B6F">
              <w:rPr>
                <w:color w:val="000000" w:themeColor="text1"/>
                <w:sz w:val="24"/>
                <w:szCs w:val="24"/>
              </w:rPr>
              <w:t>8</w:t>
            </w:r>
            <w:r w:rsidR="00C71B04">
              <w:rPr>
                <w:color w:val="000000" w:themeColor="text1"/>
                <w:sz w:val="24"/>
                <w:szCs w:val="24"/>
              </w:rPr>
              <w:t>4,3</w:t>
            </w:r>
            <w:r w:rsidR="00854455" w:rsidRPr="00BD1B6F">
              <w:rPr>
                <w:color w:val="000000" w:themeColor="text1"/>
                <w:sz w:val="24"/>
                <w:szCs w:val="24"/>
              </w:rPr>
              <w:t>%</w:t>
            </w:r>
            <w:r w:rsidR="003C0A3D" w:rsidRPr="00BD1B6F">
              <w:rPr>
                <w:color w:val="000000" w:themeColor="text1"/>
                <w:sz w:val="24"/>
                <w:szCs w:val="24"/>
              </w:rPr>
              <w:t xml:space="preserve"> </w:t>
            </w:r>
            <w:r w:rsidR="00854455" w:rsidRPr="00BD1B6F">
              <w:rPr>
                <w:color w:val="000000" w:themeColor="text1"/>
                <w:sz w:val="24"/>
                <w:szCs w:val="24"/>
              </w:rPr>
              <w:t>(202</w:t>
            </w:r>
            <w:r w:rsidR="00874D0F">
              <w:rPr>
                <w:color w:val="000000" w:themeColor="text1"/>
                <w:sz w:val="24"/>
                <w:szCs w:val="24"/>
              </w:rPr>
              <w:t>2</w:t>
            </w:r>
            <w:r w:rsidR="00854455" w:rsidRPr="00BD1B6F">
              <w:rPr>
                <w:color w:val="000000" w:themeColor="text1"/>
                <w:sz w:val="24"/>
                <w:szCs w:val="24"/>
              </w:rPr>
              <w:t>.)</w:t>
            </w:r>
          </w:p>
        </w:tc>
      </w:tr>
      <w:tr w:rsidR="00A66B7C" w:rsidRPr="008115FB" w14:paraId="498086A6" w14:textId="77777777" w:rsidTr="00FD2238">
        <w:trPr>
          <w:jc w:val="center"/>
        </w:trPr>
        <w:tc>
          <w:tcPr>
            <w:tcW w:w="2549" w:type="dxa"/>
            <w:shd w:val="clear" w:color="auto" w:fill="FFFFFF" w:themeFill="background1"/>
            <w:vAlign w:val="center"/>
          </w:tcPr>
          <w:p w14:paraId="4C26AF95" w14:textId="549D3250" w:rsidR="0032607E" w:rsidRPr="00BD1B6F" w:rsidRDefault="79B6EC7F" w:rsidP="00343B4E">
            <w:pPr>
              <w:rPr>
                <w:color w:val="000000" w:themeColor="text1"/>
                <w:sz w:val="24"/>
                <w:szCs w:val="24"/>
              </w:rPr>
            </w:pPr>
            <w:r w:rsidRPr="00BD1B6F">
              <w:rPr>
                <w:color w:val="000000" w:themeColor="text1"/>
                <w:sz w:val="24"/>
                <w:szCs w:val="24"/>
              </w:rPr>
              <w:t>Duljina vremena kojeg učenici provode u nastavnom procesu (primarno i sekundarno obrazovanje)</w:t>
            </w:r>
          </w:p>
        </w:tc>
        <w:tc>
          <w:tcPr>
            <w:tcW w:w="2268" w:type="dxa"/>
            <w:shd w:val="clear" w:color="auto" w:fill="DAEEF3" w:themeFill="accent5" w:themeFillTint="33"/>
            <w:vAlign w:val="center"/>
          </w:tcPr>
          <w:p w14:paraId="032AB6DB" w14:textId="0971B177" w:rsidR="0032607E" w:rsidRPr="00FD2238" w:rsidRDefault="0032607E" w:rsidP="009E2BC1">
            <w:pPr>
              <w:spacing w:line="276" w:lineRule="auto"/>
              <w:jc w:val="center"/>
              <w:rPr>
                <w:color w:val="000000" w:themeColor="text1"/>
              </w:rPr>
            </w:pPr>
            <w:r w:rsidRPr="00FD2238">
              <w:rPr>
                <w:color w:val="000000" w:themeColor="text1"/>
              </w:rPr>
              <w:t>Primarno obrazovanje: 1890 sati</w:t>
            </w:r>
          </w:p>
          <w:p w14:paraId="18B5AD3A" w14:textId="69B1D7A7" w:rsidR="0032607E" w:rsidRPr="00FD2238" w:rsidRDefault="0032607E" w:rsidP="009E2BC1">
            <w:pPr>
              <w:spacing w:line="276" w:lineRule="auto"/>
              <w:jc w:val="center"/>
              <w:rPr>
                <w:color w:val="000000" w:themeColor="text1"/>
              </w:rPr>
            </w:pPr>
            <w:r w:rsidRPr="00FD2238">
              <w:rPr>
                <w:color w:val="000000" w:themeColor="text1"/>
              </w:rPr>
              <w:t>Niže sekundarno obrazovanje: 2651 sat (2019.)</w:t>
            </w:r>
          </w:p>
        </w:tc>
        <w:tc>
          <w:tcPr>
            <w:tcW w:w="1984" w:type="dxa"/>
            <w:shd w:val="clear" w:color="auto" w:fill="FFFFFF" w:themeFill="background1"/>
            <w:vAlign w:val="center"/>
          </w:tcPr>
          <w:p w14:paraId="16ACB5D7" w14:textId="77777777" w:rsidR="00847FF7" w:rsidRDefault="0032607E" w:rsidP="008B195C">
            <w:pPr>
              <w:spacing w:line="276" w:lineRule="auto"/>
              <w:jc w:val="center"/>
              <w:rPr>
                <w:color w:val="000000" w:themeColor="text1"/>
              </w:rPr>
            </w:pPr>
            <w:r w:rsidRPr="00FD2238">
              <w:rPr>
                <w:color w:val="000000" w:themeColor="text1"/>
              </w:rPr>
              <w:t xml:space="preserve">Dostići prosjek </w:t>
            </w:r>
          </w:p>
          <w:p w14:paraId="0CC3505C" w14:textId="4256CABE" w:rsidR="0032607E" w:rsidRPr="00FD2238" w:rsidRDefault="0032607E" w:rsidP="008B195C">
            <w:pPr>
              <w:spacing w:line="276" w:lineRule="auto"/>
              <w:jc w:val="center"/>
              <w:rPr>
                <w:color w:val="000000" w:themeColor="text1"/>
              </w:rPr>
            </w:pPr>
            <w:r w:rsidRPr="00FD2238">
              <w:rPr>
                <w:color w:val="000000" w:themeColor="text1"/>
              </w:rPr>
              <w:t>EU-a</w:t>
            </w:r>
          </w:p>
        </w:tc>
        <w:tc>
          <w:tcPr>
            <w:tcW w:w="2416" w:type="dxa"/>
            <w:shd w:val="clear" w:color="auto" w:fill="DAEEF3" w:themeFill="accent5" w:themeFillTint="33"/>
            <w:vAlign w:val="center"/>
          </w:tcPr>
          <w:p w14:paraId="41106BB2" w14:textId="364ED372" w:rsidR="0032607E" w:rsidRPr="00FD2238" w:rsidRDefault="0F0DC70B" w:rsidP="00763014">
            <w:pPr>
              <w:spacing w:before="240" w:after="160" w:line="276" w:lineRule="auto"/>
              <w:contextualSpacing/>
              <w:jc w:val="center"/>
              <w:rPr>
                <w:color w:val="000000" w:themeColor="text1"/>
              </w:rPr>
            </w:pPr>
            <w:r w:rsidRPr="00FD2238">
              <w:rPr>
                <w:color w:val="000000" w:themeColor="text1"/>
              </w:rPr>
              <w:t>Primarno obrazovanje: 1890 sati</w:t>
            </w:r>
          </w:p>
          <w:p w14:paraId="3BEE8C13" w14:textId="41E1D094" w:rsidR="0032607E" w:rsidRPr="00FD2238" w:rsidRDefault="0F0DC70B" w:rsidP="00763014">
            <w:pPr>
              <w:spacing w:before="240" w:after="160" w:line="276" w:lineRule="auto"/>
              <w:contextualSpacing/>
              <w:jc w:val="center"/>
              <w:rPr>
                <w:color w:val="000000" w:themeColor="text1"/>
              </w:rPr>
            </w:pPr>
            <w:r w:rsidRPr="00FD2238">
              <w:rPr>
                <w:color w:val="000000" w:themeColor="text1"/>
              </w:rPr>
              <w:t xml:space="preserve">Niže sekundarno obrazovanje: 2651 sat (2022.) </w:t>
            </w:r>
          </w:p>
        </w:tc>
      </w:tr>
      <w:tr w:rsidR="00A66B7C" w:rsidRPr="008115FB" w14:paraId="0A336903" w14:textId="77777777" w:rsidTr="00FD2238">
        <w:trPr>
          <w:trHeight w:val="667"/>
          <w:jc w:val="center"/>
        </w:trPr>
        <w:tc>
          <w:tcPr>
            <w:tcW w:w="2549" w:type="dxa"/>
            <w:shd w:val="clear" w:color="auto" w:fill="FFFFFF" w:themeFill="background1"/>
            <w:vAlign w:val="center"/>
          </w:tcPr>
          <w:p w14:paraId="62BA6EA9" w14:textId="6E10DA15" w:rsidR="0032607E" w:rsidRPr="00BD1B6F" w:rsidRDefault="0032607E" w:rsidP="00343B4E">
            <w:pPr>
              <w:rPr>
                <w:color w:val="000000" w:themeColor="text1"/>
                <w:sz w:val="24"/>
                <w:szCs w:val="24"/>
              </w:rPr>
            </w:pPr>
            <w:r w:rsidRPr="00BD1B6F">
              <w:rPr>
                <w:color w:val="000000" w:themeColor="text1"/>
                <w:sz w:val="24"/>
                <w:szCs w:val="24"/>
              </w:rPr>
              <w:t>Postotak visokoobrazovanih u dobnoj skupini 30-34</w:t>
            </w:r>
          </w:p>
        </w:tc>
        <w:tc>
          <w:tcPr>
            <w:tcW w:w="2268" w:type="dxa"/>
            <w:shd w:val="clear" w:color="auto" w:fill="DAEEF3" w:themeFill="accent5" w:themeFillTint="33"/>
            <w:vAlign w:val="center"/>
          </w:tcPr>
          <w:p w14:paraId="253439DD" w14:textId="77777777" w:rsidR="0032607E" w:rsidRPr="00BD1B6F" w:rsidRDefault="0032607E" w:rsidP="00343B4E">
            <w:pPr>
              <w:spacing w:line="276" w:lineRule="auto"/>
              <w:jc w:val="center"/>
              <w:rPr>
                <w:color w:val="000000" w:themeColor="text1"/>
                <w:sz w:val="24"/>
                <w:szCs w:val="24"/>
              </w:rPr>
            </w:pPr>
            <w:r w:rsidRPr="00BD1B6F">
              <w:rPr>
                <w:color w:val="000000" w:themeColor="text1"/>
                <w:sz w:val="24"/>
                <w:szCs w:val="24"/>
              </w:rPr>
              <w:t>33,1% (2019.)</w:t>
            </w:r>
          </w:p>
        </w:tc>
        <w:tc>
          <w:tcPr>
            <w:tcW w:w="1984" w:type="dxa"/>
            <w:shd w:val="clear" w:color="auto" w:fill="FFFFFF" w:themeFill="background1"/>
            <w:vAlign w:val="center"/>
          </w:tcPr>
          <w:p w14:paraId="5F9C9F69" w14:textId="77777777" w:rsidR="0032607E" w:rsidRPr="00BD1B6F" w:rsidRDefault="0032607E" w:rsidP="00343B4E">
            <w:pPr>
              <w:spacing w:line="276" w:lineRule="auto"/>
              <w:jc w:val="center"/>
              <w:rPr>
                <w:color w:val="000000" w:themeColor="text1"/>
                <w:sz w:val="24"/>
                <w:szCs w:val="24"/>
              </w:rPr>
            </w:pPr>
            <w:r w:rsidRPr="00BD1B6F">
              <w:rPr>
                <w:color w:val="000000" w:themeColor="text1"/>
                <w:sz w:val="24"/>
                <w:szCs w:val="24"/>
              </w:rPr>
              <w:t>Dostići prosjek EU-a</w:t>
            </w:r>
          </w:p>
        </w:tc>
        <w:tc>
          <w:tcPr>
            <w:tcW w:w="2416" w:type="dxa"/>
            <w:shd w:val="clear" w:color="auto" w:fill="DAEEF3" w:themeFill="accent5" w:themeFillTint="33"/>
            <w:vAlign w:val="center"/>
          </w:tcPr>
          <w:p w14:paraId="169C6DF7" w14:textId="1240EF7E" w:rsidR="0032607E" w:rsidRPr="00BD1B6F" w:rsidRDefault="00047C1A" w:rsidP="00343B4E">
            <w:pPr>
              <w:spacing w:line="276" w:lineRule="auto"/>
              <w:ind w:left="-83"/>
              <w:jc w:val="center"/>
              <w:rPr>
                <w:color w:val="000000" w:themeColor="text1"/>
                <w:sz w:val="24"/>
                <w:szCs w:val="24"/>
              </w:rPr>
            </w:pPr>
            <w:r w:rsidRPr="00BD1B6F">
              <w:rPr>
                <w:color w:val="000000" w:themeColor="text1"/>
                <w:sz w:val="24"/>
                <w:szCs w:val="24"/>
              </w:rPr>
              <w:t>34,</w:t>
            </w:r>
            <w:r w:rsidR="00A117A4" w:rsidRPr="00BD1B6F">
              <w:rPr>
                <w:color w:val="000000" w:themeColor="text1"/>
                <w:sz w:val="24"/>
                <w:szCs w:val="24"/>
              </w:rPr>
              <w:t>2</w:t>
            </w:r>
            <w:r w:rsidRPr="00BD1B6F">
              <w:rPr>
                <w:color w:val="000000" w:themeColor="text1"/>
                <w:sz w:val="24"/>
                <w:szCs w:val="24"/>
              </w:rPr>
              <w:t>% (202</w:t>
            </w:r>
            <w:r w:rsidR="00A117A4" w:rsidRPr="00BD1B6F">
              <w:rPr>
                <w:color w:val="000000" w:themeColor="text1"/>
                <w:sz w:val="24"/>
                <w:szCs w:val="24"/>
              </w:rPr>
              <w:t>2</w:t>
            </w:r>
            <w:r w:rsidRPr="00BD1B6F">
              <w:rPr>
                <w:color w:val="000000" w:themeColor="text1"/>
                <w:sz w:val="24"/>
                <w:szCs w:val="24"/>
              </w:rPr>
              <w:t>.)</w:t>
            </w:r>
          </w:p>
        </w:tc>
      </w:tr>
      <w:tr w:rsidR="00A66B7C" w:rsidRPr="008115FB" w14:paraId="1302A441" w14:textId="77777777" w:rsidTr="00FD2238">
        <w:trPr>
          <w:trHeight w:val="1254"/>
          <w:jc w:val="center"/>
        </w:trPr>
        <w:tc>
          <w:tcPr>
            <w:tcW w:w="2549" w:type="dxa"/>
            <w:shd w:val="clear" w:color="auto" w:fill="FFFFFF" w:themeFill="background1"/>
            <w:vAlign w:val="center"/>
          </w:tcPr>
          <w:p w14:paraId="7150481E" w14:textId="560ECB10" w:rsidR="0032607E" w:rsidRPr="00BD1B6F" w:rsidRDefault="0032607E" w:rsidP="00343B4E">
            <w:pPr>
              <w:rPr>
                <w:color w:val="000000" w:themeColor="text1"/>
                <w:sz w:val="24"/>
                <w:szCs w:val="24"/>
              </w:rPr>
            </w:pPr>
            <w:r w:rsidRPr="00BD1B6F">
              <w:rPr>
                <w:color w:val="000000" w:themeColor="text1"/>
                <w:sz w:val="24"/>
                <w:szCs w:val="24"/>
              </w:rPr>
              <w:t>Stopa sudjelovanja odraslih u cjeloživotnom obrazovanju (dobna skupina 25</w:t>
            </w:r>
            <w:r w:rsidR="002A252F" w:rsidRPr="00BD1B6F">
              <w:rPr>
                <w:color w:val="000000" w:themeColor="text1"/>
                <w:sz w:val="24"/>
                <w:szCs w:val="24"/>
              </w:rPr>
              <w:t>-</w:t>
            </w:r>
            <w:r w:rsidRPr="00BD1B6F">
              <w:rPr>
                <w:color w:val="000000" w:themeColor="text1"/>
                <w:sz w:val="24"/>
                <w:szCs w:val="24"/>
              </w:rPr>
              <w:t>64)</w:t>
            </w:r>
          </w:p>
        </w:tc>
        <w:tc>
          <w:tcPr>
            <w:tcW w:w="2268" w:type="dxa"/>
            <w:shd w:val="clear" w:color="auto" w:fill="DAEEF3" w:themeFill="accent5" w:themeFillTint="33"/>
            <w:vAlign w:val="center"/>
          </w:tcPr>
          <w:p w14:paraId="2FEB914C" w14:textId="77777777" w:rsidR="0032607E" w:rsidRPr="00BD1B6F" w:rsidRDefault="0032607E" w:rsidP="00343B4E">
            <w:pPr>
              <w:spacing w:line="276" w:lineRule="auto"/>
              <w:jc w:val="center"/>
              <w:rPr>
                <w:color w:val="000000" w:themeColor="text1"/>
                <w:sz w:val="24"/>
                <w:szCs w:val="24"/>
              </w:rPr>
            </w:pPr>
            <w:r w:rsidRPr="00BD1B6F">
              <w:rPr>
                <w:color w:val="000000" w:themeColor="text1"/>
                <w:sz w:val="24"/>
                <w:szCs w:val="24"/>
              </w:rPr>
              <w:t>3,5% (2019.)</w:t>
            </w:r>
          </w:p>
        </w:tc>
        <w:tc>
          <w:tcPr>
            <w:tcW w:w="1984" w:type="dxa"/>
            <w:shd w:val="clear" w:color="auto" w:fill="FFFFFF" w:themeFill="background1"/>
            <w:vAlign w:val="center"/>
          </w:tcPr>
          <w:p w14:paraId="7B31E7BF" w14:textId="61DB7802" w:rsidR="0032607E" w:rsidRPr="00BD1B6F" w:rsidRDefault="0032607E" w:rsidP="00343B4E">
            <w:pPr>
              <w:spacing w:line="276" w:lineRule="auto"/>
              <w:jc w:val="center"/>
              <w:rPr>
                <w:color w:val="000000" w:themeColor="text1"/>
                <w:sz w:val="24"/>
                <w:szCs w:val="24"/>
              </w:rPr>
            </w:pPr>
            <w:r w:rsidRPr="00BD1B6F">
              <w:rPr>
                <w:color w:val="000000" w:themeColor="text1"/>
                <w:sz w:val="24"/>
                <w:szCs w:val="24"/>
              </w:rPr>
              <w:t>Dostići prosjek EU-a</w:t>
            </w:r>
          </w:p>
        </w:tc>
        <w:tc>
          <w:tcPr>
            <w:tcW w:w="2416" w:type="dxa"/>
            <w:shd w:val="clear" w:color="auto" w:fill="DAEEF3" w:themeFill="accent5" w:themeFillTint="33"/>
            <w:vAlign w:val="center"/>
          </w:tcPr>
          <w:p w14:paraId="4494941B" w14:textId="178F09C3" w:rsidR="0032607E" w:rsidRPr="00BD1B6F" w:rsidRDefault="00FF139C" w:rsidP="00343B4E">
            <w:pPr>
              <w:spacing w:line="276" w:lineRule="auto"/>
              <w:ind w:left="-83"/>
              <w:jc w:val="center"/>
              <w:rPr>
                <w:color w:val="000000" w:themeColor="text1"/>
                <w:sz w:val="24"/>
                <w:szCs w:val="24"/>
              </w:rPr>
            </w:pPr>
            <w:r w:rsidRPr="00BD1B6F">
              <w:rPr>
                <w:color w:val="000000" w:themeColor="text1"/>
                <w:sz w:val="24"/>
                <w:szCs w:val="24"/>
              </w:rPr>
              <w:t>4,4</w:t>
            </w:r>
            <w:r w:rsidR="004823D6" w:rsidRPr="00BD1B6F">
              <w:rPr>
                <w:color w:val="000000" w:themeColor="text1"/>
                <w:sz w:val="24"/>
                <w:szCs w:val="24"/>
              </w:rPr>
              <w:t>% (2022.)</w:t>
            </w:r>
          </w:p>
        </w:tc>
      </w:tr>
      <w:tr w:rsidR="00A66B7C" w:rsidRPr="008115FB" w14:paraId="7E574E47" w14:textId="77777777" w:rsidTr="00FD2238">
        <w:trPr>
          <w:trHeight w:val="847"/>
          <w:jc w:val="center"/>
        </w:trPr>
        <w:tc>
          <w:tcPr>
            <w:tcW w:w="2549" w:type="dxa"/>
            <w:shd w:val="clear" w:color="auto" w:fill="FFFFFF" w:themeFill="background1"/>
            <w:vAlign w:val="center"/>
          </w:tcPr>
          <w:p w14:paraId="67642049" w14:textId="24414CF5" w:rsidR="0032607E" w:rsidRPr="00BD1B6F" w:rsidRDefault="0032607E" w:rsidP="00343B4E">
            <w:pPr>
              <w:rPr>
                <w:color w:val="000000" w:themeColor="text1"/>
                <w:sz w:val="24"/>
                <w:szCs w:val="24"/>
              </w:rPr>
            </w:pPr>
            <w:r w:rsidRPr="00BD1B6F">
              <w:rPr>
                <w:color w:val="000000" w:themeColor="text1"/>
                <w:sz w:val="24"/>
                <w:szCs w:val="24"/>
              </w:rPr>
              <w:t>Stopa zaposlenosti (dobna skupina 20-64 godine)</w:t>
            </w:r>
          </w:p>
        </w:tc>
        <w:tc>
          <w:tcPr>
            <w:tcW w:w="2268" w:type="dxa"/>
            <w:shd w:val="clear" w:color="auto" w:fill="DAEEF3" w:themeFill="accent5" w:themeFillTint="33"/>
            <w:vAlign w:val="center"/>
          </w:tcPr>
          <w:p w14:paraId="07378616" w14:textId="77777777" w:rsidR="0032607E" w:rsidRPr="00BD1B6F" w:rsidRDefault="0032607E" w:rsidP="00343B4E">
            <w:pPr>
              <w:spacing w:line="276" w:lineRule="auto"/>
              <w:jc w:val="center"/>
              <w:rPr>
                <w:color w:val="000000" w:themeColor="text1"/>
                <w:sz w:val="24"/>
                <w:szCs w:val="24"/>
              </w:rPr>
            </w:pPr>
            <w:r w:rsidRPr="00BD1B6F">
              <w:rPr>
                <w:color w:val="000000" w:themeColor="text1"/>
                <w:sz w:val="24"/>
                <w:szCs w:val="24"/>
              </w:rPr>
              <w:t>66,7% (2019.)</w:t>
            </w:r>
          </w:p>
        </w:tc>
        <w:tc>
          <w:tcPr>
            <w:tcW w:w="1984" w:type="dxa"/>
            <w:shd w:val="clear" w:color="auto" w:fill="FFFFFF" w:themeFill="background1"/>
            <w:vAlign w:val="center"/>
          </w:tcPr>
          <w:p w14:paraId="781FAD3D" w14:textId="77777777" w:rsidR="0032607E" w:rsidRPr="00BD1B6F" w:rsidRDefault="0032607E" w:rsidP="00343B4E">
            <w:pPr>
              <w:spacing w:line="276" w:lineRule="auto"/>
              <w:jc w:val="center"/>
              <w:rPr>
                <w:color w:val="000000" w:themeColor="text1"/>
                <w:sz w:val="24"/>
                <w:szCs w:val="24"/>
              </w:rPr>
            </w:pPr>
            <w:r w:rsidRPr="00BD1B6F">
              <w:rPr>
                <w:color w:val="000000" w:themeColor="text1"/>
                <w:sz w:val="24"/>
                <w:szCs w:val="24"/>
              </w:rPr>
              <w:t>75%</w:t>
            </w:r>
          </w:p>
        </w:tc>
        <w:tc>
          <w:tcPr>
            <w:tcW w:w="2416" w:type="dxa"/>
            <w:shd w:val="clear" w:color="auto" w:fill="DAEEF3" w:themeFill="accent5" w:themeFillTint="33"/>
            <w:vAlign w:val="center"/>
          </w:tcPr>
          <w:p w14:paraId="037A1A80" w14:textId="3714A387" w:rsidR="0032607E" w:rsidRPr="00BD1B6F" w:rsidRDefault="00C80E17" w:rsidP="00343B4E">
            <w:pPr>
              <w:spacing w:line="276" w:lineRule="auto"/>
              <w:ind w:left="-83"/>
              <w:jc w:val="center"/>
              <w:rPr>
                <w:color w:val="000000" w:themeColor="text1"/>
                <w:sz w:val="24"/>
                <w:szCs w:val="24"/>
              </w:rPr>
            </w:pPr>
            <w:r w:rsidRPr="00BD1B6F">
              <w:rPr>
                <w:color w:val="000000" w:themeColor="text1"/>
                <w:sz w:val="24"/>
                <w:szCs w:val="24"/>
              </w:rPr>
              <w:t>69,7% (2022.)</w:t>
            </w:r>
          </w:p>
        </w:tc>
      </w:tr>
      <w:tr w:rsidR="00A66B7C" w:rsidRPr="008115FB" w14:paraId="7A4F7901" w14:textId="77777777" w:rsidTr="00FD2238">
        <w:trPr>
          <w:jc w:val="center"/>
        </w:trPr>
        <w:tc>
          <w:tcPr>
            <w:tcW w:w="2549" w:type="dxa"/>
            <w:shd w:val="clear" w:color="auto" w:fill="FFFFFF" w:themeFill="background1"/>
            <w:vAlign w:val="center"/>
          </w:tcPr>
          <w:p w14:paraId="7662F951" w14:textId="77777777" w:rsidR="0032607E" w:rsidRPr="00BD1B6F" w:rsidRDefault="0032607E" w:rsidP="00343B4E">
            <w:pPr>
              <w:rPr>
                <w:color w:val="000000" w:themeColor="text1"/>
                <w:sz w:val="24"/>
                <w:szCs w:val="24"/>
              </w:rPr>
            </w:pPr>
            <w:r w:rsidRPr="00BD1B6F">
              <w:rPr>
                <w:color w:val="000000" w:themeColor="text1"/>
                <w:sz w:val="24"/>
                <w:szCs w:val="24"/>
              </w:rPr>
              <w:t>Udio privremeno zaposlenih u ukupno zaposlenima (ugovori na određeno vrijeme)</w:t>
            </w:r>
          </w:p>
        </w:tc>
        <w:tc>
          <w:tcPr>
            <w:tcW w:w="2268" w:type="dxa"/>
            <w:shd w:val="clear" w:color="auto" w:fill="DAEEF3" w:themeFill="accent5" w:themeFillTint="33"/>
            <w:vAlign w:val="center"/>
          </w:tcPr>
          <w:p w14:paraId="4E039E9F" w14:textId="77777777" w:rsidR="0032607E" w:rsidRPr="00BD1B6F" w:rsidRDefault="0032607E" w:rsidP="00343B4E">
            <w:pPr>
              <w:spacing w:line="276" w:lineRule="auto"/>
              <w:jc w:val="center"/>
              <w:rPr>
                <w:color w:val="000000" w:themeColor="text1"/>
                <w:sz w:val="24"/>
                <w:szCs w:val="24"/>
              </w:rPr>
            </w:pPr>
            <w:r w:rsidRPr="00BD1B6F">
              <w:rPr>
                <w:color w:val="000000" w:themeColor="text1"/>
                <w:sz w:val="24"/>
                <w:szCs w:val="24"/>
              </w:rPr>
              <w:t>18,1% (2019.)</w:t>
            </w:r>
          </w:p>
        </w:tc>
        <w:tc>
          <w:tcPr>
            <w:tcW w:w="1984" w:type="dxa"/>
            <w:shd w:val="clear" w:color="auto" w:fill="FFFFFF" w:themeFill="background1"/>
            <w:vAlign w:val="center"/>
          </w:tcPr>
          <w:p w14:paraId="7BE91FE3" w14:textId="6BB98F47" w:rsidR="0032607E" w:rsidRPr="00BD1B6F" w:rsidRDefault="0032607E" w:rsidP="00343B4E">
            <w:pPr>
              <w:spacing w:line="276" w:lineRule="auto"/>
              <w:jc w:val="center"/>
              <w:rPr>
                <w:color w:val="000000" w:themeColor="text1"/>
                <w:sz w:val="24"/>
                <w:szCs w:val="24"/>
              </w:rPr>
            </w:pPr>
            <w:r w:rsidRPr="00BD1B6F">
              <w:rPr>
                <w:color w:val="000000" w:themeColor="text1"/>
                <w:sz w:val="24"/>
                <w:szCs w:val="24"/>
              </w:rPr>
              <w:t>15%</w:t>
            </w:r>
          </w:p>
        </w:tc>
        <w:tc>
          <w:tcPr>
            <w:tcW w:w="2416" w:type="dxa"/>
            <w:shd w:val="clear" w:color="auto" w:fill="DAEEF3" w:themeFill="accent5" w:themeFillTint="33"/>
            <w:vAlign w:val="center"/>
          </w:tcPr>
          <w:p w14:paraId="39793769" w14:textId="5A0B1941" w:rsidR="0004045D" w:rsidRPr="00BD1B6F" w:rsidRDefault="00BD17CF" w:rsidP="00343B4E">
            <w:pPr>
              <w:spacing w:line="276" w:lineRule="auto"/>
              <w:ind w:left="-83"/>
              <w:jc w:val="center"/>
              <w:rPr>
                <w:color w:val="000000" w:themeColor="text1"/>
                <w:sz w:val="24"/>
                <w:szCs w:val="24"/>
              </w:rPr>
            </w:pPr>
            <w:r w:rsidRPr="00BD1B6F">
              <w:rPr>
                <w:color w:val="000000" w:themeColor="text1"/>
                <w:sz w:val="24"/>
                <w:szCs w:val="24"/>
              </w:rPr>
              <w:t>1</w:t>
            </w:r>
            <w:r w:rsidR="009F3B78" w:rsidRPr="00BD1B6F">
              <w:rPr>
                <w:color w:val="000000" w:themeColor="text1"/>
                <w:sz w:val="24"/>
                <w:szCs w:val="24"/>
              </w:rPr>
              <w:t>4,6</w:t>
            </w:r>
            <w:r w:rsidR="00D169E4" w:rsidRPr="00BD1B6F">
              <w:rPr>
                <w:color w:val="000000" w:themeColor="text1"/>
                <w:sz w:val="24"/>
                <w:szCs w:val="24"/>
              </w:rPr>
              <w:t>%</w:t>
            </w:r>
            <w:r w:rsidRPr="00BD1B6F">
              <w:rPr>
                <w:color w:val="000000" w:themeColor="text1"/>
                <w:sz w:val="24"/>
                <w:szCs w:val="24"/>
              </w:rPr>
              <w:t xml:space="preserve"> (2022.)</w:t>
            </w:r>
          </w:p>
        </w:tc>
      </w:tr>
    </w:tbl>
    <w:p w14:paraId="7BAB4825" w14:textId="77777777" w:rsidR="00C429DB" w:rsidRPr="00BD1B6F" w:rsidRDefault="00C429DB" w:rsidP="00343B4E"/>
    <w:p w14:paraId="37480134" w14:textId="6B761316" w:rsidR="00C47C08" w:rsidRPr="00BD1B6F" w:rsidRDefault="00C47C08" w:rsidP="00BE1F57">
      <w:bookmarkStart w:id="63" w:name="_Toc130784354"/>
    </w:p>
    <w:bookmarkEnd w:id="63"/>
    <w:p w14:paraId="3B66C809" w14:textId="1245ECA5" w:rsidR="00A34C8E" w:rsidRPr="00BD1B6F" w:rsidRDefault="00D7427F" w:rsidP="00D7427F">
      <w:pPr>
        <w:pStyle w:val="Heading3"/>
        <w:ind w:left="0"/>
        <w:rPr>
          <w:color w:val="000000" w:themeColor="text1"/>
          <w:sz w:val="24"/>
          <w:szCs w:val="24"/>
        </w:rPr>
      </w:pPr>
      <w:r>
        <w:tab/>
      </w:r>
      <w:bookmarkStart w:id="64" w:name="_Toc156819374"/>
      <w:r w:rsidR="00A34C8E" w:rsidRPr="00BD1B6F">
        <w:rPr>
          <w:sz w:val="24"/>
          <w:szCs w:val="24"/>
        </w:rPr>
        <w:t>2.</w:t>
      </w:r>
      <w:r w:rsidR="006215D2">
        <w:rPr>
          <w:sz w:val="24"/>
          <w:szCs w:val="24"/>
        </w:rPr>
        <w:t>2</w:t>
      </w:r>
      <w:r w:rsidR="00A34C8E" w:rsidRPr="00BD1B6F">
        <w:rPr>
          <w:sz w:val="24"/>
          <w:szCs w:val="24"/>
        </w:rPr>
        <w:t>. Opis napretka u provedbi strateškog cilja Obrazovani i zaposleni ljudi</w:t>
      </w:r>
      <w:bookmarkEnd w:id="64"/>
    </w:p>
    <w:p w14:paraId="38179E30" w14:textId="77777777" w:rsidR="001B09DB" w:rsidRPr="00BD1B6F" w:rsidRDefault="001B09DB" w:rsidP="001B09DB">
      <w:pPr>
        <w:spacing w:before="240" w:after="120" w:line="276" w:lineRule="auto"/>
        <w:ind w:firstLine="720"/>
        <w:jc w:val="both"/>
        <w:rPr>
          <w:color w:val="000000" w:themeColor="text1"/>
          <w:sz w:val="24"/>
          <w:szCs w:val="24"/>
        </w:rPr>
      </w:pPr>
      <w:r w:rsidRPr="00BD1B6F">
        <w:rPr>
          <w:b/>
          <w:sz w:val="24"/>
          <w:szCs w:val="24"/>
        </w:rPr>
        <w:t>Pristupačnost ranog i predškolskog odgoja i obrazovanja</w:t>
      </w:r>
    </w:p>
    <w:p w14:paraId="7D1C607D" w14:textId="77777777" w:rsidR="001B09DB" w:rsidRPr="00F56799" w:rsidRDefault="001B09DB" w:rsidP="001B09DB">
      <w:pPr>
        <w:spacing w:before="240" w:after="120" w:line="276" w:lineRule="auto"/>
        <w:jc w:val="both"/>
        <w:rPr>
          <w:sz w:val="24"/>
          <w:szCs w:val="24"/>
        </w:rPr>
      </w:pPr>
      <w:r w:rsidRPr="00F56799">
        <w:rPr>
          <w:sz w:val="24"/>
          <w:szCs w:val="24"/>
        </w:rPr>
        <w:t xml:space="preserve">Na početku pedagoške godine 2022./2023. na području Hrvatske bilo </w:t>
      </w:r>
      <w:r>
        <w:rPr>
          <w:sz w:val="24"/>
          <w:szCs w:val="24"/>
        </w:rPr>
        <w:t xml:space="preserve">je </w:t>
      </w:r>
      <w:r w:rsidRPr="00F56799">
        <w:rPr>
          <w:sz w:val="24"/>
          <w:szCs w:val="24"/>
        </w:rPr>
        <w:t xml:space="preserve">ukupno 1.851 ustanova (1.838 u 2021./2022.) koje su ostvarivale programe predškolskog odgoja i obrazovanja, od čega 1.756 dječjih vrtića i 95 drugih pravnih osoba. Ukupan broj djece koja su bila obuhvaćena nekim programom predškolskog odgoja i obrazovanja bio je 141.453, a u odnosu na prethodnu pedagošku godinu upisano je 5.887 djece više (4,16%). Redovnim programom bilo je obuhvaćeno 136.571 djece, obveznim programom predškole 37.408 djece (od čega je 4.882 djece koja nisu polaznici dječjeg vrtića), a posebnim kraćim programima koji se provode nakon redovitog programa rada obuhvaćeno je 18.655 djece. </w:t>
      </w:r>
    </w:p>
    <w:p w14:paraId="44AE9F6F" w14:textId="77777777" w:rsidR="001B09DB" w:rsidRDefault="001B09DB" w:rsidP="001B09DB">
      <w:pPr>
        <w:spacing w:before="240" w:after="120" w:line="276" w:lineRule="auto"/>
        <w:jc w:val="both"/>
        <w:rPr>
          <w:color w:val="000000" w:themeColor="text1"/>
          <w:sz w:val="24"/>
          <w:szCs w:val="24"/>
        </w:rPr>
      </w:pPr>
      <w:r w:rsidRPr="00F56799">
        <w:rPr>
          <w:sz w:val="24"/>
          <w:szCs w:val="24"/>
        </w:rPr>
        <w:t xml:space="preserve">Iako se broj djece uključene u programe ranog i predškolskog odgoja i obrazovanja zadnjih </w:t>
      </w:r>
      <w:r>
        <w:rPr>
          <w:sz w:val="24"/>
          <w:szCs w:val="24"/>
        </w:rPr>
        <w:t>10</w:t>
      </w:r>
      <w:r w:rsidRPr="00F56799">
        <w:rPr>
          <w:sz w:val="24"/>
          <w:szCs w:val="24"/>
        </w:rPr>
        <w:t xml:space="preserve"> godina sustavno povećava, kao i broj ustanova koje provode rani i predškolski odgoj i obrazovanje, obuhvat djece u Hrvatskoj u dobi od 4 godine do polaska u školu predškolskim odgojem i obrazovanjem, ostaje i dalje među najnižima u EU-</w:t>
      </w:r>
      <w:r w:rsidRPr="00F56799">
        <w:rPr>
          <w:sz w:val="24"/>
          <w:szCs w:val="24"/>
        </w:rPr>
        <w:lastRenderedPageBreak/>
        <w:t>u. Prema posljednjim dostupnim podacima (za 2022.) nije došlo do povećanja obuhvata djece u dobi od 4 godine do polaska u školu predškolskim odgojem i obrazovanjem te je iznosio 81,5%</w:t>
      </w:r>
      <w:r>
        <w:rPr>
          <w:sz w:val="24"/>
          <w:szCs w:val="24"/>
        </w:rPr>
        <w:t xml:space="preserve">, (kao i u </w:t>
      </w:r>
      <w:r w:rsidRPr="00F56799">
        <w:rPr>
          <w:sz w:val="24"/>
          <w:szCs w:val="24"/>
        </w:rPr>
        <w:t>202</w:t>
      </w:r>
      <w:r>
        <w:rPr>
          <w:sz w:val="24"/>
          <w:szCs w:val="24"/>
        </w:rPr>
        <w:t>1</w:t>
      </w:r>
      <w:r w:rsidRPr="00F56799">
        <w:rPr>
          <w:sz w:val="24"/>
          <w:szCs w:val="24"/>
        </w:rPr>
        <w:t>.</w:t>
      </w:r>
      <w:r>
        <w:rPr>
          <w:sz w:val="24"/>
          <w:szCs w:val="24"/>
        </w:rPr>
        <w:t>)</w:t>
      </w:r>
      <w:r w:rsidRPr="00F56799">
        <w:rPr>
          <w:sz w:val="24"/>
          <w:szCs w:val="24"/>
        </w:rPr>
        <w:t xml:space="preserve"> dok je prosjek EU-a iznosio 94,9%. U provedbi su mjere kojima će se narednih godina osigurati potrebni uvjeti i podrška za veće uključivanje djece u rani predškolski odgoj i obrazovanje, kao i ravnomjerniji pristup ranom predškolskom odgoju i naobrazbi, otvaranjem više od 30.000 novih upisnih mjesta u dječjim vrtićima, čime će se do 2030. omogućiti preduvjeti za postizanje cilja od 97% djece u dobi od četvrte godine do početka obveznog obrazovanja obuhvaćenih predškolskim odgojem i obrazovanjem</w:t>
      </w:r>
      <w:r>
        <w:rPr>
          <w:sz w:val="24"/>
          <w:szCs w:val="24"/>
        </w:rPr>
        <w:t>.</w:t>
      </w:r>
      <w:r w:rsidRPr="00F56799">
        <w:rPr>
          <w:sz w:val="24"/>
          <w:szCs w:val="24"/>
        </w:rPr>
        <w:t xml:space="preserve">  </w:t>
      </w:r>
    </w:p>
    <w:p w14:paraId="7A27411C" w14:textId="77777777" w:rsidR="001B09DB" w:rsidRPr="00BD1B6F" w:rsidRDefault="001B09DB" w:rsidP="001B09DB">
      <w:pPr>
        <w:spacing w:before="240" w:after="120" w:line="276" w:lineRule="auto"/>
        <w:jc w:val="both"/>
        <w:rPr>
          <w:color w:val="000000" w:themeColor="text1"/>
          <w:sz w:val="24"/>
          <w:szCs w:val="24"/>
        </w:rPr>
      </w:pPr>
      <w:r w:rsidRPr="00BD1B6F">
        <w:rPr>
          <w:color w:val="000000" w:themeColor="text1"/>
          <w:sz w:val="24"/>
          <w:szCs w:val="24"/>
        </w:rPr>
        <w:t xml:space="preserve">Tijekom 2022. nastavljeni su napori na unaprjeđenju zakonodavnog okvira predškolskog odgoja i obrazovanja te provedbi infrastrukturnih ulaganja u dječje vrtiće, kako bi se doprinijelo povećanju pristupačnosti i ravnomjernijoj regionalnoj raspodjeli kapaciteta za smještaj djece u dječje vrtiće. U svibnju 2022. na snagu je stupio Zakon o izmjenama i dopunama Zakona o predškolskom odgoju i obrazovanju </w:t>
      </w:r>
      <w:r>
        <w:rPr>
          <w:color w:val="000000" w:themeColor="text1"/>
          <w:sz w:val="24"/>
          <w:szCs w:val="24"/>
        </w:rPr>
        <w:t>s dopunjenim</w:t>
      </w:r>
      <w:r w:rsidRPr="00BD1B6F">
        <w:rPr>
          <w:color w:val="000000" w:themeColor="text1"/>
          <w:sz w:val="24"/>
          <w:szCs w:val="24"/>
        </w:rPr>
        <w:t xml:space="preserve"> odredbama o obveznom donošenju Nacionalnog kurikuluma predškole s ciljem utvrđivanja načela, odgojno-obrazovnih ciljeva i očekivanja, načina izvođenja te produljenja trajanja obveznog programa predškole, kao i odredbama koje se odnose na izradu nacionalne mreže dječjih vrtića</w:t>
      </w:r>
      <w:r>
        <w:rPr>
          <w:color w:val="000000" w:themeColor="text1"/>
          <w:sz w:val="24"/>
          <w:szCs w:val="24"/>
        </w:rPr>
        <w:t xml:space="preserve"> i </w:t>
      </w:r>
      <w:r w:rsidRPr="00BD1B6F">
        <w:rPr>
          <w:color w:val="000000" w:themeColor="text1"/>
          <w:sz w:val="24"/>
          <w:szCs w:val="24"/>
        </w:rPr>
        <w:t xml:space="preserve">preduvjeta za bolje planiranje odgojnih kapaciteta. </w:t>
      </w:r>
    </w:p>
    <w:p w14:paraId="4EF9BC91" w14:textId="77777777" w:rsidR="001B09DB" w:rsidRPr="00BD1B6F" w:rsidRDefault="001B09DB" w:rsidP="001B09DB">
      <w:pPr>
        <w:spacing w:before="240" w:after="120" w:line="276" w:lineRule="auto"/>
        <w:jc w:val="both"/>
        <w:rPr>
          <w:color w:val="000000" w:themeColor="text1"/>
          <w:sz w:val="24"/>
          <w:szCs w:val="24"/>
        </w:rPr>
      </w:pPr>
      <w:r w:rsidRPr="00BD1B6F">
        <w:rPr>
          <w:color w:val="000000" w:themeColor="text1"/>
          <w:sz w:val="24"/>
          <w:szCs w:val="24"/>
        </w:rPr>
        <w:t xml:space="preserve">S ciljem otvaranja novih upisnih mjesta u ustanovama za rani i predškolski odgoj i obrazovanje, poboljšavanja obuhvata djece ranim i predškolskim odgojem i obrazovanjem te izjednačavanja regionalnih razlika unutar Hrvatske, u travnju 2022. objavljen je Poziv za dostavu bespovratnih sredstava „Izgradnja, dogradnja, rekonstrukcija i opremanje predškolskih ustanova, prvi Poziv“, (C3.1. R1-I11) kojim su osigurana bespovratna sredstva za infrastrukturna ulaganja u dječje vrtiće u iznosu od 169,94 milijuna eura. U okviru navedenog poziva, ukupno 249 osnivača podnijelo je projektne prijedloge za ulaganja </w:t>
      </w:r>
      <w:r>
        <w:rPr>
          <w:color w:val="000000" w:themeColor="text1"/>
          <w:sz w:val="24"/>
          <w:szCs w:val="24"/>
        </w:rPr>
        <w:t>u</w:t>
      </w:r>
      <w:r w:rsidRPr="00BD1B6F">
        <w:rPr>
          <w:color w:val="000000" w:themeColor="text1"/>
          <w:sz w:val="24"/>
          <w:szCs w:val="24"/>
        </w:rPr>
        <w:t xml:space="preserve"> 321 predškolskoj ustanovi. Nakon provjere i ocjenjivanja prijava ugovoreno je sufinanciranje 251 projektnog prijedloga u iznosu od 163,98 milijuna eura, kojima će se omogućiti novih 16.408 mjesta u dječjim vrtićima. Slijedom ukupne alokacije u NPOO-u za ulaganja u području ranog i predškolskog odgoja i obrazovanja, koja iznosi 215 milijuna eura, objavljivanje novog poziva planirano je za 2023. </w:t>
      </w:r>
    </w:p>
    <w:p w14:paraId="5DC3E802" w14:textId="77777777" w:rsidR="001B09DB" w:rsidRPr="00BD1B6F" w:rsidRDefault="001B09DB" w:rsidP="001B09DB">
      <w:pPr>
        <w:spacing w:before="240" w:after="120" w:line="276" w:lineRule="auto"/>
        <w:jc w:val="both"/>
        <w:rPr>
          <w:color w:val="000000" w:themeColor="text1"/>
          <w:sz w:val="24"/>
          <w:szCs w:val="24"/>
        </w:rPr>
      </w:pPr>
      <w:r w:rsidRPr="00BD1B6F">
        <w:rPr>
          <w:color w:val="000000" w:themeColor="text1"/>
          <w:sz w:val="24"/>
          <w:szCs w:val="24"/>
        </w:rPr>
        <w:t>Osim navedenih ulaganja u infrastrukturu, pokrenute su i dodatne mjere osiguranja potpore i dodjele proračunskih sredstava jedinicama lokalne i područne samouprave (</w:t>
      </w:r>
      <w:r w:rsidRPr="008115FB">
        <w:rPr>
          <w:color w:val="000000" w:themeColor="text1"/>
          <w:sz w:val="24"/>
          <w:szCs w:val="24"/>
        </w:rPr>
        <w:t>u daljnjem tekstu: JLP(R)S)</w:t>
      </w:r>
      <w:r w:rsidRPr="00BD1B6F">
        <w:rPr>
          <w:color w:val="000000" w:themeColor="text1"/>
          <w:sz w:val="24"/>
          <w:szCs w:val="24"/>
        </w:rPr>
        <w:t xml:space="preserve">, koje su prema vrijednostima Indeksa razvijenosti rangirane od I. do IV. skupine razvijenosti, a potrebna su im sredstva za završetak ulaganja u kapacitete za smještaj djece, kao i dodatna sredstva za osiguravanje fiskalne </w:t>
      </w:r>
      <w:r w:rsidRPr="00BD1B6F">
        <w:rPr>
          <w:color w:val="000000" w:themeColor="text1"/>
          <w:sz w:val="24"/>
          <w:szCs w:val="24"/>
        </w:rPr>
        <w:lastRenderedPageBreak/>
        <w:t>održivosti rada dječjih vrtića. Dodatna su sredstva namijenjena financiranju rashoda poslovanja dječjih vrtića, radi održavanja razine potrebnih kapaciteta za smještaj djece</w:t>
      </w:r>
      <w:r>
        <w:rPr>
          <w:color w:val="000000" w:themeColor="text1"/>
          <w:sz w:val="24"/>
          <w:szCs w:val="24"/>
        </w:rPr>
        <w:t>,</w:t>
      </w:r>
      <w:r w:rsidRPr="00BD1B6F">
        <w:rPr>
          <w:color w:val="000000" w:themeColor="text1"/>
          <w:sz w:val="24"/>
          <w:szCs w:val="24"/>
        </w:rPr>
        <w:t xml:space="preserve"> ali i za podršku ranjivim skupinama djece za uključivanje u programe predškolskog odgoja i obrazovanja, a sredstva će se osigurati u okviru </w:t>
      </w:r>
      <w:r>
        <w:rPr>
          <w:color w:val="000000" w:themeColor="text1"/>
          <w:sz w:val="24"/>
          <w:szCs w:val="24"/>
        </w:rPr>
        <w:t>P</w:t>
      </w:r>
      <w:r w:rsidRPr="55B51E88">
        <w:rPr>
          <w:rFonts w:eastAsia="Calibri"/>
          <w:color w:val="000000" w:themeColor="text1"/>
          <w:sz w:val="24"/>
          <w:szCs w:val="24"/>
        </w:rPr>
        <w:t>rogram</w:t>
      </w:r>
      <w:r>
        <w:rPr>
          <w:rFonts w:eastAsia="Calibri"/>
          <w:color w:val="000000" w:themeColor="text1"/>
          <w:sz w:val="24"/>
          <w:szCs w:val="24"/>
        </w:rPr>
        <w:t>a</w:t>
      </w:r>
      <w:r w:rsidRPr="55B51E88">
        <w:rPr>
          <w:rFonts w:eastAsia="Calibri"/>
          <w:color w:val="000000" w:themeColor="text1"/>
          <w:sz w:val="24"/>
          <w:szCs w:val="24"/>
        </w:rPr>
        <w:t xml:space="preserve"> </w:t>
      </w:r>
      <w:r>
        <w:rPr>
          <w:rFonts w:eastAsia="Calibri"/>
          <w:color w:val="000000" w:themeColor="text1"/>
          <w:sz w:val="24"/>
          <w:szCs w:val="24"/>
        </w:rPr>
        <w:t>„</w:t>
      </w:r>
      <w:r w:rsidRPr="55B51E88">
        <w:rPr>
          <w:color w:val="000000" w:themeColor="text1"/>
          <w:sz w:val="24"/>
          <w:szCs w:val="24"/>
        </w:rPr>
        <w:t xml:space="preserve">Učinkoviti </w:t>
      </w:r>
      <w:r w:rsidRPr="55B51E88">
        <w:rPr>
          <w:rFonts w:eastAsia="Calibri"/>
          <w:color w:val="000000" w:themeColor="text1"/>
          <w:sz w:val="24"/>
          <w:szCs w:val="24"/>
        </w:rPr>
        <w:t xml:space="preserve">ljudski potencijali </w:t>
      </w:r>
      <w:r>
        <w:rPr>
          <w:rFonts w:eastAsia="Calibri"/>
          <w:color w:val="000000" w:themeColor="text1"/>
          <w:sz w:val="24"/>
          <w:szCs w:val="24"/>
        </w:rPr>
        <w:t xml:space="preserve">2021. - 2027.“ </w:t>
      </w:r>
      <w:r>
        <w:rPr>
          <w:rFonts w:eastAsia="Calibri"/>
          <w:kern w:val="2"/>
          <w:sz w:val="24"/>
          <w:szCs w:val="24"/>
        </w:rPr>
        <w:t>(u daljnjem tekstu: PULJP 2021. - 2027.)</w:t>
      </w:r>
      <w:r w:rsidRPr="00BD1B6F">
        <w:rPr>
          <w:color w:val="000000" w:themeColor="text1"/>
          <w:sz w:val="24"/>
          <w:szCs w:val="24"/>
        </w:rPr>
        <w:t>.</w:t>
      </w:r>
      <w:r>
        <w:rPr>
          <w:color w:val="000000" w:themeColor="text1"/>
          <w:sz w:val="24"/>
          <w:szCs w:val="24"/>
        </w:rPr>
        <w:t xml:space="preserve"> </w:t>
      </w:r>
    </w:p>
    <w:p w14:paraId="3FA86CB1" w14:textId="77777777" w:rsidR="001B09DB" w:rsidRPr="00BD1B6F" w:rsidRDefault="001B09DB" w:rsidP="001B09DB">
      <w:pPr>
        <w:spacing w:before="240" w:after="120" w:line="276" w:lineRule="auto"/>
        <w:ind w:firstLine="720"/>
        <w:jc w:val="both"/>
        <w:rPr>
          <w:b/>
          <w:bCs/>
          <w:color w:val="000000" w:themeColor="text1"/>
          <w:sz w:val="24"/>
          <w:szCs w:val="24"/>
        </w:rPr>
      </w:pPr>
      <w:r w:rsidRPr="00BD1B6F">
        <w:rPr>
          <w:b/>
          <w:bCs/>
          <w:color w:val="000000" w:themeColor="text1"/>
          <w:sz w:val="24"/>
          <w:szCs w:val="24"/>
        </w:rPr>
        <w:t>Stjecanje i razvoj temeljnih i strukovnih kompetencija</w:t>
      </w:r>
    </w:p>
    <w:p w14:paraId="3B5EA595" w14:textId="77777777" w:rsidR="001B09DB" w:rsidRPr="00BD1B6F" w:rsidRDefault="001B09DB" w:rsidP="001B09DB">
      <w:pPr>
        <w:spacing w:before="240" w:after="120" w:line="276" w:lineRule="auto"/>
        <w:jc w:val="both"/>
        <w:rPr>
          <w:color w:val="000000" w:themeColor="text1"/>
          <w:sz w:val="24"/>
          <w:szCs w:val="24"/>
        </w:rPr>
      </w:pPr>
      <w:r w:rsidRPr="00BD1B6F">
        <w:rPr>
          <w:color w:val="000000" w:themeColor="text1"/>
          <w:sz w:val="24"/>
          <w:szCs w:val="24"/>
        </w:rPr>
        <w:t xml:space="preserve">Hrvatska je jedna od zemalja s najkraćim vremenom poučavanja u EU-u, uglavnom zbog prevladavajućeg dvosmjenskog modela nastave. </w:t>
      </w:r>
      <w:r>
        <w:rPr>
          <w:color w:val="000000" w:themeColor="text1"/>
          <w:sz w:val="24"/>
          <w:szCs w:val="24"/>
        </w:rPr>
        <w:t>Provođenje re</w:t>
      </w:r>
      <w:r w:rsidRPr="07D2C9E4">
        <w:rPr>
          <w:color w:val="000000" w:themeColor="text1"/>
          <w:sz w:val="24"/>
          <w:szCs w:val="24"/>
        </w:rPr>
        <w:t>formsk</w:t>
      </w:r>
      <w:r>
        <w:rPr>
          <w:color w:val="000000" w:themeColor="text1"/>
          <w:sz w:val="24"/>
          <w:szCs w:val="24"/>
        </w:rPr>
        <w:t xml:space="preserve">ih </w:t>
      </w:r>
      <w:r w:rsidRPr="07D2C9E4">
        <w:rPr>
          <w:color w:val="000000" w:themeColor="text1"/>
          <w:sz w:val="24"/>
          <w:szCs w:val="24"/>
        </w:rPr>
        <w:t>mjer</w:t>
      </w:r>
      <w:r>
        <w:rPr>
          <w:color w:val="000000" w:themeColor="text1"/>
          <w:sz w:val="24"/>
          <w:szCs w:val="24"/>
        </w:rPr>
        <w:t>a</w:t>
      </w:r>
      <w:r w:rsidRPr="00BD1B6F">
        <w:rPr>
          <w:color w:val="000000" w:themeColor="text1"/>
          <w:sz w:val="24"/>
          <w:szCs w:val="24"/>
        </w:rPr>
        <w:t xml:space="preserve"> i </w:t>
      </w:r>
      <w:r w:rsidRPr="07D2C9E4">
        <w:rPr>
          <w:color w:val="000000" w:themeColor="text1"/>
          <w:sz w:val="24"/>
          <w:szCs w:val="24"/>
        </w:rPr>
        <w:t>intervencij</w:t>
      </w:r>
      <w:r>
        <w:rPr>
          <w:color w:val="000000" w:themeColor="text1"/>
          <w:sz w:val="24"/>
          <w:szCs w:val="24"/>
        </w:rPr>
        <w:t xml:space="preserve">a </w:t>
      </w:r>
      <w:r w:rsidRPr="00BD1B6F">
        <w:rPr>
          <w:color w:val="000000" w:themeColor="text1"/>
          <w:sz w:val="24"/>
          <w:szCs w:val="24"/>
        </w:rPr>
        <w:t>u području osnovnoškolskog obrazovanja preduvjet</w:t>
      </w:r>
      <w:r>
        <w:rPr>
          <w:color w:val="000000" w:themeColor="text1"/>
          <w:sz w:val="24"/>
          <w:szCs w:val="24"/>
        </w:rPr>
        <w:t xml:space="preserve"> je</w:t>
      </w:r>
      <w:r w:rsidRPr="00BD1B6F">
        <w:rPr>
          <w:color w:val="000000" w:themeColor="text1"/>
          <w:sz w:val="24"/>
          <w:szCs w:val="24"/>
        </w:rPr>
        <w:t xml:space="preserve"> za </w:t>
      </w:r>
      <w:r>
        <w:rPr>
          <w:color w:val="000000" w:themeColor="text1"/>
          <w:sz w:val="24"/>
          <w:szCs w:val="24"/>
        </w:rPr>
        <w:t xml:space="preserve">omogućavanje </w:t>
      </w:r>
      <w:r w:rsidRPr="07D2C9E4">
        <w:rPr>
          <w:color w:val="000000" w:themeColor="text1"/>
          <w:sz w:val="24"/>
          <w:szCs w:val="24"/>
        </w:rPr>
        <w:t>produljenj</w:t>
      </w:r>
      <w:r>
        <w:rPr>
          <w:color w:val="000000" w:themeColor="text1"/>
          <w:sz w:val="24"/>
          <w:szCs w:val="24"/>
        </w:rPr>
        <w:t>a</w:t>
      </w:r>
      <w:r w:rsidRPr="00BD1B6F">
        <w:rPr>
          <w:color w:val="000000" w:themeColor="text1"/>
          <w:sz w:val="24"/>
          <w:szCs w:val="24"/>
        </w:rPr>
        <w:t xml:space="preserve"> vremena koj</w:t>
      </w:r>
      <w:r>
        <w:rPr>
          <w:color w:val="000000" w:themeColor="text1"/>
          <w:sz w:val="24"/>
          <w:szCs w:val="24"/>
        </w:rPr>
        <w:t>i</w:t>
      </w:r>
      <w:r w:rsidRPr="00BD1B6F">
        <w:rPr>
          <w:color w:val="000000" w:themeColor="text1"/>
          <w:sz w:val="24"/>
          <w:szCs w:val="24"/>
        </w:rPr>
        <w:t xml:space="preserve"> učenici provode u nastavnom procesu </w:t>
      </w:r>
      <w:r>
        <w:rPr>
          <w:color w:val="000000" w:themeColor="text1"/>
          <w:sz w:val="24"/>
          <w:szCs w:val="24"/>
        </w:rPr>
        <w:t xml:space="preserve">i ono je </w:t>
      </w:r>
      <w:r w:rsidRPr="00BD1B6F">
        <w:rPr>
          <w:color w:val="000000" w:themeColor="text1"/>
          <w:sz w:val="24"/>
          <w:szCs w:val="24"/>
        </w:rPr>
        <w:t xml:space="preserve">u početnoj fazi realizacije. </w:t>
      </w:r>
    </w:p>
    <w:p w14:paraId="39031275" w14:textId="77777777" w:rsidR="001B09DB" w:rsidRPr="00BD1B6F" w:rsidRDefault="001B09DB" w:rsidP="001B09DB">
      <w:pPr>
        <w:spacing w:before="240" w:after="120" w:line="276" w:lineRule="auto"/>
        <w:jc w:val="both"/>
        <w:rPr>
          <w:color w:val="000000" w:themeColor="text1"/>
          <w:sz w:val="24"/>
          <w:szCs w:val="24"/>
        </w:rPr>
      </w:pPr>
      <w:r w:rsidRPr="00BD1B6F">
        <w:rPr>
          <w:color w:val="000000" w:themeColor="text1"/>
          <w:sz w:val="24"/>
          <w:szCs w:val="24"/>
        </w:rPr>
        <w:t xml:space="preserve">Dovršetak ulaganja u proširenje infrastrukturnih kapaciteta škola </w:t>
      </w:r>
      <w:r w:rsidRPr="07D2C9E4">
        <w:rPr>
          <w:color w:val="000000" w:themeColor="text1"/>
          <w:sz w:val="24"/>
          <w:szCs w:val="24"/>
        </w:rPr>
        <w:t>omogućit</w:t>
      </w:r>
      <w:r>
        <w:rPr>
          <w:color w:val="000000" w:themeColor="text1"/>
          <w:sz w:val="24"/>
          <w:szCs w:val="24"/>
        </w:rPr>
        <w:t xml:space="preserve"> će </w:t>
      </w:r>
      <w:r w:rsidRPr="00BD1B6F">
        <w:rPr>
          <w:color w:val="000000" w:themeColor="text1"/>
          <w:sz w:val="24"/>
          <w:szCs w:val="24"/>
        </w:rPr>
        <w:t>prelazak škola u jednosmjenski rad</w:t>
      </w:r>
      <w:r>
        <w:rPr>
          <w:color w:val="000000" w:themeColor="text1"/>
          <w:sz w:val="24"/>
          <w:szCs w:val="24"/>
        </w:rPr>
        <w:t>,</w:t>
      </w:r>
      <w:r w:rsidRPr="00BD1B6F">
        <w:rPr>
          <w:color w:val="000000" w:themeColor="text1"/>
          <w:sz w:val="24"/>
          <w:szCs w:val="24"/>
        </w:rPr>
        <w:t xml:space="preserve"> </w:t>
      </w:r>
      <w:r>
        <w:rPr>
          <w:color w:val="000000" w:themeColor="text1"/>
          <w:sz w:val="24"/>
          <w:szCs w:val="24"/>
        </w:rPr>
        <w:t xml:space="preserve">što </w:t>
      </w:r>
      <w:r w:rsidRPr="00BD1B6F">
        <w:rPr>
          <w:color w:val="000000" w:themeColor="text1"/>
          <w:sz w:val="24"/>
          <w:szCs w:val="24"/>
        </w:rPr>
        <w:t>je temeljni preduvjet za uvođenje modela cjelodnevne škole. Cjelodnevna škola podrazumijeva produljenje obveznog dijela nastave i obogaćivanje obrazovne ponude i potpore učenicima (sistematizacija dopunske i dodatne nastave) izvođenjem obaveznog i izbornog djela kurikuluma, koji uključuje i pauzu za ručak i odmor. Model cjelodnevne škole je u završnoj fazi pripreme, a početak provedbe pilot-projekt</w:t>
      </w:r>
      <w:r>
        <w:rPr>
          <w:color w:val="000000" w:themeColor="text1"/>
          <w:sz w:val="24"/>
          <w:szCs w:val="24"/>
        </w:rPr>
        <w:t>a</w:t>
      </w:r>
      <w:r w:rsidRPr="00BD1B6F">
        <w:rPr>
          <w:color w:val="000000" w:themeColor="text1"/>
          <w:sz w:val="24"/>
          <w:szCs w:val="24"/>
        </w:rPr>
        <w:t xml:space="preserve"> uvođenja cjelodnevne škole u Hrvatskoj </w:t>
      </w:r>
      <w:r w:rsidRPr="00A3155F">
        <w:rPr>
          <w:color w:val="000000" w:themeColor="text1"/>
          <w:sz w:val="24"/>
          <w:szCs w:val="24"/>
        </w:rPr>
        <w:t>planiran je u rujnu 2023</w:t>
      </w:r>
      <w:r w:rsidRPr="00BD1B6F">
        <w:rPr>
          <w:color w:val="000000" w:themeColor="text1"/>
          <w:sz w:val="24"/>
          <w:szCs w:val="24"/>
        </w:rPr>
        <w:t xml:space="preserve">. Organizacija odgojno-obrazovnog procesa temeljem primjene modela cjelodnevne škole, povećat će kvalitetu poučavanja i osigurati bolja školska postignuća i obrazovne ishode učenika te smanjiti njihove razlike. </w:t>
      </w:r>
    </w:p>
    <w:p w14:paraId="45E7D75D" w14:textId="77777777" w:rsidR="001B09DB" w:rsidRPr="00BE1F57" w:rsidRDefault="001B09DB" w:rsidP="001B09DB">
      <w:pPr>
        <w:spacing w:line="276" w:lineRule="auto"/>
        <w:jc w:val="both"/>
        <w:rPr>
          <w:sz w:val="24"/>
          <w:szCs w:val="24"/>
        </w:rPr>
      </w:pPr>
      <w:r w:rsidRPr="00BD1B6F">
        <w:rPr>
          <w:color w:val="000000" w:themeColor="text1"/>
          <w:sz w:val="24"/>
          <w:szCs w:val="24"/>
        </w:rPr>
        <w:t xml:space="preserve">Očekuje se da će uvođenje modela cjelodnevne škole u odgojno-obrazovni proces imati pozitivan učinak na rezultate ostvarene međunarodnim PISA-istraživanjem. Provedba istraživanja PISA 2021. zbog pandemije COVID-19 završena </w:t>
      </w:r>
      <w:r>
        <w:rPr>
          <w:color w:val="000000" w:themeColor="text1"/>
          <w:sz w:val="24"/>
          <w:szCs w:val="24"/>
        </w:rPr>
        <w:t xml:space="preserve">je </w:t>
      </w:r>
      <w:r w:rsidRPr="00BD1B6F">
        <w:rPr>
          <w:color w:val="000000" w:themeColor="text1"/>
          <w:sz w:val="24"/>
          <w:szCs w:val="24"/>
        </w:rPr>
        <w:t xml:space="preserve">u 2022., a rezultati glavnog ispitivanja </w:t>
      </w:r>
      <w:r>
        <w:rPr>
          <w:color w:val="000000" w:themeColor="text1"/>
          <w:sz w:val="24"/>
          <w:szCs w:val="24"/>
        </w:rPr>
        <w:t xml:space="preserve">objavljeni su </w:t>
      </w:r>
      <w:r w:rsidRPr="00BD1B6F">
        <w:rPr>
          <w:color w:val="000000" w:themeColor="text1"/>
          <w:sz w:val="24"/>
          <w:szCs w:val="24"/>
        </w:rPr>
        <w:t xml:space="preserve">krajem 2023. (glavna domena je bila matematička pismenost). </w:t>
      </w:r>
      <w:r w:rsidRPr="00BE1F57">
        <w:rPr>
          <w:sz w:val="24"/>
          <w:szCs w:val="24"/>
        </w:rPr>
        <w:t xml:space="preserve">U čitalačkoj pismenosti učenici iz Hrvatske ostvarili su prosječan rezultat od </w:t>
      </w:r>
      <w:r w:rsidRPr="004C1D5B">
        <w:rPr>
          <w:sz w:val="24"/>
          <w:szCs w:val="24"/>
        </w:rPr>
        <w:t>475 bodova</w:t>
      </w:r>
      <w:r w:rsidRPr="00BE1F57">
        <w:rPr>
          <w:sz w:val="24"/>
          <w:szCs w:val="24"/>
        </w:rPr>
        <w:t xml:space="preserve">, što je rezultat koji se statistički značajno ne razlikuje od </w:t>
      </w:r>
      <w:r w:rsidRPr="004C1D5B">
        <w:rPr>
          <w:sz w:val="24"/>
          <w:szCs w:val="24"/>
        </w:rPr>
        <w:t>prosjeka zemalja OECD-a koji iznosi 476 bodova</w:t>
      </w:r>
      <w:r w:rsidRPr="00BE1F57">
        <w:rPr>
          <w:sz w:val="24"/>
          <w:szCs w:val="24"/>
        </w:rPr>
        <w:t>. P</w:t>
      </w:r>
      <w:r>
        <w:rPr>
          <w:sz w:val="24"/>
          <w:szCs w:val="24"/>
        </w:rPr>
        <w:t>rvi</w:t>
      </w:r>
      <w:r w:rsidRPr="00BE1F57">
        <w:rPr>
          <w:sz w:val="24"/>
          <w:szCs w:val="24"/>
        </w:rPr>
        <w:t xml:space="preserve"> put od početka provedbe PISA istraživanja u Hrvatskoj (2006. godine) učenici iz Hrvatske u čitalačkoj su pismenosti ostvarili rezultat na razini prosječnog rezultata učenika iz zemalja članica OECD-a. Takvim rezultatom Hrvatska se može smjestiti na 26. mjesto od 81 zemlje sudionice.  Osnovnu razinu postignuća u čitalačkoj pismenosti (razina 2) u prosjeku nije dostiglo oko 23% učenika iz Hrvatske, što je za 3% manje od prosjeka zemalja OECD-a (26%). Najviše razine postignuća u čitalačkoj pismenosti (razina 5 ili 6) u Hrvatskoj je dostiglo oko 4% učenika, što </w:t>
      </w:r>
      <w:r w:rsidRPr="00A3155F">
        <w:rPr>
          <w:sz w:val="24"/>
          <w:szCs w:val="24"/>
        </w:rPr>
        <w:t xml:space="preserve">je </w:t>
      </w:r>
      <w:r w:rsidRPr="00B03168">
        <w:rPr>
          <w:sz w:val="24"/>
          <w:szCs w:val="24"/>
        </w:rPr>
        <w:t>za 3% manje</w:t>
      </w:r>
      <w:r w:rsidRPr="00BE1F57">
        <w:rPr>
          <w:sz w:val="24"/>
          <w:szCs w:val="24"/>
        </w:rPr>
        <w:t xml:space="preserve"> od prosjeka zemalja članica OECD-a (oko7%). U Hrvatskoj su djevojčice postigle značajno bolji rezultat u čita</w:t>
      </w:r>
      <w:r w:rsidRPr="00BE1F57">
        <w:rPr>
          <w:sz w:val="24"/>
          <w:szCs w:val="24"/>
        </w:rPr>
        <w:lastRenderedPageBreak/>
        <w:t xml:space="preserve">lačkoj pismenosti od dječaka (razlika iznosi 34 boda). Učenici gimnazijskih programa ostvarili su najbolje prosječne rezultate u čitalačkoj pismenosti u odnosu na učenike svih ostalih obrazovnih programa.  </w:t>
      </w:r>
    </w:p>
    <w:p w14:paraId="6A3DE1D9" w14:textId="77777777" w:rsidR="001B09DB" w:rsidRDefault="001B09DB" w:rsidP="001B09DB">
      <w:pPr>
        <w:spacing w:before="240" w:after="120" w:line="276" w:lineRule="auto"/>
        <w:jc w:val="both"/>
        <w:rPr>
          <w:color w:val="000000" w:themeColor="text1"/>
          <w:sz w:val="24"/>
          <w:szCs w:val="24"/>
        </w:rPr>
      </w:pPr>
      <w:r w:rsidRPr="00141543">
        <w:rPr>
          <w:color w:val="000000" w:themeColor="text1"/>
          <w:sz w:val="24"/>
          <w:szCs w:val="24"/>
        </w:rPr>
        <w:t>Iduće glavno PISA istraživanje provest će se 2025. (glavna domena bit će prirodoslovna pismenost), a prvi će rezultati biti prikazani javnosti krajem 2026. Zbog navedene dinamike provedbe PISA istraživanja, nadležno ministarstvo će u suradnji sa svojim agencijama predložiti dodatne pokazatelje, koje će se nakon konzultacija s Ministarstvom regionalnoga razvoja i fondova Europske unije, uključiti u praćenje napredaka školskih postignuća i obrazovnih ishoda u Hrvatskoj.</w:t>
      </w:r>
    </w:p>
    <w:p w14:paraId="630E4495" w14:textId="77777777" w:rsidR="001B09DB" w:rsidRPr="00B33C79" w:rsidRDefault="001B09DB" w:rsidP="001B09DB">
      <w:pPr>
        <w:spacing w:before="240" w:after="120" w:line="276" w:lineRule="auto"/>
        <w:jc w:val="both"/>
        <w:rPr>
          <w:color w:val="000000" w:themeColor="text1"/>
          <w:sz w:val="24"/>
          <w:szCs w:val="24"/>
        </w:rPr>
      </w:pPr>
    </w:p>
    <w:p w14:paraId="3569E08C" w14:textId="77777777" w:rsidR="001B09DB" w:rsidRPr="00BD1B6F" w:rsidRDefault="001B09DB" w:rsidP="001B09DB">
      <w:pPr>
        <w:spacing w:before="240" w:after="251" w:line="276" w:lineRule="auto"/>
        <w:ind w:firstLine="720"/>
        <w:rPr>
          <w:b/>
          <w:bCs/>
          <w:color w:val="000000" w:themeColor="text1"/>
          <w:sz w:val="24"/>
          <w:szCs w:val="24"/>
        </w:rPr>
      </w:pPr>
      <w:r w:rsidRPr="00BD1B6F">
        <w:rPr>
          <w:b/>
          <w:bCs/>
          <w:color w:val="000000" w:themeColor="text1"/>
          <w:sz w:val="24"/>
          <w:szCs w:val="24"/>
        </w:rPr>
        <w:t>Unaprjeđenje visokog obrazovanja</w:t>
      </w:r>
    </w:p>
    <w:p w14:paraId="39D81B39" w14:textId="77777777" w:rsidR="001B09DB" w:rsidRPr="00BD1B6F" w:rsidRDefault="001B09DB" w:rsidP="001B09DB">
      <w:pPr>
        <w:spacing w:before="240" w:after="160" w:line="276" w:lineRule="auto"/>
        <w:jc w:val="both"/>
        <w:rPr>
          <w:color w:val="000000" w:themeColor="text1"/>
          <w:sz w:val="24"/>
          <w:szCs w:val="24"/>
        </w:rPr>
      </w:pPr>
      <w:r w:rsidRPr="00BD1B6F">
        <w:rPr>
          <w:color w:val="000000" w:themeColor="text1"/>
          <w:sz w:val="24"/>
          <w:szCs w:val="24"/>
        </w:rPr>
        <w:t xml:space="preserve">Hrvatska od 2018. ostvaruje pomake u stjecanju visokog obrazovanja, no potrebno je te napore dodatno ojačati u nadolazećem razdoblju kako bi se omogućili uvjeti za </w:t>
      </w:r>
      <w:r w:rsidRPr="008115FB">
        <w:rPr>
          <w:color w:val="000000" w:themeColor="text1"/>
          <w:sz w:val="24"/>
          <w:szCs w:val="24"/>
        </w:rPr>
        <w:t>povećanje broja</w:t>
      </w:r>
      <w:r w:rsidRPr="00BD1B6F">
        <w:rPr>
          <w:color w:val="000000" w:themeColor="text1"/>
          <w:sz w:val="24"/>
          <w:szCs w:val="24"/>
        </w:rPr>
        <w:t xml:space="preserve"> visokoobrazovanih radnika s potrebnim kompetencijama za tržište rada. U 2022. udio visokoobrazovanih u dobnoj skupini 30-34 godine neznatno se povećao na 34,2%, (s 33,7% u 2021.) te Hrvatska prema stopi stjecanja visokog obrazovanja i dalje </w:t>
      </w:r>
      <w:r>
        <w:rPr>
          <w:color w:val="000000" w:themeColor="text1"/>
          <w:sz w:val="24"/>
          <w:szCs w:val="24"/>
        </w:rPr>
        <w:t>zaostaje za prosjekom</w:t>
      </w:r>
      <w:r w:rsidRPr="00BD1B6F">
        <w:rPr>
          <w:color w:val="000000" w:themeColor="text1"/>
          <w:sz w:val="24"/>
          <w:szCs w:val="24"/>
        </w:rPr>
        <w:t xml:space="preserve"> EU-a</w:t>
      </w:r>
      <w:r>
        <w:rPr>
          <w:color w:val="000000" w:themeColor="text1"/>
          <w:sz w:val="24"/>
          <w:szCs w:val="24"/>
        </w:rPr>
        <w:t xml:space="preserve"> od</w:t>
      </w:r>
      <w:r w:rsidRPr="00BD1B6F">
        <w:rPr>
          <w:color w:val="000000" w:themeColor="text1"/>
          <w:sz w:val="24"/>
          <w:szCs w:val="24"/>
        </w:rPr>
        <w:t xml:space="preserve"> 42,8%. Prema podacima za zadnjih nekoliko godina vidljivo je i kako opada broj upisanih na visoka učilišta u Hrvatskoj te se u akademskoj godini 2022./2023. na visoka učilišta</w:t>
      </w:r>
      <w:r>
        <w:rPr>
          <w:color w:val="000000" w:themeColor="text1"/>
          <w:sz w:val="24"/>
          <w:szCs w:val="24"/>
        </w:rPr>
        <w:t xml:space="preserve"> </w:t>
      </w:r>
      <w:r w:rsidRPr="00BD1B6F">
        <w:rPr>
          <w:color w:val="000000" w:themeColor="text1"/>
          <w:sz w:val="24"/>
          <w:szCs w:val="24"/>
        </w:rPr>
        <w:t xml:space="preserve">upisalo 151.827 studenata, odnosno 3.007 studenata manje u odnosu na prethodnu akademsku godinu. Stope stjecanja visokog obrazovanja koje stagniraju, uz smanjenje broja upisanih u visoko obrazovanje, upućuju na to da veliki broj studenata ne završi studij ili ga završi u roku dužem od predviđenog. S ciljem povećanja završnosti visokog obrazovanja i većeg stvaranja visokokvalificiranih radnika za konkurentnije i inovativnije gospodarstvo, pokrenuti su napori i ulaganja u poboljšanje studentskih uvjeta i povećanje dostupnosti i jednakosti pristupa visokom obrazovanju u Hrvatskoj. </w:t>
      </w:r>
    </w:p>
    <w:p w14:paraId="329934AC" w14:textId="77777777" w:rsidR="001B09DB" w:rsidRPr="00BD1B6F" w:rsidRDefault="001B09DB" w:rsidP="001B09DB">
      <w:pPr>
        <w:spacing w:before="240" w:after="160" w:line="276" w:lineRule="auto"/>
        <w:jc w:val="both"/>
        <w:rPr>
          <w:color w:val="000000" w:themeColor="text1"/>
          <w:sz w:val="24"/>
          <w:szCs w:val="24"/>
        </w:rPr>
      </w:pPr>
      <w:r w:rsidRPr="00BD1B6F">
        <w:rPr>
          <w:color w:val="000000" w:themeColor="text1"/>
          <w:sz w:val="24"/>
          <w:szCs w:val="24"/>
        </w:rPr>
        <w:t xml:space="preserve">Kako bi se olakšao pristup visokom obrazovanju studentima nižeg socioekonomskog statusa te doprinijelo povećanju stope završavanja studija i stjecanja visokog obrazovanja, nastavljeni su napori na dodjeli državnih stipendija u okviru </w:t>
      </w:r>
      <w:r>
        <w:rPr>
          <w:color w:val="000000" w:themeColor="text1"/>
          <w:sz w:val="24"/>
          <w:szCs w:val="24"/>
        </w:rPr>
        <w:t>p</w:t>
      </w:r>
      <w:r w:rsidRPr="00BD1B6F">
        <w:rPr>
          <w:color w:val="000000" w:themeColor="text1"/>
          <w:sz w:val="24"/>
          <w:szCs w:val="24"/>
        </w:rPr>
        <w:t>rojekta „Dodjela stipendija studentima nižeg socioekonomskog statusa“. U akademskoj godini 2021./2022. u okviru Projekta dodijeljeno je ukupno 10.00</w:t>
      </w:r>
      <w:r w:rsidRPr="008115FB">
        <w:rPr>
          <w:color w:val="000000" w:themeColor="text1"/>
          <w:sz w:val="24"/>
          <w:szCs w:val="24"/>
        </w:rPr>
        <w:t>6</w:t>
      </w:r>
      <w:r w:rsidRPr="00BD1B6F">
        <w:rPr>
          <w:color w:val="000000" w:themeColor="text1"/>
          <w:sz w:val="24"/>
          <w:szCs w:val="24"/>
        </w:rPr>
        <w:t xml:space="preserve"> potpora studentima nižeg socioekonomskog statusa</w:t>
      </w:r>
      <w:r>
        <w:rPr>
          <w:color w:val="000000" w:themeColor="text1"/>
          <w:sz w:val="24"/>
          <w:szCs w:val="24"/>
        </w:rPr>
        <w:t>,</w:t>
      </w:r>
      <w:r w:rsidRPr="00BD1B6F">
        <w:rPr>
          <w:color w:val="000000" w:themeColor="text1"/>
          <w:sz w:val="24"/>
          <w:szCs w:val="24"/>
        </w:rPr>
        <w:t xml:space="preserve"> za što je ukupno utrošeno oko 14,3 milijuna eura</w:t>
      </w:r>
      <w:r w:rsidRPr="008115FB">
        <w:rPr>
          <w:color w:val="000000" w:themeColor="text1"/>
          <w:sz w:val="24"/>
          <w:szCs w:val="24"/>
        </w:rPr>
        <w:t xml:space="preserve"> sinergijom</w:t>
      </w:r>
      <w:r w:rsidRPr="00BD1B6F">
        <w:rPr>
          <w:color w:val="000000" w:themeColor="text1"/>
          <w:sz w:val="24"/>
          <w:szCs w:val="24"/>
        </w:rPr>
        <w:t xml:space="preserve"> sredstava iz Državnog proračuna</w:t>
      </w:r>
      <w:r w:rsidRPr="008115FB">
        <w:rPr>
          <w:color w:val="000000" w:themeColor="text1"/>
          <w:sz w:val="24"/>
          <w:szCs w:val="24"/>
        </w:rPr>
        <w:t xml:space="preserve"> i OPULJP 2014.</w:t>
      </w:r>
      <w:r>
        <w:rPr>
          <w:color w:val="000000" w:themeColor="text1"/>
          <w:sz w:val="24"/>
          <w:szCs w:val="24"/>
        </w:rPr>
        <w:t xml:space="preserve"> </w:t>
      </w:r>
      <w:r w:rsidRPr="008115FB">
        <w:rPr>
          <w:color w:val="000000" w:themeColor="text1"/>
          <w:sz w:val="24"/>
          <w:szCs w:val="24"/>
        </w:rPr>
        <w:t>-</w:t>
      </w:r>
      <w:r>
        <w:rPr>
          <w:color w:val="000000" w:themeColor="text1"/>
          <w:sz w:val="24"/>
          <w:szCs w:val="24"/>
        </w:rPr>
        <w:t xml:space="preserve"> </w:t>
      </w:r>
      <w:r w:rsidRPr="008115FB">
        <w:rPr>
          <w:color w:val="000000" w:themeColor="text1"/>
          <w:sz w:val="24"/>
          <w:szCs w:val="24"/>
        </w:rPr>
        <w:t>2020</w:t>
      </w:r>
      <w:r w:rsidRPr="00BD1B6F">
        <w:rPr>
          <w:color w:val="000000" w:themeColor="text1"/>
          <w:sz w:val="24"/>
          <w:szCs w:val="24"/>
        </w:rPr>
        <w:t>. Također, s ciljem daljnjeg povećanja pristupa visokom obrazovanju studentima nižeg socioekonomskog statusa, sinergijom sredstava Državnog proračuna</w:t>
      </w:r>
      <w:r w:rsidRPr="008115FB">
        <w:rPr>
          <w:color w:val="000000" w:themeColor="text1"/>
          <w:sz w:val="24"/>
          <w:szCs w:val="24"/>
        </w:rPr>
        <w:t xml:space="preserve"> </w:t>
      </w:r>
      <w:r w:rsidRPr="00BD1B6F">
        <w:rPr>
          <w:color w:val="000000" w:themeColor="text1"/>
          <w:sz w:val="24"/>
          <w:szCs w:val="24"/>
        </w:rPr>
        <w:t xml:space="preserve">i sredstava iz </w:t>
      </w:r>
      <w:r>
        <w:rPr>
          <w:color w:val="000000" w:themeColor="text1"/>
          <w:sz w:val="24"/>
          <w:szCs w:val="24"/>
        </w:rPr>
        <w:t xml:space="preserve">OPULJP </w:t>
      </w:r>
      <w:r w:rsidRPr="00BD1B6F">
        <w:rPr>
          <w:color w:val="000000" w:themeColor="text1"/>
          <w:sz w:val="24"/>
          <w:szCs w:val="24"/>
        </w:rPr>
        <w:t>2021.</w:t>
      </w:r>
      <w:r>
        <w:rPr>
          <w:color w:val="000000" w:themeColor="text1"/>
          <w:sz w:val="24"/>
          <w:szCs w:val="24"/>
        </w:rPr>
        <w:t xml:space="preserve"> </w:t>
      </w:r>
      <w:r w:rsidRPr="00BD1B6F">
        <w:rPr>
          <w:color w:val="000000" w:themeColor="text1"/>
          <w:sz w:val="24"/>
          <w:szCs w:val="24"/>
        </w:rPr>
        <w:t>-</w:t>
      </w:r>
      <w:r>
        <w:rPr>
          <w:color w:val="000000" w:themeColor="text1"/>
          <w:sz w:val="24"/>
          <w:szCs w:val="24"/>
        </w:rPr>
        <w:t xml:space="preserve"> </w:t>
      </w:r>
      <w:r w:rsidRPr="00BD1B6F">
        <w:rPr>
          <w:color w:val="000000" w:themeColor="text1"/>
          <w:sz w:val="24"/>
          <w:szCs w:val="24"/>
        </w:rPr>
        <w:lastRenderedPageBreak/>
        <w:t xml:space="preserve">2027. u planu je povećanje kvota za dodjelu državnih stipendija na 12.000 po akademskoj godini za studente nižeg socioekonomskog statusa, kao i financiranje izgradnje novih i modernizacije postojećih kapaciteta studentskog smještaja sredstvima iz </w:t>
      </w:r>
      <w:r>
        <w:rPr>
          <w:color w:val="000000" w:themeColor="text1"/>
          <w:sz w:val="24"/>
          <w:szCs w:val="24"/>
        </w:rPr>
        <w:t xml:space="preserve">Europskog fonda za regionalni razvoj 2021. - </w:t>
      </w:r>
      <w:r w:rsidRPr="00BD1B6F">
        <w:rPr>
          <w:color w:val="000000" w:themeColor="text1"/>
          <w:sz w:val="24"/>
          <w:szCs w:val="24"/>
        </w:rPr>
        <w:t xml:space="preserve">2027. </w:t>
      </w:r>
      <w:r>
        <w:rPr>
          <w:sz w:val="24"/>
          <w:szCs w:val="24"/>
        </w:rPr>
        <w:t>S</w:t>
      </w:r>
      <w:r w:rsidRPr="00BD1B6F">
        <w:rPr>
          <w:color w:val="000000" w:themeColor="text1"/>
          <w:sz w:val="24"/>
          <w:szCs w:val="24"/>
        </w:rPr>
        <w:t xml:space="preserve"> istim ciljem povećanja dostupnosti i stjecanja visokog obrazovanja, s posebnim naglaskom na </w:t>
      </w:r>
      <w:r w:rsidRPr="008115FB">
        <w:rPr>
          <w:color w:val="000000" w:themeColor="text1"/>
          <w:sz w:val="24"/>
          <w:szCs w:val="24"/>
        </w:rPr>
        <w:t xml:space="preserve">studije u </w:t>
      </w:r>
      <w:r w:rsidRPr="00BD1B6F">
        <w:rPr>
          <w:color w:val="000000" w:themeColor="text1"/>
          <w:sz w:val="24"/>
          <w:szCs w:val="24"/>
        </w:rPr>
        <w:t>STEM područj</w:t>
      </w:r>
      <w:r w:rsidRPr="008115FB">
        <w:rPr>
          <w:color w:val="000000" w:themeColor="text1"/>
          <w:sz w:val="24"/>
          <w:szCs w:val="24"/>
        </w:rPr>
        <w:t>u</w:t>
      </w:r>
      <w:r w:rsidRPr="00BD1B6F">
        <w:rPr>
          <w:color w:val="000000" w:themeColor="text1"/>
          <w:sz w:val="24"/>
          <w:szCs w:val="24"/>
        </w:rPr>
        <w:t xml:space="preserve"> </w:t>
      </w:r>
      <w:r w:rsidRPr="008115FB">
        <w:rPr>
          <w:color w:val="000000" w:themeColor="text1"/>
          <w:sz w:val="24"/>
          <w:szCs w:val="24"/>
        </w:rPr>
        <w:t>znanosti</w:t>
      </w:r>
      <w:r w:rsidRPr="00BD1B6F">
        <w:rPr>
          <w:color w:val="000000" w:themeColor="text1"/>
          <w:sz w:val="24"/>
          <w:szCs w:val="24"/>
        </w:rPr>
        <w:t xml:space="preserve">, nastavljena je </w:t>
      </w:r>
      <w:r w:rsidRPr="008115FB">
        <w:rPr>
          <w:color w:val="000000" w:themeColor="text1"/>
          <w:sz w:val="24"/>
          <w:szCs w:val="24"/>
        </w:rPr>
        <w:t>u akademskoj godini 2021./</w:t>
      </w:r>
      <w:r w:rsidRPr="00BD1B6F">
        <w:rPr>
          <w:color w:val="000000" w:themeColor="text1"/>
          <w:sz w:val="24"/>
          <w:szCs w:val="24"/>
        </w:rPr>
        <w:t xml:space="preserve">2022. provedba </w:t>
      </w:r>
      <w:r>
        <w:rPr>
          <w:color w:val="000000" w:themeColor="text1"/>
          <w:sz w:val="24"/>
          <w:szCs w:val="24"/>
        </w:rPr>
        <w:t>p</w:t>
      </w:r>
      <w:r w:rsidRPr="00BD1B6F">
        <w:rPr>
          <w:color w:val="000000" w:themeColor="text1"/>
          <w:sz w:val="24"/>
          <w:szCs w:val="24"/>
        </w:rPr>
        <w:t xml:space="preserve">rojekta „Dodjela stipendija studentima u prioritetnim područjima STEM“. </w:t>
      </w:r>
      <w:r w:rsidRPr="008115FB">
        <w:rPr>
          <w:color w:val="000000" w:themeColor="text1"/>
          <w:sz w:val="24"/>
          <w:szCs w:val="24"/>
        </w:rPr>
        <w:t>Ukupno je dodijeljeno 3.400 stipendija za što je izdvojen</w:t>
      </w:r>
      <w:r>
        <w:rPr>
          <w:color w:val="000000" w:themeColor="text1"/>
          <w:sz w:val="24"/>
          <w:szCs w:val="24"/>
        </w:rPr>
        <w:t>o</w:t>
      </w:r>
      <w:r w:rsidRPr="008115FB">
        <w:rPr>
          <w:color w:val="000000" w:themeColor="text1"/>
          <w:sz w:val="24"/>
          <w:szCs w:val="24"/>
        </w:rPr>
        <w:t xml:space="preserve"> 4,9 milijuna eura. </w:t>
      </w:r>
      <w:r w:rsidRPr="00BD1B6F">
        <w:rPr>
          <w:color w:val="000000" w:themeColor="text1"/>
          <w:sz w:val="24"/>
          <w:szCs w:val="24"/>
        </w:rPr>
        <w:t xml:space="preserve">Za nastavak provedbe Projekta, odnosno dodjelu potpora studentima </w:t>
      </w:r>
      <w:r w:rsidRPr="008115FB">
        <w:rPr>
          <w:color w:val="000000" w:themeColor="text1"/>
          <w:sz w:val="24"/>
          <w:szCs w:val="24"/>
        </w:rPr>
        <w:t xml:space="preserve">na studijima </w:t>
      </w:r>
      <w:r w:rsidRPr="00BD1B6F">
        <w:rPr>
          <w:color w:val="000000" w:themeColor="text1"/>
          <w:sz w:val="24"/>
          <w:szCs w:val="24"/>
        </w:rPr>
        <w:t>u STEM područjima znanosti i deficitarnim STEM nastavničkim zanimanjima, NPOO</w:t>
      </w:r>
      <w:r w:rsidRPr="008115FB">
        <w:rPr>
          <w:color w:val="000000" w:themeColor="text1"/>
          <w:sz w:val="24"/>
          <w:szCs w:val="24"/>
        </w:rPr>
        <w:t xml:space="preserve"> investicijom „Razvoj poticajnog modela za napredovanje u karijeri istraživača te provođenje vrhunskih znanstvenih istraživanja na STEM i IKT područjima</w:t>
      </w:r>
      <w:r>
        <w:rPr>
          <w:color w:val="000000" w:themeColor="text1"/>
          <w:sz w:val="24"/>
          <w:szCs w:val="24"/>
        </w:rPr>
        <w:t>“</w:t>
      </w:r>
      <w:r w:rsidRPr="008115FB">
        <w:rPr>
          <w:color w:val="000000" w:themeColor="text1"/>
          <w:sz w:val="24"/>
          <w:szCs w:val="24"/>
        </w:rPr>
        <w:t xml:space="preserve"> (C3.2.</w:t>
      </w:r>
      <w:r w:rsidRPr="001217CE">
        <w:rPr>
          <w:color w:val="000000" w:themeColor="text1"/>
          <w:sz w:val="24"/>
          <w:szCs w:val="24"/>
        </w:rPr>
        <w:t xml:space="preserve"> </w:t>
      </w:r>
      <w:r w:rsidRPr="008115FB">
        <w:rPr>
          <w:color w:val="000000" w:themeColor="text1"/>
          <w:sz w:val="24"/>
          <w:szCs w:val="24"/>
        </w:rPr>
        <w:t>R2-I1)</w:t>
      </w:r>
      <w:r w:rsidRPr="00BD1B6F">
        <w:rPr>
          <w:color w:val="000000" w:themeColor="text1"/>
          <w:sz w:val="24"/>
          <w:szCs w:val="24"/>
        </w:rPr>
        <w:t xml:space="preserve"> osigurano </w:t>
      </w:r>
      <w:r w:rsidRPr="008115FB">
        <w:rPr>
          <w:color w:val="000000" w:themeColor="text1"/>
          <w:sz w:val="24"/>
          <w:szCs w:val="24"/>
        </w:rPr>
        <w:t xml:space="preserve">je </w:t>
      </w:r>
      <w:r w:rsidRPr="00BD1B6F">
        <w:rPr>
          <w:color w:val="000000" w:themeColor="text1"/>
          <w:sz w:val="24"/>
          <w:szCs w:val="24"/>
        </w:rPr>
        <w:t>ukupno 12,1 milijun eura. Povećanjem završnosti studija u STEM područjima</w:t>
      </w:r>
      <w:r w:rsidRPr="008115FB">
        <w:rPr>
          <w:color w:val="000000" w:themeColor="text1"/>
          <w:sz w:val="24"/>
          <w:szCs w:val="24"/>
        </w:rPr>
        <w:t xml:space="preserve"> znanosti,</w:t>
      </w:r>
      <w:r w:rsidRPr="00BD1B6F">
        <w:rPr>
          <w:color w:val="000000" w:themeColor="text1"/>
          <w:sz w:val="24"/>
          <w:szCs w:val="24"/>
        </w:rPr>
        <w:t xml:space="preserve"> doprinosi se smanjivanju strukturne neusklađenosti ponude obrazovanja i vještina s potrebama identificiranim</w:t>
      </w:r>
      <w:r>
        <w:rPr>
          <w:color w:val="000000" w:themeColor="text1"/>
          <w:sz w:val="24"/>
          <w:szCs w:val="24"/>
        </w:rPr>
        <w:t>a</w:t>
      </w:r>
      <w:r w:rsidRPr="00BD1B6F">
        <w:rPr>
          <w:color w:val="000000" w:themeColor="text1"/>
          <w:sz w:val="24"/>
          <w:szCs w:val="24"/>
        </w:rPr>
        <w:t xml:space="preserve"> u navedenim područjima na tržištu rada. U okviru investicije, tijekom 2022.  pokrenuta </w:t>
      </w:r>
      <w:r>
        <w:rPr>
          <w:color w:val="000000" w:themeColor="text1"/>
          <w:sz w:val="24"/>
          <w:szCs w:val="24"/>
        </w:rPr>
        <w:t xml:space="preserve">je </w:t>
      </w:r>
      <w:r w:rsidRPr="00BD1B6F">
        <w:rPr>
          <w:color w:val="000000" w:themeColor="text1"/>
          <w:sz w:val="24"/>
          <w:szCs w:val="24"/>
        </w:rPr>
        <w:t xml:space="preserve">provedba </w:t>
      </w:r>
      <w:r>
        <w:rPr>
          <w:color w:val="000000" w:themeColor="text1"/>
          <w:sz w:val="24"/>
          <w:szCs w:val="24"/>
        </w:rPr>
        <w:t>p</w:t>
      </w:r>
      <w:r w:rsidRPr="00BD1B6F">
        <w:rPr>
          <w:color w:val="000000" w:themeColor="text1"/>
          <w:sz w:val="24"/>
          <w:szCs w:val="24"/>
        </w:rPr>
        <w:t xml:space="preserve">rograma „Dodjela stipendija studentima u STEM i IKT područjima znanosti“. Program se provodi s ciljem povećanja dostupnosti i zapošljivosti diplomanata u </w:t>
      </w:r>
      <w:r>
        <w:rPr>
          <w:color w:val="000000" w:themeColor="text1"/>
          <w:sz w:val="24"/>
          <w:szCs w:val="24"/>
        </w:rPr>
        <w:t xml:space="preserve">studijama </w:t>
      </w:r>
      <w:r w:rsidRPr="00BD1B6F">
        <w:rPr>
          <w:color w:val="000000" w:themeColor="text1"/>
          <w:sz w:val="24"/>
          <w:szCs w:val="24"/>
        </w:rPr>
        <w:t xml:space="preserve">STEM i </w:t>
      </w:r>
      <w:r>
        <w:rPr>
          <w:color w:val="000000" w:themeColor="text1"/>
          <w:sz w:val="24"/>
          <w:szCs w:val="24"/>
        </w:rPr>
        <w:t>informacijske i komunikacijske tehnologije</w:t>
      </w:r>
      <w:r w:rsidRPr="00BD1B6F">
        <w:rPr>
          <w:color w:val="000000" w:themeColor="text1"/>
          <w:sz w:val="24"/>
          <w:szCs w:val="24"/>
        </w:rPr>
        <w:t xml:space="preserve"> </w:t>
      </w:r>
      <w:r>
        <w:rPr>
          <w:color w:val="000000" w:themeColor="text1"/>
          <w:sz w:val="24"/>
          <w:szCs w:val="24"/>
        </w:rPr>
        <w:t>(u daljnjem tekstu: IKT),</w:t>
      </w:r>
      <w:r w:rsidRPr="00990155">
        <w:rPr>
          <w:color w:val="000000" w:themeColor="text1"/>
          <w:sz w:val="24"/>
          <w:szCs w:val="24"/>
        </w:rPr>
        <w:t xml:space="preserve"> </w:t>
      </w:r>
      <w:r w:rsidRPr="00BD1B6F">
        <w:rPr>
          <w:color w:val="000000" w:themeColor="text1"/>
          <w:sz w:val="24"/>
          <w:szCs w:val="24"/>
        </w:rPr>
        <w:t>područjima na prijediplomskoj i diplomskoj razini putem dodjele stipendija, a za akademsku godinu 2022./2023. u okviru Programa dodijeljen</w:t>
      </w:r>
      <w:r w:rsidRPr="008115FB">
        <w:rPr>
          <w:color w:val="000000" w:themeColor="text1"/>
          <w:sz w:val="24"/>
          <w:szCs w:val="24"/>
        </w:rPr>
        <w:t>o</w:t>
      </w:r>
      <w:r w:rsidRPr="00BD1B6F">
        <w:rPr>
          <w:color w:val="000000" w:themeColor="text1"/>
          <w:sz w:val="24"/>
          <w:szCs w:val="24"/>
        </w:rPr>
        <w:t xml:space="preserve"> </w:t>
      </w:r>
      <w:r>
        <w:rPr>
          <w:color w:val="000000" w:themeColor="text1"/>
          <w:sz w:val="24"/>
          <w:szCs w:val="24"/>
        </w:rPr>
        <w:t xml:space="preserve">je </w:t>
      </w:r>
      <w:r w:rsidRPr="00BD1B6F">
        <w:rPr>
          <w:color w:val="000000" w:themeColor="text1"/>
          <w:sz w:val="24"/>
          <w:szCs w:val="24"/>
        </w:rPr>
        <w:t>1.3</w:t>
      </w:r>
      <w:r w:rsidRPr="008115FB">
        <w:rPr>
          <w:color w:val="000000" w:themeColor="text1"/>
          <w:sz w:val="24"/>
          <w:szCs w:val="24"/>
        </w:rPr>
        <w:t>88</w:t>
      </w:r>
      <w:r w:rsidRPr="00BD1B6F">
        <w:rPr>
          <w:color w:val="000000" w:themeColor="text1"/>
          <w:sz w:val="24"/>
          <w:szCs w:val="24"/>
        </w:rPr>
        <w:t xml:space="preserve"> stipendij</w:t>
      </w:r>
      <w:r w:rsidRPr="008115FB">
        <w:rPr>
          <w:color w:val="000000" w:themeColor="text1"/>
          <w:sz w:val="24"/>
          <w:szCs w:val="24"/>
        </w:rPr>
        <w:t>a</w:t>
      </w:r>
      <w:r w:rsidRPr="00BD1B6F">
        <w:t xml:space="preserve"> </w:t>
      </w:r>
      <w:r w:rsidRPr="00BD1B6F">
        <w:rPr>
          <w:color w:val="000000" w:themeColor="text1"/>
          <w:sz w:val="24"/>
          <w:szCs w:val="24"/>
        </w:rPr>
        <w:t xml:space="preserve">za što je izdvojeno ukupno </w:t>
      </w:r>
      <w:r w:rsidRPr="008115FB">
        <w:rPr>
          <w:color w:val="000000" w:themeColor="text1"/>
          <w:sz w:val="24"/>
          <w:szCs w:val="24"/>
        </w:rPr>
        <w:t>4,8</w:t>
      </w:r>
      <w:r w:rsidRPr="00BD1B6F">
        <w:rPr>
          <w:color w:val="000000" w:themeColor="text1"/>
          <w:sz w:val="24"/>
          <w:szCs w:val="24"/>
        </w:rPr>
        <w:t xml:space="preserve"> milijuna eura.  </w:t>
      </w:r>
    </w:p>
    <w:p w14:paraId="3A867198" w14:textId="77777777" w:rsidR="001B09DB" w:rsidRPr="00BD1B6F" w:rsidRDefault="001B09DB" w:rsidP="001B09DB">
      <w:pPr>
        <w:spacing w:before="240" w:after="160" w:line="276" w:lineRule="auto"/>
        <w:jc w:val="both"/>
        <w:rPr>
          <w:color w:val="000000" w:themeColor="text1"/>
          <w:sz w:val="24"/>
          <w:szCs w:val="24"/>
        </w:rPr>
      </w:pPr>
      <w:r w:rsidRPr="00BD1B6F">
        <w:rPr>
          <w:color w:val="000000" w:themeColor="text1"/>
          <w:sz w:val="24"/>
          <w:szCs w:val="24"/>
        </w:rPr>
        <w:t>Kako bi se povećala kvaliteta i relevantnost studijskih programa te učinkovitost i međunarodna vidljivost znanstveno-istraživačkog sektora, nastavljeni su napori na provedbi strukturne i organizacijske reforme sustava visokog obrazovanja i znanstvene djelatnosti u Hrvatskoj. S ciljem daljnjeg poboljšanja učinkovitosti i kvalitete visokih učilišta i znanstvenih instituta, tijekom 2022. na snagu je stupio novi Zakon o visokom obrazovanju i znanstvenoj djelatnosti. Novim Zakonom o visokom obrazovanju i znanstvenoj djelatnosti omogućuju se uvjeti za uspostavu modernijeg te dostupnijeg i fleksibilnijeg sustava napredovanja za istraživače, koji potiče unutarnju i vanjsku mobilnost istraživača i omogućuje razvijanje karijera u poduzetništvu.</w:t>
      </w:r>
      <w:r w:rsidRPr="00BD1B6F">
        <w:t xml:space="preserve"> Također, u</w:t>
      </w:r>
      <w:r w:rsidRPr="00BD1B6F">
        <w:rPr>
          <w:color w:val="000000" w:themeColor="text1"/>
          <w:sz w:val="24"/>
          <w:szCs w:val="24"/>
        </w:rPr>
        <w:t xml:space="preserve">vođenjem sustava financiranja visokog obrazovanja kroz 3 različite komponente programskog ugovora, uspostavlja se jasna veza između rezultata vrednovanja kvalitete znanstvenog i nastavnog rada pojedinog visokog učilišta i alokacija za financiranje </w:t>
      </w:r>
      <w:r w:rsidRPr="008115FB">
        <w:rPr>
          <w:color w:val="000000" w:themeColor="text1"/>
          <w:sz w:val="24"/>
          <w:szCs w:val="24"/>
        </w:rPr>
        <w:t xml:space="preserve">provedbe </w:t>
      </w:r>
      <w:r w:rsidRPr="00BD1B6F">
        <w:rPr>
          <w:color w:val="000000" w:themeColor="text1"/>
          <w:sz w:val="24"/>
          <w:szCs w:val="24"/>
        </w:rPr>
        <w:t xml:space="preserve">studijskih programa, čime će se doprinijeti poboljšanju kvalitete i relevantnosti studijskih programa te dostupnosti visokog obrazovanja u Hrvatskoj. </w:t>
      </w:r>
    </w:p>
    <w:p w14:paraId="52C09628" w14:textId="77777777" w:rsidR="001B09DB" w:rsidRPr="00BD1B6F" w:rsidRDefault="001B09DB" w:rsidP="001B09DB">
      <w:pPr>
        <w:spacing w:before="240" w:after="160" w:line="276" w:lineRule="auto"/>
        <w:jc w:val="both"/>
        <w:rPr>
          <w:color w:val="000000" w:themeColor="text1"/>
          <w:sz w:val="24"/>
          <w:szCs w:val="24"/>
        </w:rPr>
      </w:pPr>
      <w:r w:rsidRPr="00BD1B6F">
        <w:rPr>
          <w:color w:val="000000" w:themeColor="text1"/>
          <w:sz w:val="24"/>
          <w:szCs w:val="24"/>
        </w:rPr>
        <w:t xml:space="preserve">Usprkos pozitivnim kretanjima na tržištu rada, zapošljivost osoba koje su stekle diplomu u posljednje </w:t>
      </w:r>
      <w:r>
        <w:rPr>
          <w:color w:val="000000" w:themeColor="text1"/>
          <w:sz w:val="24"/>
          <w:szCs w:val="24"/>
        </w:rPr>
        <w:t>3</w:t>
      </w:r>
      <w:r w:rsidRPr="00BD1B6F">
        <w:rPr>
          <w:color w:val="000000" w:themeColor="text1"/>
          <w:sz w:val="24"/>
          <w:szCs w:val="24"/>
        </w:rPr>
        <w:t xml:space="preserve"> godine u Hrvatskoj je i dalje među nižima u EU te je u 2022. </w:t>
      </w:r>
      <w:r w:rsidRPr="00BD1B6F">
        <w:rPr>
          <w:color w:val="000000" w:themeColor="text1"/>
          <w:sz w:val="24"/>
          <w:szCs w:val="24"/>
        </w:rPr>
        <w:lastRenderedPageBreak/>
        <w:t xml:space="preserve">iznosila 78,5%, uz prosjek EU-a od 82,4%, što ukazuje da kvalifikacije osoba s diplomom i dalje nisu dovoljno relevantne za potrebe tržišta rada. Kako bi se dodatno povećala razina relevantnosti i kvalitete studijskih programa u Hrvatskoj, odnosno osigurali uvjeti da očekivani ishodi učenja i profili studijskih programa budu u skladu s potražnjom na tržištu rada i društvenim potrebama, donesen je novi Zakon o osiguravanju kvalitete u visokom obrazovanju i znanosti. Novim Zakonom unaprjeđuju </w:t>
      </w:r>
      <w:r>
        <w:rPr>
          <w:color w:val="000000" w:themeColor="text1"/>
          <w:sz w:val="24"/>
          <w:szCs w:val="24"/>
        </w:rPr>
        <w:t xml:space="preserve">se </w:t>
      </w:r>
      <w:r w:rsidRPr="00BD1B6F">
        <w:rPr>
          <w:color w:val="000000" w:themeColor="text1"/>
          <w:sz w:val="24"/>
          <w:szCs w:val="24"/>
        </w:rPr>
        <w:t>i ujednačavaju postupci osiguravanj</w:t>
      </w:r>
      <w:r w:rsidRPr="008115FB">
        <w:rPr>
          <w:color w:val="000000" w:themeColor="text1"/>
          <w:sz w:val="24"/>
          <w:szCs w:val="24"/>
        </w:rPr>
        <w:t>a</w:t>
      </w:r>
      <w:r w:rsidRPr="00BD1B6F">
        <w:rPr>
          <w:color w:val="000000" w:themeColor="text1"/>
          <w:sz w:val="24"/>
          <w:szCs w:val="24"/>
        </w:rPr>
        <w:t xml:space="preserve"> kvalitete studijskih programa svih visokih učilišta, uključujući i sva javna </w:t>
      </w:r>
      <w:r w:rsidRPr="008115FB">
        <w:rPr>
          <w:color w:val="000000" w:themeColor="text1"/>
          <w:sz w:val="24"/>
          <w:szCs w:val="24"/>
        </w:rPr>
        <w:t>sve</w:t>
      </w:r>
      <w:r w:rsidRPr="00BD1B6F">
        <w:rPr>
          <w:color w:val="000000" w:themeColor="text1"/>
          <w:sz w:val="24"/>
          <w:szCs w:val="24"/>
        </w:rPr>
        <w:t>učilišta</w:t>
      </w:r>
      <w:r>
        <w:rPr>
          <w:color w:val="000000" w:themeColor="text1"/>
          <w:sz w:val="24"/>
          <w:szCs w:val="24"/>
        </w:rPr>
        <w:t>,</w:t>
      </w:r>
      <w:r w:rsidRPr="00BD1B6F">
        <w:rPr>
          <w:color w:val="000000" w:themeColor="text1"/>
          <w:sz w:val="24"/>
          <w:szCs w:val="24"/>
        </w:rPr>
        <w:t xml:space="preserve"> te propisuje obveza usklađivanja svih studijskih programa s registrom standarda kvalifikacija i zanimanja </w:t>
      </w:r>
      <w:r w:rsidRPr="008115FB">
        <w:rPr>
          <w:color w:val="000000" w:themeColor="text1"/>
          <w:sz w:val="24"/>
          <w:szCs w:val="24"/>
        </w:rPr>
        <w:t xml:space="preserve">iz Registra </w:t>
      </w:r>
      <w:r w:rsidRPr="00BD1B6F">
        <w:rPr>
          <w:color w:val="000000" w:themeColor="text1"/>
          <w:sz w:val="24"/>
          <w:szCs w:val="24"/>
        </w:rPr>
        <w:t xml:space="preserve">Hrvatskog kvalifikacijskog okvira. Također, s ciljem poticanja internacionalizacije studija i veće </w:t>
      </w:r>
      <w:r w:rsidRPr="008115FB">
        <w:rPr>
          <w:color w:val="000000" w:themeColor="text1"/>
          <w:sz w:val="24"/>
          <w:szCs w:val="24"/>
        </w:rPr>
        <w:t>odlazne i dolazne</w:t>
      </w:r>
      <w:r w:rsidRPr="00BD1B6F">
        <w:rPr>
          <w:color w:val="000000" w:themeColor="text1"/>
          <w:sz w:val="24"/>
          <w:szCs w:val="24"/>
        </w:rPr>
        <w:t xml:space="preserve"> mobilnosti studenata, novim </w:t>
      </w:r>
      <w:r>
        <w:rPr>
          <w:color w:val="000000" w:themeColor="text1"/>
          <w:sz w:val="24"/>
          <w:szCs w:val="24"/>
        </w:rPr>
        <w:t>Z</w:t>
      </w:r>
      <w:r w:rsidRPr="00BD1B6F">
        <w:rPr>
          <w:color w:val="000000" w:themeColor="text1"/>
          <w:sz w:val="24"/>
          <w:szCs w:val="24"/>
        </w:rPr>
        <w:t xml:space="preserve">akonom smanjene </w:t>
      </w:r>
      <w:r>
        <w:rPr>
          <w:color w:val="000000" w:themeColor="text1"/>
          <w:sz w:val="24"/>
          <w:szCs w:val="24"/>
        </w:rPr>
        <w:t xml:space="preserve">su </w:t>
      </w:r>
      <w:r w:rsidRPr="00BD1B6F">
        <w:rPr>
          <w:color w:val="000000" w:themeColor="text1"/>
          <w:sz w:val="24"/>
          <w:szCs w:val="24"/>
        </w:rPr>
        <w:t>administrativne prepreke i osigurani uvjeti za izravnu primjena Europskog pristupa prilikom osiguravanja kvalitete združenih studija</w:t>
      </w:r>
      <w:r w:rsidRPr="008115FB">
        <w:rPr>
          <w:color w:val="000000" w:themeColor="text1"/>
          <w:sz w:val="24"/>
          <w:szCs w:val="24"/>
        </w:rPr>
        <w:t xml:space="preserve"> koja izvode</w:t>
      </w:r>
      <w:r w:rsidRPr="00BD1B6F">
        <w:rPr>
          <w:color w:val="000000" w:themeColor="text1"/>
          <w:sz w:val="24"/>
          <w:szCs w:val="24"/>
        </w:rPr>
        <w:t xml:space="preserve"> domać</w:t>
      </w:r>
      <w:r w:rsidRPr="008115FB">
        <w:rPr>
          <w:color w:val="000000" w:themeColor="text1"/>
          <w:sz w:val="24"/>
          <w:szCs w:val="24"/>
        </w:rPr>
        <w:t>a</w:t>
      </w:r>
      <w:r w:rsidRPr="00BD1B6F">
        <w:rPr>
          <w:color w:val="000000" w:themeColor="text1"/>
          <w:sz w:val="24"/>
          <w:szCs w:val="24"/>
        </w:rPr>
        <w:t xml:space="preserve"> i inozemn</w:t>
      </w:r>
      <w:r w:rsidRPr="008115FB">
        <w:rPr>
          <w:color w:val="000000" w:themeColor="text1"/>
          <w:sz w:val="24"/>
          <w:szCs w:val="24"/>
        </w:rPr>
        <w:t>a</w:t>
      </w:r>
      <w:r w:rsidRPr="00BD1B6F">
        <w:rPr>
          <w:color w:val="000000" w:themeColor="text1"/>
          <w:sz w:val="24"/>
          <w:szCs w:val="24"/>
        </w:rPr>
        <w:t xml:space="preserve"> visok</w:t>
      </w:r>
      <w:r w:rsidRPr="008115FB">
        <w:rPr>
          <w:color w:val="000000" w:themeColor="text1"/>
          <w:sz w:val="24"/>
          <w:szCs w:val="24"/>
        </w:rPr>
        <w:t>a</w:t>
      </w:r>
      <w:r w:rsidRPr="00BD1B6F">
        <w:rPr>
          <w:color w:val="000000" w:themeColor="text1"/>
          <w:sz w:val="24"/>
          <w:szCs w:val="24"/>
        </w:rPr>
        <w:t xml:space="preserve"> učilišta.</w:t>
      </w:r>
    </w:p>
    <w:p w14:paraId="414D5060" w14:textId="77777777" w:rsidR="001B09DB" w:rsidRPr="00BD1B6F" w:rsidRDefault="001B09DB" w:rsidP="001B09DB">
      <w:pPr>
        <w:spacing w:before="240" w:line="276" w:lineRule="auto"/>
        <w:jc w:val="both"/>
        <w:rPr>
          <w:sz w:val="24"/>
          <w:szCs w:val="24"/>
        </w:rPr>
      </w:pPr>
      <w:r w:rsidRPr="00BD1B6F">
        <w:rPr>
          <w:color w:val="000000" w:themeColor="text1"/>
          <w:sz w:val="24"/>
          <w:szCs w:val="24"/>
        </w:rPr>
        <w:t xml:space="preserve">Kako bi se dodatno unaprijedila kvaliteta studijskih programa te bolje uskladile </w:t>
      </w:r>
      <w:r w:rsidRPr="00BD1B6F">
        <w:rPr>
          <w:sz w:val="24"/>
          <w:szCs w:val="24"/>
        </w:rPr>
        <w:t xml:space="preserve">upisne politike visokih učilišta u Hrvatskoj s potrebama gospodarstva i potražnjom na tržištu rada, Europska komisija je Ministarstvu znanosti i obrazovanja u veljači 2022. odobrila provedbu </w:t>
      </w:r>
      <w:r>
        <w:rPr>
          <w:sz w:val="24"/>
          <w:szCs w:val="24"/>
        </w:rPr>
        <w:t>p</w:t>
      </w:r>
      <w:r w:rsidRPr="00BD1B6F">
        <w:rPr>
          <w:sz w:val="24"/>
          <w:szCs w:val="24"/>
        </w:rPr>
        <w:t>rojekta „GT Croatia“ financiranog sredstvima iz Erasmus+ programa. Projektom se sufinancira provedba istraživanja „</w:t>
      </w:r>
      <w:r w:rsidRPr="00BD1B6F">
        <w:rPr>
          <w:i/>
          <w:iCs/>
          <w:sz w:val="24"/>
          <w:szCs w:val="24"/>
        </w:rPr>
        <w:t>EUROGRADUATE Survey 2022</w:t>
      </w:r>
      <w:r w:rsidRPr="00BD1B6F">
        <w:rPr>
          <w:sz w:val="24"/>
          <w:szCs w:val="24"/>
        </w:rPr>
        <w:t xml:space="preserve">“ na području Hrvatske, kao i provedba aktivnosti uspostave sustava praćenja razvoja karijera osoba s diplomom. Aktivnostima u okviru Projekta, visokim učilištima u Hrvatskoj pomaže </w:t>
      </w:r>
      <w:r>
        <w:rPr>
          <w:sz w:val="24"/>
          <w:szCs w:val="24"/>
        </w:rPr>
        <w:t xml:space="preserve">se </w:t>
      </w:r>
      <w:r w:rsidRPr="00BD1B6F">
        <w:rPr>
          <w:sz w:val="24"/>
          <w:szCs w:val="24"/>
        </w:rPr>
        <w:t xml:space="preserve">u preciznijem </w:t>
      </w:r>
      <w:r w:rsidRPr="00BD1B6F">
        <w:rPr>
          <w:color w:val="191919"/>
          <w:sz w:val="24"/>
          <w:szCs w:val="24"/>
        </w:rPr>
        <w:t xml:space="preserve">definiranju upisnih kvota i boljem povezivanju studijskih programa s potrebama i potražnjom na tržištu rada, a budućim studentima omogućuju </w:t>
      </w:r>
      <w:r>
        <w:rPr>
          <w:color w:val="191919"/>
          <w:sz w:val="24"/>
          <w:szCs w:val="24"/>
        </w:rPr>
        <w:t xml:space="preserve">se </w:t>
      </w:r>
      <w:r w:rsidRPr="00BD1B6F">
        <w:rPr>
          <w:color w:val="191919"/>
          <w:sz w:val="24"/>
          <w:szCs w:val="24"/>
        </w:rPr>
        <w:t xml:space="preserve">uvjeti za bolje profesionalno usmjeravanje. </w:t>
      </w:r>
      <w:r w:rsidRPr="00BD1B6F">
        <w:rPr>
          <w:sz w:val="24"/>
          <w:szCs w:val="24"/>
        </w:rPr>
        <w:t xml:space="preserve">Nadalje, u skladu s inicijativom Europske komisije za jačanje doprinosa obrazovanja i osposobljavanja oporavku EU od krize uzrokovane pandemijom COVID-19, nastavljeni su napori na uspostavi europskog prostora obrazovanja do 2025. U </w:t>
      </w:r>
      <w:r w:rsidRPr="008115FB">
        <w:rPr>
          <w:sz w:val="24"/>
          <w:szCs w:val="24"/>
        </w:rPr>
        <w:t xml:space="preserve">području visokog obrazovanja </w:t>
      </w:r>
      <w:r>
        <w:rPr>
          <w:sz w:val="24"/>
          <w:szCs w:val="24"/>
        </w:rPr>
        <w:t>ključna</w:t>
      </w:r>
      <w:r w:rsidRPr="008115FB">
        <w:rPr>
          <w:sz w:val="24"/>
          <w:szCs w:val="24"/>
        </w:rPr>
        <w:t xml:space="preserve"> </w:t>
      </w:r>
      <w:r w:rsidRPr="00BD1B6F">
        <w:rPr>
          <w:sz w:val="24"/>
          <w:szCs w:val="24"/>
        </w:rPr>
        <w:t>inicijativ</w:t>
      </w:r>
      <w:r w:rsidRPr="008115FB">
        <w:rPr>
          <w:sz w:val="24"/>
          <w:szCs w:val="24"/>
        </w:rPr>
        <w:t>a</w:t>
      </w:r>
      <w:r w:rsidRPr="00BD1B6F">
        <w:rPr>
          <w:sz w:val="24"/>
          <w:szCs w:val="24"/>
        </w:rPr>
        <w:t xml:space="preserve"> </w:t>
      </w:r>
      <w:r w:rsidRPr="008115FB">
        <w:rPr>
          <w:sz w:val="24"/>
          <w:szCs w:val="24"/>
        </w:rPr>
        <w:t xml:space="preserve">su alijanse europskih sveučilišta. Shodno tome, na nacionalnoj razini </w:t>
      </w:r>
      <w:r w:rsidRPr="00BD1B6F">
        <w:rPr>
          <w:sz w:val="24"/>
          <w:szCs w:val="24"/>
        </w:rPr>
        <w:t xml:space="preserve">pruža se potpora visokim učilištima iz Hrvatske u provedbi i jačanju suradnje s drugim visokim učilištima u alijansama europskih sveučilišta.   </w:t>
      </w:r>
    </w:p>
    <w:p w14:paraId="4E115687" w14:textId="77777777" w:rsidR="001B09DB" w:rsidRPr="00BD1B6F" w:rsidRDefault="001B09DB" w:rsidP="001B09DB">
      <w:pPr>
        <w:spacing w:before="240" w:line="276" w:lineRule="auto"/>
        <w:jc w:val="both"/>
        <w:rPr>
          <w:sz w:val="24"/>
          <w:szCs w:val="24"/>
        </w:rPr>
      </w:pPr>
      <w:r w:rsidRPr="00BD1B6F">
        <w:rPr>
          <w:sz w:val="24"/>
          <w:szCs w:val="24"/>
        </w:rPr>
        <w:t>Radi poticanja visokih učilišta na uspostavljanje programa cjeloživotnog učenja</w:t>
      </w:r>
      <w:r>
        <w:rPr>
          <w:sz w:val="24"/>
          <w:szCs w:val="24"/>
        </w:rPr>
        <w:t>, u</w:t>
      </w:r>
      <w:r w:rsidRPr="00BD1B6F">
        <w:rPr>
          <w:sz w:val="24"/>
          <w:szCs w:val="24"/>
        </w:rPr>
        <w:t xml:space="preserve"> okviru NPOO komponente C4.1. „Unaprjeđenje mjera zapošljavanja i pravnog okvira za moderno tržište rada i gospodarstvo budućnosti</w:t>
      </w:r>
      <w:r w:rsidRPr="00BD1B6F">
        <w:rPr>
          <w:i/>
          <w:iCs/>
          <w:sz w:val="24"/>
          <w:szCs w:val="24"/>
        </w:rPr>
        <w:t>“</w:t>
      </w:r>
      <w:r w:rsidRPr="00BD1B6F">
        <w:rPr>
          <w:sz w:val="24"/>
          <w:szCs w:val="24"/>
        </w:rPr>
        <w:t xml:space="preserve"> donesena je „Uputa za izradu, usklađivanje i odobravanje obrazovnih programa visokih učilišta na razini visokog obrazovanja za potrebe financiranja putem vaučera“ sredstvima iz NPOO-a. </w:t>
      </w:r>
      <w:r w:rsidRPr="008115FB">
        <w:rPr>
          <w:sz w:val="24"/>
          <w:szCs w:val="24"/>
        </w:rPr>
        <w:t xml:space="preserve">Provedbom aktivnosti u okviru komponente </w:t>
      </w:r>
      <w:r w:rsidRPr="00097EC7">
        <w:rPr>
          <w:sz w:val="24"/>
          <w:szCs w:val="24"/>
        </w:rPr>
        <w:t>povećat</w:t>
      </w:r>
      <w:r>
        <w:rPr>
          <w:sz w:val="24"/>
          <w:szCs w:val="24"/>
        </w:rPr>
        <w:t xml:space="preserve"> </w:t>
      </w:r>
      <w:r w:rsidRPr="008115FB">
        <w:rPr>
          <w:sz w:val="24"/>
          <w:szCs w:val="24"/>
        </w:rPr>
        <w:t>će se broj programa stručnog usavršavanja za potrebe cjeloživotnog učenja, koj</w:t>
      </w:r>
      <w:r>
        <w:rPr>
          <w:sz w:val="24"/>
          <w:szCs w:val="24"/>
        </w:rPr>
        <w:t>e</w:t>
      </w:r>
      <w:r w:rsidRPr="008115FB">
        <w:rPr>
          <w:sz w:val="24"/>
          <w:szCs w:val="24"/>
        </w:rPr>
        <w:t xml:space="preserve"> ustrojavaju visoka učilišta, u svrhu stjecanja kompetencija usklađenih sa standardima zanimanja i standardima </w:t>
      </w:r>
      <w:r w:rsidRPr="008115FB">
        <w:rPr>
          <w:sz w:val="24"/>
          <w:szCs w:val="24"/>
        </w:rPr>
        <w:lastRenderedPageBreak/>
        <w:t>kvalifikacija iz Registra Hrvatskog kvalifikacijskog okvira.</w:t>
      </w:r>
    </w:p>
    <w:p w14:paraId="0A316937" w14:textId="77777777" w:rsidR="001B09DB" w:rsidRPr="00BD1B6F" w:rsidRDefault="001B09DB" w:rsidP="001B09DB">
      <w:pPr>
        <w:spacing w:before="240" w:line="276" w:lineRule="auto"/>
        <w:rPr>
          <w:b/>
          <w:color w:val="000000" w:themeColor="text1"/>
          <w:sz w:val="24"/>
          <w:szCs w:val="24"/>
        </w:rPr>
      </w:pPr>
      <w:r>
        <w:rPr>
          <w:b/>
          <w:bCs/>
          <w:color w:val="000000" w:themeColor="text1"/>
          <w:sz w:val="24"/>
          <w:szCs w:val="24"/>
        </w:rPr>
        <w:tab/>
      </w:r>
      <w:r w:rsidRPr="00BD1B6F">
        <w:rPr>
          <w:b/>
          <w:bCs/>
          <w:color w:val="000000" w:themeColor="text1"/>
          <w:sz w:val="24"/>
          <w:szCs w:val="24"/>
        </w:rPr>
        <w:t xml:space="preserve">Usklađeno i perspektivno tržište rada </w:t>
      </w:r>
    </w:p>
    <w:p w14:paraId="249E133C" w14:textId="77777777" w:rsidR="001B09DB" w:rsidRPr="00BD1B6F" w:rsidRDefault="001B09DB" w:rsidP="001B09DB">
      <w:pPr>
        <w:spacing w:before="240" w:line="276" w:lineRule="auto"/>
        <w:jc w:val="both"/>
        <w:rPr>
          <w:sz w:val="24"/>
          <w:szCs w:val="24"/>
        </w:rPr>
      </w:pPr>
      <w:r w:rsidRPr="00BD1B6F">
        <w:rPr>
          <w:sz w:val="24"/>
          <w:szCs w:val="24"/>
        </w:rPr>
        <w:t>Pokazatelji tržišta rada su i u 2022. nastavili pokazivati pozitivne rezultate i otpornost na nepovoljna gospodarska i politička kretanja na međunarodnoj razini. Stopa zaposlenosti u dobnoj skupini 20</w:t>
      </w:r>
      <w:r>
        <w:rPr>
          <w:sz w:val="24"/>
          <w:szCs w:val="24"/>
        </w:rPr>
        <w:t xml:space="preserve"> – </w:t>
      </w:r>
      <w:r w:rsidRPr="00BD1B6F">
        <w:rPr>
          <w:sz w:val="24"/>
          <w:szCs w:val="24"/>
        </w:rPr>
        <w:t>64 godine</w:t>
      </w:r>
      <w:r>
        <w:rPr>
          <w:sz w:val="24"/>
          <w:szCs w:val="24"/>
        </w:rPr>
        <w:t>,</w:t>
      </w:r>
      <w:r w:rsidRPr="00BD1B6F">
        <w:rPr>
          <w:sz w:val="24"/>
          <w:szCs w:val="24"/>
        </w:rPr>
        <w:t xml:space="preserve"> u 2022.</w:t>
      </w:r>
      <w:r>
        <w:rPr>
          <w:sz w:val="24"/>
          <w:szCs w:val="24"/>
        </w:rPr>
        <w:t xml:space="preserve"> je </w:t>
      </w:r>
      <w:r w:rsidRPr="00BD1B6F">
        <w:rPr>
          <w:sz w:val="24"/>
          <w:szCs w:val="24"/>
        </w:rPr>
        <w:t>u odnosu na 2021. porasla za 1,5% te je iznosila 69,7%. Udio privremeno zaposlenih u ukupno zaposlenima</w:t>
      </w:r>
      <w:r>
        <w:rPr>
          <w:sz w:val="24"/>
          <w:szCs w:val="24"/>
        </w:rPr>
        <w:t>,</w:t>
      </w:r>
      <w:r w:rsidRPr="00BD1B6F">
        <w:rPr>
          <w:sz w:val="24"/>
          <w:szCs w:val="24"/>
        </w:rPr>
        <w:t xml:space="preserve"> u 2022. premašio je postavljenu cilj</w:t>
      </w:r>
      <w:r>
        <w:rPr>
          <w:sz w:val="24"/>
          <w:szCs w:val="24"/>
        </w:rPr>
        <w:t>a</w:t>
      </w:r>
      <w:r w:rsidRPr="00BD1B6F">
        <w:rPr>
          <w:sz w:val="24"/>
          <w:szCs w:val="24"/>
        </w:rPr>
        <w:t>nu vrijednost i smanjen je na 14,6%. Nadalje, prema podacima za 2022.</w:t>
      </w:r>
      <w:r>
        <w:rPr>
          <w:sz w:val="24"/>
          <w:szCs w:val="24"/>
        </w:rPr>
        <w:t>,</w:t>
      </w:r>
      <w:r w:rsidRPr="00BD1B6F">
        <w:rPr>
          <w:sz w:val="24"/>
          <w:szCs w:val="24"/>
        </w:rPr>
        <w:t xml:space="preserve"> </w:t>
      </w:r>
      <w:r w:rsidRPr="07D2C9E4">
        <w:rPr>
          <w:sz w:val="24"/>
          <w:szCs w:val="24"/>
        </w:rPr>
        <w:t>prosječ</w:t>
      </w:r>
      <w:r>
        <w:rPr>
          <w:sz w:val="24"/>
          <w:szCs w:val="24"/>
        </w:rPr>
        <w:t>a</w:t>
      </w:r>
      <w:r w:rsidRPr="07D2C9E4">
        <w:rPr>
          <w:sz w:val="24"/>
          <w:szCs w:val="24"/>
        </w:rPr>
        <w:t>n</w:t>
      </w:r>
      <w:r w:rsidRPr="00BD1B6F">
        <w:rPr>
          <w:sz w:val="24"/>
          <w:szCs w:val="24"/>
        </w:rPr>
        <w:t xml:space="preserve"> broj nezaposlenih osoba u 2022. iznosio je 116.127 osoba, što predstavlja smanjenje za 20 tisuća nezaposlenih osoba, odnosno 15,1% u odnosu na 2021.</w:t>
      </w:r>
      <w:r>
        <w:rPr>
          <w:sz w:val="24"/>
          <w:szCs w:val="24"/>
        </w:rPr>
        <w:t xml:space="preserve"> </w:t>
      </w:r>
      <w:r w:rsidRPr="00BD1B6F">
        <w:rPr>
          <w:sz w:val="24"/>
          <w:szCs w:val="24"/>
        </w:rPr>
        <w:t xml:space="preserve">Istovremeno, prema podacima </w:t>
      </w:r>
      <w:r w:rsidRPr="07D2C9E4">
        <w:rPr>
          <w:sz w:val="24"/>
          <w:szCs w:val="24"/>
        </w:rPr>
        <w:t>H</w:t>
      </w:r>
      <w:r>
        <w:rPr>
          <w:sz w:val="24"/>
          <w:szCs w:val="24"/>
        </w:rPr>
        <w:t xml:space="preserve">ZMO-a, </w:t>
      </w:r>
      <w:r w:rsidRPr="07D2C9E4">
        <w:rPr>
          <w:sz w:val="24"/>
          <w:szCs w:val="24"/>
        </w:rPr>
        <w:t>prosječ</w:t>
      </w:r>
      <w:r>
        <w:rPr>
          <w:sz w:val="24"/>
          <w:szCs w:val="24"/>
        </w:rPr>
        <w:t xml:space="preserve">an </w:t>
      </w:r>
      <w:r w:rsidRPr="00BD1B6F">
        <w:rPr>
          <w:sz w:val="24"/>
          <w:szCs w:val="24"/>
        </w:rPr>
        <w:t xml:space="preserve">broj osiguranika u 2022. iznosio </w:t>
      </w:r>
      <w:r>
        <w:rPr>
          <w:sz w:val="24"/>
          <w:szCs w:val="24"/>
        </w:rPr>
        <w:t xml:space="preserve">je </w:t>
      </w:r>
      <w:r w:rsidRPr="00BD1B6F">
        <w:rPr>
          <w:sz w:val="24"/>
          <w:szCs w:val="24"/>
        </w:rPr>
        <w:t xml:space="preserve">1.613.180 osoba, odnosno povećan je za 38.000 osiguranika u odnosu na 2021.  </w:t>
      </w:r>
    </w:p>
    <w:p w14:paraId="5F54BDBC" w14:textId="77777777" w:rsidR="001B09DB" w:rsidRPr="00BD1B6F" w:rsidRDefault="001B09DB" w:rsidP="001B09DB">
      <w:pPr>
        <w:spacing w:before="240" w:line="276" w:lineRule="auto"/>
        <w:ind w:right="160"/>
        <w:jc w:val="both"/>
        <w:rPr>
          <w:sz w:val="24"/>
          <w:szCs w:val="24"/>
        </w:rPr>
      </w:pPr>
      <w:r w:rsidRPr="00BD1B6F">
        <w:rPr>
          <w:sz w:val="24"/>
          <w:szCs w:val="24"/>
        </w:rPr>
        <w:t>S ciljem bolje i učinkovitije integracije osoba s invaliditetom na tržište rada, provode se napori u području profesionalnog usmjeravanja i rehabilitacije te podizanja svijesti javnosti i poslodavaca o mogućnostima osoba s invaliditetom. Prema podacima za 2022.</w:t>
      </w:r>
      <w:r>
        <w:rPr>
          <w:sz w:val="24"/>
          <w:szCs w:val="24"/>
        </w:rPr>
        <w:t>,</w:t>
      </w:r>
      <w:r w:rsidRPr="00BD1B6F">
        <w:rPr>
          <w:sz w:val="24"/>
          <w:szCs w:val="24"/>
        </w:rPr>
        <w:t xml:space="preserve"> posredstvom Hrvatskog zavoda za zapošljavanje</w:t>
      </w:r>
      <w:r>
        <w:rPr>
          <w:sz w:val="24"/>
          <w:szCs w:val="24"/>
        </w:rPr>
        <w:t xml:space="preserve"> </w:t>
      </w:r>
      <w:r w:rsidRPr="00BD1B6F">
        <w:rPr>
          <w:sz w:val="24"/>
          <w:szCs w:val="24"/>
        </w:rPr>
        <w:t>zaposleno je ukupno 131.938 osoba, od čega 3.065 osoba s invaliditetom, odnosno 11,9% više u odnosu na 2021. Od ukupnog broja osoba s invaliditetom zaposlenih tijekom 2022.</w:t>
      </w:r>
      <w:r>
        <w:rPr>
          <w:sz w:val="24"/>
          <w:szCs w:val="24"/>
        </w:rPr>
        <w:t>,</w:t>
      </w:r>
      <w:r w:rsidRPr="00BD1B6F">
        <w:rPr>
          <w:sz w:val="24"/>
          <w:szCs w:val="24"/>
        </w:rPr>
        <w:t xml:space="preserve"> 1.587 su muškarci (51,8%), a 1.478 žene s invaliditetom (48,2%). </w:t>
      </w:r>
      <w:r w:rsidRPr="00CF4F0F">
        <w:rPr>
          <w:sz w:val="24"/>
          <w:szCs w:val="24"/>
        </w:rPr>
        <w:t xml:space="preserve">Na dan 31. prosinca 2022. evidentirano je ukupno 15.513 zaposlenih osoba s invaliditetom, 32,6% više u odnosu na 31. prosinca 2021. te ukupno 7.196 nezaposlenih osoba s invaliditetom, </w:t>
      </w:r>
      <w:r>
        <w:rPr>
          <w:sz w:val="24"/>
          <w:szCs w:val="24"/>
        </w:rPr>
        <w:t xml:space="preserve">odnosno 16,5% </w:t>
      </w:r>
      <w:r w:rsidRPr="00CF4F0F">
        <w:rPr>
          <w:sz w:val="24"/>
          <w:szCs w:val="24"/>
        </w:rPr>
        <w:t xml:space="preserve">više </w:t>
      </w:r>
      <w:r w:rsidRPr="00CF4F0F">
        <w:rPr>
          <w:rFonts w:eastAsia="Calibri"/>
          <w:sz w:val="24"/>
          <w:szCs w:val="24"/>
        </w:rPr>
        <w:t>u odnosu na 2021</w:t>
      </w:r>
      <w:r w:rsidRPr="00CF4F0F">
        <w:rPr>
          <w:noProof/>
          <w:sz w:val="24"/>
          <w:szCs w:val="24"/>
        </w:rPr>
        <w:t>.</w:t>
      </w:r>
      <w:r w:rsidRPr="00CF4F0F">
        <w:rPr>
          <w:noProof/>
          <w:sz w:val="24"/>
          <w:szCs w:val="24"/>
          <w:lang w:eastAsia="hr-HR"/>
        </w:rPr>
        <w:drawing>
          <wp:inline distT="0" distB="0" distL="0" distR="0" wp14:anchorId="2B8D6E58" wp14:editId="6BCF0307">
            <wp:extent cx="21336" cy="15245"/>
            <wp:effectExtent l="0" t="0" r="0" b="0"/>
            <wp:docPr id="329502570" name="Picture 329502570"/>
            <wp:cNvGraphicFramePr/>
            <a:graphic xmlns:a="http://schemas.openxmlformats.org/drawingml/2006/main">
              <a:graphicData uri="http://schemas.openxmlformats.org/drawingml/2006/picture">
                <pic:pic xmlns:pic="http://schemas.openxmlformats.org/drawingml/2006/picture">
                  <pic:nvPicPr>
                    <pic:cNvPr id="6412" name="Picture 6412"/>
                    <pic:cNvPicPr/>
                  </pic:nvPicPr>
                  <pic:blipFill>
                    <a:blip r:embed="rId12"/>
                    <a:stretch>
                      <a:fillRect/>
                    </a:stretch>
                  </pic:blipFill>
                  <pic:spPr>
                    <a:xfrm>
                      <a:off x="0" y="0"/>
                      <a:ext cx="21336" cy="15245"/>
                    </a:xfrm>
                    <a:prstGeom prst="rect">
                      <a:avLst/>
                    </a:prstGeom>
                  </pic:spPr>
                </pic:pic>
              </a:graphicData>
            </a:graphic>
          </wp:inline>
        </w:drawing>
      </w:r>
      <w:r w:rsidRPr="00BD1B6F">
        <w:rPr>
          <w:sz w:val="24"/>
          <w:szCs w:val="24"/>
        </w:rPr>
        <w:t>Prema podacima za 2022.</w:t>
      </w:r>
      <w:r>
        <w:rPr>
          <w:sz w:val="24"/>
          <w:szCs w:val="24"/>
        </w:rPr>
        <w:t>,</w:t>
      </w:r>
      <w:r w:rsidRPr="00BD1B6F">
        <w:rPr>
          <w:sz w:val="24"/>
          <w:szCs w:val="24"/>
        </w:rPr>
        <w:t xml:space="preserve"> ukupno 1.708 osoba s invaliditetom bilo </w:t>
      </w:r>
      <w:r>
        <w:rPr>
          <w:sz w:val="24"/>
          <w:szCs w:val="24"/>
        </w:rPr>
        <w:t xml:space="preserve">je </w:t>
      </w:r>
      <w:r w:rsidRPr="00BD1B6F">
        <w:rPr>
          <w:sz w:val="24"/>
          <w:szCs w:val="24"/>
        </w:rPr>
        <w:t>uključeno u provedbu mjera aktivne politike zapošljavanja, odnosno 5,4% ukupnog broja korisnika mjera aktivne politike zapošljavanja, za</w:t>
      </w:r>
      <w:r>
        <w:rPr>
          <w:sz w:val="24"/>
          <w:szCs w:val="24"/>
        </w:rPr>
        <w:t xml:space="preserve"> što </w:t>
      </w:r>
      <w:r w:rsidRPr="00BD1B6F">
        <w:rPr>
          <w:sz w:val="24"/>
          <w:szCs w:val="24"/>
        </w:rPr>
        <w:t>je izdvojeno 4,7 milijuna eura. Prema podacima za 2022.</w:t>
      </w:r>
      <w:r>
        <w:rPr>
          <w:sz w:val="24"/>
          <w:szCs w:val="24"/>
        </w:rPr>
        <w:t>,</w:t>
      </w:r>
      <w:r w:rsidRPr="00BD1B6F">
        <w:rPr>
          <w:sz w:val="24"/>
          <w:szCs w:val="24"/>
        </w:rPr>
        <w:t xml:space="preserve"> poticaje za zapošljavanje osoba s invaliditetom koristilo je 788 poslodavaca, odnosno 2.603 zaposlene osobe s invaliditetom, za što je izdvojeno ukupno 18 milijuna eura.</w:t>
      </w:r>
    </w:p>
    <w:p w14:paraId="50FFC670" w14:textId="77777777" w:rsidR="001B09DB" w:rsidRPr="00BD1B6F" w:rsidRDefault="001B09DB" w:rsidP="001B09DB">
      <w:pPr>
        <w:spacing w:before="240" w:line="276" w:lineRule="auto"/>
        <w:jc w:val="both"/>
        <w:rPr>
          <w:sz w:val="24"/>
          <w:szCs w:val="24"/>
        </w:rPr>
      </w:pPr>
      <w:r w:rsidRPr="00BD1B6F">
        <w:rPr>
          <w:sz w:val="24"/>
          <w:szCs w:val="24"/>
        </w:rPr>
        <w:t xml:space="preserve">Nastavljeni su napori u provedbi mjera aktivne politike zapošljavanja u koje </w:t>
      </w:r>
      <w:r>
        <w:rPr>
          <w:sz w:val="24"/>
          <w:szCs w:val="24"/>
        </w:rPr>
        <w:t>su</w:t>
      </w:r>
      <w:r w:rsidRPr="00BD1B6F">
        <w:rPr>
          <w:sz w:val="24"/>
          <w:szCs w:val="24"/>
        </w:rPr>
        <w:t xml:space="preserve"> tijekom 2022. bil</w:t>
      </w:r>
      <w:r>
        <w:rPr>
          <w:sz w:val="24"/>
          <w:szCs w:val="24"/>
        </w:rPr>
        <w:t>e</w:t>
      </w:r>
      <w:r w:rsidRPr="00BD1B6F">
        <w:rPr>
          <w:sz w:val="24"/>
          <w:szCs w:val="24"/>
        </w:rPr>
        <w:t xml:space="preserve"> uključene 31.482 osobe, za što je izdvojeno ukupno 158 milijuna eura. Provedbom mjera aktivne politike zapošljavanja potiče se gospodarski razvoj, otvaraju nova radna mjesta</w:t>
      </w:r>
      <w:r w:rsidRPr="00BD1B6F">
        <w:t xml:space="preserve"> i </w:t>
      </w:r>
      <w:r w:rsidRPr="00BD1B6F">
        <w:rPr>
          <w:sz w:val="24"/>
          <w:szCs w:val="24"/>
        </w:rPr>
        <w:t xml:space="preserve">povećava zaposlenost. Mjere aktivne politike zapošljavanja uključuju 8 programa, a cilj svih programa je poticanje zapošljavanja, samozapošljavanja i dodatnog/cjeloživotnog obrazovanja. Korisnicima mjera omogućava </w:t>
      </w:r>
      <w:r>
        <w:rPr>
          <w:sz w:val="24"/>
          <w:szCs w:val="24"/>
        </w:rPr>
        <w:t xml:space="preserve">se </w:t>
      </w:r>
      <w:r w:rsidRPr="00BD1B6F">
        <w:rPr>
          <w:sz w:val="24"/>
          <w:szCs w:val="24"/>
        </w:rPr>
        <w:t>stjecanje kompetencija za novo zapošljavanje ili zadržavanje radnog mjesta, a poslodavcima zapošljavanje radnika s potrebnim kompetencijama na tržištu rada. U okviru provedbe mjera aktivne politike zapošljavanja</w:t>
      </w:r>
      <w:r>
        <w:rPr>
          <w:sz w:val="24"/>
          <w:szCs w:val="24"/>
        </w:rPr>
        <w:t>,</w:t>
      </w:r>
      <w:r w:rsidRPr="00BD1B6F">
        <w:rPr>
          <w:sz w:val="24"/>
          <w:szCs w:val="24"/>
        </w:rPr>
        <w:t xml:space="preserve"> posebna pozornost posvećuje se oso</w:t>
      </w:r>
      <w:r w:rsidRPr="00BD1B6F">
        <w:rPr>
          <w:sz w:val="24"/>
          <w:szCs w:val="24"/>
        </w:rPr>
        <w:lastRenderedPageBreak/>
        <w:t xml:space="preserve">bama koje su u nepovoljnom položaju na tržištu rada, poput mladih, osoba s invaliditetom te dugotrajno nezaposlenih osoba, posebice žena. </w:t>
      </w:r>
    </w:p>
    <w:p w14:paraId="7F6C9B2A" w14:textId="77777777" w:rsidR="001B09DB" w:rsidRPr="00CF4F0F" w:rsidRDefault="001B09DB" w:rsidP="001B09DB">
      <w:pPr>
        <w:spacing w:before="240" w:after="240" w:line="276" w:lineRule="auto"/>
        <w:ind w:left="19"/>
        <w:jc w:val="both"/>
        <w:rPr>
          <w:sz w:val="24"/>
          <w:szCs w:val="24"/>
        </w:rPr>
      </w:pPr>
      <w:r w:rsidRPr="00CF4F0F">
        <w:rPr>
          <w:sz w:val="24"/>
          <w:szCs w:val="24"/>
        </w:rPr>
        <w:t>U Hrvatskoj je tijekom 2022. svega 4,4% osoba u dob</w:t>
      </w:r>
      <w:r>
        <w:rPr>
          <w:sz w:val="24"/>
          <w:szCs w:val="24"/>
        </w:rPr>
        <w:t>noj skupini</w:t>
      </w:r>
      <w:r w:rsidRPr="00CF4F0F">
        <w:rPr>
          <w:sz w:val="24"/>
          <w:szCs w:val="24"/>
        </w:rPr>
        <w:t xml:space="preserve"> 25-64 godine bilo uključeno u neki oblik obrazovanja ili osposobljavanja radne snage, što predstavlja pad u odnosu na 2021. (5,1%) te je znatno niže od prosjeka EU-a (11,9%), a značajno ograničava njihovu zapošljivost. Hrvatska nastavlja s reformskim procesima koji će podići razinu kvalitete obrazovanja odraslih i povećati obuhvat odraslih osoba koje sudjeluju u obrazovanju i osposobljavanju. S ciljem potpore navedenim reformskim procesima, početkom 2022. godine stupio je na snagu novi Zakon o obrazovanju odraslih. Podizanjem razine ključnih kompetencija i novih znanja i vještina te priznavanjem prethodnog neformalnog i informalnog učenja, građanima će se omogućiti bolji pristup tržištu rada i unaprijediti njihova zapošljivost na promjenjivom tržištu rada.</w:t>
      </w:r>
    </w:p>
    <w:p w14:paraId="04898A5B" w14:textId="77777777" w:rsidR="001B09DB" w:rsidRPr="00BD1B6F" w:rsidRDefault="001B09DB" w:rsidP="001B09DB">
      <w:pPr>
        <w:spacing w:line="276" w:lineRule="auto"/>
        <w:ind w:left="19"/>
        <w:jc w:val="both"/>
        <w:rPr>
          <w:sz w:val="24"/>
          <w:szCs w:val="24"/>
        </w:rPr>
      </w:pPr>
      <w:r w:rsidRPr="00CF4F0F">
        <w:rPr>
          <w:sz w:val="24"/>
          <w:szCs w:val="24"/>
        </w:rPr>
        <w:t>Kako bi se potaknuo veći broj odraslih na uključivanje u programe cjeloživotnog obrazovanja, u okviru NPOO-a predviđeno je 40 milijuna eura za uspostavu sustava vaučera za obrazovanje i osposobljavanje zaposlenih i nezaposlenih osoba (</w:t>
      </w:r>
      <w:r w:rsidRPr="004C1D5B">
        <w:rPr>
          <w:i/>
          <w:sz w:val="24"/>
          <w:szCs w:val="24"/>
        </w:rPr>
        <w:t>reskilling/upskilling</w:t>
      </w:r>
      <w:r w:rsidRPr="00CF4F0F">
        <w:rPr>
          <w:sz w:val="24"/>
          <w:szCs w:val="24"/>
        </w:rPr>
        <w:t>), u skladu sa stvarnim potrebama na tržištu. Dodjela vaučera počela</w:t>
      </w:r>
      <w:r>
        <w:rPr>
          <w:sz w:val="24"/>
          <w:szCs w:val="24"/>
        </w:rPr>
        <w:t xml:space="preserve"> je</w:t>
      </w:r>
      <w:r w:rsidRPr="00CF4F0F">
        <w:rPr>
          <w:sz w:val="24"/>
          <w:szCs w:val="24"/>
        </w:rPr>
        <w:t xml:space="preserve"> u travnju 2022. te su u bazu pružatelja usluga obrazovanja dostupnih korisnicima za dodjelu vaučera do kraja 2022. godine bile upisane 104 obrazovne ustanove koje su provodile 62 različita obrazovna programa za stjecanje vještina povezanih sa zelenom i digitalnom tranzicijom. Prema podacima Hrvatskog zavoda za zapošljavanje, tijekom 2022. odobreno je ukupno 7.449 zahtjeva za korištenje vaučera (5.756 zahtjeva zaposlenih korisnika, 1.693 zahtjeva nezaposlenih korisnika), od čega je u 2022. provedba programa obrazovanja kroz sustav vaučera započela za 3.788 korisnika, dok je za 500 korisnika obrazovanje već provedeno te im je izdano uvjerenje o stečenim kompetencijama. Planirano je da do kraja 2026. godine u provedbu programa obrazovanja i osposobljavanja u okviru sustava vaučera bude uključeno ukupno 30.000 osoba.</w:t>
      </w:r>
      <w:r w:rsidRPr="00BD1B6F">
        <w:rPr>
          <w:sz w:val="24"/>
          <w:szCs w:val="24"/>
        </w:rPr>
        <w:t xml:space="preserve"> </w:t>
      </w:r>
    </w:p>
    <w:p w14:paraId="72CBF39C" w14:textId="59CB14A0" w:rsidR="4A74379F" w:rsidRPr="00BD1B6F" w:rsidRDefault="10CF9C58">
      <w:bookmarkStart w:id="65" w:name="_Hlk102557924"/>
      <w:r w:rsidRPr="00BD1B6F">
        <w:br/>
      </w:r>
      <w:r w:rsidR="4A74379F" w:rsidRPr="00BD1B6F">
        <w:br w:type="page"/>
      </w:r>
    </w:p>
    <w:p w14:paraId="3A4E512E" w14:textId="325491CF" w:rsidR="008D333D" w:rsidRPr="00BD1B6F" w:rsidRDefault="2AC5598A" w:rsidP="7E1851B1">
      <w:pPr>
        <w:pStyle w:val="Heading2"/>
        <w:spacing w:line="276" w:lineRule="auto"/>
        <w:ind w:left="0" w:firstLine="0"/>
        <w:rPr>
          <w:color w:val="000000" w:themeColor="text1"/>
          <w:sz w:val="24"/>
          <w:szCs w:val="24"/>
        </w:rPr>
      </w:pPr>
      <w:bookmarkStart w:id="66" w:name="_Toc156819375"/>
      <w:r w:rsidRPr="00BD1B6F">
        <w:rPr>
          <w:color w:val="000000" w:themeColor="text1"/>
          <w:sz w:val="24"/>
          <w:szCs w:val="24"/>
        </w:rPr>
        <w:lastRenderedPageBreak/>
        <w:t>3.</w:t>
      </w:r>
      <w:r w:rsidRPr="00BD1B6F">
        <w:rPr>
          <w:b w:val="0"/>
          <w:bCs w:val="0"/>
          <w:color w:val="000000" w:themeColor="text1"/>
          <w:sz w:val="14"/>
          <w:szCs w:val="14"/>
        </w:rPr>
        <w:t xml:space="preserve"> </w:t>
      </w:r>
      <w:r w:rsidRPr="00BD1B6F">
        <w:rPr>
          <w:color w:val="000000" w:themeColor="text1"/>
          <w:sz w:val="24"/>
          <w:szCs w:val="24"/>
        </w:rPr>
        <w:t>Učinkovito i djelotvorno pravosuđe, javna uprava i upravljanje državnom imovinom</w:t>
      </w:r>
      <w:bookmarkEnd w:id="66"/>
    </w:p>
    <w:p w14:paraId="33C5AE58" w14:textId="68E8BA2C" w:rsidR="00532FBF" w:rsidRPr="00BD1B6F" w:rsidRDefault="00A04CD5" w:rsidP="625FF096">
      <w:pPr>
        <w:pStyle w:val="Heading3"/>
        <w:spacing w:before="120" w:after="120" w:line="259" w:lineRule="auto"/>
        <w:ind w:left="851"/>
        <w:jc w:val="both"/>
        <w:rPr>
          <w:color w:val="000000" w:themeColor="text1"/>
          <w:sz w:val="24"/>
          <w:szCs w:val="24"/>
        </w:rPr>
      </w:pPr>
      <w:bookmarkStart w:id="67" w:name="_Toc156819376"/>
      <w:bookmarkEnd w:id="65"/>
      <w:r w:rsidRPr="00BD1B6F">
        <w:rPr>
          <w:color w:val="000000" w:themeColor="text1"/>
          <w:sz w:val="24"/>
          <w:szCs w:val="24"/>
        </w:rPr>
        <w:t xml:space="preserve">3.1. </w:t>
      </w:r>
      <w:r w:rsidR="005B0BA7" w:rsidRPr="00BD1B6F">
        <w:rPr>
          <w:color w:val="000000" w:themeColor="text1"/>
          <w:sz w:val="24"/>
          <w:szCs w:val="24"/>
        </w:rPr>
        <w:t>Ostvarene vrijednosti pokazatelja uspješnosti</w:t>
      </w:r>
      <w:bookmarkEnd w:id="67"/>
      <w:r w:rsidR="005B0BA7" w:rsidRPr="00BD1B6F">
        <w:rPr>
          <w:color w:val="000000" w:themeColor="text1"/>
          <w:sz w:val="24"/>
          <w:szCs w:val="24"/>
        </w:rPr>
        <w:t xml:space="preserve"> </w:t>
      </w:r>
    </w:p>
    <w:p w14:paraId="461442A1" w14:textId="439EC313" w:rsidR="008D333D" w:rsidRPr="00BD1B6F" w:rsidRDefault="1695AE6F" w:rsidP="3C30FFA3">
      <w:pPr>
        <w:jc w:val="both"/>
      </w:pPr>
      <w:r w:rsidRPr="00BD1B6F">
        <w:rPr>
          <w:b/>
          <w:bCs/>
          <w:sz w:val="24"/>
          <w:szCs w:val="24"/>
        </w:rPr>
        <w:t xml:space="preserve"> </w:t>
      </w:r>
    </w:p>
    <w:tbl>
      <w:tblPr>
        <w:tblStyle w:val="TableGrid"/>
        <w:tblW w:w="9488" w:type="dxa"/>
        <w:tblLayout w:type="fixed"/>
        <w:tblLook w:val="04A0" w:firstRow="1" w:lastRow="0" w:firstColumn="1" w:lastColumn="0" w:noHBand="0" w:noVBand="1"/>
      </w:tblPr>
      <w:tblGrid>
        <w:gridCol w:w="3109"/>
        <w:gridCol w:w="2126"/>
        <w:gridCol w:w="1860"/>
        <w:gridCol w:w="2393"/>
      </w:tblGrid>
      <w:tr w:rsidR="1150C3B1" w:rsidRPr="008115FB" w14:paraId="35B3BAD9" w14:textId="77777777" w:rsidTr="00FD2238">
        <w:trPr>
          <w:trHeight w:val="300"/>
        </w:trPr>
        <w:tc>
          <w:tcPr>
            <w:tcW w:w="3109" w:type="dxa"/>
            <w:tcBorders>
              <w:top w:val="dotted" w:sz="8" w:space="0" w:color="auto"/>
              <w:left w:val="dotted" w:sz="8" w:space="0" w:color="auto"/>
              <w:bottom w:val="dotted" w:sz="8" w:space="0" w:color="auto"/>
              <w:right w:val="dotted" w:sz="8" w:space="0" w:color="auto"/>
            </w:tcBorders>
            <w:shd w:val="clear" w:color="auto" w:fill="B6DDE8" w:themeFill="accent5" w:themeFillTint="66"/>
            <w:tcMar>
              <w:left w:w="108" w:type="dxa"/>
              <w:right w:w="108" w:type="dxa"/>
            </w:tcMar>
            <w:vAlign w:val="center"/>
          </w:tcPr>
          <w:p w14:paraId="686CCA59" w14:textId="0562CCE7" w:rsidR="1150C3B1" w:rsidRPr="00BD1B6F" w:rsidRDefault="1150C3B1" w:rsidP="00FD2238">
            <w:pPr>
              <w:spacing w:line="276" w:lineRule="auto"/>
              <w:jc w:val="center"/>
            </w:pPr>
            <w:r w:rsidRPr="00BD1B6F">
              <w:rPr>
                <w:b/>
                <w:bCs/>
                <w:color w:val="000000" w:themeColor="text1"/>
                <w:sz w:val="24"/>
                <w:szCs w:val="24"/>
              </w:rPr>
              <w:t>Pokazatelj uspješnosti</w:t>
            </w:r>
          </w:p>
        </w:tc>
        <w:tc>
          <w:tcPr>
            <w:tcW w:w="2126" w:type="dxa"/>
            <w:tcBorders>
              <w:top w:val="dotted" w:sz="8" w:space="0" w:color="auto"/>
              <w:left w:val="dotted" w:sz="8" w:space="0" w:color="auto"/>
              <w:bottom w:val="dotted" w:sz="8" w:space="0" w:color="auto"/>
              <w:right w:val="dotted" w:sz="8" w:space="0" w:color="auto"/>
            </w:tcBorders>
            <w:shd w:val="clear" w:color="auto" w:fill="B6DDE8" w:themeFill="accent5" w:themeFillTint="66"/>
            <w:tcMar>
              <w:left w:w="108" w:type="dxa"/>
              <w:right w:w="108" w:type="dxa"/>
            </w:tcMar>
            <w:vAlign w:val="center"/>
          </w:tcPr>
          <w:p w14:paraId="00F5343C" w14:textId="47D11557" w:rsidR="1150C3B1" w:rsidRPr="00BD1B6F" w:rsidRDefault="1150C3B1" w:rsidP="00FD2238">
            <w:pPr>
              <w:spacing w:line="276" w:lineRule="auto"/>
              <w:jc w:val="center"/>
            </w:pPr>
            <w:r w:rsidRPr="00BD1B6F">
              <w:rPr>
                <w:b/>
                <w:bCs/>
                <w:color w:val="000000" w:themeColor="text1"/>
                <w:sz w:val="24"/>
                <w:szCs w:val="24"/>
              </w:rPr>
              <w:t xml:space="preserve">Početna </w:t>
            </w:r>
          </w:p>
          <w:p w14:paraId="06B1E80C" w14:textId="42FF0D0F" w:rsidR="1150C3B1" w:rsidRPr="00BD1B6F" w:rsidRDefault="1150C3B1" w:rsidP="00FD2238">
            <w:pPr>
              <w:spacing w:line="276" w:lineRule="auto"/>
              <w:jc w:val="center"/>
            </w:pPr>
            <w:r w:rsidRPr="00BD1B6F">
              <w:rPr>
                <w:b/>
                <w:bCs/>
                <w:color w:val="000000" w:themeColor="text1"/>
                <w:sz w:val="24"/>
                <w:szCs w:val="24"/>
              </w:rPr>
              <w:t>vrijednost</w:t>
            </w:r>
          </w:p>
        </w:tc>
        <w:tc>
          <w:tcPr>
            <w:tcW w:w="1860" w:type="dxa"/>
            <w:tcBorders>
              <w:top w:val="dotted" w:sz="8" w:space="0" w:color="auto"/>
              <w:left w:val="dotted" w:sz="8" w:space="0" w:color="auto"/>
              <w:bottom w:val="dotted" w:sz="8" w:space="0" w:color="auto"/>
              <w:right w:val="dotted" w:sz="8" w:space="0" w:color="auto"/>
            </w:tcBorders>
            <w:shd w:val="clear" w:color="auto" w:fill="B6DDE8" w:themeFill="accent5" w:themeFillTint="66"/>
            <w:tcMar>
              <w:left w:w="108" w:type="dxa"/>
              <w:right w:w="108" w:type="dxa"/>
            </w:tcMar>
            <w:vAlign w:val="center"/>
          </w:tcPr>
          <w:p w14:paraId="5752C45A" w14:textId="7BCF16E2" w:rsidR="1150C3B1" w:rsidRPr="00BD1B6F" w:rsidRDefault="1150C3B1" w:rsidP="00FD2238">
            <w:pPr>
              <w:spacing w:line="276" w:lineRule="auto"/>
              <w:jc w:val="center"/>
            </w:pPr>
            <w:r w:rsidRPr="00BD1B6F">
              <w:rPr>
                <w:b/>
                <w:bCs/>
                <w:color w:val="000000" w:themeColor="text1"/>
                <w:sz w:val="24"/>
                <w:szCs w:val="24"/>
              </w:rPr>
              <w:t>Ciljna vrijednost</w:t>
            </w:r>
          </w:p>
        </w:tc>
        <w:tc>
          <w:tcPr>
            <w:tcW w:w="2393" w:type="dxa"/>
            <w:tcBorders>
              <w:top w:val="dotted" w:sz="8" w:space="0" w:color="auto"/>
              <w:left w:val="dotted" w:sz="8" w:space="0" w:color="auto"/>
              <w:bottom w:val="dotted" w:sz="8" w:space="0" w:color="auto"/>
              <w:right w:val="dotted" w:sz="8" w:space="0" w:color="auto"/>
            </w:tcBorders>
            <w:shd w:val="clear" w:color="auto" w:fill="B6DDE8" w:themeFill="accent5" w:themeFillTint="66"/>
            <w:tcMar>
              <w:left w:w="108" w:type="dxa"/>
              <w:right w:w="108" w:type="dxa"/>
            </w:tcMar>
            <w:vAlign w:val="center"/>
          </w:tcPr>
          <w:p w14:paraId="7798BD1E" w14:textId="3B97FFED" w:rsidR="1150C3B1" w:rsidRPr="00BD1B6F" w:rsidRDefault="1150C3B1" w:rsidP="00FD2238">
            <w:pPr>
              <w:spacing w:line="276" w:lineRule="auto"/>
              <w:jc w:val="center"/>
            </w:pPr>
            <w:r w:rsidRPr="00BD1B6F">
              <w:rPr>
                <w:b/>
                <w:bCs/>
                <w:color w:val="000000" w:themeColor="text1"/>
                <w:sz w:val="24"/>
                <w:szCs w:val="24"/>
              </w:rPr>
              <w:t xml:space="preserve">Ostvarena </w:t>
            </w:r>
          </w:p>
          <w:p w14:paraId="32AC4667" w14:textId="0146A924" w:rsidR="1150C3B1" w:rsidRPr="00BD1B6F" w:rsidRDefault="1150C3B1" w:rsidP="00FD2238">
            <w:pPr>
              <w:spacing w:line="276" w:lineRule="auto"/>
              <w:jc w:val="center"/>
            </w:pPr>
            <w:r w:rsidRPr="00BD1B6F">
              <w:rPr>
                <w:b/>
                <w:bCs/>
                <w:color w:val="000000" w:themeColor="text1"/>
                <w:sz w:val="24"/>
                <w:szCs w:val="24"/>
              </w:rPr>
              <w:t>vrijednost</w:t>
            </w:r>
          </w:p>
        </w:tc>
      </w:tr>
      <w:tr w:rsidR="1150C3B1" w:rsidRPr="008115FB" w14:paraId="439621D8" w14:textId="77777777" w:rsidTr="00FD2238">
        <w:trPr>
          <w:trHeight w:val="1146"/>
        </w:trPr>
        <w:tc>
          <w:tcPr>
            <w:tcW w:w="3109" w:type="dxa"/>
            <w:tcBorders>
              <w:top w:val="dotted" w:sz="8" w:space="0" w:color="auto"/>
              <w:left w:val="dotted" w:sz="8" w:space="0" w:color="auto"/>
              <w:bottom w:val="dotted" w:sz="8" w:space="0" w:color="auto"/>
              <w:right w:val="nil"/>
            </w:tcBorders>
            <w:tcMar>
              <w:left w:w="108" w:type="dxa"/>
              <w:right w:w="108" w:type="dxa"/>
            </w:tcMar>
            <w:vAlign w:val="center"/>
          </w:tcPr>
          <w:p w14:paraId="42CF3642" w14:textId="7E480E0B" w:rsidR="1150C3B1" w:rsidRPr="00BD1B6F" w:rsidRDefault="1150C3B1" w:rsidP="00FD2238">
            <w:pPr>
              <w:spacing w:line="276" w:lineRule="auto"/>
            </w:pPr>
            <w:r w:rsidRPr="00BD1B6F">
              <w:rPr>
                <w:color w:val="000000" w:themeColor="text1"/>
                <w:sz w:val="24"/>
                <w:szCs w:val="24"/>
              </w:rPr>
              <w:t>Pokazatelj vremena rješavanja prvostupanjskih parničnih i trgovačkih predmeta</w:t>
            </w:r>
          </w:p>
        </w:tc>
        <w:tc>
          <w:tcPr>
            <w:tcW w:w="2126" w:type="dxa"/>
            <w:tcBorders>
              <w:top w:val="dotted" w:sz="8" w:space="0" w:color="auto"/>
              <w:left w:val="nil"/>
              <w:bottom w:val="dotted" w:sz="8" w:space="0" w:color="auto"/>
              <w:right w:val="nil"/>
            </w:tcBorders>
            <w:shd w:val="clear" w:color="auto" w:fill="DAEEF3" w:themeFill="accent5" w:themeFillTint="33"/>
            <w:tcMar>
              <w:left w:w="108" w:type="dxa"/>
              <w:right w:w="108" w:type="dxa"/>
            </w:tcMar>
            <w:vAlign w:val="center"/>
          </w:tcPr>
          <w:p w14:paraId="2F144A4A" w14:textId="45694849" w:rsidR="1150C3B1" w:rsidRPr="00BD1B6F" w:rsidRDefault="1150C3B1" w:rsidP="00FD2238">
            <w:pPr>
              <w:spacing w:line="276" w:lineRule="auto"/>
              <w:jc w:val="center"/>
            </w:pPr>
            <w:r w:rsidRPr="00BD1B6F">
              <w:rPr>
                <w:color w:val="000000" w:themeColor="text1"/>
                <w:sz w:val="24"/>
                <w:szCs w:val="24"/>
              </w:rPr>
              <w:t>374 dana (2018.)</w:t>
            </w:r>
          </w:p>
        </w:tc>
        <w:tc>
          <w:tcPr>
            <w:tcW w:w="1860" w:type="dxa"/>
            <w:tcBorders>
              <w:top w:val="dotted" w:sz="8" w:space="0" w:color="auto"/>
              <w:left w:val="nil"/>
              <w:bottom w:val="dotted" w:sz="8" w:space="0" w:color="auto"/>
              <w:right w:val="nil"/>
            </w:tcBorders>
            <w:tcMar>
              <w:left w:w="108" w:type="dxa"/>
              <w:right w:w="108" w:type="dxa"/>
            </w:tcMar>
            <w:vAlign w:val="center"/>
          </w:tcPr>
          <w:p w14:paraId="2B082412" w14:textId="5A48FF2B" w:rsidR="1150C3B1" w:rsidRPr="00BD1B6F" w:rsidRDefault="1150C3B1" w:rsidP="00FD2238">
            <w:pPr>
              <w:spacing w:line="276" w:lineRule="auto"/>
              <w:jc w:val="center"/>
            </w:pPr>
            <w:r w:rsidRPr="00BD1B6F">
              <w:rPr>
                <w:color w:val="000000" w:themeColor="text1"/>
                <w:sz w:val="24"/>
                <w:szCs w:val="24"/>
              </w:rPr>
              <w:t>250 dana</w:t>
            </w:r>
          </w:p>
        </w:tc>
        <w:tc>
          <w:tcPr>
            <w:tcW w:w="2393" w:type="dxa"/>
            <w:tcBorders>
              <w:top w:val="dotted" w:sz="8" w:space="0" w:color="auto"/>
              <w:left w:val="nil"/>
              <w:bottom w:val="dotted" w:sz="8" w:space="0" w:color="auto"/>
              <w:right w:val="dotted" w:sz="8" w:space="0" w:color="auto"/>
            </w:tcBorders>
            <w:shd w:val="clear" w:color="auto" w:fill="DAEEF3" w:themeFill="accent5" w:themeFillTint="33"/>
            <w:tcMar>
              <w:left w:w="108" w:type="dxa"/>
              <w:right w:w="108" w:type="dxa"/>
            </w:tcMar>
            <w:vAlign w:val="center"/>
          </w:tcPr>
          <w:p w14:paraId="742FCEE2" w14:textId="36D1D3E6" w:rsidR="1150C3B1" w:rsidRPr="00BD1B6F" w:rsidRDefault="66D89D67" w:rsidP="00FD2238">
            <w:pPr>
              <w:spacing w:line="276" w:lineRule="auto"/>
              <w:jc w:val="center"/>
            </w:pPr>
            <w:r w:rsidRPr="00BD1B6F">
              <w:rPr>
                <w:color w:val="000000" w:themeColor="text1"/>
                <w:sz w:val="24"/>
                <w:szCs w:val="24"/>
              </w:rPr>
              <w:t>410 (2022.)</w:t>
            </w:r>
          </w:p>
        </w:tc>
      </w:tr>
      <w:tr w:rsidR="1150C3B1" w:rsidRPr="008115FB" w14:paraId="3DFD5698" w14:textId="77777777" w:rsidTr="004C1D5B">
        <w:trPr>
          <w:trHeight w:val="964"/>
        </w:trPr>
        <w:tc>
          <w:tcPr>
            <w:tcW w:w="3109" w:type="dxa"/>
            <w:tcBorders>
              <w:top w:val="dotted" w:sz="8" w:space="0" w:color="auto"/>
              <w:left w:val="dotted" w:sz="8" w:space="0" w:color="auto"/>
              <w:bottom w:val="dotted" w:sz="8" w:space="0" w:color="auto"/>
              <w:right w:val="nil"/>
            </w:tcBorders>
            <w:shd w:val="clear" w:color="auto" w:fill="F2F2F2" w:themeFill="background1" w:themeFillShade="F2"/>
            <w:tcMar>
              <w:left w:w="108" w:type="dxa"/>
              <w:right w:w="108" w:type="dxa"/>
            </w:tcMar>
            <w:vAlign w:val="center"/>
          </w:tcPr>
          <w:p w14:paraId="7C035E91" w14:textId="77777777" w:rsidR="00B612F6" w:rsidRPr="00BD1B6F" w:rsidRDefault="1150C3B1" w:rsidP="00FD2238">
            <w:pPr>
              <w:spacing w:line="276" w:lineRule="auto"/>
              <w:rPr>
                <w:i/>
                <w:color w:val="000000" w:themeColor="text1"/>
                <w:sz w:val="24"/>
                <w:szCs w:val="24"/>
              </w:rPr>
            </w:pPr>
            <w:r w:rsidRPr="00BD1B6F">
              <w:rPr>
                <w:i/>
                <w:color w:val="000000" w:themeColor="text1"/>
                <w:sz w:val="24"/>
                <w:szCs w:val="24"/>
              </w:rPr>
              <w:t>Indeks globalne konkurentnosti (GCI)</w:t>
            </w:r>
          </w:p>
          <w:p w14:paraId="28ADD592" w14:textId="267F483F" w:rsidR="1150C3B1" w:rsidRPr="00BD1B6F" w:rsidRDefault="1150C3B1" w:rsidP="00FD2238">
            <w:pPr>
              <w:spacing w:line="276" w:lineRule="auto"/>
              <w:rPr>
                <w:i/>
                <w:color w:val="000000" w:themeColor="text1"/>
                <w:sz w:val="24"/>
                <w:szCs w:val="24"/>
              </w:rPr>
            </w:pPr>
            <w:r w:rsidRPr="00BD1B6F">
              <w:rPr>
                <w:i/>
                <w:color w:val="000000" w:themeColor="text1"/>
                <w:sz w:val="24"/>
                <w:szCs w:val="24"/>
              </w:rPr>
              <w:t xml:space="preserve"> - Stup 1. „Institucije” </w:t>
            </w:r>
          </w:p>
        </w:tc>
        <w:tc>
          <w:tcPr>
            <w:tcW w:w="2126" w:type="dxa"/>
            <w:tcBorders>
              <w:top w:val="dotted" w:sz="8" w:space="0" w:color="auto"/>
              <w:left w:val="nil"/>
              <w:bottom w:val="dotted" w:sz="8" w:space="0" w:color="auto"/>
              <w:right w:val="nil"/>
            </w:tcBorders>
            <w:shd w:val="clear" w:color="auto" w:fill="F2F2F2" w:themeFill="background1" w:themeFillShade="F2"/>
            <w:tcMar>
              <w:left w:w="108" w:type="dxa"/>
              <w:right w:w="108" w:type="dxa"/>
            </w:tcMar>
            <w:vAlign w:val="center"/>
          </w:tcPr>
          <w:p w14:paraId="1E9A9FFE" w14:textId="692F7588" w:rsidR="1150C3B1" w:rsidRPr="00BD1B6F" w:rsidRDefault="1150C3B1" w:rsidP="00FD2238">
            <w:pPr>
              <w:spacing w:line="276" w:lineRule="auto"/>
              <w:jc w:val="center"/>
              <w:rPr>
                <w:i/>
                <w:color w:val="000000" w:themeColor="text1"/>
                <w:sz w:val="24"/>
                <w:szCs w:val="24"/>
              </w:rPr>
            </w:pPr>
            <w:r w:rsidRPr="00BD1B6F">
              <w:rPr>
                <w:i/>
                <w:color w:val="000000" w:themeColor="text1"/>
                <w:sz w:val="24"/>
                <w:szCs w:val="24"/>
              </w:rPr>
              <w:t>77. mjesto (2019.)</w:t>
            </w:r>
          </w:p>
        </w:tc>
        <w:tc>
          <w:tcPr>
            <w:tcW w:w="1860" w:type="dxa"/>
            <w:tcBorders>
              <w:top w:val="dotted" w:sz="8" w:space="0" w:color="auto"/>
              <w:left w:val="nil"/>
              <w:bottom w:val="dotted" w:sz="8" w:space="0" w:color="auto"/>
              <w:right w:val="nil"/>
            </w:tcBorders>
            <w:shd w:val="clear" w:color="auto" w:fill="F2F2F2" w:themeFill="background1" w:themeFillShade="F2"/>
            <w:tcMar>
              <w:left w:w="108" w:type="dxa"/>
              <w:right w:w="108" w:type="dxa"/>
            </w:tcMar>
            <w:vAlign w:val="center"/>
          </w:tcPr>
          <w:p w14:paraId="09D7BED0" w14:textId="692F7588" w:rsidR="1150C3B1" w:rsidRPr="00BD1B6F" w:rsidRDefault="1150C3B1" w:rsidP="00FD2238">
            <w:pPr>
              <w:spacing w:line="276" w:lineRule="auto"/>
              <w:jc w:val="center"/>
              <w:rPr>
                <w:i/>
                <w:color w:val="000000" w:themeColor="text1"/>
                <w:sz w:val="24"/>
                <w:szCs w:val="24"/>
              </w:rPr>
            </w:pPr>
            <w:r w:rsidRPr="00BD1B6F">
              <w:rPr>
                <w:i/>
                <w:color w:val="000000" w:themeColor="text1"/>
                <w:sz w:val="24"/>
                <w:szCs w:val="24"/>
              </w:rPr>
              <w:t>&lt; 60. mjesta</w:t>
            </w:r>
          </w:p>
        </w:tc>
        <w:tc>
          <w:tcPr>
            <w:tcW w:w="2393" w:type="dxa"/>
            <w:tcBorders>
              <w:top w:val="dotted" w:sz="8" w:space="0" w:color="auto"/>
              <w:left w:val="nil"/>
              <w:bottom w:val="dotted" w:sz="8" w:space="0" w:color="auto"/>
              <w:right w:val="dotted" w:sz="8" w:space="0" w:color="auto"/>
            </w:tcBorders>
            <w:shd w:val="clear" w:color="auto" w:fill="F2F2F2" w:themeFill="background1" w:themeFillShade="F2"/>
            <w:tcMar>
              <w:left w:w="108" w:type="dxa"/>
              <w:right w:w="108" w:type="dxa"/>
            </w:tcMar>
            <w:vAlign w:val="center"/>
          </w:tcPr>
          <w:p w14:paraId="75065CC1" w14:textId="6DCFAC83" w:rsidR="1150C3B1" w:rsidRPr="00BD1B6F" w:rsidRDefault="1150C3B1" w:rsidP="00FD2238">
            <w:pPr>
              <w:spacing w:line="276" w:lineRule="auto"/>
              <w:jc w:val="center"/>
              <w:rPr>
                <w:i/>
                <w:sz w:val="24"/>
                <w:szCs w:val="24"/>
                <w:vertAlign w:val="superscript"/>
              </w:rPr>
            </w:pPr>
            <w:r w:rsidRPr="00BD1B6F">
              <w:rPr>
                <w:i/>
                <w:iCs/>
                <w:color w:val="000000" w:themeColor="text1"/>
                <w:sz w:val="24"/>
                <w:szCs w:val="24"/>
              </w:rPr>
              <w:t>Nisu dostupni noviji podaci</w:t>
            </w:r>
            <w:r w:rsidRPr="00BD1B6F">
              <w:rPr>
                <w:rStyle w:val="FootnoteReference"/>
                <w:i/>
                <w:iCs/>
                <w:sz w:val="24"/>
                <w:szCs w:val="24"/>
              </w:rPr>
              <w:footnoteReference w:id="4"/>
            </w:r>
          </w:p>
        </w:tc>
      </w:tr>
      <w:tr w:rsidR="1150C3B1" w:rsidRPr="008115FB" w14:paraId="33C6A99B" w14:textId="77777777" w:rsidTr="00FD2238">
        <w:trPr>
          <w:trHeight w:val="1125"/>
        </w:trPr>
        <w:tc>
          <w:tcPr>
            <w:tcW w:w="3109" w:type="dxa"/>
            <w:tcBorders>
              <w:top w:val="dotted" w:sz="8" w:space="0" w:color="auto"/>
              <w:left w:val="dotted" w:sz="8" w:space="0" w:color="auto"/>
              <w:bottom w:val="dotted" w:sz="8" w:space="0" w:color="auto"/>
              <w:right w:val="nil"/>
            </w:tcBorders>
            <w:tcMar>
              <w:left w:w="108" w:type="dxa"/>
              <w:right w:w="108" w:type="dxa"/>
            </w:tcMar>
            <w:vAlign w:val="center"/>
          </w:tcPr>
          <w:p w14:paraId="5A9E52F1" w14:textId="04E2D1D7" w:rsidR="1150C3B1" w:rsidRPr="00BD1B6F" w:rsidRDefault="1150C3B1" w:rsidP="00FD2238">
            <w:pPr>
              <w:spacing w:line="276" w:lineRule="auto"/>
            </w:pPr>
            <w:r w:rsidRPr="00BD1B6F">
              <w:rPr>
                <w:b/>
                <w:bCs/>
                <w:color w:val="000000" w:themeColor="text1"/>
                <w:sz w:val="24"/>
                <w:szCs w:val="24"/>
              </w:rPr>
              <w:t>Poredak na ljestvici globalne konkurentnosti (WCR, IMD), kategorija Djelotvornost javne uprave</w:t>
            </w:r>
          </w:p>
        </w:tc>
        <w:tc>
          <w:tcPr>
            <w:tcW w:w="2126" w:type="dxa"/>
            <w:tcBorders>
              <w:top w:val="dotted" w:sz="8" w:space="0" w:color="auto"/>
              <w:left w:val="nil"/>
              <w:bottom w:val="dotted" w:sz="8" w:space="0" w:color="auto"/>
              <w:right w:val="nil"/>
            </w:tcBorders>
            <w:shd w:val="clear" w:color="auto" w:fill="DAEEF3" w:themeFill="accent5" w:themeFillTint="33"/>
            <w:tcMar>
              <w:left w:w="108" w:type="dxa"/>
              <w:right w:w="108" w:type="dxa"/>
            </w:tcMar>
            <w:vAlign w:val="center"/>
          </w:tcPr>
          <w:p w14:paraId="182AD63C" w14:textId="72ED0594" w:rsidR="1150C3B1" w:rsidRPr="00BD1B6F" w:rsidRDefault="1150C3B1" w:rsidP="00FD2238">
            <w:pPr>
              <w:spacing w:line="276" w:lineRule="auto"/>
              <w:jc w:val="center"/>
            </w:pPr>
            <w:r w:rsidRPr="00BD1B6F">
              <w:rPr>
                <w:b/>
                <w:bCs/>
                <w:color w:val="000000" w:themeColor="text1"/>
                <w:sz w:val="24"/>
                <w:szCs w:val="24"/>
              </w:rPr>
              <w:t xml:space="preserve">59. mjesto </w:t>
            </w:r>
            <w:r w:rsidR="00B612F6" w:rsidRPr="00BD1B6F">
              <w:rPr>
                <w:b/>
                <w:bCs/>
                <w:color w:val="000000" w:themeColor="text1"/>
                <w:sz w:val="24"/>
                <w:szCs w:val="24"/>
              </w:rPr>
              <w:t>(</w:t>
            </w:r>
            <w:r w:rsidRPr="00BD1B6F">
              <w:rPr>
                <w:b/>
                <w:bCs/>
                <w:color w:val="000000" w:themeColor="text1"/>
                <w:sz w:val="24"/>
                <w:szCs w:val="24"/>
              </w:rPr>
              <w:t>2020.)</w:t>
            </w:r>
          </w:p>
        </w:tc>
        <w:tc>
          <w:tcPr>
            <w:tcW w:w="1860" w:type="dxa"/>
            <w:tcBorders>
              <w:top w:val="dotted" w:sz="8" w:space="0" w:color="auto"/>
              <w:left w:val="nil"/>
              <w:bottom w:val="dotted" w:sz="8" w:space="0" w:color="auto"/>
              <w:right w:val="nil"/>
            </w:tcBorders>
            <w:tcMar>
              <w:left w:w="108" w:type="dxa"/>
              <w:right w:w="108" w:type="dxa"/>
            </w:tcMar>
            <w:vAlign w:val="center"/>
          </w:tcPr>
          <w:p w14:paraId="09688D75" w14:textId="069DB1B1" w:rsidR="1150C3B1" w:rsidRPr="00BD1B6F" w:rsidRDefault="1150C3B1" w:rsidP="00FD2238">
            <w:pPr>
              <w:spacing w:line="276" w:lineRule="auto"/>
              <w:jc w:val="center"/>
            </w:pPr>
            <w:r w:rsidRPr="00BD1B6F">
              <w:rPr>
                <w:b/>
                <w:bCs/>
                <w:color w:val="000000" w:themeColor="text1"/>
                <w:sz w:val="24"/>
                <w:szCs w:val="24"/>
              </w:rPr>
              <w:t>n/p</w:t>
            </w:r>
          </w:p>
        </w:tc>
        <w:tc>
          <w:tcPr>
            <w:tcW w:w="2393" w:type="dxa"/>
            <w:tcBorders>
              <w:top w:val="dotted" w:sz="8" w:space="0" w:color="auto"/>
              <w:left w:val="nil"/>
              <w:bottom w:val="dotted" w:sz="8" w:space="0" w:color="auto"/>
              <w:right w:val="dotted" w:sz="8" w:space="0" w:color="auto"/>
            </w:tcBorders>
            <w:shd w:val="clear" w:color="auto" w:fill="DAEEF3" w:themeFill="accent5" w:themeFillTint="33"/>
            <w:tcMar>
              <w:left w:w="108" w:type="dxa"/>
              <w:right w:w="108" w:type="dxa"/>
            </w:tcMar>
            <w:vAlign w:val="center"/>
          </w:tcPr>
          <w:p w14:paraId="7333BCAD" w14:textId="2DBA29E6" w:rsidR="1150C3B1" w:rsidRPr="00BD1B6F" w:rsidRDefault="1150C3B1" w:rsidP="00FD2238">
            <w:pPr>
              <w:spacing w:line="276" w:lineRule="auto"/>
              <w:jc w:val="center"/>
            </w:pPr>
            <w:r w:rsidRPr="00BD1B6F">
              <w:rPr>
                <w:b/>
                <w:bCs/>
                <w:color w:val="000000" w:themeColor="text1"/>
                <w:sz w:val="24"/>
                <w:szCs w:val="24"/>
              </w:rPr>
              <w:t>46. mjesto (2022.)</w:t>
            </w:r>
          </w:p>
        </w:tc>
      </w:tr>
    </w:tbl>
    <w:p w14:paraId="40BFB7D2" w14:textId="71D205C9" w:rsidR="005B0BA7" w:rsidRPr="00BD1B6F" w:rsidRDefault="2749429E" w:rsidP="004C1D5B">
      <w:pPr>
        <w:jc w:val="both"/>
        <w:rPr>
          <w:color w:val="000000" w:themeColor="text1"/>
        </w:rPr>
      </w:pPr>
      <w:r w:rsidRPr="00BD1B6F">
        <w:rPr>
          <w:sz w:val="24"/>
          <w:szCs w:val="24"/>
        </w:rPr>
        <w:t xml:space="preserve"> </w:t>
      </w:r>
    </w:p>
    <w:p w14:paraId="2D36C3AA" w14:textId="77777777" w:rsidR="00DA050C" w:rsidRDefault="00DA050C" w:rsidP="00DA050C"/>
    <w:p w14:paraId="5A9031BB" w14:textId="45F19B0A" w:rsidR="008D333D" w:rsidRPr="00BD1B6F" w:rsidRDefault="1695AE6F" w:rsidP="004C1D5B">
      <w:pPr>
        <w:pStyle w:val="Heading3"/>
        <w:spacing w:line="276" w:lineRule="auto"/>
        <w:ind w:left="284"/>
        <w:rPr>
          <w:sz w:val="24"/>
          <w:szCs w:val="24"/>
        </w:rPr>
      </w:pPr>
      <w:bookmarkStart w:id="68" w:name="_Toc156819377"/>
      <w:r w:rsidRPr="00BD1B6F">
        <w:rPr>
          <w:sz w:val="24"/>
          <w:szCs w:val="24"/>
        </w:rPr>
        <w:t>3.</w:t>
      </w:r>
      <w:r w:rsidR="006215D2">
        <w:rPr>
          <w:sz w:val="24"/>
          <w:szCs w:val="24"/>
        </w:rPr>
        <w:t>2</w:t>
      </w:r>
      <w:r w:rsidRPr="00BD1B6F">
        <w:rPr>
          <w:sz w:val="24"/>
          <w:szCs w:val="24"/>
        </w:rPr>
        <w:t>. Opis napretka u provedbi strateškog cilja Učinkovito i djelotvorno pravosuđe, javna uprava i upravljanje državnom imovinom</w:t>
      </w:r>
      <w:bookmarkEnd w:id="68"/>
    </w:p>
    <w:p w14:paraId="24EF63C5" w14:textId="77777777" w:rsidR="00AE6102" w:rsidRPr="00BD1B6F" w:rsidRDefault="00AE6102" w:rsidP="00AE6102">
      <w:pPr>
        <w:spacing w:before="240"/>
        <w:ind w:firstLine="284"/>
        <w:jc w:val="both"/>
      </w:pPr>
      <w:r w:rsidRPr="00BD1B6F">
        <w:rPr>
          <w:b/>
          <w:bCs/>
          <w:sz w:val="24"/>
          <w:szCs w:val="24"/>
        </w:rPr>
        <w:t>Učinkovito i djelotvorno pravosuđe</w:t>
      </w:r>
    </w:p>
    <w:p w14:paraId="0ED33EA8" w14:textId="77777777" w:rsidR="00AE6102" w:rsidRPr="008115FB" w:rsidRDefault="00AE6102" w:rsidP="00AE6102">
      <w:pPr>
        <w:pStyle w:val="BodyText"/>
        <w:spacing w:before="240" w:after="240" w:line="276" w:lineRule="auto"/>
        <w:ind w:right="-68"/>
        <w:jc w:val="both"/>
      </w:pPr>
      <w:r w:rsidRPr="00BD1B6F">
        <w:t xml:space="preserve">U 2022. nastavljena je provedba reformi i ulaganja koji omogućuju daljnji napredak prema učinkovitijem, djelotvornijem i bržem pravosuđu, sukladno potrebama </w:t>
      </w:r>
      <w:r w:rsidRPr="001B2DA8">
        <w:t>društva.</w:t>
      </w:r>
      <w:r w:rsidRPr="00BD1B6F">
        <w:t xml:space="preserve"> S ciljem utvrđivanja srednjoročnog strateškog okvira za daljnji razvoj pravosuđa, u ožujku 2022. doneseni su Nacionalni plan razvoja pravosudnog sustava od 2022. do 2027. godine te pripadajući Akcijski plan za razdoblje 2022.</w:t>
      </w:r>
      <w:r>
        <w:t xml:space="preserve"> </w:t>
      </w:r>
      <w:r w:rsidRPr="00BD1B6F">
        <w:t>-</w:t>
      </w:r>
      <w:r>
        <w:t xml:space="preserve"> </w:t>
      </w:r>
      <w:r w:rsidRPr="00BD1B6F">
        <w:t>2024. Posebni ciljevi odnose se na: 1. unaprjeđenje sudskih postupaka, 2. osiguravanje transparentnosti, prav</w:t>
      </w:r>
      <w:r w:rsidRPr="008115FB">
        <w:t>ne sigurnosti, kvalitete i predvidivosti sudskih odluka, 3. razvoj ljudskih potencijala u pravosudnom sustavu, 4. modernizaciju infrastrukture te unaprjeđenje razine i sveobuhvatnosti korištenja IKT-a radi automatizacije, digitalizacije i pružanja e-pravosudnih usluga i 5. unaprjeđenje kvalitete zatvorskog sustava i probacije</w:t>
      </w:r>
      <w:r w:rsidRPr="00BD1B6F">
        <w:t xml:space="preserve">. </w:t>
      </w:r>
    </w:p>
    <w:p w14:paraId="59176E73" w14:textId="77777777" w:rsidR="00AE6102" w:rsidRPr="00BD1B6F" w:rsidRDefault="00AE6102" w:rsidP="00AE6102">
      <w:pPr>
        <w:pStyle w:val="BodyText"/>
        <w:spacing w:before="240" w:after="240" w:line="276" w:lineRule="auto"/>
        <w:ind w:right="-68"/>
        <w:jc w:val="both"/>
      </w:pPr>
      <w:r w:rsidRPr="00BD1B6F">
        <w:t xml:space="preserve">U 2022. postignut je značajan napredak u rješavanju prvostupanjskih parničnih i trgovačkih predmeta, a vrijeme rješavanja prvostupanjskih parničnih i trgovačkih predmeta </w:t>
      </w:r>
      <w:r>
        <w:t xml:space="preserve">u </w:t>
      </w:r>
      <w:r w:rsidRPr="00BD1B6F">
        <w:t xml:space="preserve">odnosu na 2021. skraćeno je </w:t>
      </w:r>
      <w:r w:rsidRPr="1150C3B1">
        <w:t>s</w:t>
      </w:r>
      <w:r>
        <w:t xml:space="preserve"> </w:t>
      </w:r>
      <w:r w:rsidRPr="00BD1B6F">
        <w:t xml:space="preserve">559 na 410 dana, odnosno za 26,6%. Poticaj rješavanju predmeta u većem broju (osobito „starih“ predmeta) nastavljen je provedbom akcijskih planova. Cilj je povećanje broja riješenih predmeta u svakoj vrsti predmeta, intenzivnije rješavanje predmeta koji se u sudovima vode preko </w:t>
      </w:r>
      <w:r>
        <w:t>7</w:t>
      </w:r>
      <w:r w:rsidRPr="00BD1B6F">
        <w:t xml:space="preserve"> godina i </w:t>
      </w:r>
      <w:r w:rsidRPr="00BD1B6F">
        <w:lastRenderedPageBreak/>
        <w:t xml:space="preserve">posebno praćenje i rješavanje kaznenih predmeta u kojima u narednom razdoblju od </w:t>
      </w:r>
      <w:r>
        <w:t>3</w:t>
      </w:r>
      <w:r w:rsidRPr="00BD1B6F">
        <w:t xml:space="preserve"> godine prijeti nastupanje zastare. </w:t>
      </w:r>
    </w:p>
    <w:p w14:paraId="72F50D30" w14:textId="77777777" w:rsidR="00AE6102" w:rsidRPr="00BD1B6F" w:rsidRDefault="00AE6102" w:rsidP="00AE6102">
      <w:pPr>
        <w:spacing w:before="240" w:after="240" w:line="276" w:lineRule="auto"/>
        <w:ind w:right="-68"/>
        <w:jc w:val="both"/>
        <w:rPr>
          <w:sz w:val="24"/>
          <w:szCs w:val="24"/>
        </w:rPr>
      </w:pPr>
      <w:r w:rsidRPr="00FD2238">
        <w:rPr>
          <w:sz w:val="24"/>
          <w:szCs w:val="24"/>
        </w:rPr>
        <w:t xml:space="preserve">Poticaj rješavanju predmeta u većem broju, osobito predmeta starijih od </w:t>
      </w:r>
      <w:r>
        <w:rPr>
          <w:sz w:val="24"/>
          <w:szCs w:val="24"/>
        </w:rPr>
        <w:t>7</w:t>
      </w:r>
      <w:r w:rsidRPr="00FD2238">
        <w:rPr>
          <w:sz w:val="24"/>
          <w:szCs w:val="24"/>
        </w:rPr>
        <w:t xml:space="preserve"> godina, nastavljen je provedbom akcijskih planova poboljšanja učinkovitosti rada sudova. Akcijski</w:t>
      </w:r>
      <w:r>
        <w:rPr>
          <w:sz w:val="24"/>
          <w:szCs w:val="24"/>
        </w:rPr>
        <w:t>m</w:t>
      </w:r>
      <w:r w:rsidRPr="00FD2238">
        <w:rPr>
          <w:sz w:val="24"/>
          <w:szCs w:val="24"/>
        </w:rPr>
        <w:t xml:space="preserve"> planovima prati se mjesečni rad svih sudova i sudaca (s naglaskom na rad općinskih i županijskih sudova), a njihov primarni cilj je ubrzavanje sudskih postupaka i rješavanje svih predmeta starijih od </w:t>
      </w:r>
      <w:r>
        <w:rPr>
          <w:sz w:val="24"/>
          <w:szCs w:val="24"/>
        </w:rPr>
        <w:t>7</w:t>
      </w:r>
      <w:r w:rsidRPr="00FD2238">
        <w:rPr>
          <w:sz w:val="24"/>
          <w:szCs w:val="24"/>
        </w:rPr>
        <w:t xml:space="preserve"> godina te posebno praćenje i rješavanje kaznenih predmeta koji u sljedeće </w:t>
      </w:r>
      <w:r>
        <w:rPr>
          <w:sz w:val="24"/>
          <w:szCs w:val="24"/>
        </w:rPr>
        <w:t>3</w:t>
      </w:r>
      <w:r w:rsidRPr="00FD2238">
        <w:rPr>
          <w:sz w:val="24"/>
          <w:szCs w:val="24"/>
        </w:rPr>
        <w:t xml:space="preserve"> godine odlaze u zastaru. Općinski i županijski sudovi smanjili su u 2022. broj neriješenih predmeta starijih od 7 godina za 32% (od 26.133 predmeta na 17.643 neriješenih predmeta)</w:t>
      </w:r>
      <w:r>
        <w:rPr>
          <w:sz w:val="24"/>
          <w:szCs w:val="24"/>
        </w:rPr>
        <w:t xml:space="preserve"> i</w:t>
      </w:r>
      <w:r w:rsidRPr="00FD2238">
        <w:rPr>
          <w:sz w:val="24"/>
          <w:szCs w:val="24"/>
        </w:rPr>
        <w:t xml:space="preserve"> riješili 70% predmeta u kojima je prijetio protek zastarnog roka.</w:t>
      </w:r>
    </w:p>
    <w:p w14:paraId="3E07DB5B" w14:textId="77777777" w:rsidR="00AE6102" w:rsidRDefault="00AE6102" w:rsidP="00AE6102">
      <w:pPr>
        <w:spacing w:before="143" w:after="240" w:line="276" w:lineRule="auto"/>
        <w:jc w:val="both"/>
        <w:rPr>
          <w:sz w:val="24"/>
          <w:szCs w:val="24"/>
        </w:rPr>
      </w:pPr>
      <w:r w:rsidRPr="00FD2238">
        <w:rPr>
          <w:sz w:val="24"/>
          <w:szCs w:val="24"/>
        </w:rPr>
        <w:t>Nova Okvirna mjerila za rad sudaca, kojima se potiče rješavanje predmeta u većem broju, primjenjuju se od 1. siječnja 2022. U tijeku je revidiranje metodologije za evaluaciju rada sudaca, temeljeno na komparativnoj analizi u državama članicama EU-a.</w:t>
      </w:r>
    </w:p>
    <w:p w14:paraId="4E7701B5" w14:textId="77777777" w:rsidR="00AE6102" w:rsidRPr="00FD2238" w:rsidRDefault="00AE6102" w:rsidP="00AE6102">
      <w:pPr>
        <w:spacing w:before="143" w:after="240" w:line="276" w:lineRule="auto"/>
        <w:jc w:val="both"/>
        <w:rPr>
          <w:sz w:val="24"/>
          <w:szCs w:val="24"/>
        </w:rPr>
      </w:pPr>
      <w:r w:rsidRPr="00FD2238">
        <w:rPr>
          <w:sz w:val="24"/>
          <w:szCs w:val="24"/>
        </w:rPr>
        <w:t>U svrhu daljnjeg smanjivanja broja neriješenih predmeta i skraćivanja trajanja sudskih postupaka nastavljena je provedba reformskih mjera kroz NPOO</w:t>
      </w:r>
      <w:r w:rsidRPr="00BD1B6F">
        <w:rPr>
          <w:sz w:val="24"/>
          <w:szCs w:val="24"/>
        </w:rPr>
        <w:t xml:space="preserve"> te s</w:t>
      </w:r>
      <w:r w:rsidRPr="00FD2238">
        <w:rPr>
          <w:sz w:val="24"/>
          <w:szCs w:val="24"/>
        </w:rPr>
        <w:t xml:space="preserve">u </w:t>
      </w:r>
      <w:r w:rsidRPr="00BD1B6F">
        <w:rPr>
          <w:sz w:val="24"/>
          <w:szCs w:val="24"/>
        </w:rPr>
        <w:t xml:space="preserve">u </w:t>
      </w:r>
      <w:r w:rsidRPr="00FD2238">
        <w:rPr>
          <w:sz w:val="24"/>
          <w:szCs w:val="24"/>
        </w:rPr>
        <w:t xml:space="preserve">2022. postignuti  sljedeći rezultati: </w:t>
      </w:r>
    </w:p>
    <w:p w14:paraId="468959D1" w14:textId="77777777" w:rsidR="00AE6102" w:rsidRPr="00FD2238" w:rsidRDefault="00AE6102" w:rsidP="00AE6102">
      <w:pPr>
        <w:numPr>
          <w:ilvl w:val="0"/>
          <w:numId w:val="43"/>
        </w:numPr>
        <w:spacing w:line="276" w:lineRule="auto"/>
        <w:jc w:val="both"/>
        <w:rPr>
          <w:sz w:val="24"/>
          <w:szCs w:val="24"/>
        </w:rPr>
      </w:pPr>
      <w:r w:rsidRPr="00FD2238">
        <w:rPr>
          <w:sz w:val="24"/>
          <w:szCs w:val="24"/>
        </w:rPr>
        <w:t>svi prvostupanjski sudovi opremljeni su i ispunjavaju uvjete za održavanje ročišta na daljinu</w:t>
      </w:r>
    </w:p>
    <w:p w14:paraId="1E477155" w14:textId="77777777" w:rsidR="00AE6102" w:rsidRPr="00FD2238" w:rsidRDefault="00AE6102" w:rsidP="00AE6102">
      <w:pPr>
        <w:numPr>
          <w:ilvl w:val="0"/>
          <w:numId w:val="43"/>
        </w:numPr>
        <w:spacing w:line="276" w:lineRule="auto"/>
        <w:jc w:val="both"/>
      </w:pPr>
      <w:r w:rsidRPr="00FD2238">
        <w:rPr>
          <w:sz w:val="24"/>
          <w:szCs w:val="24"/>
        </w:rPr>
        <w:t>osigurani su elektronički alati i odgovarajući administrativni kapaciteti za Državno sudbeno vijeće i Državno</w:t>
      </w:r>
      <w:r w:rsidRPr="00BD1B6F">
        <w:rPr>
          <w:sz w:val="24"/>
          <w:szCs w:val="24"/>
        </w:rPr>
        <w:t xml:space="preserve"> </w:t>
      </w:r>
      <w:r w:rsidRPr="00FD2238">
        <w:rPr>
          <w:sz w:val="24"/>
          <w:szCs w:val="24"/>
        </w:rPr>
        <w:t>odvjetničko vijeće</w:t>
      </w:r>
      <w:r>
        <w:rPr>
          <w:sz w:val="24"/>
          <w:szCs w:val="24"/>
        </w:rPr>
        <w:t>,</w:t>
      </w:r>
      <w:r w:rsidRPr="00FD2238">
        <w:rPr>
          <w:sz w:val="24"/>
          <w:szCs w:val="24"/>
        </w:rPr>
        <w:t xml:space="preserve"> radi učinkovitije provjere imovinskih kartica pravosudnih dužnosnika (informacijski sustavi vijeća spojeni su putem Državne sabirnice s</w:t>
      </w:r>
      <w:r w:rsidRPr="00BD1B6F">
        <w:rPr>
          <w:sz w:val="24"/>
          <w:szCs w:val="24"/>
        </w:rPr>
        <w:t xml:space="preserve"> mrežn</w:t>
      </w:r>
      <w:r w:rsidRPr="008115FB">
        <w:rPr>
          <w:sz w:val="24"/>
          <w:szCs w:val="24"/>
        </w:rPr>
        <w:t>im</w:t>
      </w:r>
      <w:r w:rsidRPr="00FD2238">
        <w:rPr>
          <w:sz w:val="24"/>
          <w:szCs w:val="24"/>
        </w:rPr>
        <w:t xml:space="preserve"> servisima javnopravnih tijela </w:t>
      </w:r>
      <w:r w:rsidRPr="00BD1B6F">
        <w:rPr>
          <w:sz w:val="24"/>
          <w:szCs w:val="24"/>
        </w:rPr>
        <w:t>radi</w:t>
      </w:r>
      <w:r w:rsidRPr="00FD2238">
        <w:rPr>
          <w:sz w:val="24"/>
          <w:szCs w:val="24"/>
        </w:rPr>
        <w:t xml:space="preserve"> automatske provjere podataka) </w:t>
      </w:r>
    </w:p>
    <w:p w14:paraId="35D38B84" w14:textId="77777777" w:rsidR="00AE6102" w:rsidRPr="00FD2238" w:rsidRDefault="00AE6102" w:rsidP="00AE6102">
      <w:pPr>
        <w:numPr>
          <w:ilvl w:val="0"/>
          <w:numId w:val="43"/>
        </w:numPr>
        <w:spacing w:line="276" w:lineRule="auto"/>
        <w:jc w:val="both"/>
      </w:pPr>
      <w:r w:rsidRPr="00FD2238">
        <w:rPr>
          <w:sz w:val="24"/>
          <w:szCs w:val="24"/>
        </w:rPr>
        <w:t>proveden je veći broj izmjena zakonodavnog okvira u području pravosuđa koje će poboljšati učinkovitost pravosuđa i smanjiti dugotrajnost sudskih postupaka: izmjene Stečajnog zakona i Zakona o stečaju potrošača, Zakona o parničnom postupku, Zakona o kaznenom postupku, Zakona o zemljišnim knjigama te Zakona o javnom bilježništvu</w:t>
      </w:r>
      <w:r>
        <w:rPr>
          <w:sz w:val="24"/>
          <w:szCs w:val="24"/>
        </w:rPr>
        <w:t>.</w:t>
      </w:r>
    </w:p>
    <w:p w14:paraId="0F9C254B" w14:textId="77777777" w:rsidR="00AE6102" w:rsidRPr="00BD1B6F" w:rsidRDefault="00AE6102" w:rsidP="00AE6102">
      <w:pPr>
        <w:spacing w:before="155" w:after="240" w:line="276" w:lineRule="auto"/>
        <w:jc w:val="both"/>
      </w:pPr>
      <w:r w:rsidRPr="00BD1B6F">
        <w:rPr>
          <w:sz w:val="24"/>
          <w:szCs w:val="24"/>
        </w:rPr>
        <w:t xml:space="preserve">Izmjenama Zakona o parničnom postupku, parnični se postupak modernizira, uvode se rokovi za rješavanje pojedinih vrsta postupaka te plan upravljanja postupkom, dorađene su odredbe o održavanju ročišta na daljinu, uvedeno je obvezno tonsko snimanje rasprave, uređen je postupak u sporovima male vrijednosti te je proširen krug obveznih sudionika e-Komunikacije. Kako bi se osigurala veća učinkovitost stečajnih postupaka općenito, ali i preventivno djelovalo na potencijalno povećanje broja </w:t>
      </w:r>
      <w:r w:rsidRPr="00BD1B6F">
        <w:rPr>
          <w:sz w:val="24"/>
          <w:szCs w:val="24"/>
        </w:rPr>
        <w:lastRenderedPageBreak/>
        <w:t xml:space="preserve">stečajnih predmeta u sustavu zbog pandemije COVID-19, donesene su izmjene i dopune Stečajnog zakona i Zakona o stečaju potrošača. Radi provedbe modernizacije poslovanja javnih bilježnika uvođenjem elektroničke javnobilježničke isprave i uvođenja rada javnih bilježnika na daljinu, donesen je Zakon o izmjenama i dopunama Zakona o javnom bilježništvu. Izmjenama Zakona o zemljišnim knjigama uspostavlja se normativni, tehnološki i organizacijski okvir koji će doprinijeti nastavku digitalizacije zemljišnih knjiga te ubrzavanju postupaka osnivanja i obnove zemljišnih knjiga. Izmjenama i dopunama Zakona o kaznenom postupku uvedena je elektronička komunikacija u kazneni postupak, proširena je mogućnost tonskog snimanja na sve rasprave u kaznenom postupku u narednom razdoblju te je omogućeno daljnje proširenje uporabe digitalnih alata za komunikaciju na daljinu tijekom kaznenog postupka. </w:t>
      </w:r>
    </w:p>
    <w:p w14:paraId="744F55A8" w14:textId="77777777" w:rsidR="00AE6102" w:rsidRPr="008115FB" w:rsidRDefault="00AE6102" w:rsidP="00AE6102">
      <w:pPr>
        <w:spacing w:before="144" w:after="240" w:line="276" w:lineRule="auto"/>
        <w:jc w:val="both"/>
        <w:rPr>
          <w:sz w:val="24"/>
          <w:szCs w:val="24"/>
        </w:rPr>
      </w:pPr>
      <w:r w:rsidRPr="00BD1B6F">
        <w:rPr>
          <w:sz w:val="24"/>
          <w:szCs w:val="24"/>
        </w:rPr>
        <w:t>Radi poboljšanja radnih uvjeta za osoblje pravosudnog sektora te boljeg pristupa i većeg zadovoljstva građana pravosudnim uslugama, u unaprjeđenje infrastrukturnih uvjeta i digitalizaciju u pravosudnim tijelima kontinuirano se ulažu veliki napori i sredstva. Završeno je ili je u provedbi 52 projekta ukupne vrijednosti preko 328 milijuna eura, sufinancirano iz europskih i međunarodnih izvora. Projekti obuhvaćaju modernizaciju pravosudnog sustava, obnovu infrastrukture pravosudnih i kaznenih tijela (uključujući energetsku obnovu), daljnji razvoj e-pravosudnih usluga te daljnju digitalizaciju zemljišnih knjiga. Preko 192,5 milijuna eura uloženo je u projekte koji doprinose digitalnoj transformaciji pravosuđa, a preko 210,5 milijuna eura u projekte u skladu sa zelenom tranzicijom. Tako je nastavljen rad na modernizaciji i poboljšanju pravosudne infrastrukture provedbom mjera energetske obnove te rekonstrukcijom i opremanjem zgrada pravosudnih i kaznenih tijela. Završena je nova zgrada zagrebačke gruntovnice odnos</w:t>
      </w:r>
      <w:r w:rsidRPr="008115FB">
        <w:rPr>
          <w:sz w:val="24"/>
          <w:szCs w:val="24"/>
        </w:rPr>
        <w:t>no rekonstrukcija zgrade Zemljišnoknjižnog odjela Općinskog građanskog suda, jedna od najznačajnijih pravosudnih investicija u Zagrebu posljednjih desetak godina. Riječ je o najvećem Zemljišnoknjižnom odjelu koji pripada najvećem Općinskom sudu u Hrvatsko</w:t>
      </w:r>
      <w:r>
        <w:rPr>
          <w:sz w:val="24"/>
          <w:szCs w:val="24"/>
        </w:rPr>
        <w:t xml:space="preserve">j i </w:t>
      </w:r>
      <w:r w:rsidRPr="008115FB">
        <w:rPr>
          <w:sz w:val="24"/>
          <w:szCs w:val="24"/>
        </w:rPr>
        <w:t xml:space="preserve">pokriva većinu stanovništva Zagreba, </w:t>
      </w:r>
      <w:r>
        <w:rPr>
          <w:sz w:val="24"/>
          <w:szCs w:val="24"/>
        </w:rPr>
        <w:t xml:space="preserve">te </w:t>
      </w:r>
      <w:r w:rsidRPr="008115FB">
        <w:rPr>
          <w:sz w:val="24"/>
          <w:szCs w:val="24"/>
        </w:rPr>
        <w:t>zapošljava preko 180 sudaca, sudskih savjetnika i službenika koji mjesečno rješavaju više od 5.000 predmeta.</w:t>
      </w:r>
    </w:p>
    <w:p w14:paraId="2295FCB4" w14:textId="77777777" w:rsidR="00AE6102" w:rsidRPr="008115FB" w:rsidRDefault="00AE6102" w:rsidP="00AE6102">
      <w:pPr>
        <w:spacing w:before="144" w:after="240" w:line="276" w:lineRule="auto"/>
        <w:jc w:val="both"/>
        <w:rPr>
          <w:sz w:val="24"/>
          <w:szCs w:val="24"/>
        </w:rPr>
      </w:pPr>
      <w:r w:rsidRPr="008115FB">
        <w:rPr>
          <w:sz w:val="24"/>
          <w:szCs w:val="24"/>
        </w:rPr>
        <w:t>U tijeku su radovi na energetskoj obnovi i adaptaciji zgrade Općinskog građanskog suda u Zagrebu, izgradnji središnje pismohrane zemljišnih knjiga u Gospiću</w:t>
      </w:r>
      <w:r>
        <w:rPr>
          <w:sz w:val="24"/>
          <w:szCs w:val="24"/>
        </w:rPr>
        <w:t>,</w:t>
      </w:r>
      <w:r w:rsidRPr="008115FB">
        <w:rPr>
          <w:sz w:val="24"/>
          <w:szCs w:val="24"/>
        </w:rPr>
        <w:t xml:space="preserve"> te 2. faza radova na izgradnji zgrade Općinskog suda u Splitu (rekonstrukcija i dogradnja). Završena je adaptacija i nadogradnja objekata u Kaznionici u Lipovici i Popovači te Kaznionici u Požegi, čime je smještajni kapacitet osoba lišenih slobode u zatvorenim uvjetima povećan za 236 mjesta. </w:t>
      </w:r>
    </w:p>
    <w:p w14:paraId="6F0C43CE" w14:textId="77777777" w:rsidR="00AE6102" w:rsidRPr="008115FB" w:rsidRDefault="00AE6102" w:rsidP="00AE6102">
      <w:pPr>
        <w:spacing w:before="144" w:after="240" w:line="276" w:lineRule="auto"/>
        <w:jc w:val="both"/>
        <w:rPr>
          <w:sz w:val="24"/>
          <w:szCs w:val="24"/>
        </w:rPr>
      </w:pPr>
      <w:r>
        <w:rPr>
          <w:sz w:val="24"/>
          <w:szCs w:val="24"/>
        </w:rPr>
        <w:t>S o</w:t>
      </w:r>
      <w:r w:rsidRPr="008115FB">
        <w:rPr>
          <w:sz w:val="24"/>
          <w:szCs w:val="24"/>
        </w:rPr>
        <w:t xml:space="preserve">bzirom </w:t>
      </w:r>
      <w:r>
        <w:rPr>
          <w:sz w:val="24"/>
          <w:szCs w:val="24"/>
        </w:rPr>
        <w:t xml:space="preserve">na to </w:t>
      </w:r>
      <w:r w:rsidRPr="008115FB">
        <w:rPr>
          <w:sz w:val="24"/>
          <w:szCs w:val="24"/>
        </w:rPr>
        <w:t xml:space="preserve">da velik broj zgrada pravosudnog sustava ne udovoljava Tehničkom </w:t>
      </w:r>
      <w:r w:rsidRPr="008115FB">
        <w:rPr>
          <w:sz w:val="24"/>
          <w:szCs w:val="24"/>
        </w:rPr>
        <w:lastRenderedPageBreak/>
        <w:t>propisu o racionalnoj upotrebi energije i toplinskoj zaštiti u zgradama, kao i da pristup zgradama nije prilagođen osobama s invaliditetom</w:t>
      </w:r>
      <w:r>
        <w:rPr>
          <w:sz w:val="24"/>
          <w:szCs w:val="24"/>
        </w:rPr>
        <w:t xml:space="preserve"> </w:t>
      </w:r>
      <w:r w:rsidRPr="008115FB">
        <w:rPr>
          <w:sz w:val="24"/>
          <w:szCs w:val="24"/>
        </w:rPr>
        <w:t>te je nužno usklađivanje sa standardima protupožarne i tehničke zaštite, pokrenuta je provedba mjera energetske učinkovitosti za obnovu zastarjelih objekata pravosudnih tijela u sklopu koje će se investirati u energetsku obnovu zgrada 13 sudova (</w:t>
      </w:r>
      <w:r>
        <w:rPr>
          <w:sz w:val="24"/>
          <w:szCs w:val="24"/>
        </w:rPr>
        <w:t>1</w:t>
      </w:r>
      <w:r w:rsidRPr="008115FB">
        <w:rPr>
          <w:sz w:val="24"/>
          <w:szCs w:val="24"/>
        </w:rPr>
        <w:t xml:space="preserve"> županijski sud, </w:t>
      </w:r>
      <w:r>
        <w:rPr>
          <w:sz w:val="24"/>
          <w:szCs w:val="24"/>
        </w:rPr>
        <w:t>3</w:t>
      </w:r>
      <w:r w:rsidRPr="008115FB">
        <w:rPr>
          <w:sz w:val="24"/>
          <w:szCs w:val="24"/>
        </w:rPr>
        <w:t xml:space="preserve"> općinska suda i </w:t>
      </w:r>
      <w:r>
        <w:rPr>
          <w:sz w:val="24"/>
          <w:szCs w:val="24"/>
        </w:rPr>
        <w:t>9</w:t>
      </w:r>
      <w:r w:rsidRPr="008115FB">
        <w:rPr>
          <w:sz w:val="24"/>
          <w:szCs w:val="24"/>
        </w:rPr>
        <w:t xml:space="preserve"> stalnih službi) i </w:t>
      </w:r>
      <w:r>
        <w:rPr>
          <w:sz w:val="24"/>
          <w:szCs w:val="24"/>
        </w:rPr>
        <w:t>2</w:t>
      </w:r>
      <w:r w:rsidRPr="008115FB">
        <w:rPr>
          <w:sz w:val="24"/>
          <w:szCs w:val="24"/>
        </w:rPr>
        <w:t xml:space="preserve"> kaznionice. Radi daljnjeg poboljšanja pristupa pravosuđu i unapr</w:t>
      </w:r>
      <w:r>
        <w:rPr>
          <w:sz w:val="24"/>
          <w:szCs w:val="24"/>
        </w:rPr>
        <w:t>j</w:t>
      </w:r>
      <w:r w:rsidRPr="008115FB">
        <w:rPr>
          <w:sz w:val="24"/>
          <w:szCs w:val="24"/>
        </w:rPr>
        <w:t>eđenja učinkovitosti sudskih postupaka provodi se projektiranje i prva faza radova na Trgu pravde u Zagrebu. Na lokaciji u Zagrebu, u ovom investicijskom ciklusu osigurat će se smještaj Trgovačkog suda u Zagrebu, Upravnog suda u Zagrebu, Visokog trgovačkog suda Republike Hrvatske, Visokog upravnog suda Republike Hrvatske, Centra za mirno rješavanje sporova</w:t>
      </w:r>
      <w:r>
        <w:rPr>
          <w:sz w:val="24"/>
          <w:szCs w:val="24"/>
        </w:rPr>
        <w:t>,</w:t>
      </w:r>
      <w:r w:rsidRPr="008115FB">
        <w:rPr>
          <w:sz w:val="24"/>
          <w:szCs w:val="24"/>
        </w:rPr>
        <w:t xml:space="preserve"> te Pravosudne akademije. Izrađen je nacrt idejnog rješenja Trga pravde prema novim standardima, te je započeto rušenje postojećih objekata na lokaciji. Ovaj projekt od iznimnog je značaja jer će se kroz njega utvrditi standardi za buduće investicije u pravosudnu infrastrukturu. </w:t>
      </w:r>
    </w:p>
    <w:p w14:paraId="44921B70" w14:textId="77777777" w:rsidR="00AE6102" w:rsidRPr="008115FB" w:rsidRDefault="00AE6102" w:rsidP="00AE6102">
      <w:pPr>
        <w:spacing w:before="144" w:after="240" w:line="276" w:lineRule="auto"/>
        <w:jc w:val="both"/>
        <w:rPr>
          <w:sz w:val="24"/>
          <w:szCs w:val="24"/>
        </w:rPr>
      </w:pPr>
      <w:r w:rsidRPr="008115FB">
        <w:rPr>
          <w:sz w:val="24"/>
          <w:szCs w:val="24"/>
        </w:rPr>
        <w:t xml:space="preserve">U </w:t>
      </w:r>
      <w:r>
        <w:rPr>
          <w:sz w:val="24"/>
          <w:szCs w:val="24"/>
        </w:rPr>
        <w:t>okviru</w:t>
      </w:r>
      <w:r w:rsidRPr="008115FB">
        <w:rPr>
          <w:sz w:val="24"/>
          <w:szCs w:val="24"/>
        </w:rPr>
        <w:t xml:space="preserve"> digitalne transformacije pravosudnog sustava, nastavljen je rad na optimizaciji pravosudnih procesa i uvođenje novih e-pravosudnih usluga. U proteklom razdoblju nadograđen je sustav e-Spis, dorađen je sustav e-Komunikacije, dodane su nove funkcionalnosti u</w:t>
      </w:r>
      <w:r>
        <w:rPr>
          <w:sz w:val="24"/>
          <w:szCs w:val="24"/>
        </w:rPr>
        <w:t xml:space="preserve"> </w:t>
      </w:r>
      <w:r w:rsidRPr="008115FB">
        <w:rPr>
          <w:sz w:val="24"/>
          <w:szCs w:val="24"/>
        </w:rPr>
        <w:t xml:space="preserve">e-Ovrhama, nadograđen je elektronički Sustav za praćenje predmeta na državnim odvjetništvima (CTS - </w:t>
      </w:r>
      <w:r w:rsidRPr="00FD2238">
        <w:rPr>
          <w:i/>
          <w:iCs/>
          <w:sz w:val="24"/>
          <w:szCs w:val="24"/>
        </w:rPr>
        <w:t>Case Tracking System</w:t>
      </w:r>
      <w:r w:rsidRPr="008115FB">
        <w:rPr>
          <w:sz w:val="24"/>
          <w:szCs w:val="24"/>
        </w:rPr>
        <w:t xml:space="preserve">). Planirana je daljnja nadogradnja i konsolidacija postojećih aplikacija i daljnji razvoj informacijske infrastrukture pravosudnog sustava koji će omogućiti viši stupanj interoperabilnosti s manjim troškovima za pravosudna tijela. U pripremi je provedba mjera koje će omogućiti potpunu digitalizaciju komunikacije sudionika postupka sa sudovima i podršku sudovima za rad s elektroničkim spisima. </w:t>
      </w:r>
    </w:p>
    <w:p w14:paraId="34337D37" w14:textId="77777777" w:rsidR="00AE6102" w:rsidRPr="008115FB" w:rsidRDefault="00AE6102" w:rsidP="00AE6102">
      <w:pPr>
        <w:spacing w:before="144" w:after="240" w:line="276" w:lineRule="auto"/>
        <w:jc w:val="both"/>
        <w:rPr>
          <w:sz w:val="24"/>
          <w:szCs w:val="24"/>
        </w:rPr>
      </w:pPr>
      <w:r w:rsidRPr="008115FB">
        <w:rPr>
          <w:sz w:val="24"/>
          <w:szCs w:val="24"/>
        </w:rPr>
        <w:t>Radi povećanja transparentnosti, kvalitete i predvidivosti sudskih odluka, u okviru projekta „Digitalno kao zadano“ u suradnji s Vijećem Europe i Europskom komisijom, provedene su aktivnosti usmjerene na razvoj alata za javnu objavu i pretraživanje sudskih odluka uz prethodnu automatsku anonimizaciju. Internetska objava sudskih odluka, u skladu s nacionalnim pravom i standardima EU-a</w:t>
      </w:r>
      <w:r>
        <w:rPr>
          <w:sz w:val="24"/>
          <w:szCs w:val="24"/>
        </w:rPr>
        <w:t xml:space="preserve"> </w:t>
      </w:r>
      <w:r w:rsidRPr="008115FB">
        <w:rPr>
          <w:sz w:val="24"/>
          <w:szCs w:val="24"/>
        </w:rPr>
        <w:t xml:space="preserve">te u skladu s međunarodnim standardima o ljudskim pravima, povećat će transparentnost i dosljednost sudskih odluka u Hrvatskoj </w:t>
      </w:r>
      <w:r>
        <w:rPr>
          <w:sz w:val="24"/>
          <w:szCs w:val="24"/>
        </w:rPr>
        <w:t xml:space="preserve">i </w:t>
      </w:r>
      <w:r w:rsidRPr="008115FB">
        <w:rPr>
          <w:sz w:val="24"/>
          <w:szCs w:val="24"/>
        </w:rPr>
        <w:t>povjerenje javnosti u pravosuđe.</w:t>
      </w:r>
    </w:p>
    <w:p w14:paraId="3657858A" w14:textId="77777777" w:rsidR="00AE6102" w:rsidRPr="008115FB" w:rsidRDefault="00AE6102" w:rsidP="00AE6102">
      <w:pPr>
        <w:spacing w:before="144" w:after="240" w:line="276" w:lineRule="auto"/>
        <w:jc w:val="both"/>
        <w:rPr>
          <w:sz w:val="24"/>
          <w:szCs w:val="24"/>
        </w:rPr>
      </w:pPr>
      <w:r w:rsidRPr="008115FB">
        <w:rPr>
          <w:sz w:val="24"/>
          <w:szCs w:val="24"/>
        </w:rPr>
        <w:t>Vezano za upravljanje zemljišnim podacima, nadograđen je Zajednički informacijski sustav zemljišnih knjiga i katastra te je pokrenut mrežni servis za povezivanje s mrežnim aplikacijama drugih institucija (portal Uređena zemlja)</w:t>
      </w:r>
      <w:r>
        <w:rPr>
          <w:sz w:val="24"/>
          <w:szCs w:val="24"/>
        </w:rPr>
        <w:t>,</w:t>
      </w:r>
      <w:r w:rsidRPr="008115FB">
        <w:rPr>
          <w:sz w:val="24"/>
          <w:szCs w:val="24"/>
        </w:rPr>
        <w:t xml:space="preserve"> kao i mobilna aplikacija sustava (Moje nekretnine) za građane i poslovne korisnike. </w:t>
      </w:r>
    </w:p>
    <w:p w14:paraId="56AAE1D0" w14:textId="77777777" w:rsidR="00AE6102" w:rsidRPr="008115FB" w:rsidRDefault="00AE6102" w:rsidP="00AE6102">
      <w:pPr>
        <w:spacing w:before="144" w:after="240" w:line="276" w:lineRule="auto"/>
        <w:jc w:val="both"/>
        <w:rPr>
          <w:sz w:val="24"/>
          <w:szCs w:val="24"/>
        </w:rPr>
      </w:pPr>
      <w:r w:rsidRPr="008115FB">
        <w:rPr>
          <w:sz w:val="24"/>
          <w:szCs w:val="24"/>
        </w:rPr>
        <w:t xml:space="preserve">Radi unaprjeđenja kompetencija i upravljačkih vještina pravosudnih dužnosnika i službenika nastavljena je provedba programa izobrazbe čelnika pravosudnih tijela, </w:t>
      </w:r>
      <w:r w:rsidRPr="008115FB">
        <w:rPr>
          <w:sz w:val="24"/>
          <w:szCs w:val="24"/>
        </w:rPr>
        <w:lastRenderedPageBreak/>
        <w:t xml:space="preserve">službenika i drugih sudionika u postupcima pred sudovima. Razvijeno je </w:t>
      </w:r>
      <w:r>
        <w:rPr>
          <w:sz w:val="24"/>
          <w:szCs w:val="24"/>
        </w:rPr>
        <w:t>6</w:t>
      </w:r>
      <w:r w:rsidRPr="008115FB">
        <w:rPr>
          <w:sz w:val="24"/>
          <w:szCs w:val="24"/>
        </w:rPr>
        <w:t xml:space="preserve"> novih programa koji su uključeni u program stručnog usavršavanja pravosudnih dužnosnika i službenika u Pravosudnoj akademiji s naglaskom na: 1. razvoj vještina (vještine vođenja i upravljanja za predsjednike sudova, upravljanje sudovima za ravnatelje sudskih uprava i komunikacijske vještine za osoblje sudova - </w:t>
      </w:r>
      <w:r>
        <w:rPr>
          <w:sz w:val="24"/>
          <w:szCs w:val="24"/>
        </w:rPr>
        <w:t>3</w:t>
      </w:r>
      <w:r w:rsidRPr="008115FB">
        <w:rPr>
          <w:sz w:val="24"/>
          <w:szCs w:val="24"/>
        </w:rPr>
        <w:t xml:space="preserve"> programa), 2. promicanje vladavine prava i temeljnih prava visokokvalitetnim obrazovanjem u hrvatskom pravosuđu i 3. specijalizirane programe osposobljavanja za suce u postupcima u slučaju nesolventnosti i osposobljavanje sudaca u području obiteljskog prava. Sveukupno</w:t>
      </w:r>
      <w:r>
        <w:rPr>
          <w:sz w:val="24"/>
          <w:szCs w:val="24"/>
        </w:rPr>
        <w:t>,</w:t>
      </w:r>
      <w:r w:rsidRPr="008115FB">
        <w:rPr>
          <w:sz w:val="24"/>
          <w:szCs w:val="24"/>
        </w:rPr>
        <w:t xml:space="preserve"> u 2022. različite programe stručnog usavršavanja Pravosudne akademije pohađalo je preko 7.100 polaznika, što u odnosu na ukupni broj pravosudnih dužnosnika i službenika iznosi visokih 78%. Specijalizirane programe izobrazbe povezane s digitalnom transformacijom pravosuđa pohađalo je preko 1.100 polaznika</w:t>
      </w:r>
      <w:r>
        <w:rPr>
          <w:sz w:val="24"/>
          <w:szCs w:val="24"/>
        </w:rPr>
        <w:t>,</w:t>
      </w:r>
      <w:r w:rsidRPr="008115FB">
        <w:rPr>
          <w:sz w:val="24"/>
          <w:szCs w:val="24"/>
        </w:rPr>
        <w:t xml:space="preserve"> odnosno 13%. </w:t>
      </w:r>
    </w:p>
    <w:p w14:paraId="74A5CADE" w14:textId="77777777" w:rsidR="00AE6102" w:rsidRPr="00BD1B6F" w:rsidRDefault="00AE6102" w:rsidP="00AE6102">
      <w:pPr>
        <w:spacing w:after="240" w:line="276" w:lineRule="auto"/>
        <w:jc w:val="both"/>
      </w:pPr>
      <w:r>
        <w:rPr>
          <w:sz w:val="24"/>
          <w:szCs w:val="24"/>
        </w:rPr>
        <w:tab/>
      </w:r>
      <w:r w:rsidRPr="00BD1B6F">
        <w:rPr>
          <w:b/>
          <w:bCs/>
          <w:sz w:val="24"/>
          <w:szCs w:val="24"/>
        </w:rPr>
        <w:t>Borba protiv korupcije</w:t>
      </w:r>
    </w:p>
    <w:p w14:paraId="17648C7B" w14:textId="77777777" w:rsidR="00AE6102" w:rsidRPr="00BD1B6F" w:rsidRDefault="00AE6102" w:rsidP="00AE6102">
      <w:pPr>
        <w:spacing w:after="240" w:line="276" w:lineRule="auto"/>
        <w:jc w:val="both"/>
        <w:rPr>
          <w:sz w:val="24"/>
          <w:szCs w:val="24"/>
        </w:rPr>
      </w:pPr>
      <w:r w:rsidRPr="00F15E8C">
        <w:rPr>
          <w:sz w:val="24"/>
          <w:szCs w:val="24"/>
        </w:rPr>
        <w:t>Korupcija usporava gospodarski rast i narušava učinkovitost javnih rashoda</w:t>
      </w:r>
      <w:r>
        <w:rPr>
          <w:sz w:val="24"/>
          <w:szCs w:val="24"/>
        </w:rPr>
        <w:t>, konkurentnost i povjerenje</w:t>
      </w:r>
      <w:r w:rsidRPr="0008378C">
        <w:t xml:space="preserve"> </w:t>
      </w:r>
      <w:r w:rsidRPr="0008378C">
        <w:rPr>
          <w:sz w:val="24"/>
          <w:szCs w:val="24"/>
        </w:rPr>
        <w:t xml:space="preserve">u državu, institucije i </w:t>
      </w:r>
      <w:r>
        <w:rPr>
          <w:sz w:val="24"/>
          <w:szCs w:val="24"/>
        </w:rPr>
        <w:t>V</w:t>
      </w:r>
      <w:r w:rsidRPr="0008378C">
        <w:rPr>
          <w:sz w:val="24"/>
          <w:szCs w:val="24"/>
        </w:rPr>
        <w:t>ladu</w:t>
      </w:r>
      <w:r w:rsidRPr="00F15E8C">
        <w:rPr>
          <w:sz w:val="24"/>
          <w:szCs w:val="24"/>
        </w:rPr>
        <w:t>. Budući da su korupcija i niske stope uključivog rasta uzajamno ovisne, borba protiv korupcije od ključne je važnosti za održivost strukturnih reformi.</w:t>
      </w:r>
      <w:r>
        <w:rPr>
          <w:sz w:val="24"/>
          <w:szCs w:val="24"/>
        </w:rPr>
        <w:t xml:space="preserve"> </w:t>
      </w:r>
      <w:r w:rsidRPr="00BD1B6F">
        <w:rPr>
          <w:sz w:val="24"/>
          <w:szCs w:val="24"/>
        </w:rPr>
        <w:t>Borba protiv korupcije vodi se na dva načina: suzbijanjem kaznenih djela korupcije</w:t>
      </w:r>
      <w:r>
        <w:rPr>
          <w:sz w:val="24"/>
          <w:szCs w:val="24"/>
        </w:rPr>
        <w:t>,</w:t>
      </w:r>
      <w:r w:rsidRPr="00BD1B6F">
        <w:rPr>
          <w:sz w:val="24"/>
          <w:szCs w:val="24"/>
        </w:rPr>
        <w:t xml:space="preserve"> odnosno represivnim djelovanjem </w:t>
      </w:r>
      <w:r>
        <w:rPr>
          <w:sz w:val="24"/>
          <w:szCs w:val="24"/>
        </w:rPr>
        <w:t>te</w:t>
      </w:r>
      <w:r w:rsidRPr="00BD1B6F">
        <w:rPr>
          <w:sz w:val="24"/>
          <w:szCs w:val="24"/>
        </w:rPr>
        <w:t xml:space="preserve"> preventivnim djelovanjem</w:t>
      </w:r>
      <w:r>
        <w:rPr>
          <w:sz w:val="24"/>
          <w:szCs w:val="24"/>
        </w:rPr>
        <w:t>,</w:t>
      </w:r>
      <w:r w:rsidRPr="00BD1B6F">
        <w:rPr>
          <w:sz w:val="24"/>
          <w:szCs w:val="24"/>
        </w:rPr>
        <w:t xml:space="preserve"> odnosno sprječavanjem korupcije. Iako je vrlo važno represivno suzbijanje koje ima i svoju preventivnu ulogu, represivni pristup predstavlja uglavnom kažnjavanje posljedica, međutim tendencija je sve više ojačati sustavnu prevenciju kako bi se u začetku spriječili njezini uzroci. Suvremeni trendovi suzbijanja korupcije sve se više okreću prevenciji tako da se pr</w:t>
      </w:r>
      <w:r w:rsidRPr="008115FB">
        <w:rPr>
          <w:sz w:val="24"/>
          <w:szCs w:val="24"/>
        </w:rPr>
        <w:t xml:space="preserve">epoznaju rizici nastanka korupcije, </w:t>
      </w:r>
      <w:r>
        <w:rPr>
          <w:sz w:val="24"/>
          <w:szCs w:val="24"/>
        </w:rPr>
        <w:t>a</w:t>
      </w:r>
      <w:r w:rsidRPr="008115FB">
        <w:rPr>
          <w:sz w:val="24"/>
          <w:szCs w:val="24"/>
        </w:rPr>
        <w:t xml:space="preserve"> izgradnjom institucija, usvajanjem zakona i osvješćivanjem građana i medija nastoji </w:t>
      </w:r>
      <w:r>
        <w:rPr>
          <w:sz w:val="24"/>
          <w:szCs w:val="24"/>
        </w:rPr>
        <w:t xml:space="preserve">se </w:t>
      </w:r>
      <w:r w:rsidRPr="008115FB">
        <w:rPr>
          <w:sz w:val="24"/>
          <w:szCs w:val="24"/>
        </w:rPr>
        <w:t xml:space="preserve">spriječiti </w:t>
      </w:r>
      <w:r w:rsidRPr="00C24282">
        <w:rPr>
          <w:sz w:val="24"/>
          <w:szCs w:val="24"/>
        </w:rPr>
        <w:t>korupcij</w:t>
      </w:r>
      <w:r>
        <w:rPr>
          <w:sz w:val="24"/>
          <w:szCs w:val="24"/>
        </w:rPr>
        <w:t>a</w:t>
      </w:r>
      <w:r w:rsidRPr="008115FB">
        <w:rPr>
          <w:sz w:val="24"/>
          <w:szCs w:val="24"/>
        </w:rPr>
        <w:t xml:space="preserve"> prije nego do nje dođe. </w:t>
      </w:r>
      <w:r w:rsidRPr="00BD1B6F">
        <w:rPr>
          <w:sz w:val="24"/>
          <w:szCs w:val="24"/>
        </w:rPr>
        <w:t>Radi jačanja institucionalnog i zakonodavnog okvira za borbu protiv korupcije</w:t>
      </w:r>
      <w:r w:rsidRPr="00BD1B6F">
        <w:rPr>
          <w:b/>
          <w:bCs/>
          <w:sz w:val="24"/>
          <w:szCs w:val="24"/>
        </w:rPr>
        <w:t xml:space="preserve"> </w:t>
      </w:r>
      <w:r w:rsidRPr="00BD1B6F">
        <w:rPr>
          <w:sz w:val="24"/>
          <w:szCs w:val="24"/>
        </w:rPr>
        <w:t xml:space="preserve">i osiguravanja uvjeta za učinkovitu provedbu Strategije sprječavanja korupcije za razdoblje od 2021. do 2030. godine, u srpnju 2022. donesen je Akcijski plan za razdoblje od 2022. do 2024. godine, kojim je utvrđeno 206 prioritetnih aktivnosti za učinkovitu provedbu mjera borbe protiv korupcije. Kao jedan od prioriteta utvrđenih Strategijom, u 2022. proveden je </w:t>
      </w:r>
      <w:r>
        <w:rPr>
          <w:sz w:val="24"/>
          <w:szCs w:val="24"/>
        </w:rPr>
        <w:t>p</w:t>
      </w:r>
      <w:r w:rsidRPr="00BD1B6F">
        <w:rPr>
          <w:sz w:val="24"/>
          <w:szCs w:val="24"/>
        </w:rPr>
        <w:t>rojekt „Podizanje svijesti i standarda u borbi protiv podmićivanja u međunarodn</w:t>
      </w:r>
      <w:r>
        <w:rPr>
          <w:sz w:val="24"/>
          <w:szCs w:val="24"/>
        </w:rPr>
        <w:t>i</w:t>
      </w:r>
      <w:r w:rsidRPr="00BD1B6F">
        <w:rPr>
          <w:sz w:val="24"/>
          <w:szCs w:val="24"/>
        </w:rPr>
        <w:t xml:space="preserve">m poslovnim transakcijama“. Projekt je sufinancirala Europska komisija putem Programa potpore strukturnim reformama, a zajednički su ga proveli Republika Hrvatska, Europska komisija i </w:t>
      </w:r>
      <w:r w:rsidRPr="0033721E">
        <w:rPr>
          <w:sz w:val="24"/>
          <w:szCs w:val="24"/>
        </w:rPr>
        <w:t>Organizacij</w:t>
      </w:r>
      <w:r>
        <w:rPr>
          <w:sz w:val="24"/>
          <w:szCs w:val="24"/>
        </w:rPr>
        <w:t xml:space="preserve">a </w:t>
      </w:r>
      <w:r w:rsidRPr="0033721E">
        <w:rPr>
          <w:sz w:val="24"/>
          <w:szCs w:val="24"/>
        </w:rPr>
        <w:t>za ekonomsku suradnju i razvoj</w:t>
      </w:r>
      <w:r>
        <w:rPr>
          <w:sz w:val="24"/>
          <w:szCs w:val="24"/>
        </w:rPr>
        <w:t xml:space="preserve"> (u daljnjem tekstu: </w:t>
      </w:r>
      <w:r w:rsidRPr="00B53FF2">
        <w:rPr>
          <w:sz w:val="24"/>
          <w:szCs w:val="24"/>
        </w:rPr>
        <w:t>OECD</w:t>
      </w:r>
      <w:r>
        <w:rPr>
          <w:sz w:val="24"/>
          <w:szCs w:val="24"/>
        </w:rPr>
        <w:t>)</w:t>
      </w:r>
      <w:r w:rsidRPr="00B53FF2">
        <w:rPr>
          <w:sz w:val="24"/>
          <w:szCs w:val="24"/>
        </w:rPr>
        <w:t>.</w:t>
      </w:r>
      <w:r w:rsidRPr="00BD1B6F">
        <w:rPr>
          <w:sz w:val="24"/>
          <w:szCs w:val="24"/>
        </w:rPr>
        <w:t xml:space="preserve"> Projektom je ojačan hrvatski antikorupcijski okvir prema standardima utvrđenima Konvencijom OECD-a protiv podmićivanja i podržane su hrvatske inicijative za razvoj odgovarajućih sustavnih antikorupcijskih intervencija, povezanih s </w:t>
      </w:r>
      <w:r w:rsidRPr="00BD1B6F">
        <w:rPr>
          <w:sz w:val="24"/>
          <w:szCs w:val="24"/>
        </w:rPr>
        <w:lastRenderedPageBreak/>
        <w:t>privatnim sektorom i suzbijanjem podmićivanja u međunarodnom poslovanju.</w:t>
      </w:r>
    </w:p>
    <w:p w14:paraId="076DF878" w14:textId="77777777" w:rsidR="00AE6102" w:rsidRPr="00BD1B6F" w:rsidRDefault="00AE6102" w:rsidP="00AE6102">
      <w:pPr>
        <w:spacing w:after="240" w:line="276" w:lineRule="auto"/>
        <w:jc w:val="both"/>
      </w:pPr>
      <w:r w:rsidRPr="00BD1B6F">
        <w:rPr>
          <w:sz w:val="24"/>
          <w:szCs w:val="24"/>
        </w:rPr>
        <w:t>S ciljem daljnjeg jačanja zakonodavnog okvira za borbu protiv korupcije te</w:t>
      </w:r>
      <w:r w:rsidRPr="00AC3EBD">
        <w:rPr>
          <w:sz w:val="24"/>
          <w:szCs w:val="24"/>
        </w:rPr>
        <w:t xml:space="preserve"> </w:t>
      </w:r>
      <w:r w:rsidRPr="00BD1B6F">
        <w:rPr>
          <w:sz w:val="24"/>
          <w:szCs w:val="24"/>
        </w:rPr>
        <w:t xml:space="preserve">usklađivanja hrvatskog zakonodavstva s Direktivom (EU) 2019/1937 Europskog parlamenta i Vijeća o zaštiti osoba koje prijavljuju povrede prava EU-a, u travnju 2022. donesen </w:t>
      </w:r>
      <w:r>
        <w:rPr>
          <w:sz w:val="24"/>
          <w:szCs w:val="24"/>
        </w:rPr>
        <w:t xml:space="preserve">je </w:t>
      </w:r>
      <w:r w:rsidRPr="00BD1B6F">
        <w:rPr>
          <w:sz w:val="24"/>
          <w:szCs w:val="24"/>
        </w:rPr>
        <w:t xml:space="preserve">novi Zakon o zaštiti prijavitelja nepravilnosti. Također, u okviru obveza uspostavljanja unutarnjeg kanala prijavljivanja, donesen je i Pravilnik o načinu imenovanja povjerljive osobe i postupku unutarnjeg prijavljivanja nepravilnosti u Ministarstvu pravosuđa i uprave, a javno je objavljen Podsjetnik za poslodavce </w:t>
      </w:r>
      <w:r>
        <w:rPr>
          <w:sz w:val="24"/>
          <w:szCs w:val="24"/>
        </w:rPr>
        <w:t xml:space="preserve">u </w:t>
      </w:r>
      <w:r w:rsidRPr="008115FB">
        <w:rPr>
          <w:sz w:val="24"/>
          <w:szCs w:val="24"/>
        </w:rPr>
        <w:t xml:space="preserve">Hrvatskoj </w:t>
      </w:r>
      <w:r w:rsidRPr="00BD1B6F">
        <w:rPr>
          <w:sz w:val="24"/>
          <w:szCs w:val="24"/>
        </w:rPr>
        <w:t>za obvezu primjene Zakona o zaštiti prijavitelja nepravilnosti.</w:t>
      </w:r>
    </w:p>
    <w:p w14:paraId="20E1C666" w14:textId="77777777" w:rsidR="00AE6102" w:rsidRPr="00BD1B6F" w:rsidRDefault="00AE6102" w:rsidP="00AE6102">
      <w:pPr>
        <w:spacing w:before="1" w:after="240" w:line="276" w:lineRule="auto"/>
        <w:jc w:val="both"/>
      </w:pPr>
      <w:r w:rsidRPr="00BD1B6F">
        <w:rPr>
          <w:sz w:val="24"/>
          <w:szCs w:val="24"/>
        </w:rPr>
        <w:t>Radi daljnjeg jačanja sustava integriteta u javnoj upravi, u svibnju 2022. donesen je Kodeks ponašanja državnih dužnosnika u tijelima izvršne vlasti u skladu s preporukama GRECO-</w:t>
      </w:r>
      <w:r>
        <w:rPr>
          <w:sz w:val="24"/>
          <w:szCs w:val="24"/>
        </w:rPr>
        <w:t>o</w:t>
      </w:r>
      <w:r w:rsidRPr="00BD1B6F">
        <w:rPr>
          <w:sz w:val="24"/>
          <w:szCs w:val="24"/>
        </w:rPr>
        <w:t>vog petog evaluacijskog kruga za Hrvatsku. Kodeksom su utvrđena etička načela i pravila ponašanja na temelju kojih su državni dužnosnici u tijelima izvršne vlasti obvezni postupati za vrijeme i u vezi s obnašanjem dužnosti.</w:t>
      </w:r>
    </w:p>
    <w:p w14:paraId="1084F061" w14:textId="77777777" w:rsidR="00AE6102" w:rsidRPr="00BD1B6F" w:rsidRDefault="00AE6102" w:rsidP="00AE6102">
      <w:pPr>
        <w:spacing w:after="240" w:line="276" w:lineRule="auto"/>
        <w:jc w:val="both"/>
      </w:pPr>
      <w:r w:rsidRPr="00BD1B6F">
        <w:rPr>
          <w:sz w:val="24"/>
          <w:szCs w:val="24"/>
        </w:rPr>
        <w:t>S ciljem jačanja transparentnosti rada tijela javne vlasti, Vlada je u veljači 2022. usvojila Četvrto periodično izvješće Republike Hrvatske o primjeni Međunarodnog pakta o građanskim i političkim pravima koje je izrađeno u suradnji svih nadležnih tijela. U Izvješću su dani odgovori na pitanja UN-ovog Odbora za ljudska prava, u dva tematska poglavlja: 1. Opće informacije o stanju u vezi s ljudskim pravima iz nacionalne perspektive (podaci o stanju provedbe novih mjera i događajima povezanima s provedbom Pakta) te 2. Specifične informacije o provedbi članaka 1. - 27. Pakta (podaci vezani za primjenu prethodnih preporuka UN-ovog Odbora za ljudska prava).</w:t>
      </w:r>
    </w:p>
    <w:p w14:paraId="57066AFD" w14:textId="77777777" w:rsidR="00AE6102" w:rsidRPr="00BD1B6F" w:rsidRDefault="00AE6102" w:rsidP="00AE6102">
      <w:pPr>
        <w:spacing w:after="240" w:line="276" w:lineRule="auto"/>
        <w:jc w:val="both"/>
        <w:rPr>
          <w:sz w:val="24"/>
          <w:szCs w:val="24"/>
        </w:rPr>
      </w:pPr>
      <w:r w:rsidRPr="00BD1B6F">
        <w:rPr>
          <w:sz w:val="24"/>
          <w:szCs w:val="24"/>
        </w:rPr>
        <w:t>S ciljem daljnjeg jačanja institucionalnog okvira za borbu protiv korupcije, Hrvatska je zatražila pristupanje Konvenciji</w:t>
      </w:r>
      <w:r w:rsidRPr="00BD1B6F">
        <w:t xml:space="preserve"> </w:t>
      </w:r>
      <w:r w:rsidRPr="00BD1B6F">
        <w:rPr>
          <w:sz w:val="24"/>
          <w:szCs w:val="24"/>
        </w:rPr>
        <w:t>OECD-a za borbu protiv podmićivanja stranih javnih službenika u međunarodnom poslovanju te pristupanje Radnoj skupini OECD-a za borbu protiv podmićivanja u međunarodnom poslovanju. U prosincu 2022.</w:t>
      </w:r>
      <w:r>
        <w:rPr>
          <w:sz w:val="24"/>
          <w:szCs w:val="24"/>
        </w:rPr>
        <w:t>,</w:t>
      </w:r>
      <w:r w:rsidRPr="00BD1B6F">
        <w:rPr>
          <w:sz w:val="24"/>
          <w:szCs w:val="24"/>
        </w:rPr>
        <w:t xml:space="preserve"> radi pristupanja Radnoj skupini i Konvenciji</w:t>
      </w:r>
      <w:r w:rsidRPr="00BD1B6F">
        <w:t xml:space="preserve"> </w:t>
      </w:r>
      <w:r w:rsidRPr="00BD1B6F">
        <w:rPr>
          <w:sz w:val="24"/>
          <w:szCs w:val="24"/>
        </w:rPr>
        <w:t xml:space="preserve">OECD-a, Hrvatskoj je odobrena potpuna procjena hrvatskog pravnog i političkog okvira za borbu protiv transnacionalnog podmićivanja koja će </w:t>
      </w:r>
      <w:r w:rsidRPr="001B2DA8">
        <w:rPr>
          <w:sz w:val="24"/>
          <w:szCs w:val="24"/>
        </w:rPr>
        <w:t>se provesti u ožujku 2023.</w:t>
      </w:r>
      <w:r w:rsidRPr="00BD1B6F">
        <w:rPr>
          <w:sz w:val="24"/>
          <w:szCs w:val="24"/>
        </w:rPr>
        <w:t xml:space="preserve"> </w:t>
      </w:r>
    </w:p>
    <w:p w14:paraId="2C435D21" w14:textId="77777777" w:rsidR="00AE6102" w:rsidRPr="00BD1B6F" w:rsidRDefault="00AE6102" w:rsidP="00AE6102">
      <w:pPr>
        <w:spacing w:after="240" w:line="276" w:lineRule="auto"/>
        <w:jc w:val="both"/>
      </w:pPr>
      <w:r w:rsidRPr="00BD1B6F">
        <w:rPr>
          <w:sz w:val="24"/>
          <w:szCs w:val="24"/>
        </w:rPr>
        <w:t>Poduzeti napori za jačanje institucionalnog i zakonodavnog okvira za borbu protiv korupcije, poboljšanje transparentnosti rada i sustava integriteta u javnoj upravi te podizanje svijesti o štetnosti korupcije, doprinijeli su i napretk</w:t>
      </w:r>
      <w:r>
        <w:rPr>
          <w:sz w:val="24"/>
          <w:szCs w:val="24"/>
        </w:rPr>
        <w:t>u u</w:t>
      </w:r>
      <w:r w:rsidRPr="00BD1B6F">
        <w:rPr>
          <w:sz w:val="24"/>
          <w:szCs w:val="24"/>
        </w:rPr>
        <w:t xml:space="preserve"> poretku na ljestvici „Indeksa percepcije korupcije“ Transparency Internationala</w:t>
      </w:r>
      <w:r>
        <w:rPr>
          <w:sz w:val="24"/>
          <w:szCs w:val="24"/>
        </w:rPr>
        <w:t xml:space="preserve"> za</w:t>
      </w:r>
      <w:r w:rsidRPr="00BD1B6F">
        <w:rPr>
          <w:sz w:val="24"/>
          <w:szCs w:val="24"/>
        </w:rPr>
        <w:t xml:space="preserve"> 2022.</w:t>
      </w:r>
      <w:r>
        <w:rPr>
          <w:sz w:val="24"/>
          <w:szCs w:val="24"/>
        </w:rPr>
        <w:t>, na kojem je Hrvatska</w:t>
      </w:r>
      <w:r w:rsidRPr="00BD1B6F">
        <w:rPr>
          <w:sz w:val="24"/>
          <w:szCs w:val="24"/>
        </w:rPr>
        <w:t xml:space="preserve"> napredovala za 3 boda, s 47 na 50, te se nalazi na 57. mjestu od 180 država svijeta obuhvaćenih istraživanjem.</w:t>
      </w:r>
    </w:p>
    <w:p w14:paraId="2F588013" w14:textId="77777777" w:rsidR="00AE6102" w:rsidRPr="00BD1B6F" w:rsidRDefault="00AE6102" w:rsidP="00AE6102">
      <w:pPr>
        <w:spacing w:after="240" w:line="276" w:lineRule="auto"/>
        <w:ind w:firstLine="720"/>
        <w:jc w:val="both"/>
        <w:rPr>
          <w:b/>
          <w:sz w:val="24"/>
          <w:szCs w:val="24"/>
        </w:rPr>
      </w:pPr>
      <w:r w:rsidRPr="00BD1B6F">
        <w:rPr>
          <w:b/>
          <w:bCs/>
          <w:sz w:val="24"/>
          <w:szCs w:val="24"/>
        </w:rPr>
        <w:lastRenderedPageBreak/>
        <w:t>Kompetentna, dostupna i učinkovita javna uprava</w:t>
      </w:r>
    </w:p>
    <w:p w14:paraId="71361E82" w14:textId="77777777" w:rsidR="00AE6102" w:rsidRPr="008115FB" w:rsidRDefault="00AE6102" w:rsidP="00AE6102">
      <w:pPr>
        <w:spacing w:after="240" w:line="276" w:lineRule="auto"/>
        <w:jc w:val="both"/>
        <w:rPr>
          <w:sz w:val="24"/>
          <w:szCs w:val="24"/>
        </w:rPr>
      </w:pPr>
      <w:r w:rsidRPr="00BD1B6F">
        <w:rPr>
          <w:sz w:val="24"/>
          <w:szCs w:val="24"/>
        </w:rPr>
        <w:t>Nastavljeni su napori na modernizaciji hrvatske javne uprave s ciljem postizanja više razine učinkovitosti i kvalitete u pružanju javnih usluga svim korisnicima, uz snažniju primjenu načela dobrog upravljanja u svim tijelima javne uprave</w:t>
      </w:r>
      <w:r>
        <w:rPr>
          <w:sz w:val="24"/>
          <w:szCs w:val="24"/>
        </w:rPr>
        <w:t xml:space="preserve"> što je dovelo i od </w:t>
      </w:r>
      <w:r w:rsidRPr="00BD1B6F">
        <w:rPr>
          <w:sz w:val="24"/>
          <w:szCs w:val="24"/>
        </w:rPr>
        <w:t>mjerljiv</w:t>
      </w:r>
      <w:r>
        <w:rPr>
          <w:sz w:val="24"/>
          <w:szCs w:val="24"/>
        </w:rPr>
        <w:t xml:space="preserve">og napretka prema </w:t>
      </w:r>
      <w:r w:rsidRPr="00BD1B6F">
        <w:rPr>
          <w:sz w:val="24"/>
          <w:szCs w:val="24"/>
        </w:rPr>
        <w:t xml:space="preserve"> rezultatima </w:t>
      </w:r>
      <w:r>
        <w:rPr>
          <w:sz w:val="24"/>
          <w:szCs w:val="24"/>
        </w:rPr>
        <w:t xml:space="preserve">na </w:t>
      </w:r>
      <w:r w:rsidRPr="00BD1B6F">
        <w:rPr>
          <w:sz w:val="24"/>
          <w:szCs w:val="24"/>
        </w:rPr>
        <w:t>ljestvici globalne konkurentnosti (World Competitiveness Ranking - WCR), Instituta za razvoj poslovnog upravljanja iz Lausannea (International Institute for Management Development - IMD). Prema ljestvici globalne konkurentnosti za 2022. Hrvatska je u kategoriji „Djelotvornost javne uprave“, u odnosu na 2021., napredovala za 11 mjesta te se nalazi na 46. mjestu, čime je između 63 zemlje uključene u istraživanje, ostvarila najviši rast mjeren prema svim čimbenicima učinkovitosti javne uprave</w:t>
      </w:r>
      <w:r w:rsidRPr="00BD1B6F">
        <w:t>.</w:t>
      </w:r>
    </w:p>
    <w:p w14:paraId="443D579D" w14:textId="77777777" w:rsidR="00AE6102" w:rsidRPr="008115FB" w:rsidRDefault="00AE6102" w:rsidP="00AE6102">
      <w:pPr>
        <w:spacing w:before="1" w:after="240" w:line="276" w:lineRule="auto"/>
        <w:jc w:val="both"/>
        <w:rPr>
          <w:sz w:val="24"/>
          <w:szCs w:val="24"/>
        </w:rPr>
      </w:pPr>
      <w:r w:rsidRPr="008115FB">
        <w:rPr>
          <w:sz w:val="24"/>
          <w:szCs w:val="24"/>
        </w:rPr>
        <w:t>U ožujku 2022. usvojeni su ključni srednjoročni akti strateškog planiranja za razvoj i modernizaciju javne uprave: Nacionalni plan razvoja javne uprave za razdoblje 2022.</w:t>
      </w:r>
      <w:r>
        <w:rPr>
          <w:sz w:val="24"/>
          <w:szCs w:val="24"/>
        </w:rPr>
        <w:t xml:space="preserve"> </w:t>
      </w:r>
      <w:r w:rsidRPr="008115FB">
        <w:rPr>
          <w:sz w:val="24"/>
          <w:szCs w:val="24"/>
        </w:rPr>
        <w:t>-</w:t>
      </w:r>
      <w:r>
        <w:rPr>
          <w:sz w:val="24"/>
          <w:szCs w:val="24"/>
        </w:rPr>
        <w:t xml:space="preserve"> </w:t>
      </w:r>
      <w:r w:rsidRPr="008115FB">
        <w:rPr>
          <w:sz w:val="24"/>
          <w:szCs w:val="24"/>
        </w:rPr>
        <w:t>2027. i pripadajući Akcijski plan za razdoblje od 2022. do 2024. godine. Posebni ciljevi odnose se na: 1. korisnički orijentiranu javnu upravu i učinkovito pružanje javnih usluga, 2. digitalnu transformaciju javne uprave, 3. razvoj ljudskih potencijala u javnoj upravi, 4. jačanje kapaciteta javne uprave za oblikovanje i provedbu javnih politika i 5. unaprjeđenje funkcionalnosti i održivosti JLP(R)S-ova. Završeno je</w:t>
      </w:r>
      <w:r>
        <w:rPr>
          <w:sz w:val="24"/>
          <w:szCs w:val="24"/>
        </w:rPr>
        <w:t>,</w:t>
      </w:r>
      <w:r w:rsidRPr="008115FB">
        <w:rPr>
          <w:sz w:val="24"/>
          <w:szCs w:val="24"/>
        </w:rPr>
        <w:t xml:space="preserve"> ili je u provedbi</w:t>
      </w:r>
      <w:r>
        <w:rPr>
          <w:sz w:val="24"/>
          <w:szCs w:val="24"/>
        </w:rPr>
        <w:t>,</w:t>
      </w:r>
      <w:r w:rsidRPr="008115FB">
        <w:rPr>
          <w:sz w:val="24"/>
          <w:szCs w:val="24"/>
        </w:rPr>
        <w:t xml:space="preserve"> 13 projekata ukupne vrijednosti preko 336,5 milijuna eura, sufinanciran</w:t>
      </w:r>
      <w:r>
        <w:rPr>
          <w:sz w:val="24"/>
          <w:szCs w:val="24"/>
        </w:rPr>
        <w:t>ih</w:t>
      </w:r>
      <w:r w:rsidRPr="008115FB">
        <w:rPr>
          <w:sz w:val="24"/>
          <w:szCs w:val="24"/>
        </w:rPr>
        <w:t xml:space="preserve"> iz europskih i međunarodnih izvora. Projekti obuhvaćaju razvoj kapaciteta javne uprave i daljnji razvoj e-javnih usluga. </w:t>
      </w:r>
      <w:r>
        <w:rPr>
          <w:sz w:val="24"/>
          <w:szCs w:val="24"/>
        </w:rPr>
        <w:t>Više od</w:t>
      </w:r>
      <w:r w:rsidRPr="008115FB">
        <w:rPr>
          <w:sz w:val="24"/>
          <w:szCs w:val="24"/>
        </w:rPr>
        <w:t xml:space="preserve"> 31,5 milijuna eura uloženo je u projekte koji</w:t>
      </w:r>
      <w:r>
        <w:rPr>
          <w:sz w:val="24"/>
          <w:szCs w:val="24"/>
        </w:rPr>
        <w:t>ma se</w:t>
      </w:r>
      <w:r w:rsidRPr="008115FB">
        <w:rPr>
          <w:sz w:val="24"/>
          <w:szCs w:val="24"/>
        </w:rPr>
        <w:t xml:space="preserve"> doprinos</w:t>
      </w:r>
      <w:r>
        <w:rPr>
          <w:sz w:val="24"/>
          <w:szCs w:val="24"/>
        </w:rPr>
        <w:t>i uvjetima za</w:t>
      </w:r>
      <w:r w:rsidRPr="008115FB">
        <w:rPr>
          <w:sz w:val="24"/>
          <w:szCs w:val="24"/>
        </w:rPr>
        <w:t xml:space="preserve"> digitaln</w:t>
      </w:r>
      <w:r>
        <w:rPr>
          <w:sz w:val="24"/>
          <w:szCs w:val="24"/>
        </w:rPr>
        <w:t>u</w:t>
      </w:r>
      <w:r w:rsidRPr="008115FB">
        <w:rPr>
          <w:sz w:val="24"/>
          <w:szCs w:val="24"/>
        </w:rPr>
        <w:t xml:space="preserve"> transformacij</w:t>
      </w:r>
      <w:r>
        <w:rPr>
          <w:sz w:val="24"/>
          <w:szCs w:val="24"/>
        </w:rPr>
        <w:t>u</w:t>
      </w:r>
      <w:r w:rsidRPr="008115FB">
        <w:rPr>
          <w:sz w:val="24"/>
          <w:szCs w:val="24"/>
        </w:rPr>
        <w:t xml:space="preserve"> javne uprave. </w:t>
      </w:r>
    </w:p>
    <w:p w14:paraId="0056FB94" w14:textId="77777777" w:rsidR="00AE6102" w:rsidRPr="008115FB" w:rsidRDefault="00AE6102" w:rsidP="00AE6102">
      <w:pPr>
        <w:spacing w:before="1" w:after="240" w:line="276" w:lineRule="auto"/>
        <w:jc w:val="both"/>
        <w:rPr>
          <w:sz w:val="24"/>
          <w:szCs w:val="24"/>
        </w:rPr>
      </w:pPr>
      <w:r w:rsidRPr="008115FB">
        <w:rPr>
          <w:sz w:val="24"/>
          <w:szCs w:val="24"/>
        </w:rPr>
        <w:t>U 2022. provedene su mjere i aktivnosti za povećanje kvalitete pružanja javnih usluga za veće zadovoljstvo građana i smanjenje administrativnog opterećenja. Uveden</w:t>
      </w:r>
      <w:r>
        <w:rPr>
          <w:sz w:val="24"/>
          <w:szCs w:val="24"/>
        </w:rPr>
        <w:t>i</w:t>
      </w:r>
      <w:r w:rsidRPr="008115FB">
        <w:rPr>
          <w:sz w:val="24"/>
          <w:szCs w:val="24"/>
        </w:rPr>
        <w:t xml:space="preserve"> </w:t>
      </w:r>
      <w:r>
        <w:rPr>
          <w:sz w:val="24"/>
          <w:szCs w:val="24"/>
        </w:rPr>
        <w:t>su</w:t>
      </w:r>
      <w:r w:rsidRPr="008115FB">
        <w:rPr>
          <w:sz w:val="24"/>
          <w:szCs w:val="24"/>
        </w:rPr>
        <w:t xml:space="preserve"> metodologija i alati za upravljanje procesima u 160 tijela javne uprave (32 tijela državne uprave, 19 županija, 35 gradova, 32 općine i 42 pravne osobe s javnim ovlastima) temeljen</w:t>
      </w:r>
      <w:r>
        <w:rPr>
          <w:sz w:val="24"/>
          <w:szCs w:val="24"/>
        </w:rPr>
        <w:t>i</w:t>
      </w:r>
      <w:r w:rsidRPr="008115FB">
        <w:rPr>
          <w:sz w:val="24"/>
          <w:szCs w:val="24"/>
        </w:rPr>
        <w:t xml:space="preserve"> na CAF (</w:t>
      </w:r>
      <w:r w:rsidRPr="00FD2238">
        <w:rPr>
          <w:i/>
          <w:iCs/>
          <w:sz w:val="24"/>
          <w:szCs w:val="24"/>
        </w:rPr>
        <w:t>eng. Common Assessment Framework</w:t>
      </w:r>
      <w:r w:rsidRPr="008115FB">
        <w:rPr>
          <w:sz w:val="24"/>
          <w:szCs w:val="24"/>
        </w:rPr>
        <w:t>) modelu izvrsnosti u javnoj upravi</w:t>
      </w:r>
      <w:r>
        <w:rPr>
          <w:sz w:val="24"/>
          <w:szCs w:val="24"/>
        </w:rPr>
        <w:t xml:space="preserve"> </w:t>
      </w:r>
      <w:r w:rsidRPr="008115FB">
        <w:rPr>
          <w:sz w:val="24"/>
          <w:szCs w:val="24"/>
        </w:rPr>
        <w:t xml:space="preserve">te je izrađen plan optimizacije za 100 poslovnih procesa javne uprave. </w:t>
      </w:r>
      <w:r>
        <w:rPr>
          <w:sz w:val="24"/>
          <w:szCs w:val="24"/>
        </w:rPr>
        <w:t xml:space="preserve">Ukupno </w:t>
      </w:r>
      <w:r w:rsidRPr="008115FB">
        <w:rPr>
          <w:sz w:val="24"/>
          <w:szCs w:val="24"/>
        </w:rPr>
        <w:t xml:space="preserve">je u informacijskom sustavu podrške za upravljanje kvalitetom (e-SUK) </w:t>
      </w:r>
      <w:r>
        <w:rPr>
          <w:sz w:val="24"/>
          <w:szCs w:val="24"/>
        </w:rPr>
        <w:t xml:space="preserve">evidentirano </w:t>
      </w:r>
      <w:r w:rsidRPr="001E1BC0">
        <w:rPr>
          <w:sz w:val="24"/>
          <w:szCs w:val="24"/>
        </w:rPr>
        <w:t xml:space="preserve">2.600 procesa </w:t>
      </w:r>
      <w:r w:rsidRPr="008115FB">
        <w:rPr>
          <w:sz w:val="24"/>
          <w:szCs w:val="24"/>
        </w:rPr>
        <w:t xml:space="preserve">sa 600 korisnika. </w:t>
      </w:r>
      <w:r>
        <w:rPr>
          <w:sz w:val="24"/>
          <w:szCs w:val="24"/>
        </w:rPr>
        <w:t xml:space="preserve">Sustav </w:t>
      </w:r>
      <w:r w:rsidRPr="008115FB">
        <w:rPr>
          <w:sz w:val="24"/>
          <w:szCs w:val="24"/>
        </w:rPr>
        <w:t xml:space="preserve">e-SUK </w:t>
      </w:r>
      <w:r>
        <w:rPr>
          <w:sz w:val="24"/>
          <w:szCs w:val="24"/>
        </w:rPr>
        <w:t xml:space="preserve">predstavlja </w:t>
      </w:r>
      <w:r w:rsidRPr="008115FB">
        <w:rPr>
          <w:sz w:val="24"/>
          <w:szCs w:val="24"/>
        </w:rPr>
        <w:t>glavni alat za upravljanje znanjem i informacijama tijela javne uprave te uključuje metriku, dokumentaciju o poslovnim procesima, alate</w:t>
      </w:r>
      <w:r>
        <w:rPr>
          <w:sz w:val="24"/>
          <w:szCs w:val="24"/>
        </w:rPr>
        <w:t xml:space="preserve"> za upravljanje poslovnim procesima</w:t>
      </w:r>
      <w:r w:rsidRPr="008115FB">
        <w:rPr>
          <w:sz w:val="24"/>
          <w:szCs w:val="24"/>
        </w:rPr>
        <w:t>, simulator i mogućnost procjenjivanja s vizualizacijom po</w:t>
      </w:r>
      <w:r>
        <w:rPr>
          <w:sz w:val="24"/>
          <w:szCs w:val="24"/>
        </w:rPr>
        <w:t xml:space="preserve"> pojedinom</w:t>
      </w:r>
      <w:r w:rsidRPr="008115FB">
        <w:rPr>
          <w:sz w:val="24"/>
          <w:szCs w:val="24"/>
        </w:rPr>
        <w:t xml:space="preserve"> zahtjev</w:t>
      </w:r>
      <w:r>
        <w:rPr>
          <w:sz w:val="24"/>
          <w:szCs w:val="24"/>
        </w:rPr>
        <w:t>u</w:t>
      </w:r>
      <w:r w:rsidRPr="008115FB">
        <w:rPr>
          <w:sz w:val="24"/>
          <w:szCs w:val="24"/>
        </w:rPr>
        <w:t xml:space="preserve"> kvalitete. Za uvođenje sustava kvalitete, središnje upravljanja sustavom kvalitete i vanjsko vrednovanje kvalitete javne uprave</w:t>
      </w:r>
      <w:r>
        <w:rPr>
          <w:sz w:val="24"/>
          <w:szCs w:val="24"/>
        </w:rPr>
        <w:t>, provedeno je</w:t>
      </w:r>
      <w:r w:rsidRPr="008115FB">
        <w:rPr>
          <w:sz w:val="24"/>
          <w:szCs w:val="24"/>
        </w:rPr>
        <w:t xml:space="preserve"> educira</w:t>
      </w:r>
      <w:r>
        <w:rPr>
          <w:sz w:val="24"/>
          <w:szCs w:val="24"/>
        </w:rPr>
        <w:t>nje za</w:t>
      </w:r>
      <w:r w:rsidRPr="008115FB">
        <w:rPr>
          <w:sz w:val="24"/>
          <w:szCs w:val="24"/>
        </w:rPr>
        <w:t xml:space="preserve"> 118 voditelja kvalitete u javnopravnim tijelima te više od 680 službenika u državnoj i javnoj upravi. </w:t>
      </w:r>
    </w:p>
    <w:p w14:paraId="23FE1291" w14:textId="77777777" w:rsidR="00AE6102" w:rsidRPr="008115FB" w:rsidRDefault="00AE6102" w:rsidP="00AE6102">
      <w:pPr>
        <w:spacing w:before="1" w:after="240" w:line="276" w:lineRule="auto"/>
        <w:jc w:val="both"/>
        <w:rPr>
          <w:sz w:val="24"/>
          <w:szCs w:val="24"/>
        </w:rPr>
      </w:pPr>
      <w:r w:rsidRPr="008115FB">
        <w:rPr>
          <w:sz w:val="24"/>
          <w:szCs w:val="24"/>
        </w:rPr>
        <w:t xml:space="preserve">Provedena je analiza administrativnog opterećenja građana u 2019., 2020. i 2021. </w:t>
      </w:r>
      <w:r w:rsidRPr="008115FB">
        <w:rPr>
          <w:sz w:val="24"/>
          <w:szCs w:val="24"/>
        </w:rPr>
        <w:lastRenderedPageBreak/>
        <w:t xml:space="preserve">prema prilagođenoj SCM </w:t>
      </w:r>
      <w:r>
        <w:rPr>
          <w:sz w:val="24"/>
          <w:szCs w:val="24"/>
        </w:rPr>
        <w:t>(</w:t>
      </w:r>
      <w:r w:rsidRPr="00FD2238">
        <w:rPr>
          <w:i/>
          <w:iCs/>
          <w:sz w:val="24"/>
          <w:szCs w:val="24"/>
        </w:rPr>
        <w:t>eng. Standard Cost Model</w:t>
      </w:r>
      <w:r>
        <w:rPr>
          <w:sz w:val="24"/>
          <w:szCs w:val="24"/>
        </w:rPr>
        <w:t xml:space="preserve">) </w:t>
      </w:r>
      <w:r w:rsidRPr="008115FB">
        <w:rPr>
          <w:sz w:val="24"/>
          <w:szCs w:val="24"/>
        </w:rPr>
        <w:t>metodologiji. Analizom administrativnog opterećenja građana obuhvaćeni su korisnici usluga javne uprave prema životnim područjima i događajima definiranima na mrežnoj stranici e-Građani (gov.hr). Analiza uključuje sve životne događaje jedne prosječne obitelji (</w:t>
      </w:r>
      <w:r>
        <w:rPr>
          <w:sz w:val="24"/>
          <w:szCs w:val="24"/>
        </w:rPr>
        <w:t>3</w:t>
      </w:r>
      <w:r w:rsidRPr="008115FB">
        <w:rPr>
          <w:sz w:val="24"/>
          <w:szCs w:val="24"/>
        </w:rPr>
        <w:t xml:space="preserve"> člana) od trenutka sklapanja braka do smrti (vjenčanje, rođenje, školovanje, prijava/promjena prebivališta, osobne isprave, zdravstvena zaštita, kultura i informiranje, mobilnost, stanovanje, zaposlenje, umirovljenje, smrt i dr.) na način da se sva administrativna opterećenja, dolasci u urede/na šaltere, administrativne naknade i pristojbe te sve povezane radnje i postupci, preračunavaju u protuvrijednost </w:t>
      </w:r>
      <w:r>
        <w:rPr>
          <w:sz w:val="24"/>
          <w:szCs w:val="24"/>
        </w:rPr>
        <w:t>u eurima i</w:t>
      </w:r>
      <w:r w:rsidRPr="008115FB">
        <w:rPr>
          <w:sz w:val="24"/>
          <w:szCs w:val="24"/>
        </w:rPr>
        <w:t xml:space="preserve"> zbrajaju. Kao početna godina u analizi uzeta je 2019.</w:t>
      </w:r>
      <w:r>
        <w:rPr>
          <w:sz w:val="24"/>
          <w:szCs w:val="24"/>
        </w:rPr>
        <w:t>,</w:t>
      </w:r>
      <w:r w:rsidRPr="008115FB">
        <w:rPr>
          <w:sz w:val="24"/>
          <w:szCs w:val="24"/>
        </w:rPr>
        <w:t xml:space="preserve"> odnosno godina koja je prethodila globalnoj pandemiji COVID-19. Popis usluga koje najviše administrativno opterećuju građane uključuje</w:t>
      </w:r>
      <w:r>
        <w:rPr>
          <w:sz w:val="24"/>
          <w:szCs w:val="24"/>
        </w:rPr>
        <w:t xml:space="preserve"> </w:t>
      </w:r>
      <w:r w:rsidRPr="008115FB">
        <w:rPr>
          <w:sz w:val="24"/>
          <w:szCs w:val="24"/>
        </w:rPr>
        <w:t>55 procesa/usluga na državnoj razini. Analizom je utvrđeno administrativno rasterećenje od 7,85% u 2021. (u odnosu na referentnu 2019.), koje je jednim dijelom rezultat izmjene Uredbe o tarifi upravnih pristojbi</w:t>
      </w:r>
      <w:r>
        <w:rPr>
          <w:sz w:val="24"/>
          <w:szCs w:val="24"/>
        </w:rPr>
        <w:t>, ali</w:t>
      </w:r>
      <w:r w:rsidRPr="008115FB">
        <w:rPr>
          <w:sz w:val="24"/>
          <w:szCs w:val="24"/>
        </w:rPr>
        <w:t xml:space="preserve"> i pada broja</w:t>
      </w:r>
      <w:r>
        <w:rPr>
          <w:sz w:val="24"/>
          <w:szCs w:val="24"/>
        </w:rPr>
        <w:t xml:space="preserve"> </w:t>
      </w:r>
      <w:r w:rsidRPr="008115FB">
        <w:rPr>
          <w:sz w:val="24"/>
          <w:szCs w:val="24"/>
        </w:rPr>
        <w:t xml:space="preserve">predmeta zbog okolnosti povezanih s pandemijom </w:t>
      </w:r>
      <w:r w:rsidRPr="009B0B2C">
        <w:rPr>
          <w:sz w:val="24"/>
          <w:szCs w:val="24"/>
        </w:rPr>
        <w:t>COVID</w:t>
      </w:r>
      <w:r w:rsidRPr="008115FB">
        <w:rPr>
          <w:sz w:val="24"/>
          <w:szCs w:val="24"/>
        </w:rPr>
        <w:t>-19 (manje dolazaka na šaltere).</w:t>
      </w:r>
    </w:p>
    <w:p w14:paraId="651B0830" w14:textId="77777777" w:rsidR="00AE6102" w:rsidRPr="008115FB" w:rsidRDefault="00AE6102" w:rsidP="00AE6102">
      <w:pPr>
        <w:spacing w:before="1" w:after="240" w:line="276" w:lineRule="auto"/>
        <w:jc w:val="both"/>
        <w:rPr>
          <w:sz w:val="24"/>
          <w:szCs w:val="24"/>
        </w:rPr>
      </w:pPr>
      <w:r w:rsidRPr="008115FB">
        <w:rPr>
          <w:sz w:val="24"/>
          <w:szCs w:val="24"/>
        </w:rPr>
        <w:t xml:space="preserve">U suradnji s Europskom komisijom i OECD-om, pokrenut je projekt zajedno </w:t>
      </w:r>
      <w:r w:rsidRPr="009B0B2C">
        <w:rPr>
          <w:sz w:val="24"/>
          <w:szCs w:val="24"/>
        </w:rPr>
        <w:t>s</w:t>
      </w:r>
      <w:r>
        <w:rPr>
          <w:sz w:val="24"/>
          <w:szCs w:val="24"/>
        </w:rPr>
        <w:t xml:space="preserve"> </w:t>
      </w:r>
      <w:r w:rsidRPr="008115FB">
        <w:rPr>
          <w:sz w:val="24"/>
          <w:szCs w:val="24"/>
        </w:rPr>
        <w:t>10 država članica EU-a za mjerenje zadovoljstva građana ključnim javnim uslugama za bolju izvedbu i povećano povjerenje. Projekt je značajan u kontekstu poboljšanja načina mjerenja zadovoljstva administrativnim uslugama, postupanja prema povratnim informacijama korisnika te može značajno doprinijeti smanjenju birokracije i povećanju učinkovitosti javne uprave.</w:t>
      </w:r>
    </w:p>
    <w:p w14:paraId="5915F48D" w14:textId="77777777" w:rsidR="00AE6102" w:rsidRPr="008115FB" w:rsidRDefault="00AE6102" w:rsidP="00AE6102">
      <w:pPr>
        <w:spacing w:before="1" w:after="240" w:line="276" w:lineRule="auto"/>
        <w:jc w:val="both"/>
        <w:rPr>
          <w:sz w:val="24"/>
          <w:szCs w:val="24"/>
        </w:rPr>
      </w:pPr>
      <w:r w:rsidRPr="008115FB">
        <w:rPr>
          <w:sz w:val="24"/>
          <w:szCs w:val="24"/>
        </w:rPr>
        <w:t xml:space="preserve">U </w:t>
      </w:r>
      <w:r>
        <w:rPr>
          <w:sz w:val="24"/>
          <w:szCs w:val="24"/>
        </w:rPr>
        <w:t>okviru</w:t>
      </w:r>
      <w:r w:rsidRPr="008115FB">
        <w:rPr>
          <w:sz w:val="24"/>
          <w:szCs w:val="24"/>
        </w:rPr>
        <w:t xml:space="preserve"> daljnjeg unapređenja praćenja upravnog postupanja i odlučivanja razvijena je digitalna usluga e-Upravni postupak koja građanima omogućava da na jednostavan način, putem portala e-Građani, prate status upravnog postupka u kojem su stranka te da u korisnički pretinac primaju obavijesti o promjenama u njihovom predmetu.</w:t>
      </w:r>
    </w:p>
    <w:p w14:paraId="3A539A44" w14:textId="77777777" w:rsidR="00AE6102" w:rsidRPr="008115FB" w:rsidRDefault="00AE6102" w:rsidP="00AE6102">
      <w:pPr>
        <w:spacing w:before="1" w:after="240" w:line="276" w:lineRule="auto"/>
        <w:jc w:val="both"/>
        <w:rPr>
          <w:sz w:val="24"/>
          <w:szCs w:val="24"/>
        </w:rPr>
      </w:pPr>
      <w:r w:rsidRPr="008115FB">
        <w:rPr>
          <w:sz w:val="24"/>
          <w:szCs w:val="24"/>
        </w:rPr>
        <w:t xml:space="preserve">Nastavno na razvoj ljudskih potencijala u javnoj upravi, izrađen je kompetencijski okvir za zaposlene u javnoj upravi s metodološkim priručnikom i operativnim planom za uvođenje te smjernicama za izmjenu zakonodavnog okvira. Pokrenuto je uvođenje razvijenog kompetencijskog modela u 9 pilot tijela. Za uvođenje i primjenu kompetencijskog okvira educirano je 240 službenika iz ustrojstvenih jedinica za upravljanje ljudskim potencijalima. Također, izrađeno je i 40 profila radnih mjesta s utvrđenim općim i posebnim kompetencijama, koji se mogu primijeniti prilikom uvođenja kompetencijskog modela u procese upravljanja ljudskim potencijalima u većini tijela javne uprave. Uvođenjem kompetencijskog okvira u javnu upravu omogućit će se preduvjeti za uspostavu programa osposobljavanja i usavršavanja za rad, usklađenih sa stvarnim potrebama građana i javnim politikama čija provedba od službenika zahtijeva nova znanja i vještine. </w:t>
      </w:r>
    </w:p>
    <w:p w14:paraId="345202C3" w14:textId="77777777" w:rsidR="00AE6102" w:rsidRPr="008115FB" w:rsidRDefault="00AE6102" w:rsidP="00AE6102">
      <w:pPr>
        <w:spacing w:before="1" w:after="240" w:line="276" w:lineRule="auto"/>
        <w:jc w:val="both"/>
        <w:rPr>
          <w:sz w:val="24"/>
          <w:szCs w:val="24"/>
        </w:rPr>
      </w:pPr>
      <w:r w:rsidRPr="008115FB">
        <w:rPr>
          <w:sz w:val="24"/>
          <w:szCs w:val="24"/>
        </w:rPr>
        <w:lastRenderedPageBreak/>
        <w:t>U okviru napora za poboljšanje općih kompetencija za rad u državnoj službi od studenog 2022. svi državni službenici zaposleni u javnim ustanovama (koji su obvezni položiti Državni ispit) dužni su i mogu digitalno prijaviti i digitalno polagati Državni ispit, temeljem novog modela ispita e-Državni ispit. Razvijeni su e-</w:t>
      </w:r>
      <w:r w:rsidRPr="001B2DA8">
        <w:rPr>
          <w:i/>
          <w:iCs/>
          <w:sz w:val="24"/>
          <w:szCs w:val="24"/>
        </w:rPr>
        <w:t>learning</w:t>
      </w:r>
      <w:r w:rsidRPr="008115FB">
        <w:rPr>
          <w:sz w:val="24"/>
          <w:szCs w:val="24"/>
        </w:rPr>
        <w:t xml:space="preserve"> materijali te je izrađena računalna aplikacija za državni ispit (ADI sustav), putem kojih su od studenog 2022. uvedene mogućnosti digitalizirane prijave i polaganja državnog ispita. Unaprijeđeni i digitalizirani postupci razvoja i provedbe </w:t>
      </w:r>
      <w:r>
        <w:rPr>
          <w:sz w:val="24"/>
          <w:szCs w:val="24"/>
        </w:rPr>
        <w:t>D</w:t>
      </w:r>
      <w:r w:rsidRPr="008115FB">
        <w:rPr>
          <w:sz w:val="24"/>
          <w:szCs w:val="24"/>
        </w:rPr>
        <w:t>ržavnog ispita osiguravaju transparentno testiranje svih kandidata pod jednakim uvjetima</w:t>
      </w:r>
      <w:r>
        <w:rPr>
          <w:sz w:val="24"/>
          <w:szCs w:val="24"/>
        </w:rPr>
        <w:t>,</w:t>
      </w:r>
      <w:r w:rsidRPr="008115FB">
        <w:rPr>
          <w:sz w:val="24"/>
          <w:szCs w:val="24"/>
        </w:rPr>
        <w:t xml:space="preserve"> što doprinosi povećanju povjerenja građana u rad javne uprave.</w:t>
      </w:r>
    </w:p>
    <w:p w14:paraId="4940C76F" w14:textId="77777777" w:rsidR="00AE6102" w:rsidRPr="008115FB" w:rsidRDefault="00AE6102" w:rsidP="00AE6102">
      <w:pPr>
        <w:spacing w:before="1" w:after="240" w:line="276" w:lineRule="auto"/>
        <w:jc w:val="both"/>
        <w:rPr>
          <w:sz w:val="24"/>
          <w:szCs w:val="24"/>
        </w:rPr>
      </w:pPr>
      <w:r w:rsidRPr="008115FB">
        <w:rPr>
          <w:sz w:val="24"/>
          <w:szCs w:val="24"/>
        </w:rPr>
        <w:t>Kako bi ponudom programa stručnog usavršavanja odgovorila na zahtjeve za stjecanje novih znanja i vještina službenika, DŠJU je u 2022. provela procjenu potreba za stručnim usavršavanjem službenika te educirala ukupno 10.017 polaznika u okviru svojih programa izobrazbe.</w:t>
      </w:r>
    </w:p>
    <w:p w14:paraId="552FC9EF" w14:textId="77777777" w:rsidR="00AE6102" w:rsidRPr="008115FB" w:rsidRDefault="00AE6102" w:rsidP="00AE6102">
      <w:pPr>
        <w:spacing w:before="1" w:after="240" w:line="276" w:lineRule="auto"/>
        <w:jc w:val="both"/>
        <w:rPr>
          <w:sz w:val="24"/>
          <w:szCs w:val="24"/>
        </w:rPr>
      </w:pPr>
      <w:r w:rsidRPr="008115FB">
        <w:rPr>
          <w:sz w:val="24"/>
          <w:szCs w:val="24"/>
        </w:rPr>
        <w:t>Radi daljnje depolitizacije javne uprave te osiguravanja jednakih uvjeta za zapošljavanje i napredovanje na temelju profesionalnih rezultata, pokrenut je razvoj centraliziranog sustava selekcije državnih službenika čime će se osigurati uvjeti za zapošljavanje u skladu sa stvarnim potrebama državnih tijela za zapošljavanjem određenog profila službenika. Temeljem provedene analize stanja u Hrvatskoj i komparativne analiz</w:t>
      </w:r>
      <w:r>
        <w:rPr>
          <w:sz w:val="24"/>
          <w:szCs w:val="24"/>
        </w:rPr>
        <w:t>e</w:t>
      </w:r>
      <w:r w:rsidRPr="008115FB">
        <w:rPr>
          <w:sz w:val="24"/>
          <w:szCs w:val="24"/>
        </w:rPr>
        <w:t xml:space="preserve"> modela centraliziranog sustava selekcije i normativnog okvira u drugim državama članicama EU-a, izrađen je prijedlog modela centraliziranog sustava selekcije primjenjiv u Hrvatskoj. U studenom 2022. započela je izrada informatičke platforme za centralni sustav selekcije.</w:t>
      </w:r>
    </w:p>
    <w:p w14:paraId="2562C326" w14:textId="77777777" w:rsidR="00AE6102" w:rsidRPr="008115FB" w:rsidRDefault="00AE6102" w:rsidP="00AE6102">
      <w:pPr>
        <w:spacing w:before="1" w:after="240" w:line="276" w:lineRule="auto"/>
        <w:jc w:val="both"/>
        <w:rPr>
          <w:sz w:val="24"/>
          <w:szCs w:val="24"/>
        </w:rPr>
      </w:pPr>
      <w:r w:rsidRPr="008115FB">
        <w:rPr>
          <w:sz w:val="24"/>
          <w:szCs w:val="24"/>
        </w:rPr>
        <w:t>Započela je i provedba reforme koja podrazumijeva uvođenje novog modela plaća i rada u državnoj i javnim službama. U sklopu reforme promovira se moderno i fleksibilno radno okruženje koje ima pozitivan učinak na očuvanje zdravlja i dobrobit svih zaposlenih, povećanje učinkovitosti i poboljšanje ravnoteže između poslovnog i privatnog života. Kako bi se između ostalog odgovorilo na novo radno okruženje, uvodi se mogućnost hibridnog modela rada za državne službenike, kao kombinacija rada u uredu i rada na izdvojenom mjestu rada ili rada na daljinu. Hibridni model rada državnom službeniku olakšava usklađivanje poslovnog i privatnog života, a državnim tijelima omogućuje veću fleksibilnost i lakšu organizaciju rada u slučaju izvanrednih događaja. Ovaj oblik rada potiče veću razinu samostalnosti i odgovornosti službenika, a za rukovodeće državne službenike pretpostavlja primjenu objektivnog pristupa usmjerenog na rezultate rada istovremeno potičući razvoj dobrog upravljanja i međusobnog povjerenja. Hibridni model rada ima i mnoge druge pozitivne učinke, primjerice na okoliš (smanjenje prometnog zagušenja), na poslovne i stambene troš</w:t>
      </w:r>
      <w:r w:rsidRPr="008115FB">
        <w:rPr>
          <w:sz w:val="24"/>
          <w:szCs w:val="24"/>
        </w:rPr>
        <w:lastRenderedPageBreak/>
        <w:t>kove (niži troškovi stanovanja izvan urbanih središta), na opterećenje ključne infrastrukture (vrtići, škole, javni prijevoz i dr.), na ubrzavanje digitalizacije, čime se izravno doprinosi europskim politika za zelenu i digitalnu tranziciju</w:t>
      </w:r>
      <w:r>
        <w:rPr>
          <w:sz w:val="24"/>
          <w:szCs w:val="24"/>
        </w:rPr>
        <w:t xml:space="preserve"> i </w:t>
      </w:r>
      <w:r w:rsidRPr="008115FB">
        <w:rPr>
          <w:sz w:val="24"/>
          <w:szCs w:val="24"/>
        </w:rPr>
        <w:t>klimatsku neutralnost do 2050. U 2022. državnim tijelima distribuirana je nova računalna oprema u vrijednosti preko 6,4 milijuna eura koja omogućuje uvjete za kontinuirano pružanje kvalitetnih javnih usluga u hibridnom modelu rada. Hibridni model rada temelji se na dobroj praksi u državama članicama EU-a i rezultatima provedenog ispitivanja na 12</w:t>
      </w:r>
      <w:r>
        <w:rPr>
          <w:sz w:val="24"/>
          <w:szCs w:val="24"/>
        </w:rPr>
        <w:t>.</w:t>
      </w:r>
      <w:r w:rsidRPr="008115FB">
        <w:rPr>
          <w:sz w:val="24"/>
          <w:szCs w:val="24"/>
        </w:rPr>
        <w:t xml:space="preserve">000 državnih službenika. </w:t>
      </w:r>
    </w:p>
    <w:p w14:paraId="58E53CCE" w14:textId="77777777" w:rsidR="00AE6102" w:rsidRPr="008115FB" w:rsidRDefault="00AE6102" w:rsidP="00AE6102">
      <w:pPr>
        <w:spacing w:before="1" w:after="240" w:line="276" w:lineRule="auto"/>
        <w:jc w:val="both"/>
        <w:rPr>
          <w:sz w:val="24"/>
          <w:szCs w:val="24"/>
        </w:rPr>
      </w:pPr>
      <w:r w:rsidRPr="008115FB">
        <w:rPr>
          <w:sz w:val="24"/>
          <w:szCs w:val="24"/>
        </w:rPr>
        <w:t>S ciljem unaprjeđenja učinkovitosti obavljanja poslova iz samoupravnog djelokruga JLP(R)S</w:t>
      </w:r>
      <w:r>
        <w:rPr>
          <w:sz w:val="24"/>
          <w:szCs w:val="24"/>
        </w:rPr>
        <w:t>-ova</w:t>
      </w:r>
      <w:r w:rsidRPr="008115FB">
        <w:rPr>
          <w:sz w:val="24"/>
          <w:szCs w:val="24"/>
        </w:rPr>
        <w:t>, u 2022. uspostavljena je Baza podataka o upravljačkim i fiskalnim kapacitetima JLP(R)S-a, kao svojevrsna digitalna platforma za praćenje kapaciteta jedinica putem koje će se dobiti objektivna slika o potencijalima svake županije, grada i općine za obavljanje poslova iz njihova samoupravnog djelokruga. Baza sadržava oko 440 vrsta podataka o poslovima i ustrojstvu jedinica, na temelju kojih će se izračunavati oko 190 indikatora putem kojih će se mjeriti financijski, administrativni</w:t>
      </w:r>
      <w:r>
        <w:rPr>
          <w:sz w:val="24"/>
          <w:szCs w:val="24"/>
        </w:rPr>
        <w:t>,</w:t>
      </w:r>
      <w:r w:rsidRPr="008115FB">
        <w:rPr>
          <w:sz w:val="24"/>
          <w:szCs w:val="24"/>
        </w:rPr>
        <w:t xml:space="preserve"> društveno-gospodarski kapaciteti </w:t>
      </w:r>
      <w:r>
        <w:rPr>
          <w:sz w:val="24"/>
          <w:szCs w:val="24"/>
        </w:rPr>
        <w:t xml:space="preserve">i </w:t>
      </w:r>
      <w:r w:rsidRPr="008115FB">
        <w:rPr>
          <w:sz w:val="24"/>
          <w:szCs w:val="24"/>
        </w:rPr>
        <w:t xml:space="preserve">kapaciteti za obavljanje poslova iz samoupravnog djelokruga jedinica. </w:t>
      </w:r>
    </w:p>
    <w:p w14:paraId="6D5A86EC" w14:textId="77777777" w:rsidR="00AE6102" w:rsidRPr="008115FB" w:rsidRDefault="00AE6102" w:rsidP="00AE6102">
      <w:pPr>
        <w:spacing w:before="1" w:after="240" w:line="276" w:lineRule="auto"/>
        <w:jc w:val="both"/>
        <w:rPr>
          <w:sz w:val="24"/>
          <w:szCs w:val="24"/>
        </w:rPr>
      </w:pPr>
      <w:r w:rsidRPr="008115FB">
        <w:rPr>
          <w:sz w:val="24"/>
          <w:szCs w:val="24"/>
        </w:rPr>
        <w:t xml:space="preserve">U svrhu daljnjeg poboljšanja učinkovitosti sustava JLP(R)S-a utvrđen je model sufinanciranja funkcionalnog i stvarnog spajanja. Polazeći od činjenice kako je učinkovitost sustava u prvom redu ovisna o organizaciji sustava, a ne isključivo o broju jedinica, naglasak nije stavljen primarno na ukidanje, već na funkcionalno povezivanje jedinica koje posljedično može dovesti i do stvarnog spajanja. Suradnjom jedinice mogu postići puno više nego da djeluju svaka pojedinačno, no budući da potencijali za suradnju nisu dovoljno iskorišteni, kroz financijske stimulacije želi se potaknuti snažnija međusobna suradnja. U </w:t>
      </w:r>
      <w:r>
        <w:rPr>
          <w:sz w:val="24"/>
          <w:szCs w:val="24"/>
        </w:rPr>
        <w:t>tu</w:t>
      </w:r>
      <w:r w:rsidRPr="008115FB">
        <w:rPr>
          <w:sz w:val="24"/>
          <w:szCs w:val="24"/>
        </w:rPr>
        <w:t xml:space="preserve"> svrhu Vlada je </w:t>
      </w:r>
      <w:r>
        <w:rPr>
          <w:sz w:val="24"/>
          <w:szCs w:val="24"/>
        </w:rPr>
        <w:t xml:space="preserve">u srpnju 2022. donijela </w:t>
      </w:r>
      <w:r w:rsidRPr="008115FB">
        <w:rPr>
          <w:sz w:val="24"/>
          <w:szCs w:val="24"/>
        </w:rPr>
        <w:t xml:space="preserve">Odluku o kriterijima za dodjelu pomoći na ime poticaja za dobrovoljno funkcionalno odnosno stvarno spajanje jedinica lokalne samouprave. Odlukom su utvrđeni kriteriji za dodjelu financijske pomoći jedinicama lokalne samouprave koje se dobrovoljno funkcionalno spoje na način da organiziraju zajedničko obavljanje poslova iz samoupravnog djelokruga jedinica putem zajedničkog službenika, zajedničkog upravnog odjela, odnosno službe ili putem zajedničkog trgovačkog društva, odnosno zajedničke ustanove. U rujnu 2022. objavljen je javni poziv jedinicama lokalne samouprave za iskaz interesa za dodjelu pomoći na ime poticaja za dobrovoljno funkcionalno odnosno stvarno spajanje. Sredstva pomoći su bespovratna i namjenska, a namijenjena su za dobrovoljno funkcionalno spajanje i dobrovoljno stvarno spajanje jedinica lokalne samouprave te se ostvaruju u razdoblju od </w:t>
      </w:r>
      <w:r>
        <w:rPr>
          <w:sz w:val="24"/>
          <w:szCs w:val="24"/>
        </w:rPr>
        <w:t>5</w:t>
      </w:r>
      <w:r w:rsidRPr="008115FB">
        <w:rPr>
          <w:sz w:val="24"/>
          <w:szCs w:val="24"/>
        </w:rPr>
        <w:t xml:space="preserve"> godina od dana donošenja akta o dodjeli pomoći</w:t>
      </w:r>
      <w:r>
        <w:rPr>
          <w:sz w:val="24"/>
          <w:szCs w:val="24"/>
        </w:rPr>
        <w:t>,</w:t>
      </w:r>
      <w:r w:rsidRPr="008115FB">
        <w:rPr>
          <w:sz w:val="24"/>
          <w:szCs w:val="24"/>
        </w:rPr>
        <w:t xml:space="preserve"> kojim se ujedno utvrđuj</w:t>
      </w:r>
      <w:r>
        <w:rPr>
          <w:sz w:val="24"/>
          <w:szCs w:val="24"/>
        </w:rPr>
        <w:t>e</w:t>
      </w:r>
      <w:r w:rsidRPr="008115FB">
        <w:rPr>
          <w:sz w:val="24"/>
          <w:szCs w:val="24"/>
        </w:rPr>
        <w:t xml:space="preserve"> i dinamika isplate sredstava. Rok za podnošenje zahtjeva nije ograničen.</w:t>
      </w:r>
    </w:p>
    <w:p w14:paraId="44F6EEA4" w14:textId="77777777" w:rsidR="00AE6102" w:rsidRPr="00BD1B6F" w:rsidRDefault="00AE6102" w:rsidP="00AE6102">
      <w:pPr>
        <w:spacing w:after="240" w:line="276" w:lineRule="auto"/>
        <w:jc w:val="both"/>
        <w:rPr>
          <w:sz w:val="24"/>
          <w:szCs w:val="24"/>
        </w:rPr>
      </w:pPr>
      <w:r w:rsidRPr="008115FB">
        <w:rPr>
          <w:sz w:val="24"/>
          <w:szCs w:val="24"/>
        </w:rPr>
        <w:lastRenderedPageBreak/>
        <w:t>Vlada je za potrebe provedbe funkcionalnog spajanja jedinica lokalne samouprave, u proračunu za 2022. osigurala poticaje u iznosu od 13,27 milijuna eura. Za mogućnost dobrovoljnog funkcionalnog spajanja</w:t>
      </w:r>
      <w:r>
        <w:rPr>
          <w:sz w:val="24"/>
          <w:szCs w:val="24"/>
        </w:rPr>
        <w:t>,</w:t>
      </w:r>
      <w:r w:rsidRPr="008115FB">
        <w:rPr>
          <w:sz w:val="24"/>
          <w:szCs w:val="24"/>
        </w:rPr>
        <w:t xml:space="preserve"> u kratkom roku interes je iskazala 61 jedinica, a funkcionalno spajanje </w:t>
      </w:r>
      <w:r>
        <w:rPr>
          <w:sz w:val="24"/>
          <w:szCs w:val="24"/>
        </w:rPr>
        <w:t>tijekom</w:t>
      </w:r>
      <w:r w:rsidRPr="008115FB">
        <w:rPr>
          <w:sz w:val="24"/>
          <w:szCs w:val="24"/>
        </w:rPr>
        <w:t xml:space="preserve"> 2022. ostvarilo </w:t>
      </w:r>
      <w:r>
        <w:rPr>
          <w:sz w:val="24"/>
          <w:szCs w:val="24"/>
        </w:rPr>
        <w:t xml:space="preserve">je </w:t>
      </w:r>
      <w:r w:rsidRPr="008115FB">
        <w:rPr>
          <w:sz w:val="24"/>
          <w:szCs w:val="24"/>
        </w:rPr>
        <w:t>12% jedinica lokalne samouprave.</w:t>
      </w:r>
      <w:r w:rsidRPr="00BD1B6F">
        <w:rPr>
          <w:sz w:val="24"/>
          <w:szCs w:val="24"/>
        </w:rPr>
        <w:t xml:space="preserve"> </w:t>
      </w:r>
    </w:p>
    <w:p w14:paraId="502DDA6D" w14:textId="77777777" w:rsidR="00AE6102" w:rsidRPr="00BD1B6F" w:rsidRDefault="00AE6102" w:rsidP="00AE6102">
      <w:pPr>
        <w:spacing w:after="240" w:line="276" w:lineRule="auto"/>
        <w:ind w:left="10" w:hanging="10"/>
        <w:jc w:val="both"/>
        <w:rPr>
          <w:sz w:val="24"/>
          <w:szCs w:val="24"/>
        </w:rPr>
      </w:pPr>
      <w:r w:rsidRPr="00BD1B6F">
        <w:rPr>
          <w:sz w:val="24"/>
          <w:szCs w:val="24"/>
        </w:rPr>
        <w:t>Nadalje, na</w:t>
      </w:r>
      <w:r w:rsidRPr="008115FB">
        <w:rPr>
          <w:sz w:val="24"/>
          <w:szCs w:val="24"/>
        </w:rPr>
        <w:t>stavljene su aktivnosti na provedbi Višegodišnjeg programa katastarskih izmjera građevinskih područja za razdoblje 2021</w:t>
      </w:r>
      <w:r>
        <w:rPr>
          <w:sz w:val="24"/>
          <w:szCs w:val="24"/>
        </w:rPr>
        <w:t xml:space="preserve"> </w:t>
      </w:r>
      <w:r w:rsidRPr="008115FB">
        <w:rPr>
          <w:sz w:val="24"/>
          <w:szCs w:val="24"/>
        </w:rPr>
        <w:t>.-</w:t>
      </w:r>
      <w:r>
        <w:rPr>
          <w:sz w:val="24"/>
          <w:szCs w:val="24"/>
        </w:rPr>
        <w:t xml:space="preserve"> </w:t>
      </w:r>
      <w:r w:rsidRPr="008115FB">
        <w:rPr>
          <w:sz w:val="24"/>
          <w:szCs w:val="24"/>
        </w:rPr>
        <w:t>2030. („Narodne Novine“, broj: 109/21) te je u lipnju 2022. donesen Godišnji program katastarskih izmjera građevinskih područja za 2022. U skladu s Godišnjim programom, p</w:t>
      </w:r>
      <w:r w:rsidRPr="00BD1B6F">
        <w:rPr>
          <w:sz w:val="24"/>
          <w:szCs w:val="24"/>
        </w:rPr>
        <w:t xml:space="preserve">otpisani su </w:t>
      </w:r>
      <w:r>
        <w:rPr>
          <w:sz w:val="24"/>
          <w:szCs w:val="24"/>
        </w:rPr>
        <w:t>u</w:t>
      </w:r>
      <w:r w:rsidRPr="00BD1B6F">
        <w:rPr>
          <w:sz w:val="24"/>
          <w:szCs w:val="24"/>
        </w:rPr>
        <w:t xml:space="preserve">govori o nabavi usluga katastarskih izmjera </w:t>
      </w:r>
      <w:r w:rsidRPr="008115FB">
        <w:rPr>
          <w:sz w:val="24"/>
          <w:szCs w:val="24"/>
        </w:rPr>
        <w:t xml:space="preserve">građevinskih područja </w:t>
      </w:r>
      <w:r w:rsidRPr="00BD1B6F">
        <w:rPr>
          <w:sz w:val="24"/>
          <w:szCs w:val="24"/>
        </w:rPr>
        <w:t xml:space="preserve">i </w:t>
      </w:r>
      <w:r>
        <w:rPr>
          <w:sz w:val="24"/>
          <w:szCs w:val="24"/>
        </w:rPr>
        <w:t>u</w:t>
      </w:r>
      <w:r w:rsidRPr="00BD1B6F">
        <w:rPr>
          <w:sz w:val="24"/>
          <w:szCs w:val="24"/>
        </w:rPr>
        <w:t xml:space="preserve">govori o nabavi usluga geodetskog nadzora nad uslugama provođenja katastarskih izmjera </w:t>
      </w:r>
      <w:r w:rsidRPr="008115FB">
        <w:rPr>
          <w:sz w:val="24"/>
          <w:szCs w:val="24"/>
        </w:rPr>
        <w:t xml:space="preserve">te su u izvještajnom razdoblju pokrenute aktivnosti katastarskih izmjera </w:t>
      </w:r>
      <w:r w:rsidRPr="00BD1B6F">
        <w:rPr>
          <w:sz w:val="24"/>
          <w:szCs w:val="24"/>
        </w:rPr>
        <w:t xml:space="preserve">na području 60 katastarskih općina u 29 jedinica lokalne samouprave </w:t>
      </w:r>
      <w:r w:rsidRPr="008115FB">
        <w:rPr>
          <w:sz w:val="24"/>
          <w:szCs w:val="24"/>
        </w:rPr>
        <w:t xml:space="preserve">na ukupnoj površini zemljišta od 37.559 ha. </w:t>
      </w:r>
    </w:p>
    <w:p w14:paraId="0A216111" w14:textId="77777777" w:rsidR="00AE6102" w:rsidRPr="00BD1B6F" w:rsidRDefault="00AE6102" w:rsidP="00AE6102">
      <w:pPr>
        <w:spacing w:after="240" w:line="276" w:lineRule="auto"/>
        <w:ind w:left="10" w:hanging="10"/>
        <w:jc w:val="both"/>
        <w:rPr>
          <w:sz w:val="24"/>
          <w:szCs w:val="24"/>
        </w:rPr>
      </w:pPr>
      <w:r w:rsidRPr="00BD1B6F">
        <w:rPr>
          <w:sz w:val="24"/>
          <w:szCs w:val="24"/>
        </w:rPr>
        <w:t xml:space="preserve">S ciljem ostvarenja ušteda i racionalnijeg korištenja javnih resursa, nastavljena je provedba projekta „Uvođenje sustava procjenjivanja troškova statističkih procesa i proizvoda“. Uvođenjem sustava za procjenu troškova statističkih procesa i proizvoda </w:t>
      </w:r>
      <w:r w:rsidRPr="00631796">
        <w:rPr>
          <w:sz w:val="24"/>
          <w:szCs w:val="24"/>
        </w:rPr>
        <w:t>bit</w:t>
      </w:r>
      <w:r>
        <w:rPr>
          <w:sz w:val="24"/>
          <w:szCs w:val="24"/>
        </w:rPr>
        <w:t xml:space="preserve"> </w:t>
      </w:r>
      <w:r w:rsidRPr="00BD1B6F">
        <w:rPr>
          <w:sz w:val="24"/>
          <w:szCs w:val="24"/>
        </w:rPr>
        <w:t xml:space="preserve">će omogućen jasan pregled troškova statističkih proizvoda i procesa, temeljem kojih će se donijeti odluka o tome koju je proizvodnju statističkih proizvoda potrebno unaprijediti, a koje procese treba izmijeniti. Sustav će služiti i kao alat u upravljanju procesima Državnog zavoda za statistiku za donošenje odluka vezanih za proizvodnju statistike. </w:t>
      </w:r>
    </w:p>
    <w:p w14:paraId="3D957802" w14:textId="77777777" w:rsidR="00AE6102" w:rsidRPr="00BD1B6F" w:rsidRDefault="00AE6102" w:rsidP="00AE6102">
      <w:pPr>
        <w:spacing w:after="240" w:line="276" w:lineRule="auto"/>
        <w:jc w:val="both"/>
      </w:pPr>
      <w:r w:rsidRPr="00BD1B6F">
        <w:rPr>
          <w:sz w:val="24"/>
          <w:szCs w:val="24"/>
        </w:rPr>
        <w:t xml:space="preserve">Priprema, provedba i praćenje učinaka pojedinih javnih politika na temelju rezultata i dokaza, nezaobilazna su sastavnica konkurentnog poslovnog okruženja. Radi učinkovite i pravodobne pripreme i diseminacije pouzdanih statističkih pokazatelja, koji odražavaju ekonomske i društvene pojave i procese te korisnicima osiguravaju pouzdan izvor podataka za donošenje informiranih odluka, kontinuirano se unaprjeđuje diseminacija statističkih proizvoda i kvaliteta usluga za korisnike </w:t>
      </w:r>
      <w:r w:rsidRPr="008115FB">
        <w:rPr>
          <w:sz w:val="24"/>
          <w:szCs w:val="24"/>
        </w:rPr>
        <w:t>službene statistike</w:t>
      </w:r>
      <w:r w:rsidRPr="00BD1B6F">
        <w:rPr>
          <w:sz w:val="24"/>
          <w:szCs w:val="24"/>
        </w:rPr>
        <w:t xml:space="preserve">. Na području unaprjeđenja kvalitete statističkih proizvoda i usluga uspješno je završen projekt „Sustav za upravljanje kvalitetom i dokumentiranje kvalitete statističkih istraživanja“, financiran sredstvima </w:t>
      </w:r>
      <w:r>
        <w:rPr>
          <w:sz w:val="24"/>
          <w:szCs w:val="24"/>
        </w:rPr>
        <w:t xml:space="preserve">Europskog socijalnog fonda </w:t>
      </w:r>
      <w:r w:rsidRPr="006307FD">
        <w:rPr>
          <w:sz w:val="24"/>
          <w:szCs w:val="24"/>
        </w:rPr>
        <w:t>2014.</w:t>
      </w:r>
      <w:r>
        <w:rPr>
          <w:sz w:val="24"/>
          <w:szCs w:val="24"/>
        </w:rPr>
        <w:t xml:space="preserve"> </w:t>
      </w:r>
      <w:r w:rsidRPr="006307FD">
        <w:rPr>
          <w:sz w:val="24"/>
          <w:szCs w:val="24"/>
        </w:rPr>
        <w:t>-</w:t>
      </w:r>
      <w:r>
        <w:rPr>
          <w:sz w:val="24"/>
          <w:szCs w:val="24"/>
        </w:rPr>
        <w:t xml:space="preserve"> </w:t>
      </w:r>
      <w:r w:rsidRPr="00BD1B6F">
        <w:rPr>
          <w:sz w:val="24"/>
          <w:szCs w:val="24"/>
        </w:rPr>
        <w:t xml:space="preserve">2020. Provedbom projekta, Državni zavod za statistiku je podigao kvalitetu svojih podataka na željenu razinu te je zadovoljio sve zahtjeve koje nacionalnim statističkim uredima postavlja Eurostat i istovremeno je povećao svoju učinkovitost uvođenjem automatiziranih postupaka. Također, </w:t>
      </w:r>
      <w:r w:rsidRPr="00BD1B6F">
        <w:rPr>
          <w:color w:val="000000" w:themeColor="text1"/>
          <w:sz w:val="24"/>
          <w:szCs w:val="24"/>
        </w:rPr>
        <w:t>kako bi se povećalo kvalitetu i obuhvat hrvatskih statističkih proizvoda</w:t>
      </w:r>
      <w:r>
        <w:rPr>
          <w:color w:val="000000" w:themeColor="text1"/>
          <w:sz w:val="24"/>
          <w:szCs w:val="24"/>
        </w:rPr>
        <w:t xml:space="preserve">, </w:t>
      </w:r>
      <w:r w:rsidRPr="00BD1B6F">
        <w:rPr>
          <w:color w:val="000000" w:themeColor="text1"/>
          <w:sz w:val="24"/>
          <w:szCs w:val="24"/>
        </w:rPr>
        <w:t xml:space="preserve">tijekom 2022. potpisana su </w:t>
      </w:r>
      <w:r>
        <w:rPr>
          <w:color w:val="000000" w:themeColor="text1"/>
          <w:sz w:val="24"/>
          <w:szCs w:val="24"/>
        </w:rPr>
        <w:t>3</w:t>
      </w:r>
      <w:r w:rsidRPr="00BD1B6F">
        <w:rPr>
          <w:color w:val="000000" w:themeColor="text1"/>
          <w:sz w:val="24"/>
          <w:szCs w:val="24"/>
        </w:rPr>
        <w:t xml:space="preserve"> sporazuma s administrativnim izvorima podataka vezano za osiguravanje podataka europskih ekonomskih računa okoliša. Dodatno, po uzoru na Europski statistički sustav, model „Potpunog upravljanja </w:t>
      </w:r>
      <w:r w:rsidRPr="00BD1B6F">
        <w:rPr>
          <w:color w:val="000000" w:themeColor="text1"/>
          <w:sz w:val="24"/>
          <w:szCs w:val="24"/>
        </w:rPr>
        <w:lastRenderedPageBreak/>
        <w:t>kvalitetom“</w:t>
      </w:r>
      <w:r w:rsidRPr="008115FB">
        <w:rPr>
          <w:color w:val="000000" w:themeColor="text1"/>
          <w:sz w:val="24"/>
          <w:szCs w:val="24"/>
        </w:rPr>
        <w:t xml:space="preserve"> Državnog zavoda za statistiku je</w:t>
      </w:r>
      <w:r w:rsidRPr="00BD1B6F">
        <w:rPr>
          <w:color w:val="000000" w:themeColor="text1"/>
          <w:sz w:val="24"/>
          <w:szCs w:val="24"/>
        </w:rPr>
        <w:t xml:space="preserve"> temeljem Kodeksa prakse europske statistike u 2022.</w:t>
      </w:r>
      <w:r w:rsidRPr="008115FB">
        <w:rPr>
          <w:color w:val="000000" w:themeColor="text1"/>
          <w:sz w:val="24"/>
          <w:szCs w:val="24"/>
        </w:rPr>
        <w:t xml:space="preserve"> potpuno</w:t>
      </w:r>
      <w:r w:rsidRPr="00BD1B6F">
        <w:rPr>
          <w:color w:val="000000" w:themeColor="text1"/>
          <w:sz w:val="24"/>
          <w:szCs w:val="24"/>
        </w:rPr>
        <w:t xml:space="preserve"> implementiran u hrvatski statistički sustav i prilagođen statističkim potrebama.</w:t>
      </w:r>
      <w:r w:rsidRPr="008115FB">
        <w:rPr>
          <w:color w:val="000000" w:themeColor="text1"/>
          <w:sz w:val="24"/>
          <w:szCs w:val="24"/>
        </w:rPr>
        <w:t xml:space="preserve"> Također, u travnju 2022. Državni zavod za statistiku objavio je novu mrežnu </w:t>
      </w:r>
      <w:r w:rsidRPr="00702F5B">
        <w:rPr>
          <w:color w:val="000000" w:themeColor="text1"/>
          <w:sz w:val="24"/>
          <w:szCs w:val="24"/>
        </w:rPr>
        <w:t>stranic</w:t>
      </w:r>
      <w:r>
        <w:rPr>
          <w:color w:val="000000" w:themeColor="text1"/>
          <w:sz w:val="24"/>
          <w:szCs w:val="24"/>
        </w:rPr>
        <w:t>u</w:t>
      </w:r>
      <w:r w:rsidRPr="008115FB">
        <w:rPr>
          <w:color w:val="000000" w:themeColor="text1"/>
          <w:sz w:val="24"/>
          <w:szCs w:val="24"/>
        </w:rPr>
        <w:t>:</w:t>
      </w:r>
      <w:r w:rsidRPr="008115FB">
        <w:t xml:space="preserve"> </w:t>
      </w:r>
      <w:hyperlink r:id="rId13" w:history="1">
        <w:r w:rsidRPr="008115FB">
          <w:rPr>
            <w:rStyle w:val="Hyperlink"/>
            <w:sz w:val="24"/>
            <w:szCs w:val="24"/>
          </w:rPr>
          <w:t>https://dzs.gov.hr/</w:t>
        </w:r>
      </w:hyperlink>
      <w:r w:rsidRPr="008115FB">
        <w:rPr>
          <w:color w:val="000000" w:themeColor="text1"/>
          <w:sz w:val="24"/>
          <w:szCs w:val="24"/>
        </w:rPr>
        <w:t xml:space="preserve"> čime je riješen dugogodišnji problem </w:t>
      </w:r>
      <w:r w:rsidRPr="00702F5B">
        <w:rPr>
          <w:color w:val="000000" w:themeColor="text1"/>
          <w:sz w:val="24"/>
          <w:szCs w:val="24"/>
        </w:rPr>
        <w:t>nepreglednog</w:t>
      </w:r>
      <w:r>
        <w:rPr>
          <w:color w:val="000000" w:themeColor="text1"/>
          <w:sz w:val="24"/>
          <w:szCs w:val="24"/>
        </w:rPr>
        <w:t xml:space="preserve"> </w:t>
      </w:r>
      <w:r w:rsidRPr="008115FB">
        <w:rPr>
          <w:color w:val="000000" w:themeColor="text1"/>
          <w:sz w:val="24"/>
          <w:szCs w:val="24"/>
        </w:rPr>
        <w:t>i tehnički zastarjelog mrežnog mjesta, ali je i obogaćeno iskustvo korisnika poboljšanim i novim sadržajima.</w:t>
      </w:r>
    </w:p>
    <w:p w14:paraId="2A29AC5C" w14:textId="77777777" w:rsidR="00AE6102" w:rsidRPr="00BD1B6F" w:rsidRDefault="00AE6102" w:rsidP="00AE6102">
      <w:pPr>
        <w:spacing w:after="240" w:line="276" w:lineRule="auto"/>
        <w:ind w:firstLine="720"/>
        <w:jc w:val="both"/>
      </w:pPr>
      <w:r w:rsidRPr="00BD1B6F">
        <w:rPr>
          <w:b/>
          <w:bCs/>
          <w:sz w:val="24"/>
          <w:szCs w:val="24"/>
        </w:rPr>
        <w:t>Poboljšanje upravljanja državnom imovinom</w:t>
      </w:r>
    </w:p>
    <w:p w14:paraId="1BC611C7" w14:textId="77777777" w:rsidR="00AE6102" w:rsidRDefault="00AE6102" w:rsidP="00AE6102">
      <w:pPr>
        <w:spacing w:after="240" w:line="276" w:lineRule="auto"/>
        <w:jc w:val="both"/>
        <w:rPr>
          <w:sz w:val="24"/>
          <w:szCs w:val="24"/>
        </w:rPr>
      </w:pPr>
      <w:r w:rsidRPr="00BD1B6F">
        <w:rPr>
          <w:sz w:val="24"/>
          <w:szCs w:val="24"/>
        </w:rPr>
        <w:t>Prema podacima Središnjeg registra državne imovine, Hrvatska posjeduje više od 380 tisuća nekretnina te 52 trgovačka društva u većinskom i 246 trgovačkih društava u manjinskom državnom vlasništvu. Prema zadnjim dostupnim podacima (za 2021</w:t>
      </w:r>
      <w:r w:rsidRPr="008115FB">
        <w:rPr>
          <w:sz w:val="24"/>
          <w:szCs w:val="24"/>
        </w:rPr>
        <w:t>.</w:t>
      </w:r>
      <w:r w:rsidRPr="00BD1B6F">
        <w:rPr>
          <w:sz w:val="24"/>
          <w:szCs w:val="24"/>
        </w:rPr>
        <w:t>)</w:t>
      </w:r>
      <w:r>
        <w:rPr>
          <w:sz w:val="24"/>
          <w:szCs w:val="24"/>
        </w:rPr>
        <w:t>,</w:t>
      </w:r>
      <w:r w:rsidRPr="00BD1B6F">
        <w:rPr>
          <w:sz w:val="24"/>
          <w:szCs w:val="24"/>
        </w:rPr>
        <w:t xml:space="preserve"> </w:t>
      </w:r>
      <w:r w:rsidRPr="008115FB">
        <w:rPr>
          <w:sz w:val="24"/>
          <w:szCs w:val="24"/>
        </w:rPr>
        <w:t xml:space="preserve">trgovačka </w:t>
      </w:r>
      <w:r w:rsidRPr="00BD1B6F">
        <w:rPr>
          <w:sz w:val="24"/>
          <w:szCs w:val="24"/>
        </w:rPr>
        <w:t>društva u državnom vlasništvu i dalje imaju značajnu ulogu u gospodarskoj aktivnosti Hrvatske, kako u smislu udjela u BDP-u (11,6%)</w:t>
      </w:r>
      <w:r>
        <w:rPr>
          <w:sz w:val="24"/>
          <w:szCs w:val="24"/>
        </w:rPr>
        <w:t>,</w:t>
      </w:r>
      <w:r w:rsidRPr="00BD1B6F">
        <w:rPr>
          <w:sz w:val="24"/>
          <w:szCs w:val="24"/>
        </w:rPr>
        <w:t xml:space="preserve"> tako i u smislu zapošljavanja (3% ukupnog broja zaposlenih). </w:t>
      </w:r>
    </w:p>
    <w:p w14:paraId="18A4B64B" w14:textId="77777777" w:rsidR="00AE6102" w:rsidRPr="008115FB" w:rsidRDefault="00AE6102" w:rsidP="00AE6102">
      <w:pPr>
        <w:spacing w:after="240" w:line="276" w:lineRule="auto"/>
        <w:jc w:val="both"/>
        <w:rPr>
          <w:sz w:val="24"/>
          <w:szCs w:val="24"/>
        </w:rPr>
      </w:pPr>
      <w:r w:rsidRPr="008357D4">
        <w:rPr>
          <w:sz w:val="24"/>
          <w:szCs w:val="24"/>
        </w:rPr>
        <w:t>Područje upravljanja imovinom u Hrvatskoj je sastavni dio dugoročnih reformi javnog sektora i inicijativa usmjerenih prema dobrom upravljanju. Radi poboljšanja učinkovitosti korporativnog upravljanja u pravnim osobama od posebnog interesa za Republiku Hrvatsku, smanjenja portfelja dionica i poslovnih udjela u trgovačkim društvima koja nisu od posebnog interesa za Republiku Hrvatsku te brže aktivacije nekretnina u državnom vlasništvu, u 2022. su nastavljeni započeti napori na provedbi reformskih mjera i inicijativa usmjerenih boljem upravljanju. Boljim upravljanjem imovinom u državnom vlasništvu i povećanjem prihoda od upravljanja i raspolaganja izravno se doprinosi gospodarskom razvitku i jačanju otpornosti hrvatskog gospodarstva.</w:t>
      </w:r>
    </w:p>
    <w:p w14:paraId="01F21B2A" w14:textId="77777777" w:rsidR="00AE6102" w:rsidRPr="008115FB" w:rsidRDefault="00AE6102" w:rsidP="00AE6102">
      <w:pPr>
        <w:spacing w:after="240" w:line="276" w:lineRule="auto"/>
        <w:jc w:val="both"/>
        <w:rPr>
          <w:sz w:val="24"/>
          <w:szCs w:val="24"/>
        </w:rPr>
      </w:pPr>
      <w:r w:rsidRPr="008115FB">
        <w:rPr>
          <w:sz w:val="24"/>
          <w:szCs w:val="24"/>
        </w:rPr>
        <w:t xml:space="preserve">U izvještajnom je razdoblju objavljena prodaja dionica i udjela za 74 društva koja nisu od posebnog interesa za </w:t>
      </w:r>
      <w:r w:rsidRPr="001C5FC8">
        <w:rPr>
          <w:sz w:val="24"/>
          <w:szCs w:val="24"/>
        </w:rPr>
        <w:t>H</w:t>
      </w:r>
      <w:r>
        <w:rPr>
          <w:sz w:val="24"/>
          <w:szCs w:val="24"/>
        </w:rPr>
        <w:t xml:space="preserve">rvatsku </w:t>
      </w:r>
      <w:r w:rsidRPr="008115FB">
        <w:rPr>
          <w:sz w:val="24"/>
          <w:szCs w:val="24"/>
        </w:rPr>
        <w:t xml:space="preserve">te su prodane dionice i udjeli u 56 društava. Ukupna vrijednost ostvarena prodajom dionica/poslovnih udjela iznosila je 5,95 milijuna eura, a vrijednost dodijeljenih/ustupljenih dionica/udjela iznosila je 4,01 milijuna eura. U 2022. ukupni prihodi od dobiti trgovačkih društava s liste pravnih osoba od posebnog interesa za Republiku Hrvatsku iznosili </w:t>
      </w:r>
      <w:r>
        <w:rPr>
          <w:sz w:val="24"/>
          <w:szCs w:val="24"/>
        </w:rPr>
        <w:t xml:space="preserve">su </w:t>
      </w:r>
      <w:r w:rsidRPr="008115FB">
        <w:rPr>
          <w:sz w:val="24"/>
          <w:szCs w:val="24"/>
        </w:rPr>
        <w:t>91,43 milijuna eura</w:t>
      </w:r>
      <w:r>
        <w:rPr>
          <w:sz w:val="24"/>
          <w:szCs w:val="24"/>
        </w:rPr>
        <w:t>,</w:t>
      </w:r>
      <w:r w:rsidRPr="008115FB">
        <w:rPr>
          <w:sz w:val="24"/>
          <w:szCs w:val="24"/>
        </w:rPr>
        <w:t xml:space="preserve"> dok su prihodi od dobiti trgovačkih društava koja nisu od posebnog interesa za Republiku Hrvatsku iznosili 8,6 milijuna eura.</w:t>
      </w:r>
    </w:p>
    <w:p w14:paraId="4008CB69" w14:textId="77777777" w:rsidR="00AE6102" w:rsidRPr="008115FB" w:rsidRDefault="00AE6102" w:rsidP="00AE6102">
      <w:pPr>
        <w:spacing w:after="240" w:line="276" w:lineRule="auto"/>
        <w:jc w:val="both"/>
        <w:rPr>
          <w:sz w:val="24"/>
          <w:szCs w:val="24"/>
        </w:rPr>
      </w:pPr>
      <w:r w:rsidRPr="008115FB">
        <w:rPr>
          <w:sz w:val="24"/>
          <w:szCs w:val="24"/>
        </w:rPr>
        <w:t xml:space="preserve">U okviru napora na aktivaciji nekretnina u državnom vlasništvu, u 2022. sklopljena su 263 ugovora o raspolaganju nekretninama (od čega 174 ugovora s naknadom u vrijednosti 14,15 milijuna eura te 89 ugovora bez naknade). Također je nastavljeno stavljanje u funkciju nekretnina prenesenih na upravljanje društvu Državne nekretnine, za koje je tijekom 2022. sklopljeno 179 ugovora o zakupu poslovnih prostora i </w:t>
      </w:r>
      <w:r w:rsidRPr="008115FB">
        <w:rPr>
          <w:sz w:val="24"/>
          <w:szCs w:val="24"/>
        </w:rPr>
        <w:lastRenderedPageBreak/>
        <w:t>66 ugovora o najmu stanova.</w:t>
      </w:r>
      <w:r>
        <w:rPr>
          <w:sz w:val="24"/>
          <w:szCs w:val="24"/>
        </w:rPr>
        <w:t xml:space="preserve"> P</w:t>
      </w:r>
      <w:r w:rsidRPr="008115FB">
        <w:rPr>
          <w:sz w:val="24"/>
          <w:szCs w:val="24"/>
        </w:rPr>
        <w:t>rihodi ostvareni od upravljanja nekretninama u državnom vlasništvu su u 2022. iznosili ukupno 39,6 milijuna eura.</w:t>
      </w:r>
    </w:p>
    <w:p w14:paraId="2C705AFB" w14:textId="77777777" w:rsidR="00AE6102" w:rsidRPr="00BD1B6F" w:rsidRDefault="00AE6102" w:rsidP="00AE6102">
      <w:pPr>
        <w:spacing w:after="240" w:line="276" w:lineRule="auto"/>
        <w:jc w:val="both"/>
        <w:rPr>
          <w:sz w:val="24"/>
          <w:szCs w:val="24"/>
        </w:rPr>
      </w:pPr>
      <w:r w:rsidRPr="00BD1B6F">
        <w:rPr>
          <w:sz w:val="24"/>
          <w:szCs w:val="24"/>
        </w:rPr>
        <w:t xml:space="preserve">Hrvatska je u posljednjih 10 godina značajno smanjila broj pravnih osoba od posebnog državnog interesa, s 59 na trenutnih 36, te su u okviru NPOO reforme „Revidiranje popisa pravnih osoba od posebnog državnog interesa“ (C2.4. R1) predviđene aktivnosti na daljnjem revidiranju popisa pravnih osoba od posebnog državnog interesa. Osnovni cilj reformske mjere je osigurati da se na listi pravnih osoba od posebnog državnog interesa zadrže samo one pravne osobe kod kojih uistinu postoji jasan i obrazložen javni interes. U skladu s Odlukom o kriterijima za utvrđivanje pravnih osoba od posebnog interesa za Republiku Hrvatsku </w:t>
      </w:r>
      <w:r w:rsidRPr="00F56D11">
        <w:rPr>
          <w:sz w:val="24"/>
          <w:szCs w:val="24"/>
        </w:rPr>
        <w:t>(</w:t>
      </w:r>
      <w:r>
        <w:rPr>
          <w:sz w:val="24"/>
          <w:szCs w:val="24"/>
        </w:rPr>
        <w:t xml:space="preserve">„Narodne Novine“, broj: </w:t>
      </w:r>
      <w:r w:rsidRPr="00BD1B6F">
        <w:rPr>
          <w:sz w:val="24"/>
          <w:szCs w:val="24"/>
        </w:rPr>
        <w:t xml:space="preserve">22/20) i smjernicama OECD-a za korporativno upravljanje državnim poduzećima, u okviru reformske mjere se svake godine vrši provjera ispunjenosti kriterija za zadržavanje državnog vlasništva nad pojedinim pravnom osobom od posebnog državnog interesa te se prema rezultatima provjere vrše i izmjene samog popisa. </w:t>
      </w:r>
      <w:r w:rsidRPr="008115FB">
        <w:rPr>
          <w:sz w:val="24"/>
          <w:szCs w:val="24"/>
        </w:rPr>
        <w:t>Upravljanje</w:t>
      </w:r>
      <w:r w:rsidRPr="00BD1B6F">
        <w:rPr>
          <w:sz w:val="24"/>
          <w:szCs w:val="24"/>
        </w:rPr>
        <w:t xml:space="preserve"> pravnim osobama za koje se tijekom provjere ne uspije dokazati postojanje javnog interesa, premjestit će se u portfelj </w:t>
      </w:r>
      <w:r w:rsidRPr="00405020">
        <w:rPr>
          <w:sz w:val="24"/>
          <w:szCs w:val="24"/>
        </w:rPr>
        <w:t>C</w:t>
      </w:r>
      <w:r>
        <w:rPr>
          <w:sz w:val="24"/>
          <w:szCs w:val="24"/>
        </w:rPr>
        <w:t xml:space="preserve">ERP-a, </w:t>
      </w:r>
      <w:r w:rsidRPr="00BD1B6F">
        <w:rPr>
          <w:sz w:val="24"/>
          <w:szCs w:val="24"/>
        </w:rPr>
        <w:t xml:space="preserve">radi daljnje optimizacije vlasničkog portfelja i privatizacije. </w:t>
      </w:r>
    </w:p>
    <w:p w14:paraId="6D5F25E0" w14:textId="77777777" w:rsidR="00AE6102" w:rsidRPr="00BD1B6F" w:rsidRDefault="00AE6102" w:rsidP="00AE6102">
      <w:pPr>
        <w:spacing w:after="240" w:line="276" w:lineRule="auto"/>
        <w:jc w:val="both"/>
        <w:rPr>
          <w:sz w:val="24"/>
          <w:szCs w:val="24"/>
        </w:rPr>
      </w:pPr>
      <w:r>
        <w:rPr>
          <w:sz w:val="24"/>
          <w:szCs w:val="24"/>
        </w:rPr>
        <w:t>S o</w:t>
      </w:r>
      <w:r w:rsidRPr="00BD1B6F">
        <w:rPr>
          <w:sz w:val="24"/>
          <w:szCs w:val="24"/>
        </w:rPr>
        <w:t xml:space="preserve">bzirom </w:t>
      </w:r>
      <w:r>
        <w:rPr>
          <w:sz w:val="24"/>
          <w:szCs w:val="24"/>
        </w:rPr>
        <w:t xml:space="preserve">na to </w:t>
      </w:r>
      <w:r w:rsidRPr="00BD1B6F">
        <w:rPr>
          <w:sz w:val="24"/>
          <w:szCs w:val="24"/>
        </w:rPr>
        <w:t xml:space="preserve">da se </w:t>
      </w:r>
      <w:r w:rsidRPr="008115FB">
        <w:rPr>
          <w:sz w:val="24"/>
          <w:szCs w:val="24"/>
        </w:rPr>
        <w:t>većina</w:t>
      </w:r>
      <w:r w:rsidRPr="00BD1B6F">
        <w:rPr>
          <w:sz w:val="24"/>
          <w:szCs w:val="24"/>
        </w:rPr>
        <w:t xml:space="preserve"> pravn</w:t>
      </w:r>
      <w:r w:rsidRPr="008115FB">
        <w:rPr>
          <w:sz w:val="24"/>
          <w:szCs w:val="24"/>
        </w:rPr>
        <w:t>ih</w:t>
      </w:r>
      <w:r w:rsidRPr="00BD1B6F">
        <w:rPr>
          <w:sz w:val="24"/>
          <w:szCs w:val="24"/>
        </w:rPr>
        <w:t xml:space="preserve"> osob</w:t>
      </w:r>
      <w:r w:rsidRPr="008115FB">
        <w:rPr>
          <w:sz w:val="24"/>
          <w:szCs w:val="24"/>
        </w:rPr>
        <w:t>a</w:t>
      </w:r>
      <w:r w:rsidRPr="00BD1B6F">
        <w:rPr>
          <w:sz w:val="24"/>
          <w:szCs w:val="24"/>
        </w:rPr>
        <w:t xml:space="preserve"> od posebnog državnog interesa, osim gospodarskim aktivnostima, bave i ostvarivanjem različitih ciljeva javne politike, kod kojih profit nije primarni cilj poslovanja, nastavljaju se započeti napori u jačanju i unaprjeđenju okvira korporativnog upravljanja, kako bi se osigurala dosljednost u provedbi ciljeva javnih politika te </w:t>
      </w:r>
      <w:r w:rsidRPr="00BD1B6F">
        <w:rPr>
          <w:rStyle w:val="Strong"/>
          <w:b w:val="0"/>
          <w:bCs w:val="0"/>
          <w:sz w:val="24"/>
          <w:szCs w:val="24"/>
        </w:rPr>
        <w:t>osnažio financijski nadzor</w:t>
      </w:r>
      <w:r w:rsidRPr="00BD1B6F">
        <w:rPr>
          <w:sz w:val="24"/>
          <w:szCs w:val="24"/>
        </w:rPr>
        <w:t xml:space="preserve"> uz naglašeniju ulogu države kao vlasnika. Napori se provode u okviru NPOO reformske mjere „Poboljšanje korporativnog upravljanja u državnim poduzećima od posebnog interesa za RH i poduzećima u većinskom vlasništvu središnje države“</w:t>
      </w:r>
      <w:r w:rsidRPr="00BD1B6F">
        <w:t xml:space="preserve"> </w:t>
      </w:r>
      <w:r w:rsidRPr="00BD1B6F">
        <w:rPr>
          <w:sz w:val="24"/>
          <w:szCs w:val="24"/>
        </w:rPr>
        <w:t>(</w:t>
      </w:r>
      <w:r w:rsidRPr="00A85511">
        <w:rPr>
          <w:sz w:val="24"/>
          <w:szCs w:val="24"/>
        </w:rPr>
        <w:t>C2.4.</w:t>
      </w:r>
      <w:r w:rsidRPr="00BD1B6F">
        <w:rPr>
          <w:sz w:val="24"/>
          <w:szCs w:val="24"/>
        </w:rPr>
        <w:t xml:space="preserve"> R2). U skladu s ranije usvojenim „Akcijskim planom za implementaciju preporuka OECD-a za unaprjeđenje korporativnog upravljanja u pravnim osobama u vlasništvu Republike Hrvatske“, izrađen je Nacrt prijedloga Zakona o trgovačkim društvima u državnom vlasništvu, u skladu sa standardima i preporukama OECD-a</w:t>
      </w:r>
      <w:r w:rsidRPr="008115FB">
        <w:rPr>
          <w:sz w:val="24"/>
          <w:szCs w:val="24"/>
        </w:rPr>
        <w:t>.</w:t>
      </w:r>
      <w:r w:rsidRPr="00BD1B6F">
        <w:rPr>
          <w:sz w:val="24"/>
          <w:szCs w:val="24"/>
        </w:rPr>
        <w:t xml:space="preserve"> </w:t>
      </w:r>
    </w:p>
    <w:p w14:paraId="763CE248" w14:textId="77777777" w:rsidR="00AE6102" w:rsidRPr="00BD1B6F" w:rsidRDefault="00AE6102" w:rsidP="00AE6102">
      <w:pPr>
        <w:spacing w:after="240" w:line="276" w:lineRule="auto"/>
        <w:jc w:val="both"/>
        <w:rPr>
          <w:sz w:val="24"/>
          <w:szCs w:val="24"/>
        </w:rPr>
      </w:pPr>
      <w:r w:rsidRPr="00BD1B6F">
        <w:rPr>
          <w:sz w:val="24"/>
          <w:szCs w:val="24"/>
        </w:rPr>
        <w:t xml:space="preserve">Kako bi se unaprijedila transparentnost i odgovornost pri izvještavanju o financijskim rezultatima pravnih osoba od posebnog interesa za Republiku Hrvatsku, nastavljene su aktivnosti u okviru </w:t>
      </w:r>
      <w:r>
        <w:rPr>
          <w:sz w:val="24"/>
          <w:szCs w:val="24"/>
        </w:rPr>
        <w:t>p</w:t>
      </w:r>
      <w:r w:rsidRPr="00BD1B6F">
        <w:rPr>
          <w:sz w:val="24"/>
          <w:szCs w:val="24"/>
        </w:rPr>
        <w:t xml:space="preserve">rojekta „Informacijski sustav za praćenje poslovanja pravnih osoba od posebnog interesa za RH“. U okviru I. faze provedbe Projekta, tijekom 2022. razvijen je informacijski sustav u kojem će se u narednom razdoblju objediniti svi poslovni planovi i izvještaji o poslovanju pravnih osoba od posebnog interesa za Republiku Hrvatsku. U okviru II. faze razvit će se sustav poslovne inteligencije radi </w:t>
      </w:r>
      <w:r w:rsidRPr="00BD1B6F">
        <w:rPr>
          <w:sz w:val="24"/>
          <w:szCs w:val="24"/>
        </w:rPr>
        <w:lastRenderedPageBreak/>
        <w:t xml:space="preserve">praćenja poslovanja pravnih osoba u državnom vlasništvu, a omogućit će brže i efikasnije izvještavanje te pouzdanije praćenje poslovanja pravnih osoba u državnom vlasništvu, a dodatno će unaprijediti i postojeći sustav ranog upozoravanja na rizike u poslovanju društava od posebnog interesa za Republiku Hrvatsku. </w:t>
      </w:r>
    </w:p>
    <w:p w14:paraId="18C1D12E" w14:textId="77777777" w:rsidR="00AE6102" w:rsidRDefault="00AE6102" w:rsidP="00AE6102">
      <w:pPr>
        <w:spacing w:after="240" w:line="276" w:lineRule="auto"/>
        <w:jc w:val="both"/>
        <w:rPr>
          <w:sz w:val="24"/>
          <w:szCs w:val="24"/>
        </w:rPr>
      </w:pPr>
      <w:r>
        <w:rPr>
          <w:sz w:val="24"/>
          <w:szCs w:val="24"/>
        </w:rPr>
        <w:t>S ciljem daljnje racionalizacije portfelja imovine u državnom vlasništvu, u</w:t>
      </w:r>
      <w:r w:rsidRPr="004924DF">
        <w:rPr>
          <w:sz w:val="24"/>
          <w:szCs w:val="24"/>
        </w:rPr>
        <w:t xml:space="preserve"> okviru NPOO reforme C2.4. R4 „Nastavak privatizacije poduzeća u državnom vlasništvu“</w:t>
      </w:r>
      <w:r>
        <w:rPr>
          <w:sz w:val="24"/>
          <w:szCs w:val="24"/>
        </w:rPr>
        <w:t xml:space="preserve">, nastavljena je prodaja </w:t>
      </w:r>
      <w:r w:rsidRPr="004924DF">
        <w:rPr>
          <w:sz w:val="24"/>
          <w:szCs w:val="24"/>
        </w:rPr>
        <w:t>dionica i poslovnih udjela trgovačkih društava koja nisu od posebnog interesa za Republiku Hrvatsku</w:t>
      </w:r>
      <w:r>
        <w:rPr>
          <w:sz w:val="24"/>
          <w:szCs w:val="24"/>
        </w:rPr>
        <w:t>. T</w:t>
      </w:r>
      <w:r w:rsidRPr="004924DF">
        <w:rPr>
          <w:sz w:val="24"/>
          <w:szCs w:val="24"/>
        </w:rPr>
        <w:t xml:space="preserve">ijekom 2022. objavljena </w:t>
      </w:r>
      <w:r>
        <w:rPr>
          <w:sz w:val="24"/>
          <w:szCs w:val="24"/>
        </w:rPr>
        <w:t xml:space="preserve">je </w:t>
      </w:r>
      <w:r w:rsidRPr="004924DF">
        <w:rPr>
          <w:sz w:val="24"/>
          <w:szCs w:val="24"/>
        </w:rPr>
        <w:t>prodaja dionica i udjela za 74 društva te su prodane dionice i udjeli u ukupno 56 društava. Ukupn</w:t>
      </w:r>
      <w:r>
        <w:rPr>
          <w:sz w:val="24"/>
          <w:szCs w:val="24"/>
        </w:rPr>
        <w:t>i</w:t>
      </w:r>
      <w:r w:rsidRPr="004924DF">
        <w:rPr>
          <w:sz w:val="24"/>
          <w:szCs w:val="24"/>
        </w:rPr>
        <w:t xml:space="preserve"> </w:t>
      </w:r>
      <w:r>
        <w:rPr>
          <w:sz w:val="24"/>
          <w:szCs w:val="24"/>
        </w:rPr>
        <w:t xml:space="preserve">prihodi </w:t>
      </w:r>
      <w:r w:rsidRPr="004924DF">
        <w:rPr>
          <w:sz w:val="24"/>
          <w:szCs w:val="24"/>
        </w:rPr>
        <w:t>ostvaren</w:t>
      </w:r>
      <w:r>
        <w:rPr>
          <w:sz w:val="24"/>
          <w:szCs w:val="24"/>
        </w:rPr>
        <w:t>i</w:t>
      </w:r>
      <w:r w:rsidRPr="004924DF">
        <w:rPr>
          <w:sz w:val="24"/>
          <w:szCs w:val="24"/>
        </w:rPr>
        <w:t xml:space="preserve"> prodajom dionica i poslovnih udjela iznosil</w:t>
      </w:r>
      <w:r>
        <w:rPr>
          <w:sz w:val="24"/>
          <w:szCs w:val="24"/>
        </w:rPr>
        <w:t>i</w:t>
      </w:r>
      <w:r w:rsidRPr="004924DF">
        <w:rPr>
          <w:sz w:val="24"/>
          <w:szCs w:val="24"/>
        </w:rPr>
        <w:t xml:space="preserve"> </w:t>
      </w:r>
      <w:r>
        <w:rPr>
          <w:sz w:val="24"/>
          <w:szCs w:val="24"/>
        </w:rPr>
        <w:t>su</w:t>
      </w:r>
      <w:r w:rsidRPr="004924DF">
        <w:rPr>
          <w:sz w:val="24"/>
          <w:szCs w:val="24"/>
        </w:rPr>
        <w:t xml:space="preserve"> 5,95 milijuna eura, dok je </w:t>
      </w:r>
      <w:r>
        <w:rPr>
          <w:sz w:val="24"/>
          <w:szCs w:val="24"/>
        </w:rPr>
        <w:t>vrijednost</w:t>
      </w:r>
      <w:r w:rsidRPr="004924DF">
        <w:rPr>
          <w:sz w:val="24"/>
          <w:szCs w:val="24"/>
        </w:rPr>
        <w:t xml:space="preserve"> dodijeljenih i ustupljenih dionica iznosi</w:t>
      </w:r>
      <w:r>
        <w:rPr>
          <w:sz w:val="24"/>
          <w:szCs w:val="24"/>
        </w:rPr>
        <w:t xml:space="preserve">la </w:t>
      </w:r>
      <w:r w:rsidRPr="004924DF">
        <w:rPr>
          <w:sz w:val="24"/>
          <w:szCs w:val="24"/>
        </w:rPr>
        <w:t>4,01 milijuna eura.</w:t>
      </w:r>
    </w:p>
    <w:p w14:paraId="5E829046" w14:textId="77777777" w:rsidR="00AE6102" w:rsidRPr="00BD1B6F" w:rsidRDefault="00AE6102" w:rsidP="00AE6102">
      <w:pPr>
        <w:spacing w:after="240" w:line="276" w:lineRule="auto"/>
        <w:jc w:val="both"/>
        <w:rPr>
          <w:sz w:val="24"/>
          <w:szCs w:val="24"/>
        </w:rPr>
      </w:pPr>
      <w:r w:rsidRPr="00BD1B6F">
        <w:rPr>
          <w:sz w:val="24"/>
          <w:szCs w:val="24"/>
        </w:rPr>
        <w:t xml:space="preserve">Nadalje, s ciljem jačanja učinkovitosti poslovanja trgovačkih društava u većinskom državnom vlasništvu, u okviru SRSP Projekta „Aktiviranje neoperativne imovine u društvima u većinskom državnom vlasništvu“, izrađene su „Smjernice za aktivaciju neoperativne imovine u društvima u državnom vlasništvu“, čije se donošenje očekuje tijekom 2023. Smjernice su izrađene kako bi se društva u većinskom državnom vlasništvu potaknulo na optimizaciju u korištenju resursa i povećanju operativne učinkovitosti, a </w:t>
      </w:r>
      <w:r>
        <w:rPr>
          <w:sz w:val="24"/>
          <w:szCs w:val="24"/>
        </w:rPr>
        <w:t>bit</w:t>
      </w:r>
      <w:r w:rsidRPr="00BD1B6F">
        <w:rPr>
          <w:sz w:val="24"/>
          <w:szCs w:val="24"/>
        </w:rPr>
        <w:t xml:space="preserve"> će ih dužne primjenjivati sve pravne osobe od posebnog interesa za Republiku Hrvatsku, kao i ostala društva u većinskom državnom vlasništvu. </w:t>
      </w:r>
    </w:p>
    <w:p w14:paraId="51E5C0F8" w14:textId="77777777" w:rsidR="00AE6102" w:rsidRPr="00BD1B6F" w:rsidRDefault="00AE6102" w:rsidP="00AE6102">
      <w:pPr>
        <w:spacing w:after="240" w:line="276" w:lineRule="auto"/>
        <w:jc w:val="both"/>
        <w:rPr>
          <w:sz w:val="24"/>
          <w:szCs w:val="24"/>
        </w:rPr>
      </w:pPr>
      <w:r w:rsidRPr="00BD1B6F">
        <w:rPr>
          <w:sz w:val="24"/>
          <w:szCs w:val="24"/>
        </w:rPr>
        <w:t xml:space="preserve">Radi daljnje komercijalizacije i optimizacije upravljanja nekretninama u državnom vlasništvu, u 2022. je nastavljena provedba projekta „Program optimizacije upravljanja nekretninama“, financiranog u okviru Instrumenta tehničke potpore Europske komisije </w:t>
      </w:r>
      <w:r w:rsidRPr="004924DF">
        <w:rPr>
          <w:sz w:val="24"/>
          <w:szCs w:val="24"/>
        </w:rPr>
        <w:t>(</w:t>
      </w:r>
      <w:r w:rsidRPr="00BD1B6F">
        <w:rPr>
          <w:sz w:val="24"/>
          <w:szCs w:val="24"/>
        </w:rPr>
        <w:t>TSI</w:t>
      </w:r>
      <w:r w:rsidRPr="004924DF">
        <w:rPr>
          <w:sz w:val="24"/>
          <w:szCs w:val="24"/>
        </w:rPr>
        <w:t>).</w:t>
      </w:r>
      <w:r w:rsidRPr="00BD1B6F">
        <w:rPr>
          <w:sz w:val="24"/>
          <w:szCs w:val="24"/>
        </w:rPr>
        <w:t xml:space="preserve"> Projekt se provodi u suradnji s Europskom bankom za obnovu i razvoj (</w:t>
      </w:r>
      <w:r>
        <w:rPr>
          <w:sz w:val="24"/>
          <w:szCs w:val="24"/>
        </w:rPr>
        <w:t xml:space="preserve">u daljnjem tekstu: </w:t>
      </w:r>
      <w:r w:rsidRPr="00BD1B6F">
        <w:rPr>
          <w:sz w:val="24"/>
          <w:szCs w:val="24"/>
        </w:rPr>
        <w:t>EBRD) i Glavnom upravom Europske komisije za potporu strukturnim reformama (</w:t>
      </w:r>
      <w:r>
        <w:rPr>
          <w:sz w:val="24"/>
          <w:szCs w:val="24"/>
        </w:rPr>
        <w:t xml:space="preserve">u daljnjem tekstu: </w:t>
      </w:r>
      <w:r w:rsidRPr="004924DF">
        <w:rPr>
          <w:sz w:val="24"/>
          <w:szCs w:val="24"/>
        </w:rPr>
        <w:t>DG REFORM).</w:t>
      </w:r>
      <w:r w:rsidRPr="00BD1B6F">
        <w:rPr>
          <w:sz w:val="24"/>
          <w:szCs w:val="24"/>
        </w:rPr>
        <w:t xml:space="preserve"> U okviru projekta provedena je dijagnostika upravljanja postojećim imovinskim portfeljem i dane su preporuke za daljnju optimizaciju upravljanja nekretninama u državnom vlasništvu. U </w:t>
      </w:r>
      <w:r>
        <w:rPr>
          <w:sz w:val="24"/>
          <w:szCs w:val="24"/>
        </w:rPr>
        <w:t>sklopu</w:t>
      </w:r>
      <w:r w:rsidRPr="00BD1B6F">
        <w:rPr>
          <w:sz w:val="24"/>
          <w:szCs w:val="24"/>
        </w:rPr>
        <w:t xml:space="preserve"> provedbe projekta </w:t>
      </w:r>
      <w:r w:rsidRPr="004924DF">
        <w:rPr>
          <w:sz w:val="24"/>
          <w:szCs w:val="24"/>
        </w:rPr>
        <w:t>pripremit</w:t>
      </w:r>
      <w:r w:rsidRPr="00BD1B6F">
        <w:rPr>
          <w:sz w:val="24"/>
          <w:szCs w:val="24"/>
        </w:rPr>
        <w:t xml:space="preserve"> će se metodologija za klasifikaciju portfelja nekretnina u državnom vlasništvu na strateške i nestrateške </w:t>
      </w:r>
      <w:r>
        <w:rPr>
          <w:sz w:val="24"/>
          <w:szCs w:val="24"/>
        </w:rPr>
        <w:t xml:space="preserve">i ojačati </w:t>
      </w:r>
      <w:r w:rsidRPr="004924DF">
        <w:rPr>
          <w:sz w:val="24"/>
          <w:szCs w:val="24"/>
        </w:rPr>
        <w:t>administrativn</w:t>
      </w:r>
      <w:r>
        <w:rPr>
          <w:sz w:val="24"/>
          <w:szCs w:val="24"/>
        </w:rPr>
        <w:t>i</w:t>
      </w:r>
      <w:r w:rsidRPr="00BD1B6F">
        <w:rPr>
          <w:sz w:val="24"/>
          <w:szCs w:val="24"/>
        </w:rPr>
        <w:t xml:space="preserve"> i </w:t>
      </w:r>
      <w:r w:rsidRPr="004924DF">
        <w:rPr>
          <w:sz w:val="24"/>
          <w:szCs w:val="24"/>
        </w:rPr>
        <w:t>institucionaln</w:t>
      </w:r>
      <w:r>
        <w:rPr>
          <w:sz w:val="24"/>
          <w:szCs w:val="24"/>
        </w:rPr>
        <w:t xml:space="preserve">i </w:t>
      </w:r>
      <w:r w:rsidRPr="004924DF">
        <w:rPr>
          <w:sz w:val="24"/>
          <w:szCs w:val="24"/>
        </w:rPr>
        <w:t>kapacitet</w:t>
      </w:r>
      <w:r>
        <w:rPr>
          <w:sz w:val="24"/>
          <w:szCs w:val="24"/>
        </w:rPr>
        <w:t>i</w:t>
      </w:r>
      <w:r w:rsidRPr="00BD1B6F">
        <w:rPr>
          <w:sz w:val="24"/>
          <w:szCs w:val="24"/>
        </w:rPr>
        <w:t xml:space="preserve"> za upravljanje nekretninama. </w:t>
      </w:r>
    </w:p>
    <w:p w14:paraId="2BB1CFB6" w14:textId="77777777" w:rsidR="00FB742A" w:rsidRPr="008115FB" w:rsidRDefault="00FB742A" w:rsidP="003E05DF">
      <w:pPr>
        <w:spacing w:line="276" w:lineRule="auto"/>
        <w:jc w:val="both"/>
        <w:rPr>
          <w:color w:val="000000" w:themeColor="text1"/>
          <w:sz w:val="24"/>
          <w:szCs w:val="24"/>
        </w:rPr>
      </w:pPr>
    </w:p>
    <w:p w14:paraId="70C7E9F4" w14:textId="77777777" w:rsidR="00FB742A" w:rsidRPr="008115FB" w:rsidRDefault="00FB742A" w:rsidP="003E05DF">
      <w:pPr>
        <w:spacing w:line="276" w:lineRule="auto"/>
        <w:jc w:val="both"/>
        <w:rPr>
          <w:color w:val="000000" w:themeColor="text1"/>
          <w:sz w:val="24"/>
          <w:szCs w:val="24"/>
        </w:rPr>
      </w:pPr>
    </w:p>
    <w:p w14:paraId="4EA6DDF6" w14:textId="77777777" w:rsidR="00FB742A" w:rsidRPr="008115FB" w:rsidRDefault="00FB742A" w:rsidP="003E05DF">
      <w:pPr>
        <w:spacing w:line="276" w:lineRule="auto"/>
        <w:jc w:val="both"/>
        <w:rPr>
          <w:color w:val="000000" w:themeColor="text1"/>
          <w:sz w:val="24"/>
          <w:szCs w:val="24"/>
        </w:rPr>
      </w:pPr>
    </w:p>
    <w:p w14:paraId="346C0C8E" w14:textId="77777777" w:rsidR="00FB742A" w:rsidRPr="008115FB" w:rsidRDefault="00FB742A" w:rsidP="003E05DF">
      <w:pPr>
        <w:spacing w:line="276" w:lineRule="auto"/>
        <w:jc w:val="both"/>
        <w:rPr>
          <w:color w:val="000000" w:themeColor="text1"/>
          <w:sz w:val="24"/>
          <w:szCs w:val="24"/>
        </w:rPr>
      </w:pPr>
    </w:p>
    <w:p w14:paraId="1C74AB5C" w14:textId="4F621525" w:rsidR="00C570CD" w:rsidRPr="008115FB" w:rsidRDefault="00C570CD">
      <w:pPr>
        <w:rPr>
          <w:color w:val="000000" w:themeColor="text1"/>
          <w:sz w:val="24"/>
          <w:szCs w:val="24"/>
        </w:rPr>
      </w:pPr>
      <w:r w:rsidRPr="008115FB">
        <w:rPr>
          <w:color w:val="000000" w:themeColor="text1"/>
          <w:sz w:val="24"/>
          <w:szCs w:val="24"/>
        </w:rPr>
        <w:br w:type="page"/>
      </w:r>
    </w:p>
    <w:p w14:paraId="27D89613" w14:textId="71B93744" w:rsidR="003E05DF" w:rsidRPr="00BD1B6F" w:rsidRDefault="003E05DF" w:rsidP="00A96C5F">
      <w:pPr>
        <w:pStyle w:val="Heading2"/>
      </w:pPr>
      <w:bookmarkStart w:id="69" w:name="_Toc156819378"/>
      <w:r w:rsidRPr="00BD1B6F">
        <w:rPr>
          <w:sz w:val="24"/>
          <w:szCs w:val="24"/>
        </w:rPr>
        <w:lastRenderedPageBreak/>
        <w:t>4. Globalna prepoznatljivost i jačanje međunarodnog položaja i uloge Hrvatske</w:t>
      </w:r>
      <w:bookmarkEnd w:id="69"/>
    </w:p>
    <w:p w14:paraId="1248E3E4" w14:textId="1A757A11" w:rsidR="00DA15AF" w:rsidRPr="00BD1B6F" w:rsidRDefault="37E78FA1" w:rsidP="00FD2238">
      <w:pPr>
        <w:pStyle w:val="Heading3"/>
        <w:spacing w:before="120" w:after="120" w:line="259" w:lineRule="auto"/>
        <w:ind w:left="0" w:firstLine="720"/>
        <w:jc w:val="both"/>
        <w:rPr>
          <w:color w:val="000000" w:themeColor="text1"/>
          <w:sz w:val="24"/>
          <w:szCs w:val="24"/>
        </w:rPr>
      </w:pPr>
      <w:bookmarkStart w:id="70" w:name="_Toc156819379"/>
      <w:r w:rsidRPr="00BD1B6F">
        <w:rPr>
          <w:color w:val="000000" w:themeColor="text1"/>
          <w:sz w:val="24"/>
          <w:szCs w:val="24"/>
        </w:rPr>
        <w:t>4.1. Ostvarene vrijednosti pokazatelja uspješnosti</w:t>
      </w:r>
      <w:bookmarkEnd w:id="70"/>
    </w:p>
    <w:p w14:paraId="17C8B7D1" w14:textId="73D72D5C" w:rsidR="00DA15AF" w:rsidRPr="00BD1B6F" w:rsidRDefault="37E78FA1" w:rsidP="594B1B8A">
      <w:r w:rsidRPr="00FD2238">
        <w:rPr>
          <w:b/>
          <w:bCs/>
          <w:sz w:val="24"/>
          <w:szCs w:val="24"/>
        </w:rPr>
        <w:t xml:space="preserve"> </w:t>
      </w:r>
    </w:p>
    <w:tbl>
      <w:tblPr>
        <w:tblW w:w="9488" w:type="dxa"/>
        <w:tblLayout w:type="fixed"/>
        <w:tblLook w:val="04A0" w:firstRow="1" w:lastRow="0" w:firstColumn="1" w:lastColumn="0" w:noHBand="0" w:noVBand="1"/>
      </w:tblPr>
      <w:tblGrid>
        <w:gridCol w:w="2490"/>
        <w:gridCol w:w="2325"/>
        <w:gridCol w:w="2550"/>
        <w:gridCol w:w="2123"/>
      </w:tblGrid>
      <w:tr w:rsidR="594B1B8A" w:rsidRPr="008115FB" w14:paraId="6D91570C" w14:textId="77777777" w:rsidTr="00FD2238">
        <w:trPr>
          <w:trHeight w:val="660"/>
        </w:trPr>
        <w:tc>
          <w:tcPr>
            <w:tcW w:w="2490"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43B7A5A0" w14:textId="454949A1" w:rsidR="594B1B8A" w:rsidRPr="00BD1B6F" w:rsidRDefault="594B1B8A" w:rsidP="00FD2238">
            <w:pPr>
              <w:spacing w:line="276" w:lineRule="auto"/>
              <w:jc w:val="center"/>
            </w:pPr>
            <w:r w:rsidRPr="00BD1B6F">
              <w:rPr>
                <w:b/>
                <w:bCs/>
                <w:color w:val="000000" w:themeColor="text1"/>
                <w:sz w:val="24"/>
                <w:szCs w:val="24"/>
              </w:rPr>
              <w:t>Pokazatelj uspješnosti</w:t>
            </w:r>
            <w:r w:rsidRPr="00FD2238">
              <w:rPr>
                <w:b/>
                <w:bCs/>
                <w:color w:val="000000" w:themeColor="text1"/>
                <w:sz w:val="24"/>
                <w:szCs w:val="24"/>
              </w:rPr>
              <w:t xml:space="preserve"> </w:t>
            </w:r>
          </w:p>
        </w:tc>
        <w:tc>
          <w:tcPr>
            <w:tcW w:w="2325"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2443A457" w14:textId="0F757B78" w:rsidR="594B1B8A" w:rsidRPr="00BD1B6F" w:rsidRDefault="594B1B8A" w:rsidP="00FD2238">
            <w:pPr>
              <w:spacing w:line="276" w:lineRule="auto"/>
              <w:jc w:val="center"/>
            </w:pPr>
            <w:r w:rsidRPr="00BD1B6F">
              <w:rPr>
                <w:b/>
                <w:bCs/>
                <w:color w:val="000000" w:themeColor="text1"/>
                <w:sz w:val="24"/>
                <w:szCs w:val="24"/>
              </w:rPr>
              <w:t xml:space="preserve">Početna </w:t>
            </w:r>
          </w:p>
          <w:p w14:paraId="326CAE5A" w14:textId="2CF17952" w:rsidR="594B1B8A" w:rsidRPr="00BD1B6F" w:rsidRDefault="594B1B8A" w:rsidP="00FD2238">
            <w:pPr>
              <w:spacing w:line="276" w:lineRule="auto"/>
              <w:jc w:val="center"/>
            </w:pPr>
            <w:r w:rsidRPr="00BD1B6F">
              <w:rPr>
                <w:b/>
                <w:bCs/>
                <w:color w:val="000000" w:themeColor="text1"/>
                <w:sz w:val="24"/>
                <w:szCs w:val="24"/>
              </w:rPr>
              <w:t>vrijednost</w:t>
            </w:r>
            <w:r w:rsidRPr="00FD2238">
              <w:rPr>
                <w:b/>
                <w:bCs/>
                <w:color w:val="000000" w:themeColor="text1"/>
                <w:sz w:val="24"/>
                <w:szCs w:val="24"/>
              </w:rPr>
              <w:t xml:space="preserve"> </w:t>
            </w:r>
          </w:p>
        </w:tc>
        <w:tc>
          <w:tcPr>
            <w:tcW w:w="2550"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708968C5" w14:textId="738CEC0F" w:rsidR="594B1B8A" w:rsidRPr="00BD1B6F" w:rsidRDefault="594B1B8A" w:rsidP="00FD2238">
            <w:pPr>
              <w:spacing w:line="276" w:lineRule="auto"/>
              <w:jc w:val="center"/>
            </w:pPr>
            <w:r w:rsidRPr="00BD1B6F">
              <w:rPr>
                <w:b/>
                <w:bCs/>
                <w:color w:val="000000" w:themeColor="text1"/>
                <w:sz w:val="24"/>
                <w:szCs w:val="24"/>
              </w:rPr>
              <w:t xml:space="preserve">Ciljna </w:t>
            </w:r>
          </w:p>
          <w:p w14:paraId="65ED5F8C" w14:textId="23C8B22B" w:rsidR="594B1B8A" w:rsidRPr="00BD1B6F" w:rsidRDefault="594B1B8A" w:rsidP="00FD2238">
            <w:pPr>
              <w:spacing w:line="276" w:lineRule="auto"/>
              <w:jc w:val="center"/>
            </w:pPr>
            <w:r w:rsidRPr="00BD1B6F">
              <w:rPr>
                <w:b/>
                <w:bCs/>
                <w:color w:val="000000" w:themeColor="text1"/>
                <w:sz w:val="24"/>
                <w:szCs w:val="24"/>
              </w:rPr>
              <w:t>vrijednost</w:t>
            </w:r>
            <w:r w:rsidRPr="00FD2238">
              <w:rPr>
                <w:b/>
                <w:bCs/>
                <w:color w:val="000000" w:themeColor="text1"/>
                <w:sz w:val="24"/>
                <w:szCs w:val="24"/>
              </w:rPr>
              <w:t xml:space="preserve"> </w:t>
            </w:r>
          </w:p>
        </w:tc>
        <w:tc>
          <w:tcPr>
            <w:tcW w:w="2123"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10F8C83C" w14:textId="1026D886" w:rsidR="594B1B8A" w:rsidRPr="00BD1B6F" w:rsidRDefault="594B1B8A" w:rsidP="00FD2238">
            <w:pPr>
              <w:spacing w:line="276" w:lineRule="auto"/>
              <w:jc w:val="center"/>
            </w:pPr>
            <w:r w:rsidRPr="00BD1B6F">
              <w:rPr>
                <w:b/>
                <w:bCs/>
                <w:color w:val="000000" w:themeColor="text1"/>
                <w:sz w:val="24"/>
                <w:szCs w:val="24"/>
              </w:rPr>
              <w:t xml:space="preserve">Ostvarena </w:t>
            </w:r>
          </w:p>
          <w:p w14:paraId="22B0A720" w14:textId="64F6D64A" w:rsidR="594B1B8A" w:rsidRPr="00BD1B6F" w:rsidRDefault="594B1B8A" w:rsidP="00FD2238">
            <w:pPr>
              <w:spacing w:line="276" w:lineRule="auto"/>
              <w:jc w:val="center"/>
            </w:pPr>
            <w:r w:rsidRPr="00BD1B6F">
              <w:rPr>
                <w:b/>
                <w:bCs/>
                <w:color w:val="000000" w:themeColor="text1"/>
                <w:sz w:val="24"/>
                <w:szCs w:val="24"/>
              </w:rPr>
              <w:t>vrijednost</w:t>
            </w:r>
            <w:r w:rsidRPr="00FD2238">
              <w:rPr>
                <w:b/>
                <w:bCs/>
                <w:color w:val="000000" w:themeColor="text1"/>
                <w:sz w:val="24"/>
                <w:szCs w:val="24"/>
              </w:rPr>
              <w:t xml:space="preserve"> </w:t>
            </w:r>
          </w:p>
        </w:tc>
      </w:tr>
      <w:tr w:rsidR="594B1B8A" w:rsidRPr="008115FB" w14:paraId="79EDB3CF" w14:textId="77777777" w:rsidTr="00FD2238">
        <w:trPr>
          <w:trHeight w:val="837"/>
        </w:trPr>
        <w:tc>
          <w:tcPr>
            <w:tcW w:w="2490" w:type="dxa"/>
            <w:tcBorders>
              <w:top w:val="dotted" w:sz="8" w:space="0" w:color="auto"/>
              <w:left w:val="dotted" w:sz="8" w:space="0" w:color="auto"/>
              <w:bottom w:val="dotted" w:sz="8" w:space="0" w:color="auto"/>
              <w:right w:val="nil"/>
            </w:tcBorders>
            <w:vAlign w:val="center"/>
          </w:tcPr>
          <w:p w14:paraId="78CCFA66" w14:textId="7D1BFA31" w:rsidR="594B1B8A" w:rsidRPr="00BD1B6F" w:rsidRDefault="594B1B8A" w:rsidP="00FD2238">
            <w:pPr>
              <w:spacing w:before="120" w:after="120" w:line="276" w:lineRule="auto"/>
              <w:rPr>
                <w:i/>
                <w:color w:val="000000" w:themeColor="text1"/>
                <w:sz w:val="24"/>
                <w:szCs w:val="24"/>
              </w:rPr>
            </w:pPr>
            <w:r w:rsidRPr="00BD1B6F">
              <w:rPr>
                <w:i/>
                <w:color w:val="000000" w:themeColor="text1"/>
                <w:sz w:val="24"/>
                <w:szCs w:val="24"/>
              </w:rPr>
              <w:t>Indeks globalne konkurentnosti (GCI)</w:t>
            </w:r>
          </w:p>
        </w:tc>
        <w:tc>
          <w:tcPr>
            <w:tcW w:w="2325" w:type="dxa"/>
            <w:tcBorders>
              <w:top w:val="dotted" w:sz="8" w:space="0" w:color="auto"/>
              <w:left w:val="nil"/>
              <w:bottom w:val="dotted" w:sz="8" w:space="0" w:color="auto"/>
              <w:right w:val="nil"/>
            </w:tcBorders>
            <w:shd w:val="clear" w:color="auto" w:fill="DAEEF3" w:themeFill="accent5" w:themeFillTint="33"/>
            <w:vAlign w:val="center"/>
          </w:tcPr>
          <w:p w14:paraId="785366B8" w14:textId="682A77BE" w:rsidR="594B1B8A" w:rsidRPr="00BD1B6F" w:rsidRDefault="594B1B8A" w:rsidP="00FD2238">
            <w:pPr>
              <w:spacing w:before="120" w:after="120" w:line="276" w:lineRule="auto"/>
              <w:jc w:val="center"/>
              <w:rPr>
                <w:i/>
                <w:color w:val="000000" w:themeColor="text1"/>
                <w:sz w:val="24"/>
                <w:szCs w:val="24"/>
              </w:rPr>
            </w:pPr>
            <w:r w:rsidRPr="00BD1B6F">
              <w:rPr>
                <w:i/>
                <w:color w:val="000000" w:themeColor="text1"/>
                <w:sz w:val="24"/>
                <w:szCs w:val="24"/>
              </w:rPr>
              <w:t>63. mjesto (2019.)</w:t>
            </w:r>
          </w:p>
        </w:tc>
        <w:tc>
          <w:tcPr>
            <w:tcW w:w="2550" w:type="dxa"/>
            <w:tcBorders>
              <w:top w:val="dotted" w:sz="8" w:space="0" w:color="auto"/>
              <w:left w:val="nil"/>
              <w:bottom w:val="dotted" w:sz="8" w:space="0" w:color="auto"/>
              <w:right w:val="nil"/>
            </w:tcBorders>
            <w:vAlign w:val="center"/>
          </w:tcPr>
          <w:p w14:paraId="6F34AC9A" w14:textId="682A77BE" w:rsidR="594B1B8A" w:rsidRPr="00BD1B6F" w:rsidRDefault="594B1B8A" w:rsidP="00FD2238">
            <w:pPr>
              <w:spacing w:before="120" w:after="120" w:line="276" w:lineRule="auto"/>
              <w:jc w:val="center"/>
              <w:rPr>
                <w:i/>
                <w:color w:val="000000" w:themeColor="text1"/>
                <w:sz w:val="24"/>
                <w:szCs w:val="24"/>
              </w:rPr>
            </w:pPr>
            <w:r w:rsidRPr="00BD1B6F">
              <w:rPr>
                <w:i/>
                <w:color w:val="000000" w:themeColor="text1"/>
                <w:sz w:val="24"/>
                <w:szCs w:val="24"/>
              </w:rPr>
              <w:t>&lt; 45. mjesta</w:t>
            </w:r>
          </w:p>
        </w:tc>
        <w:tc>
          <w:tcPr>
            <w:tcW w:w="2123" w:type="dxa"/>
            <w:tcBorders>
              <w:top w:val="dotted" w:sz="8" w:space="0" w:color="auto"/>
              <w:left w:val="nil"/>
              <w:bottom w:val="dotted" w:sz="8" w:space="0" w:color="auto"/>
              <w:right w:val="dotted" w:sz="8" w:space="0" w:color="auto"/>
            </w:tcBorders>
            <w:shd w:val="clear" w:color="auto" w:fill="DAEEF3" w:themeFill="accent5" w:themeFillTint="33"/>
            <w:vAlign w:val="center"/>
          </w:tcPr>
          <w:p w14:paraId="3AA4DE27" w14:textId="39585AB7" w:rsidR="594B1B8A" w:rsidRPr="00FD2238" w:rsidRDefault="594B1B8A" w:rsidP="00FD2238">
            <w:pPr>
              <w:spacing w:before="120" w:after="120" w:line="276" w:lineRule="auto"/>
              <w:jc w:val="center"/>
              <w:rPr>
                <w:i/>
                <w:sz w:val="24"/>
                <w:szCs w:val="24"/>
                <w:vertAlign w:val="superscript"/>
              </w:rPr>
            </w:pPr>
            <w:r w:rsidRPr="00FD2238">
              <w:rPr>
                <w:i/>
                <w:iCs/>
                <w:color w:val="000000" w:themeColor="text1"/>
                <w:sz w:val="24"/>
                <w:szCs w:val="24"/>
              </w:rPr>
              <w:t>Nisu dostupni noviji podaci</w:t>
            </w:r>
            <w:r w:rsidRPr="00FD2238">
              <w:rPr>
                <w:rStyle w:val="FootnoteReference"/>
                <w:i/>
                <w:iCs/>
                <w:sz w:val="24"/>
                <w:szCs w:val="24"/>
              </w:rPr>
              <w:footnoteReference w:id="5"/>
            </w:r>
          </w:p>
        </w:tc>
      </w:tr>
      <w:tr w:rsidR="594B1B8A" w:rsidRPr="008115FB" w14:paraId="69BF38FB" w14:textId="77777777" w:rsidTr="00FD2238">
        <w:trPr>
          <w:trHeight w:val="1374"/>
        </w:trPr>
        <w:tc>
          <w:tcPr>
            <w:tcW w:w="2490" w:type="dxa"/>
            <w:tcBorders>
              <w:top w:val="dotted" w:sz="8" w:space="0" w:color="auto"/>
              <w:left w:val="dotted" w:sz="8" w:space="0" w:color="auto"/>
              <w:bottom w:val="dotted" w:sz="8" w:space="0" w:color="auto"/>
              <w:right w:val="nil"/>
            </w:tcBorders>
            <w:vAlign w:val="center"/>
          </w:tcPr>
          <w:p w14:paraId="5C8B3A1E" w14:textId="6328AA1B" w:rsidR="594B1B8A" w:rsidRPr="00BD1B6F" w:rsidRDefault="594B1B8A" w:rsidP="00FD2238">
            <w:pPr>
              <w:spacing w:before="120" w:after="120" w:line="276" w:lineRule="auto"/>
            </w:pPr>
            <w:r w:rsidRPr="00BD1B6F">
              <w:rPr>
                <w:b/>
                <w:bCs/>
                <w:color w:val="000000" w:themeColor="text1"/>
                <w:sz w:val="24"/>
                <w:szCs w:val="24"/>
              </w:rPr>
              <w:t>Poredak na ljestvici globalne konkurentnosti (WCR, IMD)</w:t>
            </w:r>
          </w:p>
        </w:tc>
        <w:tc>
          <w:tcPr>
            <w:tcW w:w="2325" w:type="dxa"/>
            <w:tcBorders>
              <w:top w:val="dotted" w:sz="8" w:space="0" w:color="auto"/>
              <w:left w:val="nil"/>
              <w:bottom w:val="dotted" w:sz="8" w:space="0" w:color="auto"/>
              <w:right w:val="nil"/>
            </w:tcBorders>
            <w:shd w:val="clear" w:color="auto" w:fill="DAEEF3" w:themeFill="accent5" w:themeFillTint="33"/>
            <w:vAlign w:val="center"/>
          </w:tcPr>
          <w:p w14:paraId="1738618E" w14:textId="5142369B" w:rsidR="594B1B8A" w:rsidRPr="00BD1B6F" w:rsidRDefault="594B1B8A" w:rsidP="00FD2238">
            <w:pPr>
              <w:spacing w:before="120" w:after="120" w:line="276" w:lineRule="auto"/>
              <w:jc w:val="center"/>
            </w:pPr>
            <w:r w:rsidRPr="00BD1B6F">
              <w:rPr>
                <w:b/>
                <w:bCs/>
                <w:color w:val="000000" w:themeColor="text1"/>
                <w:sz w:val="24"/>
                <w:szCs w:val="24"/>
              </w:rPr>
              <w:t>59. mjesto (2020.)</w:t>
            </w:r>
          </w:p>
        </w:tc>
        <w:tc>
          <w:tcPr>
            <w:tcW w:w="2550" w:type="dxa"/>
            <w:tcBorders>
              <w:top w:val="dotted" w:sz="8" w:space="0" w:color="auto"/>
              <w:left w:val="nil"/>
              <w:bottom w:val="dotted" w:sz="8" w:space="0" w:color="auto"/>
              <w:right w:val="nil"/>
            </w:tcBorders>
            <w:vAlign w:val="center"/>
          </w:tcPr>
          <w:p w14:paraId="263D90AF" w14:textId="416F6DC6" w:rsidR="594B1B8A" w:rsidRPr="00BD1B6F" w:rsidRDefault="594B1B8A" w:rsidP="00FD2238">
            <w:pPr>
              <w:spacing w:before="120" w:after="120" w:line="276" w:lineRule="auto"/>
              <w:jc w:val="center"/>
            </w:pPr>
            <w:r w:rsidRPr="00BD1B6F">
              <w:rPr>
                <w:b/>
                <w:bCs/>
                <w:color w:val="000000" w:themeColor="text1"/>
                <w:sz w:val="24"/>
                <w:szCs w:val="24"/>
              </w:rPr>
              <w:t>n/p</w:t>
            </w:r>
          </w:p>
        </w:tc>
        <w:tc>
          <w:tcPr>
            <w:tcW w:w="2123" w:type="dxa"/>
            <w:tcBorders>
              <w:top w:val="dotted" w:sz="8" w:space="0" w:color="auto"/>
              <w:left w:val="nil"/>
              <w:bottom w:val="dotted" w:sz="8" w:space="0" w:color="auto"/>
              <w:right w:val="dotted" w:sz="8" w:space="0" w:color="auto"/>
            </w:tcBorders>
            <w:shd w:val="clear" w:color="auto" w:fill="DAEEF3" w:themeFill="accent5" w:themeFillTint="33"/>
            <w:vAlign w:val="center"/>
          </w:tcPr>
          <w:p w14:paraId="45BF3439" w14:textId="29E8019D" w:rsidR="594B1B8A" w:rsidRPr="00BD1B6F" w:rsidRDefault="594B1B8A" w:rsidP="00FD2238">
            <w:pPr>
              <w:spacing w:before="120" w:after="120" w:line="276" w:lineRule="auto"/>
              <w:jc w:val="center"/>
            </w:pPr>
            <w:r w:rsidRPr="00BD1B6F">
              <w:rPr>
                <w:b/>
                <w:bCs/>
                <w:color w:val="000000" w:themeColor="text1"/>
                <w:sz w:val="24"/>
                <w:szCs w:val="24"/>
              </w:rPr>
              <w:t>46. mjesto (2022.)</w:t>
            </w:r>
          </w:p>
        </w:tc>
      </w:tr>
    </w:tbl>
    <w:p w14:paraId="39F57F10" w14:textId="66999964" w:rsidR="00DA15AF" w:rsidRPr="00BD1B6F" w:rsidRDefault="37E78FA1" w:rsidP="004C1D5B">
      <w:r w:rsidRPr="00BD1B6F">
        <w:rPr>
          <w:sz w:val="24"/>
          <w:szCs w:val="24"/>
        </w:rPr>
        <w:t xml:space="preserve"> </w:t>
      </w:r>
    </w:p>
    <w:p w14:paraId="3F9B9381" w14:textId="51EC61AE" w:rsidR="00280456" w:rsidRPr="004C1D5B" w:rsidRDefault="00280456" w:rsidP="004C1D5B">
      <w:pPr>
        <w:pStyle w:val="Heading3"/>
        <w:spacing w:after="240" w:line="276" w:lineRule="auto"/>
        <w:ind w:left="709"/>
        <w:rPr>
          <w:sz w:val="24"/>
          <w:szCs w:val="24"/>
        </w:rPr>
      </w:pPr>
      <w:bookmarkStart w:id="71" w:name="_Toc156819380"/>
      <w:r w:rsidRPr="00DD167B">
        <w:rPr>
          <w:sz w:val="24"/>
          <w:szCs w:val="24"/>
        </w:rPr>
        <w:t>4</w:t>
      </w:r>
      <w:r w:rsidRPr="00BD1B6F">
        <w:rPr>
          <w:rStyle w:val="Heading3Char"/>
          <w:b/>
          <w:bCs/>
          <w:sz w:val="24"/>
          <w:szCs w:val="24"/>
        </w:rPr>
        <w:t>.</w:t>
      </w:r>
      <w:r w:rsidR="005D294C" w:rsidRPr="004C1D5B">
        <w:rPr>
          <w:rStyle w:val="Heading3Char"/>
          <w:b/>
          <w:bCs/>
          <w:sz w:val="24"/>
          <w:szCs w:val="24"/>
        </w:rPr>
        <w:t>2</w:t>
      </w:r>
      <w:r w:rsidRPr="00BD1B6F">
        <w:rPr>
          <w:rStyle w:val="Heading3Char"/>
          <w:b/>
          <w:bCs/>
          <w:sz w:val="24"/>
          <w:szCs w:val="24"/>
        </w:rPr>
        <w:t>. Opis napretka u provedbi strateškog cilja Globalna prepoznatljivost i jačanje međunarodnog položaja i uloge Hrvatske</w:t>
      </w:r>
      <w:bookmarkEnd w:id="71"/>
    </w:p>
    <w:p w14:paraId="562D4906" w14:textId="77777777" w:rsidR="00743812" w:rsidRPr="00BD1B6F" w:rsidRDefault="00743812" w:rsidP="00743812">
      <w:pPr>
        <w:spacing w:before="1" w:after="240" w:line="276" w:lineRule="auto"/>
        <w:ind w:firstLine="720"/>
        <w:jc w:val="both"/>
        <w:rPr>
          <w:b/>
          <w:bCs/>
          <w:sz w:val="24"/>
          <w:szCs w:val="24"/>
        </w:rPr>
      </w:pPr>
      <w:r w:rsidRPr="00BD1B6F">
        <w:rPr>
          <w:b/>
          <w:bCs/>
          <w:sz w:val="24"/>
          <w:szCs w:val="24"/>
        </w:rPr>
        <w:t>Jačanje položaja Hrvatske unutar Europske unije</w:t>
      </w:r>
    </w:p>
    <w:p w14:paraId="2257567B" w14:textId="77777777" w:rsidR="00743812" w:rsidRPr="00BD1B6F" w:rsidRDefault="00743812" w:rsidP="00743812">
      <w:pPr>
        <w:spacing w:before="1" w:after="240" w:line="276" w:lineRule="auto"/>
        <w:jc w:val="both"/>
      </w:pPr>
      <w:r w:rsidRPr="00BD1B6F">
        <w:rPr>
          <w:sz w:val="24"/>
          <w:szCs w:val="24"/>
        </w:rPr>
        <w:t>Unatoč iznimno složenoj geopolitičkoj situaciji u svijetu, Hrvatska je tijekom 2022., u skladu s razvojnim prioritetima, uspješno odgovorila na izazove povezane s pandemijom COVID-19 te globalnom krizom izazvanom ruskom agresijom na Ukrajinu. Prema podacima Instituta za razvoj poslovnog upravljanja iz Lausannea (</w:t>
      </w:r>
      <w:r w:rsidRPr="00BD1B6F">
        <w:rPr>
          <w:i/>
          <w:iCs/>
          <w:sz w:val="24"/>
          <w:szCs w:val="24"/>
        </w:rPr>
        <w:t xml:space="preserve">International Institute for Management Development </w:t>
      </w:r>
      <w:r w:rsidRPr="00BD1B6F">
        <w:rPr>
          <w:sz w:val="24"/>
          <w:szCs w:val="24"/>
        </w:rPr>
        <w:t>- IMD) za 2022., Hrvatska je na ljestvici globalne konkurentnosti (WCR) ostvarila skok za 13 mjesta u odnosu na 2021., što je najviši ukupan rast između 63 zemlje obuhvaćene istraživanjem.</w:t>
      </w:r>
    </w:p>
    <w:p w14:paraId="0B9D645C" w14:textId="77777777" w:rsidR="00743812" w:rsidRPr="00BD1B6F" w:rsidRDefault="00743812" w:rsidP="00743812">
      <w:pPr>
        <w:spacing w:before="1" w:after="240" w:line="276" w:lineRule="auto"/>
        <w:jc w:val="both"/>
        <w:rPr>
          <w:sz w:val="24"/>
          <w:szCs w:val="24"/>
        </w:rPr>
      </w:pPr>
      <w:r w:rsidRPr="00BD1B6F">
        <w:rPr>
          <w:sz w:val="24"/>
          <w:szCs w:val="24"/>
        </w:rPr>
        <w:t xml:space="preserve">Kontinuirano se potiču i promiču aktivnosti prijenosa znanja i iskustva zainteresiranim državama kandidatkinjama i potencijalnim kandidatkinjama za članstvo u EU i NATO, te ostalim partnerskim državama. Hrvatska je </w:t>
      </w:r>
      <w:r>
        <w:rPr>
          <w:sz w:val="24"/>
          <w:szCs w:val="24"/>
        </w:rPr>
        <w:t xml:space="preserve">tijekom 2022. </w:t>
      </w:r>
      <w:r w:rsidRPr="00BD1B6F">
        <w:rPr>
          <w:sz w:val="24"/>
          <w:szCs w:val="24"/>
        </w:rPr>
        <w:t>sudjelovala u provedbi ukupno 140 aktivnosti i projekata prijenosa znanja i pružanja potpore i tehničke pomoći, prvenstveno u području obrazovanja i savjetovanja za europske integracije i koordinaciju mreže stručnjaka koji se bave pitanjima iz područja europskih poslova. S obzirom na praksu uspostavljenu za vrijeme pandemije COVID-19, značajan dio aktivnosti pružanja tehničke pomoći proveden je u virtualnom ili hibridnom formatu, čime se doprinijelo i racionalizaciji troškova.</w:t>
      </w:r>
    </w:p>
    <w:p w14:paraId="301FCF53" w14:textId="77777777" w:rsidR="00743812" w:rsidRPr="00BD1B6F" w:rsidRDefault="00743812" w:rsidP="00743812">
      <w:pPr>
        <w:spacing w:before="1" w:after="240" w:line="276" w:lineRule="auto"/>
        <w:jc w:val="both"/>
        <w:rPr>
          <w:sz w:val="24"/>
          <w:szCs w:val="24"/>
        </w:rPr>
      </w:pPr>
      <w:r w:rsidRPr="00BD1B6F">
        <w:rPr>
          <w:sz w:val="24"/>
          <w:szCs w:val="24"/>
        </w:rPr>
        <w:t xml:space="preserve">U 2022. proveden </w:t>
      </w:r>
      <w:r>
        <w:rPr>
          <w:sz w:val="24"/>
          <w:szCs w:val="24"/>
        </w:rPr>
        <w:t>je n</w:t>
      </w:r>
      <w:r w:rsidRPr="00BD1B6F">
        <w:rPr>
          <w:sz w:val="24"/>
          <w:szCs w:val="24"/>
        </w:rPr>
        <w:t xml:space="preserve">atječaj za prijavu projekata iz područja </w:t>
      </w:r>
      <w:r>
        <w:rPr>
          <w:sz w:val="24"/>
          <w:szCs w:val="24"/>
        </w:rPr>
        <w:t>i</w:t>
      </w:r>
      <w:r w:rsidRPr="00BD1B6F">
        <w:rPr>
          <w:sz w:val="24"/>
          <w:szCs w:val="24"/>
        </w:rPr>
        <w:t>nformiranja o EU, kojim je osigurana financijska potpora za 25 prijavitelja projekata u ukupnom iznosu od 132</w:t>
      </w:r>
      <w:r>
        <w:rPr>
          <w:sz w:val="24"/>
          <w:szCs w:val="24"/>
        </w:rPr>
        <w:t xml:space="preserve"> tisuće</w:t>
      </w:r>
      <w:r w:rsidRPr="00BD1B6F">
        <w:rPr>
          <w:sz w:val="24"/>
          <w:szCs w:val="24"/>
        </w:rPr>
        <w:t xml:space="preserve"> eura. Također, Hrvatske su institucije tijekom 2022. prijavile 5 </w:t>
      </w:r>
      <w:r w:rsidRPr="00BD1B6F">
        <w:rPr>
          <w:i/>
          <w:iCs/>
          <w:sz w:val="24"/>
          <w:szCs w:val="24"/>
        </w:rPr>
        <w:t>twinning</w:t>
      </w:r>
      <w:r w:rsidRPr="00BD1B6F">
        <w:rPr>
          <w:sz w:val="24"/>
          <w:szCs w:val="24"/>
        </w:rPr>
        <w:t xml:space="preserve"> </w:t>
      </w:r>
      <w:r w:rsidRPr="00BD1B6F">
        <w:rPr>
          <w:sz w:val="24"/>
          <w:szCs w:val="24"/>
        </w:rPr>
        <w:lastRenderedPageBreak/>
        <w:t xml:space="preserve">projekata, većinom u svojstvu vodećeg partnera, sukladno </w:t>
      </w:r>
      <w:r>
        <w:rPr>
          <w:sz w:val="24"/>
          <w:szCs w:val="24"/>
        </w:rPr>
        <w:t xml:space="preserve">hrvatskim </w:t>
      </w:r>
      <w:r w:rsidRPr="00BD1B6F">
        <w:rPr>
          <w:sz w:val="24"/>
          <w:szCs w:val="24"/>
        </w:rPr>
        <w:t>vanjskopolitičkim ci</w:t>
      </w:r>
      <w:r>
        <w:rPr>
          <w:sz w:val="24"/>
          <w:szCs w:val="24"/>
        </w:rPr>
        <w:t>l</w:t>
      </w:r>
      <w:r w:rsidRPr="00BD1B6F">
        <w:rPr>
          <w:sz w:val="24"/>
          <w:szCs w:val="24"/>
        </w:rPr>
        <w:t xml:space="preserve">jevima. </w:t>
      </w:r>
    </w:p>
    <w:p w14:paraId="4F617BF1" w14:textId="77777777" w:rsidR="00743812" w:rsidRPr="00BD1B6F" w:rsidRDefault="00743812" w:rsidP="00743812">
      <w:pPr>
        <w:spacing w:after="240" w:line="276" w:lineRule="auto"/>
        <w:jc w:val="both"/>
        <w:rPr>
          <w:sz w:val="24"/>
          <w:szCs w:val="24"/>
        </w:rPr>
      </w:pPr>
      <w:r w:rsidRPr="00BD1B6F">
        <w:rPr>
          <w:sz w:val="24"/>
          <w:szCs w:val="24"/>
        </w:rPr>
        <w:t>U 2022. u</w:t>
      </w:r>
      <w:r>
        <w:rPr>
          <w:sz w:val="24"/>
          <w:szCs w:val="24"/>
        </w:rPr>
        <w:t xml:space="preserve"> </w:t>
      </w:r>
      <w:r w:rsidRPr="00BD1B6F">
        <w:rPr>
          <w:sz w:val="24"/>
          <w:szCs w:val="24"/>
        </w:rPr>
        <w:t>potpunosti su provedene aktivnosti planirane s ciljem promicanja regionalne suradnje i djelovanja na provedbi Strategije EU za jadransku i jonsku regiju (</w:t>
      </w:r>
      <w:r>
        <w:rPr>
          <w:sz w:val="24"/>
          <w:szCs w:val="24"/>
        </w:rPr>
        <w:t xml:space="preserve">u daljnjem tekstu: </w:t>
      </w:r>
      <w:r w:rsidRPr="00BD1B6F">
        <w:rPr>
          <w:sz w:val="24"/>
          <w:szCs w:val="24"/>
        </w:rPr>
        <w:t>EUSAIR) i Strategije EU za dunavsku regiju (</w:t>
      </w:r>
      <w:r>
        <w:rPr>
          <w:sz w:val="24"/>
          <w:szCs w:val="24"/>
        </w:rPr>
        <w:t xml:space="preserve">u daljnjem tekstu: </w:t>
      </w:r>
      <w:r w:rsidRPr="00EF548F">
        <w:rPr>
          <w:sz w:val="24"/>
          <w:szCs w:val="24"/>
        </w:rPr>
        <w:t>EUSDR</w:t>
      </w:r>
      <w:r>
        <w:rPr>
          <w:sz w:val="24"/>
          <w:szCs w:val="24"/>
        </w:rPr>
        <w:t>)</w:t>
      </w:r>
      <w:r w:rsidRPr="00EF548F">
        <w:rPr>
          <w:sz w:val="24"/>
          <w:szCs w:val="24"/>
        </w:rPr>
        <w:t>.</w:t>
      </w:r>
      <w:r w:rsidRPr="00BD1B6F">
        <w:rPr>
          <w:sz w:val="24"/>
          <w:szCs w:val="24"/>
        </w:rPr>
        <w:t xml:space="preserve"> Predstavnici Hrvatske  sudjelovali </w:t>
      </w:r>
      <w:r>
        <w:rPr>
          <w:sz w:val="24"/>
          <w:szCs w:val="24"/>
        </w:rPr>
        <w:t xml:space="preserve">su </w:t>
      </w:r>
      <w:r w:rsidRPr="00BD1B6F">
        <w:rPr>
          <w:sz w:val="24"/>
          <w:szCs w:val="24"/>
        </w:rPr>
        <w:t xml:space="preserve">na svih 20 sastanaka upravljačkih tijela za obje makroregionalne strategije </w:t>
      </w:r>
      <w:r>
        <w:rPr>
          <w:sz w:val="24"/>
          <w:szCs w:val="24"/>
        </w:rPr>
        <w:t>i</w:t>
      </w:r>
      <w:r w:rsidRPr="00BD1B6F">
        <w:rPr>
          <w:sz w:val="24"/>
          <w:szCs w:val="24"/>
        </w:rPr>
        <w:t xml:space="preserve"> koordinacijski</w:t>
      </w:r>
      <w:r>
        <w:rPr>
          <w:sz w:val="24"/>
          <w:szCs w:val="24"/>
        </w:rPr>
        <w:t>m</w:t>
      </w:r>
      <w:r w:rsidRPr="00BD1B6F">
        <w:rPr>
          <w:sz w:val="24"/>
          <w:szCs w:val="24"/>
        </w:rPr>
        <w:t xml:space="preserve"> sastan</w:t>
      </w:r>
      <w:r>
        <w:rPr>
          <w:sz w:val="24"/>
          <w:szCs w:val="24"/>
        </w:rPr>
        <w:t>cima</w:t>
      </w:r>
      <w:r w:rsidRPr="00BD1B6F">
        <w:rPr>
          <w:sz w:val="24"/>
          <w:szCs w:val="24"/>
        </w:rPr>
        <w:t xml:space="preserve"> za prioritetno područje „Održivi turizam“ (EUSAIR) </w:t>
      </w:r>
      <w:r>
        <w:rPr>
          <w:sz w:val="24"/>
          <w:szCs w:val="24"/>
        </w:rPr>
        <w:t>te</w:t>
      </w:r>
      <w:r w:rsidRPr="00BD1B6F">
        <w:rPr>
          <w:sz w:val="24"/>
          <w:szCs w:val="24"/>
        </w:rPr>
        <w:t xml:space="preserve"> prioritetna područja „Bioraznolikost i kvaliteta zraka i tla“ i „Konkurentnost poduzeća“ (EUSDR). Također, </w:t>
      </w:r>
      <w:r>
        <w:rPr>
          <w:sz w:val="24"/>
          <w:szCs w:val="24"/>
        </w:rPr>
        <w:t xml:space="preserve">s </w:t>
      </w:r>
      <w:r w:rsidRPr="00BD1B6F">
        <w:rPr>
          <w:sz w:val="24"/>
          <w:szCs w:val="24"/>
        </w:rPr>
        <w:t xml:space="preserve">obzirom na predsjedanje EUSAIR-om od lipnja 2023. godine, Hrvatska je tijekom 2022. sudjelovala u svim aktivnostima predsjedavajućih. U okviru svojeg djelovanja u obje makroregionalne strategije, Hrvatska je pružila snažnu potporu europskoj perspektivi država zapadnog Balkana i ojačala svoju poziciju njihovog stabilnog i pouzdanog partnera. </w:t>
      </w:r>
    </w:p>
    <w:p w14:paraId="69DCAFC1" w14:textId="77777777" w:rsidR="00743812" w:rsidRPr="00BD1B6F" w:rsidRDefault="00743812" w:rsidP="00743812">
      <w:pPr>
        <w:spacing w:after="240" w:line="276" w:lineRule="auto"/>
        <w:ind w:firstLine="720"/>
        <w:jc w:val="both"/>
        <w:rPr>
          <w:b/>
          <w:bCs/>
          <w:sz w:val="24"/>
          <w:szCs w:val="24"/>
        </w:rPr>
      </w:pPr>
      <w:r w:rsidRPr="00BD1B6F">
        <w:rPr>
          <w:b/>
          <w:bCs/>
          <w:sz w:val="24"/>
          <w:szCs w:val="24"/>
        </w:rPr>
        <w:t>Jačanje globalnog položaja Hrvatske na bilateralnom i multilateralnom planu</w:t>
      </w:r>
    </w:p>
    <w:p w14:paraId="524F6BD5" w14:textId="77777777" w:rsidR="00743812" w:rsidRPr="00BD1B6F" w:rsidRDefault="00743812" w:rsidP="00743812">
      <w:pPr>
        <w:spacing w:after="240" w:line="276" w:lineRule="auto"/>
        <w:jc w:val="both"/>
        <w:rPr>
          <w:sz w:val="24"/>
          <w:szCs w:val="24"/>
        </w:rPr>
      </w:pPr>
      <w:r w:rsidRPr="00BD1B6F">
        <w:rPr>
          <w:sz w:val="24"/>
          <w:szCs w:val="24"/>
        </w:rPr>
        <w:t>Nastavljeni su napori na izgradnji i poboljšanju međunarodnog položaja</w:t>
      </w:r>
      <w:r w:rsidRPr="00BD1B6F" w:rsidDel="005A7880">
        <w:rPr>
          <w:sz w:val="24"/>
          <w:szCs w:val="24"/>
        </w:rPr>
        <w:t xml:space="preserve"> </w:t>
      </w:r>
      <w:r w:rsidRPr="00BD1B6F">
        <w:rPr>
          <w:sz w:val="24"/>
          <w:szCs w:val="24"/>
        </w:rPr>
        <w:t xml:space="preserve">Hrvatske jačanjem bilateralnih odnosa sa susjedima u jugoistočnoj Europi i pružanjem podrške procesima za njihovu daljnju integraciju u Europsku uniju, pristupanjem i sudjelovanjem u radu multilateralnih organizacija i inicijativa. Također su nastavljeni napori na ostvarivanju vanjskopolitičkih interesa i prioriteta kroz </w:t>
      </w:r>
      <w:r>
        <w:rPr>
          <w:sz w:val="24"/>
          <w:szCs w:val="24"/>
        </w:rPr>
        <w:t>z</w:t>
      </w:r>
      <w:r w:rsidRPr="00BD1B6F">
        <w:rPr>
          <w:sz w:val="24"/>
          <w:szCs w:val="24"/>
        </w:rPr>
        <w:t>ajedničku vanjsku i sigurnosnu politiku Europske unije.</w:t>
      </w:r>
    </w:p>
    <w:p w14:paraId="4BE8B9B9" w14:textId="77777777" w:rsidR="00743812" w:rsidRPr="00BD1B6F" w:rsidRDefault="00743812" w:rsidP="00743812">
      <w:pPr>
        <w:spacing w:after="240" w:line="276" w:lineRule="auto"/>
        <w:jc w:val="both"/>
        <w:rPr>
          <w:sz w:val="24"/>
          <w:szCs w:val="24"/>
        </w:rPr>
      </w:pPr>
      <w:r w:rsidRPr="00BD1B6F">
        <w:rPr>
          <w:sz w:val="24"/>
          <w:szCs w:val="24"/>
        </w:rPr>
        <w:t xml:space="preserve">Vijeće OECD-a je 25. siječnja 2022. donijelo pozitivnu odluku o otvaranju pristupnog procesa Hrvatske </w:t>
      </w:r>
      <w:r w:rsidRPr="0033721E">
        <w:rPr>
          <w:sz w:val="24"/>
          <w:szCs w:val="24"/>
        </w:rPr>
        <w:t>O</w:t>
      </w:r>
      <w:r>
        <w:rPr>
          <w:sz w:val="24"/>
          <w:szCs w:val="24"/>
        </w:rPr>
        <w:t>ECD-u</w:t>
      </w:r>
      <w:r w:rsidRPr="0033721E">
        <w:rPr>
          <w:sz w:val="24"/>
          <w:szCs w:val="24"/>
        </w:rPr>
        <w:t xml:space="preserve">, </w:t>
      </w:r>
      <w:r w:rsidRPr="00BD1B6F">
        <w:rPr>
          <w:sz w:val="24"/>
          <w:szCs w:val="24"/>
        </w:rPr>
        <w:t>a na ministarskom sastanku usvojen je Plan pristupanja Republike Hrvatske OECD-u, čime je ostvaren značajan korak u ispunjavanju jednog od strateških ciljeva Hrvatske. Odluka o otvaranju pristupnog procesa uslijedila</w:t>
      </w:r>
      <w:r>
        <w:rPr>
          <w:sz w:val="24"/>
          <w:szCs w:val="24"/>
        </w:rPr>
        <w:t xml:space="preserve"> je</w:t>
      </w:r>
      <w:r w:rsidRPr="00BD1B6F">
        <w:rPr>
          <w:sz w:val="24"/>
          <w:szCs w:val="24"/>
        </w:rPr>
        <w:t xml:space="preserve"> nakon razmatranja članica OECD-a i ocjene napretka koje su zemlje kandidat</w:t>
      </w:r>
      <w:r>
        <w:rPr>
          <w:sz w:val="24"/>
          <w:szCs w:val="24"/>
        </w:rPr>
        <w:t>kinje</w:t>
      </w:r>
      <w:r w:rsidRPr="00BD1B6F">
        <w:rPr>
          <w:sz w:val="24"/>
          <w:szCs w:val="24"/>
        </w:rPr>
        <w:t xml:space="preserve"> ostvarile od svojih prvih zahtjeva za članstvo u OECD-u. Prema „Okviru za razmatranje potencijalnih članova“</w:t>
      </w:r>
      <w:r>
        <w:rPr>
          <w:sz w:val="24"/>
          <w:szCs w:val="24"/>
        </w:rPr>
        <w:t>,</w:t>
      </w:r>
      <w:r w:rsidRPr="00BD1B6F">
        <w:rPr>
          <w:sz w:val="24"/>
          <w:szCs w:val="24"/>
        </w:rPr>
        <w:t xml:space="preserve"> Hrvatska je dosad prihvatila 5 od 8 ključnih pravnih instrumenta OECD-a. Zahtjeve za pristupanje preostalim pravnim instrumentim</w:t>
      </w:r>
      <w:r>
        <w:rPr>
          <w:sz w:val="24"/>
          <w:szCs w:val="24"/>
        </w:rPr>
        <w:t>a</w:t>
      </w:r>
      <w:r w:rsidRPr="00BD1B6F">
        <w:rPr>
          <w:sz w:val="24"/>
          <w:szCs w:val="24"/>
        </w:rPr>
        <w:t xml:space="preserve"> Hrvatska je podnijela u lipnju i srpnju 2017</w:t>
      </w:r>
      <w:r w:rsidRPr="0033721E">
        <w:rPr>
          <w:sz w:val="24"/>
          <w:szCs w:val="24"/>
        </w:rPr>
        <w:t>.</w:t>
      </w:r>
      <w:r>
        <w:rPr>
          <w:sz w:val="24"/>
          <w:szCs w:val="24"/>
        </w:rPr>
        <w:t>,</w:t>
      </w:r>
      <w:r w:rsidRPr="00BD1B6F">
        <w:rPr>
          <w:sz w:val="24"/>
          <w:szCs w:val="24"/>
        </w:rPr>
        <w:t xml:space="preserve"> a nadležna tijela državne uprave kontinuirano rade na pristupanju preostalim pravnim instrumentima.</w:t>
      </w:r>
    </w:p>
    <w:p w14:paraId="3A29C4E6" w14:textId="77777777" w:rsidR="00743812" w:rsidRPr="00BD1B6F" w:rsidRDefault="00743812" w:rsidP="00743812">
      <w:pPr>
        <w:spacing w:after="240" w:line="276" w:lineRule="auto"/>
        <w:jc w:val="both"/>
        <w:rPr>
          <w:sz w:val="24"/>
          <w:szCs w:val="24"/>
        </w:rPr>
      </w:pPr>
      <w:r w:rsidRPr="00BD1B6F">
        <w:rPr>
          <w:sz w:val="24"/>
          <w:szCs w:val="24"/>
        </w:rPr>
        <w:t xml:space="preserve">Nastavljeni su napori na uređivanju otvorenih bilateralnih pitanja sa susjednim zemljama. S ciljem zaštite interesa Hrvatske na moru, u svibnju 2022. potpisan je Ugovor o razgraničenju isključivih gospodarskih pojaseva između Republike Hrvatske i Talijanske Republike. Ugovorom je sporazumno utvrđena crta razgraničenja isključivih </w:t>
      </w:r>
      <w:r w:rsidRPr="00BD1B6F">
        <w:rPr>
          <w:sz w:val="24"/>
          <w:szCs w:val="24"/>
        </w:rPr>
        <w:lastRenderedPageBreak/>
        <w:t xml:space="preserve">gospodarskih pojaseva i tako na trajnoj osnovi uređeno pitanje razgraničenja s </w:t>
      </w:r>
      <w:r>
        <w:rPr>
          <w:sz w:val="24"/>
          <w:szCs w:val="24"/>
        </w:rPr>
        <w:t>Talijanskom Republikom</w:t>
      </w:r>
      <w:r w:rsidRPr="00BD1B6F">
        <w:rPr>
          <w:sz w:val="24"/>
          <w:szCs w:val="24"/>
        </w:rPr>
        <w:t>, u skladu s međunarodnim pravom.</w:t>
      </w:r>
    </w:p>
    <w:p w14:paraId="6F738B76" w14:textId="77777777" w:rsidR="00743812" w:rsidRPr="00BD1B6F" w:rsidRDefault="00743812" w:rsidP="00743812">
      <w:pPr>
        <w:spacing w:after="240" w:line="276" w:lineRule="auto"/>
        <w:jc w:val="both"/>
        <w:rPr>
          <w:sz w:val="24"/>
          <w:szCs w:val="24"/>
        </w:rPr>
      </w:pPr>
      <w:r w:rsidRPr="00BD1B6F">
        <w:rPr>
          <w:sz w:val="24"/>
          <w:szCs w:val="24"/>
        </w:rPr>
        <w:t xml:space="preserve">U godini obilježenoj globalnom krizom izazvanom ruskom agresijom na Ukrajinu, Hrvatska se potvrdila kao pouzdan partner, ponajprije Ukrajini, a potom i drugim zemljama u potrebi. Sredstva izdvojena tijekom 2022. </w:t>
      </w:r>
      <w:r>
        <w:rPr>
          <w:sz w:val="24"/>
          <w:szCs w:val="24"/>
        </w:rPr>
        <w:t>radi</w:t>
      </w:r>
      <w:r w:rsidRPr="00352A9A">
        <w:rPr>
          <w:sz w:val="24"/>
          <w:szCs w:val="24"/>
        </w:rPr>
        <w:t xml:space="preserve"> upućivanj</w:t>
      </w:r>
      <w:r>
        <w:rPr>
          <w:sz w:val="24"/>
          <w:szCs w:val="24"/>
        </w:rPr>
        <w:t>a</w:t>
      </w:r>
      <w:r w:rsidRPr="00BD1B6F">
        <w:rPr>
          <w:sz w:val="24"/>
          <w:szCs w:val="24"/>
        </w:rPr>
        <w:t xml:space="preserve"> humanitarne pomoći prema apelu/ pozivu države koju je pogodila izvanredna kriza ili državama u produženim humanitarnim krizama, kao i sredstva za upućivanje humanitarne pomoći preko međunarodnih organizacija, institucija i tijela EU-a, iznosila su 4,6 milijuna eura (povećanje od 132% u odnosu na 2021.). Najveće pojedinačno izdvajanje za humanitarnu pomoć bila je isplata 4 milijuna eura za projekt jačanja sustava protuminskog djelovanja u Ukrajini, dok su se aktivnosti humanitarne pomoći provodile i u Afganistanu, Nigeriji, Sirijskoj Arapskoj Republici te Bolivarijanskoj Republici Venezueli, a pomoć kao odgovor na krize uzrokovane prirodnim katastrofama pružena</w:t>
      </w:r>
      <w:r>
        <w:rPr>
          <w:sz w:val="24"/>
          <w:szCs w:val="24"/>
        </w:rPr>
        <w:t xml:space="preserve"> je</w:t>
      </w:r>
      <w:r w:rsidRPr="00BD1B6F">
        <w:rPr>
          <w:sz w:val="24"/>
          <w:szCs w:val="24"/>
        </w:rPr>
        <w:t xml:space="preserve"> Bosni i Hercegovini i </w:t>
      </w:r>
      <w:r>
        <w:rPr>
          <w:sz w:val="24"/>
          <w:szCs w:val="24"/>
        </w:rPr>
        <w:t xml:space="preserve">Islamskoj Republici </w:t>
      </w:r>
      <w:r w:rsidRPr="001307BE">
        <w:rPr>
          <w:sz w:val="24"/>
          <w:szCs w:val="24"/>
        </w:rPr>
        <w:t>Pakistan.</w:t>
      </w:r>
      <w:r w:rsidRPr="00BD1B6F">
        <w:rPr>
          <w:sz w:val="24"/>
          <w:szCs w:val="24"/>
        </w:rPr>
        <w:t xml:space="preserve"> Humanitarna pomoć donacijom cjepiva protiv bolesti COVID-19 upućena </w:t>
      </w:r>
      <w:r>
        <w:rPr>
          <w:sz w:val="24"/>
          <w:szCs w:val="24"/>
        </w:rPr>
        <w:t xml:space="preserve">je </w:t>
      </w:r>
      <w:r w:rsidRPr="00BD1B6F">
        <w:rPr>
          <w:sz w:val="24"/>
          <w:szCs w:val="24"/>
        </w:rPr>
        <w:t>Republici Ruandi.</w:t>
      </w:r>
    </w:p>
    <w:p w14:paraId="3EBA1AE3" w14:textId="77777777" w:rsidR="00743812" w:rsidRPr="00BD1B6F" w:rsidRDefault="00743812" w:rsidP="00743812">
      <w:pPr>
        <w:spacing w:after="240" w:line="276" w:lineRule="auto"/>
        <w:ind w:left="720"/>
      </w:pPr>
      <w:r w:rsidRPr="00BD1B6F">
        <w:rPr>
          <w:b/>
          <w:bCs/>
          <w:sz w:val="24"/>
          <w:szCs w:val="24"/>
        </w:rPr>
        <w:t xml:space="preserve">Jačanje položaja Hrvata Bosne i Hercegovine i hrvatskih manjina te zajedništva domovinske i iseljene Hrvatske </w:t>
      </w:r>
    </w:p>
    <w:p w14:paraId="04A65B66" w14:textId="77777777" w:rsidR="00743812" w:rsidRPr="00BD1B6F" w:rsidRDefault="00743812" w:rsidP="00743812">
      <w:pPr>
        <w:spacing w:after="240" w:line="276" w:lineRule="auto"/>
        <w:jc w:val="both"/>
        <w:rPr>
          <w:sz w:val="24"/>
          <w:szCs w:val="24"/>
        </w:rPr>
      </w:pPr>
      <w:r w:rsidRPr="00BD1B6F">
        <w:rPr>
          <w:sz w:val="24"/>
          <w:szCs w:val="24"/>
        </w:rPr>
        <w:t>Nastavljeni su napori na promicanju i zaštiti prava i interesa Hrvatske i njenih državljana, zaštiti hrvatske nacionalne manjine, jačanju veza s hrvatskim iseljeništvom i poboljšanju prepoznatljivosti Hrvatske u svijetu.</w:t>
      </w:r>
      <w:r>
        <w:rPr>
          <w:sz w:val="24"/>
          <w:szCs w:val="24"/>
        </w:rPr>
        <w:t xml:space="preserve"> </w:t>
      </w:r>
      <w:r w:rsidRPr="00BD1B6F">
        <w:rPr>
          <w:sz w:val="24"/>
          <w:szCs w:val="24"/>
        </w:rPr>
        <w:t xml:space="preserve">Hrvatska se svojim Ustavom obvezala štititi prava i interese državljana koji žive ili borave u inozemstvu te promicati njihove veze s domovinom, a dijelovima hrvatskog naroda u drugim državama osigurati skrb i zaštitu. S ciljem doprinosa ispunjavanju navedenih ustavnih obveza, u srpnju 2022. donesen je Nacionalni plan razvoja odnosa Republike Hrvatske s Hrvatima izvan Republike Hrvatske do 2027., srednjoročni akt strateškog planiranja od nacionalnog značaja za područje odnosa Hrvatske s Hrvatima izvan Hrvatske. Provedbom Nacionalnog plana </w:t>
      </w:r>
      <w:r w:rsidRPr="007F2251">
        <w:rPr>
          <w:sz w:val="24"/>
          <w:szCs w:val="24"/>
        </w:rPr>
        <w:t>doprinijet</w:t>
      </w:r>
      <w:r w:rsidRPr="00BD1B6F">
        <w:rPr>
          <w:sz w:val="24"/>
          <w:szCs w:val="24"/>
        </w:rPr>
        <w:t xml:space="preserve"> će se zaštiti i jačanju položaja Hrvata u BiH i hrvatske nacionalne manjine u </w:t>
      </w:r>
      <w:r w:rsidRPr="008115FB">
        <w:rPr>
          <w:sz w:val="24"/>
          <w:szCs w:val="24"/>
        </w:rPr>
        <w:t xml:space="preserve">europskim </w:t>
      </w:r>
      <w:r w:rsidRPr="00BD1B6F">
        <w:rPr>
          <w:sz w:val="24"/>
          <w:szCs w:val="24"/>
        </w:rPr>
        <w:t>državama, poboljšati povezanost s Hrvatima izvan Hrvatske te ojačati zajedništvo domovinske i iseljene Hrvatske.</w:t>
      </w:r>
    </w:p>
    <w:p w14:paraId="7D0CFEDD" w14:textId="77777777" w:rsidR="00743812" w:rsidRPr="00BD1B6F" w:rsidRDefault="00743812" w:rsidP="00743812">
      <w:pPr>
        <w:spacing w:after="240" w:line="276" w:lineRule="auto"/>
        <w:jc w:val="both"/>
        <w:rPr>
          <w:sz w:val="24"/>
          <w:szCs w:val="24"/>
        </w:rPr>
      </w:pPr>
      <w:r w:rsidRPr="00BD1B6F">
        <w:rPr>
          <w:sz w:val="24"/>
          <w:szCs w:val="24"/>
        </w:rPr>
        <w:t xml:space="preserve">U skladu s definiranim prioritetima javne politike na području jačanja položaja Hrvata Bosne i Hercegovine, provedbom projekata i organizacijom sastanaka s </w:t>
      </w:r>
      <w:r w:rsidRPr="008115FB">
        <w:rPr>
          <w:sz w:val="24"/>
          <w:szCs w:val="24"/>
        </w:rPr>
        <w:t xml:space="preserve">predstavnicima vlasti u </w:t>
      </w:r>
      <w:r w:rsidRPr="00BD1B6F">
        <w:rPr>
          <w:sz w:val="24"/>
          <w:szCs w:val="24"/>
        </w:rPr>
        <w:t>Bosn</w:t>
      </w:r>
      <w:r w:rsidRPr="008115FB">
        <w:rPr>
          <w:sz w:val="24"/>
          <w:szCs w:val="24"/>
        </w:rPr>
        <w:t>i</w:t>
      </w:r>
      <w:r w:rsidRPr="00BD1B6F">
        <w:rPr>
          <w:sz w:val="24"/>
          <w:szCs w:val="24"/>
        </w:rPr>
        <w:t xml:space="preserve"> i Hercegovin</w:t>
      </w:r>
      <w:r w:rsidRPr="008115FB">
        <w:rPr>
          <w:sz w:val="24"/>
          <w:szCs w:val="24"/>
        </w:rPr>
        <w:t>i</w:t>
      </w:r>
      <w:r w:rsidRPr="00BD1B6F">
        <w:rPr>
          <w:sz w:val="24"/>
          <w:szCs w:val="24"/>
        </w:rPr>
        <w:t>, predstavnicima EU</w:t>
      </w:r>
      <w:r>
        <w:rPr>
          <w:sz w:val="24"/>
          <w:szCs w:val="24"/>
        </w:rPr>
        <w:t>-a</w:t>
      </w:r>
      <w:r w:rsidRPr="00BD1B6F">
        <w:rPr>
          <w:sz w:val="24"/>
          <w:szCs w:val="24"/>
        </w:rPr>
        <w:t xml:space="preserve"> te ključnim vanjskopolitičkim partnerima, Hrvatska nastavlja snažan angažman u stvaranju čvrstog temelja za ostanak Hrvata u Bosni i Hercegovini te poboljšanju uvjeta za njihov razvoj i prosperitet.</w:t>
      </w:r>
    </w:p>
    <w:p w14:paraId="769A67EE" w14:textId="77777777" w:rsidR="00743812" w:rsidRPr="00BD1B6F" w:rsidRDefault="00743812" w:rsidP="00743812">
      <w:pPr>
        <w:spacing w:after="240" w:line="276" w:lineRule="auto"/>
        <w:jc w:val="both"/>
        <w:rPr>
          <w:sz w:val="24"/>
          <w:szCs w:val="24"/>
        </w:rPr>
      </w:pPr>
      <w:r w:rsidRPr="00BD1B6F">
        <w:rPr>
          <w:sz w:val="24"/>
          <w:szCs w:val="24"/>
        </w:rPr>
        <w:lastRenderedPageBreak/>
        <w:t xml:space="preserve">U pogledu provedbe prioriteta politike u području jačanja položaja hrvatske nacionalne </w:t>
      </w:r>
      <w:r w:rsidRPr="008115FB">
        <w:rPr>
          <w:sz w:val="24"/>
          <w:szCs w:val="24"/>
        </w:rPr>
        <w:t xml:space="preserve">manjine </w:t>
      </w:r>
      <w:r w:rsidRPr="00BD1B6F">
        <w:rPr>
          <w:sz w:val="24"/>
          <w:szCs w:val="24"/>
        </w:rPr>
        <w:t xml:space="preserve">te zajedništva domovinske i iseljene Hrvatske, tijekom 2022. nastavljeno </w:t>
      </w:r>
      <w:r>
        <w:rPr>
          <w:sz w:val="24"/>
          <w:szCs w:val="24"/>
        </w:rPr>
        <w:t xml:space="preserve">je </w:t>
      </w:r>
      <w:r w:rsidRPr="00BD1B6F">
        <w:rPr>
          <w:sz w:val="24"/>
          <w:szCs w:val="24"/>
        </w:rPr>
        <w:t xml:space="preserve">pružanje potpore i rad na provedbi niza programa i projekata od strateškog značaja za Hrvate izvan Hrvatske. </w:t>
      </w:r>
      <w:r w:rsidRPr="4EA18699">
        <w:rPr>
          <w:color w:val="000000" w:themeColor="text1"/>
          <w:sz w:val="24"/>
          <w:szCs w:val="24"/>
        </w:rPr>
        <w:t xml:space="preserve">Odlukama Vlade o financiranju 6 projekata od strateške važnosti, osigurana je potpora u ukupnom iznosu od gotovo 2 milijuna eura za provedbu strateških projekata: </w:t>
      </w:r>
      <w:r w:rsidRPr="00BD1B6F">
        <w:rPr>
          <w:sz w:val="24"/>
          <w:szCs w:val="24"/>
        </w:rPr>
        <w:t>„Potpora radu Sveučilišta u Mostaru“, „Izgradnja Hrvatske kuće u Subotici“, „Institucionalno osnaživanje hrvatske zajednice u Republici Srbiji“, „Potpora radu Hrvatskog kazališta u Pečuhu“, „Potpora Radiju hrvatske nacionalne manjine - Radio Dux“ i „Potpora Hrvatskim novinama iz Željeznog</w:t>
      </w:r>
      <w:r>
        <w:rPr>
          <w:sz w:val="24"/>
          <w:szCs w:val="24"/>
        </w:rPr>
        <w:t>“</w:t>
      </w:r>
      <w:r w:rsidRPr="00BD1B6F">
        <w:rPr>
          <w:sz w:val="24"/>
          <w:szCs w:val="24"/>
        </w:rPr>
        <w:t>.</w:t>
      </w:r>
    </w:p>
    <w:p w14:paraId="1C921B36" w14:textId="77777777" w:rsidR="00743812" w:rsidRPr="00BD1B6F" w:rsidRDefault="00743812" w:rsidP="00743812">
      <w:pPr>
        <w:spacing w:after="240" w:line="276" w:lineRule="auto"/>
        <w:jc w:val="both"/>
        <w:rPr>
          <w:sz w:val="24"/>
          <w:szCs w:val="24"/>
        </w:rPr>
      </w:pPr>
      <w:r w:rsidRPr="00BD1B6F">
        <w:rPr>
          <w:sz w:val="24"/>
          <w:szCs w:val="24"/>
        </w:rPr>
        <w:t>S ciljem unaprjeđenj</w:t>
      </w:r>
      <w:r>
        <w:rPr>
          <w:sz w:val="24"/>
          <w:szCs w:val="24"/>
        </w:rPr>
        <w:t>a</w:t>
      </w:r>
      <w:r w:rsidRPr="00BD1B6F">
        <w:rPr>
          <w:sz w:val="24"/>
          <w:szCs w:val="24"/>
        </w:rPr>
        <w:t xml:space="preserve"> položaja i statusa hrvatskih zajednica izvan Hrvatske te zalaganja za ostvarivanje njihovih interesa u domicilnim državama, tijekom izvještajnog razdoblja održano je 56 susreta i sastanaka s članovima i predstavnicima hrvatskih zajednica te predstavnicima tijela javne vlasti na svim razinama u državama nastanjenja. Među navedenim događanjima i susretima, s predstavnicima lokalnih i regionalnih vlasti u Bosni i Hercegovini održano je više radnih i koordinacijskih sastanaka, dok je u Budimpešti održana </w:t>
      </w:r>
      <w:r>
        <w:rPr>
          <w:sz w:val="24"/>
          <w:szCs w:val="24"/>
        </w:rPr>
        <w:t>16</w:t>
      </w:r>
      <w:r w:rsidRPr="00BD1B6F">
        <w:rPr>
          <w:sz w:val="24"/>
          <w:szCs w:val="24"/>
        </w:rPr>
        <w:t xml:space="preserve">. </w:t>
      </w:r>
      <w:r>
        <w:rPr>
          <w:sz w:val="24"/>
          <w:szCs w:val="24"/>
        </w:rPr>
        <w:t>s</w:t>
      </w:r>
      <w:r w:rsidRPr="00BD1B6F">
        <w:rPr>
          <w:sz w:val="24"/>
          <w:szCs w:val="24"/>
        </w:rPr>
        <w:t xml:space="preserve">jednica Međuvladinog mješovitog odbora za zaštitu nacionalnih manjina između Hrvatske i Mađarske, a glavna tema bila </w:t>
      </w:r>
      <w:r>
        <w:rPr>
          <w:sz w:val="24"/>
          <w:szCs w:val="24"/>
        </w:rPr>
        <w:t>su</w:t>
      </w:r>
      <w:r w:rsidRPr="00BD1B6F">
        <w:rPr>
          <w:sz w:val="24"/>
          <w:szCs w:val="24"/>
        </w:rPr>
        <w:t xml:space="preserve"> ključna manjinska pitanja i ostvarivanje prava te važnost razvijanja bolje prometne povezanosti. S izaslanstvom Češke Republike razgovaralo se o hrvatskom prijedlogu za sklapanje Sporazuma o obostranoj zaštiti nacionalnih manjina, dok se u području ostvarenja interesa hrvatskih iseljenika razgovaralo, između ostalog</w:t>
      </w:r>
      <w:r>
        <w:rPr>
          <w:sz w:val="24"/>
          <w:szCs w:val="24"/>
        </w:rPr>
        <w:t>,</w:t>
      </w:r>
      <w:r w:rsidRPr="00BD1B6F">
        <w:rPr>
          <w:sz w:val="24"/>
          <w:szCs w:val="24"/>
        </w:rPr>
        <w:t xml:space="preserve"> i tijekom 6. susreta Hrvata u Južnoj Americi u Argentini i Paragvaju te s predstavnicima lokalnih vlasti u Kanadi</w:t>
      </w:r>
      <w:r>
        <w:rPr>
          <w:sz w:val="24"/>
          <w:szCs w:val="24"/>
        </w:rPr>
        <w:t xml:space="preserve"> (</w:t>
      </w:r>
      <w:r w:rsidRPr="00BD1B6F">
        <w:rPr>
          <w:sz w:val="24"/>
          <w:szCs w:val="24"/>
        </w:rPr>
        <w:t>Vancouveru i Torontu</w:t>
      </w:r>
      <w:r>
        <w:rPr>
          <w:sz w:val="24"/>
          <w:szCs w:val="24"/>
        </w:rPr>
        <w:t>)</w:t>
      </w:r>
      <w:r w:rsidRPr="594B1B8A">
        <w:rPr>
          <w:sz w:val="24"/>
          <w:szCs w:val="24"/>
        </w:rPr>
        <w:t>,</w:t>
      </w:r>
      <w:r w:rsidRPr="00BD1B6F">
        <w:rPr>
          <w:sz w:val="24"/>
          <w:szCs w:val="24"/>
        </w:rPr>
        <w:t xml:space="preserve"> prilikom posjete hrvatskoj zajednici u studenom. </w:t>
      </w:r>
    </w:p>
    <w:p w14:paraId="2C2AA2F0" w14:textId="77777777" w:rsidR="00743812" w:rsidRPr="00BD1B6F" w:rsidRDefault="00743812" w:rsidP="00743812">
      <w:pPr>
        <w:tabs>
          <w:tab w:val="left" w:pos="4253"/>
        </w:tabs>
        <w:spacing w:after="240" w:line="276" w:lineRule="auto"/>
        <w:jc w:val="both"/>
      </w:pPr>
      <w:r w:rsidRPr="00BD1B6F">
        <w:rPr>
          <w:sz w:val="24"/>
          <w:szCs w:val="24"/>
        </w:rPr>
        <w:t xml:space="preserve">S ciljem privlačenja mladih naraštaja hrvatskih iseljenika i pripadnika hrvatske nacionalne manjine na studiranje u Hrvatsku, dodijeljeno je ukupno 1.000 stipendija pripadnicima hrvatskog naroda izvan Hrvatske, od čega 249 stipendija za studente koji studiraju u Hrvatskoj i 751 stipendija za studente koji prebivaju i studiraju u Bosni i Hercegovini. </w:t>
      </w:r>
      <w:r w:rsidRPr="4EA18699">
        <w:rPr>
          <w:color w:val="000000" w:themeColor="text1"/>
          <w:sz w:val="24"/>
          <w:szCs w:val="24"/>
        </w:rPr>
        <w:t>Također, putem posebnih upisnih kvota za Hrvate izvan Hrvatske, na 7 visokih učilišta u Hrvatskoj u akademskoj godini 2022./2023. upisano je ukupno 26 studenata pripadnika hrvatske nacionalne manjine i studenata iz hrvatskog iseljeništva iz prekooceanskih i europskih država.</w:t>
      </w:r>
      <w:r w:rsidRPr="00BD1B6F">
        <w:rPr>
          <w:sz w:val="24"/>
          <w:szCs w:val="24"/>
        </w:rPr>
        <w:t xml:space="preserve"> Prema dostupnim podacima, na studij </w:t>
      </w:r>
      <w:r>
        <w:rPr>
          <w:sz w:val="24"/>
          <w:szCs w:val="24"/>
        </w:rPr>
        <w:t xml:space="preserve">se </w:t>
      </w:r>
      <w:r w:rsidRPr="00BD1B6F">
        <w:rPr>
          <w:sz w:val="24"/>
          <w:szCs w:val="24"/>
        </w:rPr>
        <w:t>u Hrvatskoj</w:t>
      </w:r>
      <w:r>
        <w:rPr>
          <w:sz w:val="24"/>
          <w:szCs w:val="24"/>
        </w:rPr>
        <w:t xml:space="preserve">, </w:t>
      </w:r>
      <w:r w:rsidRPr="00BD1B6F">
        <w:rPr>
          <w:sz w:val="24"/>
          <w:szCs w:val="24"/>
        </w:rPr>
        <w:t>temeljem posebnih upisnih kvota</w:t>
      </w:r>
      <w:r>
        <w:rPr>
          <w:sz w:val="24"/>
          <w:szCs w:val="24"/>
        </w:rPr>
        <w:t>,</w:t>
      </w:r>
      <w:r w:rsidRPr="00BD1B6F">
        <w:t xml:space="preserve"> </w:t>
      </w:r>
      <w:r w:rsidRPr="00BD1B6F">
        <w:rPr>
          <w:sz w:val="24"/>
          <w:szCs w:val="24"/>
        </w:rPr>
        <w:t>u akademskoj godini 2022./2023.</w:t>
      </w:r>
      <w:r>
        <w:rPr>
          <w:sz w:val="24"/>
          <w:szCs w:val="24"/>
        </w:rPr>
        <w:t xml:space="preserve"> </w:t>
      </w:r>
      <w:r w:rsidRPr="00BD1B6F">
        <w:rPr>
          <w:sz w:val="24"/>
          <w:szCs w:val="24"/>
        </w:rPr>
        <w:t xml:space="preserve">upisalo 26 studenata pripadnika hrvatskog iseljeništva i pripadnika hrvatske nacionalne manjine. </w:t>
      </w:r>
    </w:p>
    <w:p w14:paraId="7AB98D20" w14:textId="77777777" w:rsidR="00743812" w:rsidRPr="00BD1B6F" w:rsidRDefault="00743812" w:rsidP="00743812">
      <w:pPr>
        <w:spacing w:after="240" w:line="276" w:lineRule="auto"/>
        <w:jc w:val="both"/>
        <w:rPr>
          <w:sz w:val="24"/>
          <w:szCs w:val="24"/>
        </w:rPr>
      </w:pPr>
      <w:r w:rsidRPr="00BD1B6F">
        <w:rPr>
          <w:sz w:val="24"/>
          <w:szCs w:val="24"/>
        </w:rPr>
        <w:t>Nadalje, radi poticanja uključivanja Hrvata izvan Hrvatske u društveni život u Hrvatskoj i njihovog sudjelovanja u radu Savjeta Vlade Republike Hrvatske za Hrvate iz</w:t>
      </w:r>
      <w:r w:rsidRPr="00BD1B6F">
        <w:rPr>
          <w:sz w:val="24"/>
          <w:szCs w:val="24"/>
        </w:rPr>
        <w:lastRenderedPageBreak/>
        <w:t>van Republike Hrvatske, u srpnju je održana konstituirajuća sjednica ovog savjetodavnog tijela koj</w:t>
      </w:r>
      <w:r>
        <w:rPr>
          <w:sz w:val="24"/>
          <w:szCs w:val="24"/>
        </w:rPr>
        <w:t>i</w:t>
      </w:r>
      <w:r w:rsidRPr="00BD1B6F">
        <w:rPr>
          <w:sz w:val="24"/>
          <w:szCs w:val="24"/>
        </w:rPr>
        <w:t xml:space="preserve"> čine 55 imenovanih članova predstavnika Hrvata izvan Hrvatske. Na sjednici je izabrano novo vodstvo Savjeta te se raspravljalo o unaprjeđenju odnosa i suradnje s Hrvatima izvan Hrvatske, provedbi Zakona i Strategije o odnosima Republike Hrvatske s Hrvatima izvan Republike Hrvatske.</w:t>
      </w:r>
    </w:p>
    <w:p w14:paraId="3B6810D1" w14:textId="77777777" w:rsidR="00743812" w:rsidRDefault="00743812" w:rsidP="00743812">
      <w:pPr>
        <w:spacing w:after="240" w:line="276" w:lineRule="auto"/>
        <w:jc w:val="both"/>
        <w:rPr>
          <w:color w:val="000000" w:themeColor="text1"/>
          <w:sz w:val="24"/>
          <w:szCs w:val="24"/>
        </w:rPr>
      </w:pPr>
      <w:r w:rsidRPr="00BD1B6F">
        <w:rPr>
          <w:sz w:val="24"/>
          <w:szCs w:val="24"/>
        </w:rPr>
        <w:t>Radi očuvanja identiteta Hrvata izvan</w:t>
      </w:r>
      <w:r w:rsidRPr="009B43ED">
        <w:rPr>
          <w:sz w:val="24"/>
          <w:szCs w:val="24"/>
        </w:rPr>
        <w:t xml:space="preserve"> </w:t>
      </w:r>
      <w:r w:rsidRPr="00BD1B6F">
        <w:rPr>
          <w:sz w:val="24"/>
          <w:szCs w:val="24"/>
        </w:rPr>
        <w:t>Hrvatske te jačanja veza i suradnje s hrvatskim iseljeničkim zajednicama,</w:t>
      </w:r>
      <w:r w:rsidRPr="009B43ED">
        <w:rPr>
          <w:sz w:val="24"/>
          <w:szCs w:val="24"/>
        </w:rPr>
        <w:t xml:space="preserve"> nastavljeno je </w:t>
      </w:r>
      <w:r w:rsidRPr="00BD1B6F">
        <w:rPr>
          <w:sz w:val="24"/>
          <w:szCs w:val="24"/>
        </w:rPr>
        <w:t>financiranje proizvodnje programskog sadržaja Hrvatske radiotelevizije za informiranje Hrvata izvan Hrvatske. Tijekom 2022. proizvedeno je i emitirano ukupno 53 televizijske tjedne emisije Globalna Hrvatska, 41 emisija Pogled preko granica, 38 emisija Glas domovine, 10 emisija Hrvatska moj izbor, 15 emisija Otkrivamo Hrvatsku</w:t>
      </w:r>
      <w:r>
        <w:rPr>
          <w:sz w:val="24"/>
          <w:szCs w:val="24"/>
        </w:rPr>
        <w:t>,</w:t>
      </w:r>
      <w:r w:rsidRPr="00BD1B6F">
        <w:rPr>
          <w:sz w:val="24"/>
          <w:szCs w:val="24"/>
        </w:rPr>
        <w:t xml:space="preserve"> te 302 emisije studijskih vijesti na engleskom jeziku, </w:t>
      </w:r>
      <w:r>
        <w:rPr>
          <w:sz w:val="24"/>
          <w:szCs w:val="24"/>
        </w:rPr>
        <w:t xml:space="preserve">uz </w:t>
      </w:r>
      <w:r w:rsidRPr="00BD1B6F">
        <w:rPr>
          <w:sz w:val="24"/>
          <w:szCs w:val="24"/>
        </w:rPr>
        <w:t xml:space="preserve">isto toliko na njemačkom i španjolskom. </w:t>
      </w:r>
      <w:r w:rsidRPr="4EA18699">
        <w:rPr>
          <w:color w:val="000000" w:themeColor="text1"/>
          <w:sz w:val="24"/>
          <w:szCs w:val="24"/>
        </w:rPr>
        <w:t xml:space="preserve">Osim proizvodnje televizijskih sadržaja, </w:t>
      </w:r>
      <w:r>
        <w:rPr>
          <w:color w:val="000000" w:themeColor="text1"/>
          <w:sz w:val="24"/>
          <w:szCs w:val="24"/>
        </w:rPr>
        <w:t>s istim je ciljem</w:t>
      </w:r>
      <w:r w:rsidRPr="4EA18699">
        <w:rPr>
          <w:color w:val="000000" w:themeColor="text1"/>
          <w:sz w:val="24"/>
          <w:szCs w:val="24"/>
        </w:rPr>
        <w:t xml:space="preserve"> nastavljeno financiranje </w:t>
      </w:r>
      <w:r>
        <w:rPr>
          <w:color w:val="000000" w:themeColor="text1"/>
          <w:sz w:val="24"/>
          <w:szCs w:val="24"/>
        </w:rPr>
        <w:t>24-</w:t>
      </w:r>
      <w:r w:rsidRPr="4EA18699">
        <w:rPr>
          <w:color w:val="000000" w:themeColor="text1"/>
          <w:sz w:val="24"/>
          <w:szCs w:val="24"/>
        </w:rPr>
        <w:t xml:space="preserve">satnog višejezičnog radijskog sadržaja na </w:t>
      </w:r>
      <w:r>
        <w:rPr>
          <w:color w:val="000000" w:themeColor="text1"/>
          <w:sz w:val="24"/>
          <w:szCs w:val="24"/>
        </w:rPr>
        <w:t>m</w:t>
      </w:r>
      <w:r w:rsidRPr="4EA18699">
        <w:rPr>
          <w:color w:val="000000" w:themeColor="text1"/>
          <w:sz w:val="24"/>
          <w:szCs w:val="24"/>
        </w:rPr>
        <w:t>eđunarodnom radijskom programskom kanalu Glas Hrvatske te istoimenog portala koji je ujedno jedini četverojezični portal u Hrvatskoj.</w:t>
      </w:r>
    </w:p>
    <w:p w14:paraId="7CE78FD2" w14:textId="517ED2EC" w:rsidR="00824C19" w:rsidRPr="00BD1B6F" w:rsidRDefault="00DA15AF" w:rsidP="00B73B6C">
      <w:pPr>
        <w:spacing w:after="240" w:line="276" w:lineRule="auto"/>
        <w:jc w:val="both"/>
      </w:pPr>
      <w:r>
        <w:br/>
      </w:r>
    </w:p>
    <w:p w14:paraId="5E717E45" w14:textId="77777777" w:rsidR="00824C19" w:rsidRPr="00BD1B6F" w:rsidRDefault="00824C19">
      <w:r w:rsidRPr="00BD1B6F">
        <w:br w:type="page"/>
      </w:r>
    </w:p>
    <w:p w14:paraId="68C5CA64" w14:textId="3CE90473" w:rsidR="00AF5F07" w:rsidRPr="00A96C5F" w:rsidRDefault="3C32D60F" w:rsidP="00A96C5F">
      <w:pPr>
        <w:pStyle w:val="Heading2"/>
        <w:rPr>
          <w:sz w:val="24"/>
          <w:szCs w:val="24"/>
        </w:rPr>
      </w:pPr>
      <w:bookmarkStart w:id="72" w:name="_Toc133420950"/>
      <w:bookmarkStart w:id="73" w:name="_Toc156819381"/>
      <w:r w:rsidRPr="00A96C5F">
        <w:rPr>
          <w:sz w:val="24"/>
          <w:szCs w:val="24"/>
        </w:rPr>
        <w:lastRenderedPageBreak/>
        <w:t xml:space="preserve">5. </w:t>
      </w:r>
      <w:r w:rsidR="000F13A1" w:rsidRPr="00A96C5F">
        <w:rPr>
          <w:sz w:val="24"/>
          <w:szCs w:val="24"/>
        </w:rPr>
        <w:t>Zdrav, aktivan i kvalitetan život</w:t>
      </w:r>
      <w:bookmarkEnd w:id="72"/>
      <w:bookmarkEnd w:id="73"/>
    </w:p>
    <w:p w14:paraId="1A95A1DC" w14:textId="486F22CF" w:rsidR="002E7D86" w:rsidRPr="00BD1B6F" w:rsidRDefault="00C522D7" w:rsidP="007C4747">
      <w:pPr>
        <w:pStyle w:val="Heading3"/>
        <w:spacing w:before="120" w:after="120"/>
        <w:ind w:left="0" w:firstLine="720"/>
        <w:jc w:val="both"/>
        <w:rPr>
          <w:color w:val="000000" w:themeColor="text1"/>
          <w:sz w:val="24"/>
          <w:szCs w:val="24"/>
        </w:rPr>
      </w:pPr>
      <w:bookmarkStart w:id="74" w:name="_Toc130784366"/>
      <w:bookmarkStart w:id="75" w:name="_Toc133420951"/>
      <w:bookmarkStart w:id="76" w:name="_Toc156819382"/>
      <w:r w:rsidRPr="00BD1B6F">
        <w:rPr>
          <w:color w:val="000000" w:themeColor="text1"/>
          <w:sz w:val="24"/>
          <w:szCs w:val="24"/>
        </w:rPr>
        <w:t xml:space="preserve">5.1. </w:t>
      </w:r>
      <w:r w:rsidR="002E7D86" w:rsidRPr="00BD1B6F">
        <w:rPr>
          <w:color w:val="000000" w:themeColor="text1"/>
          <w:sz w:val="24"/>
          <w:szCs w:val="24"/>
        </w:rPr>
        <w:t>Ostvarene vrijednosti pokazatelja uspješnosti</w:t>
      </w:r>
      <w:bookmarkEnd w:id="74"/>
      <w:bookmarkEnd w:id="75"/>
      <w:bookmarkEnd w:id="76"/>
      <w:r w:rsidR="002E7D86" w:rsidRPr="00BD1B6F">
        <w:rPr>
          <w:color w:val="000000" w:themeColor="text1"/>
          <w:sz w:val="24"/>
          <w:szCs w:val="24"/>
        </w:rPr>
        <w:t xml:space="preserve"> </w:t>
      </w:r>
    </w:p>
    <w:tbl>
      <w:tblPr>
        <w:tblStyle w:val="TableGrid"/>
        <w:tblW w:w="0" w:type="auto"/>
        <w:jc w:val="center"/>
        <w:tblBorders>
          <w:top w:val="dotted" w:sz="2" w:space="0" w:color="auto"/>
          <w:left w:val="dotted" w:sz="2" w:space="0" w:color="auto"/>
          <w:bottom w:val="dotted" w:sz="2" w:space="0" w:color="auto"/>
          <w:right w:val="dotted" w:sz="2" w:space="0" w:color="auto"/>
          <w:insideH w:val="dotted" w:sz="2" w:space="0" w:color="auto"/>
          <w:insideV w:val="none" w:sz="0" w:space="0" w:color="auto"/>
        </w:tblBorders>
        <w:shd w:val="clear" w:color="auto" w:fill="FFFFFF" w:themeFill="background1"/>
        <w:tblLook w:val="04A0" w:firstRow="1" w:lastRow="0" w:firstColumn="1" w:lastColumn="0" w:noHBand="0" w:noVBand="1"/>
      </w:tblPr>
      <w:tblGrid>
        <w:gridCol w:w="2263"/>
        <w:gridCol w:w="2410"/>
        <w:gridCol w:w="1843"/>
        <w:gridCol w:w="2550"/>
      </w:tblGrid>
      <w:tr w:rsidR="009E28CF" w:rsidRPr="008115FB" w14:paraId="322E3355" w14:textId="77777777" w:rsidTr="00FD2238">
        <w:trPr>
          <w:trHeight w:val="771"/>
          <w:jc w:val="center"/>
        </w:trPr>
        <w:tc>
          <w:tcPr>
            <w:tcW w:w="2263"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2A8AA2B" w14:textId="77777777" w:rsidR="00A45E50" w:rsidRPr="00BD1B6F" w:rsidRDefault="00A45E50" w:rsidP="00215FE4">
            <w:pPr>
              <w:pStyle w:val="BodyText"/>
              <w:jc w:val="center"/>
              <w:rPr>
                <w:b/>
                <w:bCs/>
                <w:color w:val="000000" w:themeColor="text1"/>
              </w:rPr>
            </w:pPr>
            <w:r w:rsidRPr="00BD1B6F">
              <w:rPr>
                <w:b/>
                <w:bCs/>
                <w:color w:val="000000" w:themeColor="text1"/>
              </w:rPr>
              <w:t>Pokazatelj uspješnosti</w:t>
            </w:r>
          </w:p>
        </w:tc>
        <w:tc>
          <w:tcPr>
            <w:tcW w:w="2410"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282DAFD6" w14:textId="77777777" w:rsidR="00AE5832" w:rsidRPr="00BD1B6F" w:rsidRDefault="00A45E50" w:rsidP="00215FE4">
            <w:pPr>
              <w:pStyle w:val="BodyText"/>
              <w:jc w:val="center"/>
              <w:rPr>
                <w:b/>
                <w:bCs/>
                <w:color w:val="000000" w:themeColor="text1"/>
              </w:rPr>
            </w:pPr>
            <w:r w:rsidRPr="00BD1B6F">
              <w:rPr>
                <w:b/>
                <w:bCs/>
                <w:color w:val="000000" w:themeColor="text1"/>
              </w:rPr>
              <w:t xml:space="preserve">Početna </w:t>
            </w:r>
          </w:p>
          <w:p w14:paraId="7B952CB4" w14:textId="016F5C1F" w:rsidR="00A45E50" w:rsidRPr="00BD1B6F" w:rsidRDefault="00A45E50" w:rsidP="00215FE4">
            <w:pPr>
              <w:pStyle w:val="BodyText"/>
              <w:jc w:val="center"/>
              <w:rPr>
                <w:b/>
                <w:bCs/>
                <w:color w:val="000000" w:themeColor="text1"/>
              </w:rPr>
            </w:pPr>
            <w:r w:rsidRPr="00BD1B6F">
              <w:rPr>
                <w:b/>
                <w:bCs/>
                <w:color w:val="000000" w:themeColor="text1"/>
              </w:rPr>
              <w:t>vrijednost</w:t>
            </w:r>
          </w:p>
        </w:tc>
        <w:tc>
          <w:tcPr>
            <w:tcW w:w="1843"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190C833" w14:textId="77777777" w:rsidR="00AE5832" w:rsidRPr="00BD1B6F" w:rsidRDefault="00A45E50" w:rsidP="00215FE4">
            <w:pPr>
              <w:pStyle w:val="BodyText"/>
              <w:jc w:val="center"/>
              <w:rPr>
                <w:b/>
                <w:bCs/>
                <w:color w:val="000000" w:themeColor="text1"/>
              </w:rPr>
            </w:pPr>
            <w:r w:rsidRPr="00BD1B6F">
              <w:rPr>
                <w:b/>
                <w:bCs/>
                <w:color w:val="000000" w:themeColor="text1"/>
              </w:rPr>
              <w:t xml:space="preserve">Ciljna </w:t>
            </w:r>
          </w:p>
          <w:p w14:paraId="24E0E39D" w14:textId="0EBC1C27" w:rsidR="00A45E50" w:rsidRPr="00BD1B6F" w:rsidRDefault="00A45E50" w:rsidP="00215FE4">
            <w:pPr>
              <w:pStyle w:val="BodyText"/>
              <w:jc w:val="center"/>
              <w:rPr>
                <w:b/>
                <w:bCs/>
                <w:color w:val="000000" w:themeColor="text1"/>
              </w:rPr>
            </w:pPr>
            <w:r w:rsidRPr="00BD1B6F">
              <w:rPr>
                <w:b/>
                <w:bCs/>
                <w:color w:val="000000" w:themeColor="text1"/>
              </w:rPr>
              <w:t>vrijednost</w:t>
            </w:r>
          </w:p>
        </w:tc>
        <w:tc>
          <w:tcPr>
            <w:tcW w:w="2550"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23FF3D46" w14:textId="77777777" w:rsidR="00AE5832" w:rsidRPr="00BD1B6F" w:rsidRDefault="00A45E50" w:rsidP="00215FE4">
            <w:pPr>
              <w:pStyle w:val="BodyText"/>
              <w:jc w:val="center"/>
              <w:rPr>
                <w:b/>
                <w:bCs/>
                <w:color w:val="000000" w:themeColor="text1"/>
              </w:rPr>
            </w:pPr>
            <w:r w:rsidRPr="00BD1B6F">
              <w:rPr>
                <w:b/>
                <w:bCs/>
                <w:color w:val="000000" w:themeColor="text1"/>
              </w:rPr>
              <w:t xml:space="preserve">Ostvarena </w:t>
            </w:r>
          </w:p>
          <w:p w14:paraId="6288B900" w14:textId="290E487A" w:rsidR="00A45E50" w:rsidRPr="00BD1B6F" w:rsidRDefault="00A45E50" w:rsidP="00215FE4">
            <w:pPr>
              <w:pStyle w:val="BodyText"/>
              <w:jc w:val="center"/>
              <w:rPr>
                <w:b/>
                <w:bCs/>
                <w:color w:val="000000" w:themeColor="text1"/>
              </w:rPr>
            </w:pPr>
            <w:r w:rsidRPr="00BD1B6F">
              <w:rPr>
                <w:b/>
                <w:bCs/>
                <w:color w:val="000000" w:themeColor="text1"/>
              </w:rPr>
              <w:t>vrijednost</w:t>
            </w:r>
          </w:p>
        </w:tc>
      </w:tr>
      <w:tr w:rsidR="009E28CF" w:rsidRPr="008115FB" w14:paraId="0C90DD7D" w14:textId="77777777" w:rsidTr="00FD2238">
        <w:trPr>
          <w:trHeight w:val="1366"/>
          <w:jc w:val="center"/>
        </w:trPr>
        <w:tc>
          <w:tcPr>
            <w:tcW w:w="2263" w:type="dxa"/>
            <w:tcBorders>
              <w:top w:val="dotted" w:sz="4" w:space="0" w:color="auto"/>
            </w:tcBorders>
            <w:shd w:val="clear" w:color="auto" w:fill="FFFFFF" w:themeFill="background1"/>
            <w:vAlign w:val="center"/>
          </w:tcPr>
          <w:p w14:paraId="317400CC" w14:textId="4544A540" w:rsidR="00A45E50" w:rsidRPr="00BD1B6F" w:rsidRDefault="00A45E50" w:rsidP="00343B4E">
            <w:pPr>
              <w:pStyle w:val="BodyText"/>
              <w:spacing w:line="276" w:lineRule="auto"/>
              <w:rPr>
                <w:color w:val="000000" w:themeColor="text1"/>
              </w:rPr>
            </w:pPr>
            <w:r w:rsidRPr="00BD1B6F">
              <w:rPr>
                <w:color w:val="000000" w:themeColor="text1"/>
              </w:rPr>
              <w:t>Očekivani broj godina zdravog života</w:t>
            </w:r>
          </w:p>
        </w:tc>
        <w:tc>
          <w:tcPr>
            <w:tcW w:w="2410" w:type="dxa"/>
            <w:tcBorders>
              <w:top w:val="dotted" w:sz="4" w:space="0" w:color="auto"/>
            </w:tcBorders>
            <w:shd w:val="clear" w:color="auto" w:fill="DAEEF3" w:themeFill="accent5" w:themeFillTint="33"/>
            <w:vAlign w:val="center"/>
          </w:tcPr>
          <w:p w14:paraId="6056BF75" w14:textId="4D8EB041" w:rsidR="008E7B0E" w:rsidRPr="00BD1B6F" w:rsidRDefault="008E7B0E" w:rsidP="007768EF">
            <w:pPr>
              <w:pStyle w:val="BodyText"/>
              <w:spacing w:line="276" w:lineRule="auto"/>
              <w:ind w:left="-110" w:right="-114"/>
              <w:jc w:val="center"/>
              <w:rPr>
                <w:color w:val="000000" w:themeColor="text1"/>
              </w:rPr>
            </w:pPr>
            <w:r w:rsidRPr="00BD1B6F">
              <w:rPr>
                <w:color w:val="000000" w:themeColor="text1"/>
              </w:rPr>
              <w:t xml:space="preserve">58,5 godina </w:t>
            </w:r>
            <w:r w:rsidR="007768EF">
              <w:rPr>
                <w:color w:val="000000" w:themeColor="text1"/>
              </w:rPr>
              <w:t>(</w:t>
            </w:r>
            <w:r w:rsidRPr="00BD1B6F">
              <w:rPr>
                <w:color w:val="000000" w:themeColor="text1"/>
              </w:rPr>
              <w:t>žene</w:t>
            </w:r>
            <w:r w:rsidR="007768EF">
              <w:rPr>
                <w:color w:val="000000" w:themeColor="text1"/>
              </w:rPr>
              <w:t>)</w:t>
            </w:r>
          </w:p>
          <w:p w14:paraId="7AFBC93C" w14:textId="1FC3A1DD" w:rsidR="008E7B0E" w:rsidRPr="00BD1B6F" w:rsidRDefault="008E7B0E" w:rsidP="007768EF">
            <w:pPr>
              <w:pStyle w:val="BodyText"/>
              <w:spacing w:line="276" w:lineRule="auto"/>
              <w:ind w:left="-110" w:right="-114"/>
              <w:jc w:val="center"/>
              <w:rPr>
                <w:color w:val="000000" w:themeColor="text1"/>
              </w:rPr>
            </w:pPr>
            <w:r w:rsidRPr="00BD1B6F">
              <w:rPr>
                <w:color w:val="000000" w:themeColor="text1"/>
              </w:rPr>
              <w:t xml:space="preserve">56,5 godina </w:t>
            </w:r>
            <w:r w:rsidR="007768EF">
              <w:rPr>
                <w:color w:val="000000" w:themeColor="text1"/>
              </w:rPr>
              <w:t>(</w:t>
            </w:r>
            <w:r w:rsidRPr="00BD1B6F">
              <w:rPr>
                <w:color w:val="000000" w:themeColor="text1"/>
              </w:rPr>
              <w:t>muškarci</w:t>
            </w:r>
            <w:r w:rsidR="007768EF">
              <w:rPr>
                <w:color w:val="000000" w:themeColor="text1"/>
              </w:rPr>
              <w:t>)</w:t>
            </w:r>
          </w:p>
          <w:p w14:paraId="4A4F5F6F" w14:textId="28640BEB" w:rsidR="00A45E50" w:rsidRPr="00BD1B6F" w:rsidRDefault="008E7B0E" w:rsidP="007768EF">
            <w:pPr>
              <w:pStyle w:val="BodyText"/>
              <w:spacing w:line="276" w:lineRule="auto"/>
              <w:ind w:left="-110" w:right="-114"/>
              <w:jc w:val="center"/>
              <w:rPr>
                <w:color w:val="000000" w:themeColor="text1"/>
              </w:rPr>
            </w:pPr>
            <w:r w:rsidRPr="00BD1B6F">
              <w:rPr>
                <w:color w:val="000000" w:themeColor="text1"/>
              </w:rPr>
              <w:t>(2018.)</w:t>
            </w:r>
          </w:p>
        </w:tc>
        <w:tc>
          <w:tcPr>
            <w:tcW w:w="1843" w:type="dxa"/>
            <w:tcBorders>
              <w:top w:val="dotted" w:sz="4" w:space="0" w:color="auto"/>
            </w:tcBorders>
            <w:shd w:val="clear" w:color="auto" w:fill="FFFFFF" w:themeFill="background1"/>
            <w:vAlign w:val="center"/>
          </w:tcPr>
          <w:p w14:paraId="274918F3" w14:textId="44E60370" w:rsidR="008E7B0E" w:rsidRPr="00BD1B6F" w:rsidRDefault="008E7B0E" w:rsidP="00161696">
            <w:pPr>
              <w:pStyle w:val="BodyText"/>
              <w:spacing w:line="276" w:lineRule="auto"/>
              <w:jc w:val="center"/>
              <w:rPr>
                <w:color w:val="000000" w:themeColor="text1"/>
              </w:rPr>
            </w:pPr>
            <w:r w:rsidRPr="00BD1B6F">
              <w:rPr>
                <w:color w:val="000000" w:themeColor="text1"/>
              </w:rPr>
              <w:t>&gt; 64 godine žene</w:t>
            </w:r>
          </w:p>
          <w:p w14:paraId="620D108B" w14:textId="3A4EDEBF" w:rsidR="00A45E50" w:rsidRPr="00BD1B6F" w:rsidRDefault="008E7B0E" w:rsidP="00161696">
            <w:pPr>
              <w:pStyle w:val="BodyText"/>
              <w:spacing w:line="276" w:lineRule="auto"/>
              <w:jc w:val="center"/>
              <w:rPr>
                <w:color w:val="000000" w:themeColor="text1"/>
              </w:rPr>
            </w:pPr>
            <w:r w:rsidRPr="00BD1B6F">
              <w:rPr>
                <w:color w:val="000000" w:themeColor="text1"/>
              </w:rPr>
              <w:t>&gt; 64 godine muškarci</w:t>
            </w:r>
          </w:p>
        </w:tc>
        <w:tc>
          <w:tcPr>
            <w:tcW w:w="2550" w:type="dxa"/>
            <w:tcBorders>
              <w:top w:val="dotted" w:sz="4" w:space="0" w:color="auto"/>
            </w:tcBorders>
            <w:shd w:val="clear" w:color="auto" w:fill="DAEEF3" w:themeFill="accent5" w:themeFillTint="33"/>
            <w:vAlign w:val="center"/>
          </w:tcPr>
          <w:p w14:paraId="744E9E92" w14:textId="61317419" w:rsidR="00A45E50" w:rsidRPr="00BD1B6F" w:rsidRDefault="0008776A" w:rsidP="00161696">
            <w:pPr>
              <w:pStyle w:val="BodyText"/>
              <w:spacing w:line="276" w:lineRule="auto"/>
              <w:jc w:val="center"/>
              <w:rPr>
                <w:color w:val="000000" w:themeColor="text1"/>
              </w:rPr>
            </w:pPr>
            <w:r w:rsidRPr="00BD1B6F">
              <w:rPr>
                <w:color w:val="000000" w:themeColor="text1"/>
              </w:rPr>
              <w:t>59,</w:t>
            </w:r>
            <w:r w:rsidR="00EE58F3" w:rsidRPr="00BD1B6F">
              <w:rPr>
                <w:color w:val="000000" w:themeColor="text1"/>
              </w:rPr>
              <w:t>3</w:t>
            </w:r>
            <w:r w:rsidRPr="00BD1B6F">
              <w:rPr>
                <w:color w:val="000000" w:themeColor="text1"/>
              </w:rPr>
              <w:t xml:space="preserve"> godina </w:t>
            </w:r>
            <w:r w:rsidR="007768EF">
              <w:rPr>
                <w:color w:val="000000" w:themeColor="text1"/>
              </w:rPr>
              <w:t>(</w:t>
            </w:r>
            <w:r w:rsidR="00B04CDB" w:rsidRPr="00BD1B6F">
              <w:rPr>
                <w:color w:val="000000" w:themeColor="text1"/>
              </w:rPr>
              <w:t>žene</w:t>
            </w:r>
            <w:r w:rsidR="007768EF">
              <w:rPr>
                <w:color w:val="000000" w:themeColor="text1"/>
              </w:rPr>
              <w:t>)</w:t>
            </w:r>
          </w:p>
          <w:p w14:paraId="73C759C4" w14:textId="4601DF57" w:rsidR="00B04CDB" w:rsidRPr="00BD1B6F" w:rsidRDefault="00B04CDB" w:rsidP="00161696">
            <w:pPr>
              <w:pStyle w:val="BodyText"/>
              <w:spacing w:line="276" w:lineRule="auto"/>
              <w:jc w:val="center"/>
              <w:rPr>
                <w:color w:val="000000" w:themeColor="text1"/>
              </w:rPr>
            </w:pPr>
            <w:r w:rsidRPr="00BD1B6F">
              <w:rPr>
                <w:color w:val="000000" w:themeColor="text1"/>
              </w:rPr>
              <w:t>57,</w:t>
            </w:r>
            <w:r w:rsidR="002A0268" w:rsidRPr="00BD1B6F">
              <w:rPr>
                <w:color w:val="000000" w:themeColor="text1"/>
              </w:rPr>
              <w:t>9</w:t>
            </w:r>
            <w:r w:rsidRPr="00BD1B6F">
              <w:rPr>
                <w:color w:val="000000" w:themeColor="text1"/>
              </w:rPr>
              <w:t xml:space="preserve"> godina </w:t>
            </w:r>
            <w:r w:rsidR="007768EF">
              <w:rPr>
                <w:color w:val="000000" w:themeColor="text1"/>
              </w:rPr>
              <w:t>(</w:t>
            </w:r>
            <w:r w:rsidRPr="00BD1B6F">
              <w:rPr>
                <w:color w:val="000000" w:themeColor="text1"/>
              </w:rPr>
              <w:t>muškarci</w:t>
            </w:r>
            <w:r w:rsidR="007768EF">
              <w:rPr>
                <w:color w:val="000000" w:themeColor="text1"/>
              </w:rPr>
              <w:t>)</w:t>
            </w:r>
          </w:p>
          <w:p w14:paraId="2A40A1ED" w14:textId="2BFDDB9D" w:rsidR="00B04CDB" w:rsidRPr="00BD1B6F" w:rsidRDefault="00B04CDB" w:rsidP="00161696">
            <w:pPr>
              <w:pStyle w:val="BodyText"/>
              <w:spacing w:line="276" w:lineRule="auto"/>
              <w:jc w:val="center"/>
              <w:rPr>
                <w:color w:val="000000" w:themeColor="text1"/>
              </w:rPr>
            </w:pPr>
            <w:r w:rsidRPr="00BD1B6F">
              <w:rPr>
                <w:color w:val="000000" w:themeColor="text1"/>
              </w:rPr>
              <w:t>(202</w:t>
            </w:r>
            <w:r w:rsidR="002A0268" w:rsidRPr="00BD1B6F">
              <w:rPr>
                <w:color w:val="000000" w:themeColor="text1"/>
              </w:rPr>
              <w:t>1</w:t>
            </w:r>
            <w:r w:rsidRPr="00BD1B6F">
              <w:rPr>
                <w:color w:val="000000" w:themeColor="text1"/>
              </w:rPr>
              <w:t>.)</w:t>
            </w:r>
          </w:p>
        </w:tc>
      </w:tr>
      <w:tr w:rsidR="009E28CF" w:rsidRPr="008115FB" w14:paraId="3CF3C803" w14:textId="77777777" w:rsidTr="00FD2238">
        <w:trPr>
          <w:jc w:val="center"/>
        </w:trPr>
        <w:tc>
          <w:tcPr>
            <w:tcW w:w="2263" w:type="dxa"/>
            <w:shd w:val="clear" w:color="auto" w:fill="FFFFFF" w:themeFill="background1"/>
            <w:vAlign w:val="center"/>
          </w:tcPr>
          <w:p w14:paraId="2C8DB677" w14:textId="3A28E5D5" w:rsidR="008E7B0E" w:rsidRPr="00BD1B6F" w:rsidRDefault="008E7B0E" w:rsidP="00343B4E">
            <w:pPr>
              <w:pStyle w:val="BodyText"/>
              <w:spacing w:line="276" w:lineRule="auto"/>
              <w:rPr>
                <w:color w:val="000000" w:themeColor="text1"/>
              </w:rPr>
            </w:pPr>
            <w:r w:rsidRPr="00BD1B6F">
              <w:rPr>
                <w:color w:val="000000" w:themeColor="text1"/>
              </w:rPr>
              <w:t>Osobe u riziku od siromaštva i socijalne isključenosti</w:t>
            </w:r>
          </w:p>
        </w:tc>
        <w:tc>
          <w:tcPr>
            <w:tcW w:w="2410" w:type="dxa"/>
            <w:shd w:val="clear" w:color="auto" w:fill="DAEEF3" w:themeFill="accent5" w:themeFillTint="33"/>
            <w:vAlign w:val="center"/>
          </w:tcPr>
          <w:p w14:paraId="539DB398" w14:textId="1A93F2DD" w:rsidR="008E7B0E" w:rsidRPr="00BD1B6F" w:rsidRDefault="008E7B0E" w:rsidP="00161696">
            <w:pPr>
              <w:pStyle w:val="BodyText"/>
              <w:spacing w:line="276" w:lineRule="auto"/>
              <w:jc w:val="center"/>
              <w:rPr>
                <w:color w:val="000000" w:themeColor="text1"/>
              </w:rPr>
            </w:pPr>
            <w:r w:rsidRPr="00BD1B6F">
              <w:rPr>
                <w:color w:val="000000" w:themeColor="text1"/>
              </w:rPr>
              <w:t>23,3% (2019.)</w:t>
            </w:r>
          </w:p>
        </w:tc>
        <w:tc>
          <w:tcPr>
            <w:tcW w:w="1843" w:type="dxa"/>
            <w:shd w:val="clear" w:color="auto" w:fill="FFFFFF" w:themeFill="background1"/>
            <w:vAlign w:val="center"/>
          </w:tcPr>
          <w:p w14:paraId="63FFA92E" w14:textId="25A1EA8F" w:rsidR="008E7B0E" w:rsidRPr="00BD1B6F" w:rsidRDefault="008E7B0E" w:rsidP="00161696">
            <w:pPr>
              <w:pStyle w:val="BodyText"/>
              <w:spacing w:line="276" w:lineRule="auto"/>
              <w:jc w:val="center"/>
              <w:rPr>
                <w:color w:val="000000" w:themeColor="text1"/>
              </w:rPr>
            </w:pPr>
            <w:r w:rsidRPr="00BD1B6F">
              <w:rPr>
                <w:color w:val="000000" w:themeColor="text1"/>
              </w:rPr>
              <w:t>&lt; 15%</w:t>
            </w:r>
          </w:p>
        </w:tc>
        <w:tc>
          <w:tcPr>
            <w:tcW w:w="2550" w:type="dxa"/>
            <w:shd w:val="clear" w:color="auto" w:fill="DAEEF3" w:themeFill="accent5" w:themeFillTint="33"/>
            <w:vAlign w:val="center"/>
          </w:tcPr>
          <w:p w14:paraId="620A372E" w14:textId="18C7FF39" w:rsidR="008E7B0E" w:rsidRPr="00BD1B6F" w:rsidRDefault="0021411F" w:rsidP="00161696">
            <w:pPr>
              <w:pStyle w:val="BodyText"/>
              <w:spacing w:line="276" w:lineRule="auto"/>
              <w:jc w:val="center"/>
              <w:rPr>
                <w:color w:val="000000" w:themeColor="text1"/>
              </w:rPr>
            </w:pPr>
            <w:r w:rsidRPr="00BD1B6F">
              <w:rPr>
                <w:color w:val="000000" w:themeColor="text1"/>
              </w:rPr>
              <w:t>19,9% (2022.)</w:t>
            </w:r>
          </w:p>
        </w:tc>
      </w:tr>
    </w:tbl>
    <w:p w14:paraId="508066A6" w14:textId="4B141BEC" w:rsidR="00F025B2" w:rsidRPr="00BD1B6F" w:rsidRDefault="00D1365F" w:rsidP="00540139">
      <w:r w:rsidRPr="00BD1B6F">
        <w:t xml:space="preserve"> </w:t>
      </w:r>
    </w:p>
    <w:p w14:paraId="31855DE9" w14:textId="46235045" w:rsidR="002E7D86" w:rsidRPr="00BD1B6F" w:rsidRDefault="002E7D86" w:rsidP="004C1D5B">
      <w:pPr>
        <w:rPr>
          <w:color w:val="000000" w:themeColor="text1"/>
        </w:rPr>
      </w:pPr>
    </w:p>
    <w:p w14:paraId="6614F10E" w14:textId="457378EB" w:rsidR="002E7D86" w:rsidRPr="00BD1B6F" w:rsidRDefault="00344208" w:rsidP="00540139">
      <w:pPr>
        <w:pStyle w:val="Heading3"/>
        <w:spacing w:before="120" w:after="120" w:line="276" w:lineRule="auto"/>
        <w:ind w:left="709"/>
        <w:rPr>
          <w:color w:val="000000" w:themeColor="text1"/>
          <w:sz w:val="24"/>
          <w:szCs w:val="24"/>
        </w:rPr>
      </w:pPr>
      <w:bookmarkStart w:id="77" w:name="_Toc156819383"/>
      <w:r w:rsidRPr="00BD1B6F">
        <w:rPr>
          <w:color w:val="000000" w:themeColor="text1"/>
          <w:sz w:val="24"/>
          <w:szCs w:val="24"/>
        </w:rPr>
        <w:t>5.</w:t>
      </w:r>
      <w:r w:rsidR="005D294C">
        <w:rPr>
          <w:color w:val="000000" w:themeColor="text1"/>
          <w:sz w:val="24"/>
          <w:szCs w:val="24"/>
        </w:rPr>
        <w:t>2</w:t>
      </w:r>
      <w:r w:rsidRPr="00BD1B6F">
        <w:rPr>
          <w:color w:val="000000" w:themeColor="text1"/>
          <w:sz w:val="24"/>
          <w:szCs w:val="24"/>
        </w:rPr>
        <w:t>. Opis napretka u provedbi strateškog cilja Zdrav, aktivan i kvalitetan život</w:t>
      </w:r>
      <w:bookmarkEnd w:id="77"/>
    </w:p>
    <w:p w14:paraId="43E12BEB" w14:textId="77777777" w:rsidR="0058774E" w:rsidRPr="00BD1B6F" w:rsidRDefault="0058774E" w:rsidP="0058774E">
      <w:pPr>
        <w:widowControl/>
        <w:autoSpaceDE/>
        <w:autoSpaceDN/>
        <w:ind w:firstLine="709"/>
        <w:jc w:val="both"/>
        <w:rPr>
          <w:rFonts w:eastAsia="Calibri"/>
          <w:b/>
          <w:bCs/>
          <w:kern w:val="2"/>
          <w:sz w:val="24"/>
          <w:szCs w:val="24"/>
        </w:rPr>
      </w:pPr>
      <w:r w:rsidRPr="00BD1B6F">
        <w:rPr>
          <w:rFonts w:eastAsia="Calibri"/>
          <w:b/>
          <w:bCs/>
          <w:kern w:val="2"/>
          <w:sz w:val="24"/>
          <w:szCs w:val="24"/>
        </w:rPr>
        <w:t>Kvalitetna i dostupna zdravstvena zaštita i zdravstvena skrb</w:t>
      </w:r>
    </w:p>
    <w:p w14:paraId="305EB66E"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Poput većine europskih zemalja, </w:t>
      </w:r>
      <w:r>
        <w:rPr>
          <w:rFonts w:eastAsia="Calibri"/>
          <w:kern w:val="2"/>
          <w:sz w:val="24"/>
          <w:szCs w:val="24"/>
        </w:rPr>
        <w:t xml:space="preserve">i </w:t>
      </w:r>
      <w:r w:rsidRPr="00BD1B6F">
        <w:rPr>
          <w:rFonts w:eastAsia="Calibri"/>
          <w:kern w:val="2"/>
          <w:sz w:val="24"/>
          <w:szCs w:val="24"/>
        </w:rPr>
        <w:t>Hrvatska pripada državama sa starijim stanovništvom što nužno utječe na strukturu zdravstvenih potreba i povećanje potražnje za zdravstvenom zaštitom</w:t>
      </w:r>
      <w:r>
        <w:rPr>
          <w:rFonts w:eastAsia="Calibri"/>
          <w:kern w:val="2"/>
          <w:sz w:val="24"/>
          <w:szCs w:val="24"/>
        </w:rPr>
        <w:t>,</w:t>
      </w:r>
      <w:r w:rsidRPr="00BD1B6F">
        <w:rPr>
          <w:rFonts w:eastAsia="Calibri"/>
          <w:kern w:val="2"/>
          <w:sz w:val="24"/>
          <w:szCs w:val="24"/>
        </w:rPr>
        <w:t xml:space="preserve"> te samim time zahtijeva prilagodbu i reorganizaciju zdravstvenih kapaciteta. Hrvatska nastavlja pratiti pozitivan europski trend produljenja životnog vijeka koji ukazuje i na daljnju tendenciju rasta. </w:t>
      </w:r>
    </w:p>
    <w:p w14:paraId="3C896E8E"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Cilj reformi započetih u zdravstvenom sustavu nije samo utjecati na unaprjeđenje zdravstvenih ishoda</w:t>
      </w:r>
      <w:r w:rsidRPr="00BD1B6F">
        <w:rPr>
          <w:sz w:val="24"/>
          <w:szCs w:val="24"/>
        </w:rPr>
        <w:t xml:space="preserve"> u Hrvatskoj</w:t>
      </w:r>
      <w:r w:rsidRPr="00BD1B6F">
        <w:t xml:space="preserve"> </w:t>
      </w:r>
      <w:r w:rsidRPr="00BD1B6F">
        <w:rPr>
          <w:rFonts w:eastAsia="Calibri"/>
          <w:kern w:val="2"/>
          <w:sz w:val="24"/>
          <w:szCs w:val="24"/>
        </w:rPr>
        <w:t>na razinu razvijenih zapadnoeuropskih zemalja, nego utjecati i na rast očekivanog trajanja života i povećanje zdravih godina života stanovništva. Prema pod</w:t>
      </w:r>
      <w:r w:rsidRPr="008115FB">
        <w:rPr>
          <w:rFonts w:eastAsia="Calibri"/>
          <w:kern w:val="2"/>
          <w:sz w:val="24"/>
          <w:szCs w:val="24"/>
        </w:rPr>
        <w:t>ac</w:t>
      </w:r>
      <w:r w:rsidRPr="00BD1B6F">
        <w:rPr>
          <w:rFonts w:eastAsia="Calibri"/>
          <w:kern w:val="2"/>
          <w:sz w:val="24"/>
          <w:szCs w:val="24"/>
        </w:rPr>
        <w:t>ima za 2021., broj godina zdravog života u Hrvatskoj je za žene iznosio 59,3 godina (73,5% očekivane životne dobi</w:t>
      </w:r>
      <w:r w:rsidRPr="00672866">
        <w:rPr>
          <w:rFonts w:eastAsia="Calibri"/>
          <w:kern w:val="2"/>
          <w:sz w:val="24"/>
          <w:szCs w:val="24"/>
        </w:rPr>
        <w:t>)</w:t>
      </w:r>
      <w:r>
        <w:rPr>
          <w:rFonts w:eastAsia="Calibri"/>
          <w:kern w:val="2"/>
          <w:sz w:val="24"/>
          <w:szCs w:val="24"/>
        </w:rPr>
        <w:t>,</w:t>
      </w:r>
      <w:r w:rsidRPr="00BD1B6F">
        <w:rPr>
          <w:rFonts w:eastAsia="Calibri"/>
          <w:kern w:val="2"/>
          <w:sz w:val="24"/>
          <w:szCs w:val="24"/>
        </w:rPr>
        <w:t xml:space="preserve"> a za muškarce 57,9 godina (76,6% očekivane životne dobi), čime se Hrvatska </w:t>
      </w:r>
      <w:r>
        <w:rPr>
          <w:rFonts w:eastAsia="Calibri"/>
          <w:kern w:val="2"/>
          <w:sz w:val="24"/>
          <w:szCs w:val="24"/>
        </w:rPr>
        <w:t xml:space="preserve">nastavila </w:t>
      </w:r>
      <w:r w:rsidRPr="00672866">
        <w:rPr>
          <w:rFonts w:eastAsia="Calibri"/>
          <w:kern w:val="2"/>
          <w:sz w:val="24"/>
          <w:szCs w:val="24"/>
        </w:rPr>
        <w:t>približ</w:t>
      </w:r>
      <w:r>
        <w:rPr>
          <w:rFonts w:eastAsia="Calibri"/>
          <w:kern w:val="2"/>
          <w:sz w:val="24"/>
          <w:szCs w:val="24"/>
        </w:rPr>
        <w:t>avati</w:t>
      </w:r>
      <w:r w:rsidRPr="00BD1B6F">
        <w:rPr>
          <w:rFonts w:eastAsia="Calibri"/>
          <w:kern w:val="2"/>
          <w:sz w:val="24"/>
          <w:szCs w:val="24"/>
        </w:rPr>
        <w:t xml:space="preserve"> prosječnim vrijednostima očekivanog broja godina zdravog života </w:t>
      </w:r>
      <w:r>
        <w:rPr>
          <w:rFonts w:eastAsia="Calibri"/>
          <w:kern w:val="2"/>
          <w:sz w:val="24"/>
          <w:szCs w:val="24"/>
        </w:rPr>
        <w:t>u</w:t>
      </w:r>
      <w:r w:rsidRPr="00BD1B6F">
        <w:rPr>
          <w:rFonts w:eastAsia="Calibri"/>
          <w:kern w:val="2"/>
          <w:sz w:val="24"/>
          <w:szCs w:val="24"/>
        </w:rPr>
        <w:t xml:space="preserve"> EU (64,5 godina za žene i 63,5 godina za muškarce). </w:t>
      </w:r>
    </w:p>
    <w:p w14:paraId="7F631A32"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Jedna od ključnih slabosti hrvatskog zdravstvenog sustava je neravnomjerna zemljopisna raspodjela zdravstvene infrastrukture i ljudskih resursa. Najveći broj zdravstvenih ustanova i zdravstvenih radnika raspoređen je na području Grada Zagreba i Zagrebačke županije, dok u ruralnim i udaljenim krajevima te na jadranskim otocima taj broj </w:t>
      </w:r>
      <w:r>
        <w:rPr>
          <w:rFonts w:eastAsia="Calibri"/>
          <w:kern w:val="2"/>
          <w:sz w:val="24"/>
          <w:szCs w:val="24"/>
        </w:rPr>
        <w:t xml:space="preserve">značajno </w:t>
      </w:r>
      <w:r w:rsidRPr="00BD1B6F">
        <w:rPr>
          <w:rFonts w:eastAsia="Calibri"/>
          <w:kern w:val="2"/>
          <w:sz w:val="24"/>
          <w:szCs w:val="24"/>
        </w:rPr>
        <w:t>opada. Prema podacima o Mreži javne zdravstvene službe za 2021.</w:t>
      </w:r>
      <w:r>
        <w:rPr>
          <w:rFonts w:eastAsia="Calibri"/>
          <w:kern w:val="2"/>
          <w:sz w:val="24"/>
          <w:szCs w:val="24"/>
        </w:rPr>
        <w:t>,</w:t>
      </w:r>
      <w:r w:rsidRPr="00BD1B6F">
        <w:rPr>
          <w:rFonts w:eastAsia="Calibri"/>
          <w:kern w:val="2"/>
          <w:sz w:val="24"/>
          <w:szCs w:val="24"/>
        </w:rPr>
        <w:t xml:space="preserve"> stanje popunjenosti neznatno </w:t>
      </w:r>
      <w:r>
        <w:rPr>
          <w:rFonts w:eastAsia="Calibri"/>
          <w:kern w:val="2"/>
          <w:sz w:val="24"/>
          <w:szCs w:val="24"/>
        </w:rPr>
        <w:t xml:space="preserve">se </w:t>
      </w:r>
      <w:r w:rsidRPr="00BD1B6F">
        <w:rPr>
          <w:rFonts w:eastAsia="Calibri"/>
          <w:kern w:val="2"/>
          <w:sz w:val="24"/>
          <w:szCs w:val="24"/>
        </w:rPr>
        <w:t>poboljšalo</w:t>
      </w:r>
      <w:r w:rsidRPr="00BD1B6F">
        <w:rPr>
          <w:rFonts w:eastAsia="Calibri"/>
        </w:rPr>
        <w:t xml:space="preserve"> </w:t>
      </w:r>
      <w:r w:rsidRPr="00BD1B6F">
        <w:rPr>
          <w:rFonts w:eastAsia="Calibri"/>
          <w:kern w:val="2"/>
          <w:sz w:val="24"/>
          <w:szCs w:val="24"/>
        </w:rPr>
        <w:t>u području primarne zdravstvene zaštite</w:t>
      </w:r>
      <w:r>
        <w:rPr>
          <w:rFonts w:eastAsia="Calibri"/>
          <w:kern w:val="2"/>
          <w:sz w:val="24"/>
          <w:szCs w:val="24"/>
        </w:rPr>
        <w:t>, no n</w:t>
      </w:r>
      <w:r w:rsidRPr="00635E70">
        <w:rPr>
          <w:rFonts w:eastAsia="Calibri"/>
          <w:kern w:val="2"/>
          <w:sz w:val="24"/>
          <w:szCs w:val="24"/>
        </w:rPr>
        <w:t>ajnižu popunjenost u području primarne zdravstvene zaštite</w:t>
      </w:r>
      <w:r>
        <w:rPr>
          <w:rFonts w:eastAsia="Calibri"/>
          <w:kern w:val="2"/>
          <w:sz w:val="24"/>
          <w:szCs w:val="24"/>
        </w:rPr>
        <w:t xml:space="preserve"> i dalje imaju </w:t>
      </w:r>
      <w:r w:rsidRPr="00635E70">
        <w:rPr>
          <w:rFonts w:eastAsia="Calibri"/>
          <w:kern w:val="2"/>
          <w:sz w:val="24"/>
          <w:szCs w:val="24"/>
        </w:rPr>
        <w:t xml:space="preserve">naselja u ruralnim i udaljenim područjima </w:t>
      </w:r>
      <w:r>
        <w:rPr>
          <w:rFonts w:eastAsia="Calibri"/>
          <w:kern w:val="2"/>
          <w:sz w:val="24"/>
          <w:szCs w:val="24"/>
        </w:rPr>
        <w:t>te na otocima</w:t>
      </w:r>
      <w:r w:rsidRPr="00635E70">
        <w:rPr>
          <w:rFonts w:eastAsia="Calibri"/>
          <w:kern w:val="2"/>
          <w:sz w:val="24"/>
          <w:szCs w:val="24"/>
        </w:rPr>
        <w:t xml:space="preserve">. Navedeno utječe na cjelokupnu </w:t>
      </w:r>
      <w:r w:rsidRPr="00635E70">
        <w:rPr>
          <w:rFonts w:eastAsia="Calibri"/>
          <w:kern w:val="2"/>
          <w:sz w:val="24"/>
          <w:szCs w:val="24"/>
        </w:rPr>
        <w:lastRenderedPageBreak/>
        <w:t xml:space="preserve">kvalitetu života stanovništva u </w:t>
      </w:r>
      <w:r>
        <w:rPr>
          <w:rFonts w:eastAsia="Calibri"/>
          <w:kern w:val="2"/>
          <w:sz w:val="24"/>
          <w:szCs w:val="24"/>
        </w:rPr>
        <w:t>navedenim</w:t>
      </w:r>
      <w:r w:rsidRPr="00635E70">
        <w:rPr>
          <w:rFonts w:eastAsia="Calibri"/>
          <w:kern w:val="2"/>
          <w:sz w:val="24"/>
          <w:szCs w:val="24"/>
        </w:rPr>
        <w:t xml:space="preserve"> područjima te </w:t>
      </w:r>
      <w:r>
        <w:rPr>
          <w:rFonts w:eastAsia="Calibri"/>
          <w:kern w:val="2"/>
          <w:sz w:val="24"/>
          <w:szCs w:val="24"/>
        </w:rPr>
        <w:t xml:space="preserve">je </w:t>
      </w:r>
      <w:r w:rsidRPr="00635E70">
        <w:rPr>
          <w:rFonts w:eastAsia="Calibri"/>
          <w:kern w:val="2"/>
          <w:sz w:val="24"/>
          <w:szCs w:val="24"/>
        </w:rPr>
        <w:t>jedan od glavnih čimbenika iseljavanja stanovništva.</w:t>
      </w:r>
      <w:r>
        <w:rPr>
          <w:rFonts w:eastAsia="Calibri"/>
          <w:kern w:val="2"/>
          <w:sz w:val="24"/>
          <w:szCs w:val="24"/>
        </w:rPr>
        <w:t xml:space="preserve"> </w:t>
      </w:r>
      <w:r w:rsidRPr="00BD1B6F">
        <w:rPr>
          <w:rFonts w:eastAsia="Calibri"/>
          <w:kern w:val="2"/>
          <w:sz w:val="24"/>
          <w:szCs w:val="24"/>
        </w:rPr>
        <w:t xml:space="preserve">Iako je prema podacima za 2022. udio od 1,3% samoprijavljenih nezadovoljenih potreba za zdravstvenom skrbi u Hrvatskoj manji od prosjeka EU-a (2,2%), </w:t>
      </w:r>
      <w:r>
        <w:rPr>
          <w:rFonts w:eastAsia="Calibri"/>
          <w:kern w:val="2"/>
          <w:sz w:val="24"/>
          <w:szCs w:val="24"/>
        </w:rPr>
        <w:t xml:space="preserve">udio </w:t>
      </w:r>
      <w:r w:rsidRPr="00BD1B6F">
        <w:rPr>
          <w:rFonts w:eastAsia="Calibri"/>
          <w:kern w:val="2"/>
          <w:sz w:val="24"/>
          <w:szCs w:val="24"/>
        </w:rPr>
        <w:t>nezadovoljen</w:t>
      </w:r>
      <w:r>
        <w:rPr>
          <w:rFonts w:eastAsia="Calibri"/>
          <w:kern w:val="2"/>
          <w:sz w:val="24"/>
          <w:szCs w:val="24"/>
        </w:rPr>
        <w:t>ih</w:t>
      </w:r>
      <w:r w:rsidRPr="00BD1B6F">
        <w:rPr>
          <w:rFonts w:eastAsia="Calibri"/>
          <w:kern w:val="2"/>
          <w:sz w:val="24"/>
          <w:szCs w:val="24"/>
        </w:rPr>
        <w:t xml:space="preserve"> potreb</w:t>
      </w:r>
      <w:r>
        <w:rPr>
          <w:rFonts w:eastAsia="Calibri"/>
          <w:kern w:val="2"/>
          <w:sz w:val="24"/>
          <w:szCs w:val="24"/>
        </w:rPr>
        <w:t>a</w:t>
      </w:r>
      <w:r w:rsidRPr="00BD1B6F">
        <w:rPr>
          <w:rFonts w:eastAsia="Calibri"/>
          <w:kern w:val="2"/>
          <w:sz w:val="24"/>
          <w:szCs w:val="24"/>
        </w:rPr>
        <w:t xml:space="preserve"> za zdravstvenom skrbi zbog zemljopisne udaljenosti od 0,7%</w:t>
      </w:r>
      <w:r>
        <w:rPr>
          <w:rFonts w:eastAsia="Calibri"/>
          <w:kern w:val="2"/>
          <w:sz w:val="24"/>
          <w:szCs w:val="24"/>
        </w:rPr>
        <w:t>,</w:t>
      </w:r>
      <w:r w:rsidRPr="00BD1B6F">
        <w:rPr>
          <w:rFonts w:eastAsia="Calibri"/>
          <w:kern w:val="2"/>
          <w:sz w:val="24"/>
          <w:szCs w:val="24"/>
        </w:rPr>
        <w:t xml:space="preserve"> već</w:t>
      </w:r>
      <w:r>
        <w:rPr>
          <w:rFonts w:eastAsia="Calibri"/>
          <w:kern w:val="2"/>
          <w:sz w:val="24"/>
          <w:szCs w:val="24"/>
        </w:rPr>
        <w:t>i je</w:t>
      </w:r>
      <w:r w:rsidRPr="00BD1B6F">
        <w:rPr>
          <w:rFonts w:eastAsia="Calibri"/>
          <w:kern w:val="2"/>
          <w:sz w:val="24"/>
          <w:szCs w:val="24"/>
        </w:rPr>
        <w:t xml:space="preserve"> u Hrvatskoj nego u bilo kojoj drugoj državi članici EU</w:t>
      </w:r>
      <w:r>
        <w:rPr>
          <w:rFonts w:eastAsia="Calibri"/>
          <w:kern w:val="2"/>
          <w:sz w:val="24"/>
          <w:szCs w:val="24"/>
        </w:rPr>
        <w:t>-a</w:t>
      </w:r>
      <w:r w:rsidRPr="00BD1B6F">
        <w:rPr>
          <w:rFonts w:eastAsia="Calibri"/>
          <w:kern w:val="2"/>
          <w:sz w:val="24"/>
          <w:szCs w:val="24"/>
        </w:rPr>
        <w:t xml:space="preserve"> (prosjek EU</w:t>
      </w:r>
      <w:r>
        <w:rPr>
          <w:rFonts w:eastAsia="Calibri"/>
          <w:kern w:val="2"/>
          <w:sz w:val="24"/>
          <w:szCs w:val="24"/>
        </w:rPr>
        <w:t>-a</w:t>
      </w:r>
      <w:r w:rsidRPr="00BD1B6F">
        <w:rPr>
          <w:rFonts w:eastAsia="Calibri"/>
          <w:kern w:val="2"/>
          <w:sz w:val="24"/>
          <w:szCs w:val="24"/>
        </w:rPr>
        <w:t xml:space="preserve"> je 0,1%). </w:t>
      </w:r>
    </w:p>
    <w:p w14:paraId="17F0DD7D"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Sukladno provedenom Popisu stanovništva iz 2021., </w:t>
      </w:r>
      <w:r w:rsidRPr="00672866">
        <w:rPr>
          <w:rFonts w:eastAsia="Calibri"/>
          <w:kern w:val="2"/>
          <w:sz w:val="24"/>
          <w:szCs w:val="24"/>
        </w:rPr>
        <w:t>izmijenit</w:t>
      </w:r>
      <w:r w:rsidRPr="00BD1B6F">
        <w:rPr>
          <w:rFonts w:eastAsia="Calibri"/>
          <w:kern w:val="2"/>
          <w:sz w:val="24"/>
          <w:szCs w:val="24"/>
        </w:rPr>
        <w:t xml:space="preserve"> će se Mreža javne zdravstvene službe za područje </w:t>
      </w:r>
      <w:r>
        <w:rPr>
          <w:rFonts w:eastAsia="Calibri"/>
          <w:kern w:val="2"/>
          <w:sz w:val="24"/>
          <w:szCs w:val="24"/>
        </w:rPr>
        <w:t xml:space="preserve">cijele </w:t>
      </w:r>
      <w:r w:rsidRPr="00BD1B6F">
        <w:rPr>
          <w:rFonts w:eastAsia="Calibri"/>
          <w:kern w:val="2"/>
          <w:sz w:val="24"/>
          <w:szCs w:val="24"/>
        </w:rPr>
        <w:t>Hrvatske, kako bi se sukladno demografskim trendovima na području županija, općina i gradova, prema pojedinim razinama zdravstvene zaštite, preciznije utvrdile stvarne potrebe za zdravstvenim resursima. Izmjenama Mreže doprinijet</w:t>
      </w:r>
      <w:r>
        <w:rPr>
          <w:rFonts w:eastAsia="Calibri"/>
          <w:kern w:val="2"/>
          <w:sz w:val="24"/>
          <w:szCs w:val="24"/>
        </w:rPr>
        <w:t xml:space="preserve"> će se</w:t>
      </w:r>
      <w:r w:rsidRPr="00BD1B6F">
        <w:rPr>
          <w:rFonts w:eastAsia="Calibri"/>
          <w:kern w:val="2"/>
          <w:sz w:val="24"/>
          <w:szCs w:val="24"/>
        </w:rPr>
        <w:t xml:space="preserve"> učinkovitijem pružanju kvalitetnih zdravstvenih usluga stanovništvu te će se povećati udio mjesta izvanbolničke specijalističko-konzilijarne zdravstvene zaštite u domovima zdravlja, kako bi se smanjilo opterećenje bolničkog sustava.  </w:t>
      </w:r>
    </w:p>
    <w:p w14:paraId="0E6DB87D"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Radi razvoja i unaprjeđenja hrvatskog zdravstvenog sustava, kako bi kvalitetno i pravovremeno odgovarao zdravstvenim potrebama stanovništva na svim područjima Hrvatske, u okviru NPOO</w:t>
      </w:r>
      <w:r>
        <w:rPr>
          <w:rFonts w:eastAsia="Calibri"/>
          <w:kern w:val="2"/>
          <w:sz w:val="24"/>
          <w:szCs w:val="24"/>
        </w:rPr>
        <w:t>-a</w:t>
      </w:r>
      <w:r w:rsidRPr="00BD1B6F">
        <w:rPr>
          <w:rFonts w:eastAsia="Calibri"/>
          <w:kern w:val="2"/>
          <w:sz w:val="24"/>
          <w:szCs w:val="24"/>
        </w:rPr>
        <w:t xml:space="preserve"> i </w:t>
      </w:r>
      <w:r w:rsidRPr="00672866">
        <w:rPr>
          <w:rFonts w:eastAsia="Calibri"/>
          <w:kern w:val="2"/>
          <w:sz w:val="24"/>
          <w:szCs w:val="24"/>
        </w:rPr>
        <w:t>Program</w:t>
      </w:r>
      <w:r>
        <w:rPr>
          <w:rFonts w:eastAsia="Calibri"/>
          <w:kern w:val="2"/>
          <w:sz w:val="24"/>
          <w:szCs w:val="24"/>
        </w:rPr>
        <w:t>a</w:t>
      </w:r>
      <w:r w:rsidRPr="00672866">
        <w:rPr>
          <w:rFonts w:eastAsia="Calibri"/>
          <w:kern w:val="2"/>
          <w:sz w:val="24"/>
          <w:szCs w:val="24"/>
        </w:rPr>
        <w:t xml:space="preserve"> </w:t>
      </w:r>
      <w:r>
        <w:rPr>
          <w:rFonts w:eastAsia="Calibri"/>
          <w:kern w:val="2"/>
          <w:sz w:val="24"/>
          <w:szCs w:val="24"/>
        </w:rPr>
        <w:t>„</w:t>
      </w:r>
      <w:r w:rsidRPr="00672866">
        <w:rPr>
          <w:rFonts w:eastAsia="Calibri"/>
          <w:kern w:val="2"/>
          <w:sz w:val="24"/>
          <w:szCs w:val="24"/>
        </w:rPr>
        <w:t>Konkurentnost i kohezija</w:t>
      </w:r>
      <w:r>
        <w:rPr>
          <w:rFonts w:eastAsia="Calibri"/>
          <w:kern w:val="2"/>
          <w:sz w:val="24"/>
          <w:szCs w:val="24"/>
        </w:rPr>
        <w:t>“</w:t>
      </w:r>
      <w:r w:rsidRPr="00672866">
        <w:rPr>
          <w:rFonts w:eastAsia="Calibri"/>
          <w:kern w:val="2"/>
          <w:sz w:val="24"/>
          <w:szCs w:val="24"/>
        </w:rPr>
        <w:t xml:space="preserve"> 2021.</w:t>
      </w:r>
      <w:r>
        <w:rPr>
          <w:rFonts w:eastAsia="Calibri"/>
          <w:kern w:val="2"/>
          <w:sz w:val="24"/>
          <w:szCs w:val="24"/>
        </w:rPr>
        <w:t xml:space="preserve"> </w:t>
      </w:r>
      <w:r w:rsidRPr="00672866">
        <w:rPr>
          <w:rFonts w:eastAsia="Calibri"/>
          <w:kern w:val="2"/>
          <w:sz w:val="24"/>
          <w:szCs w:val="24"/>
        </w:rPr>
        <w:t>-</w:t>
      </w:r>
      <w:r>
        <w:rPr>
          <w:rFonts w:eastAsia="Calibri"/>
          <w:kern w:val="2"/>
          <w:sz w:val="24"/>
          <w:szCs w:val="24"/>
        </w:rPr>
        <w:t xml:space="preserve"> </w:t>
      </w:r>
      <w:r w:rsidRPr="00672866">
        <w:rPr>
          <w:rFonts w:eastAsia="Calibri"/>
          <w:kern w:val="2"/>
          <w:sz w:val="24"/>
          <w:szCs w:val="24"/>
        </w:rPr>
        <w:t>2027</w:t>
      </w:r>
      <w:r>
        <w:rPr>
          <w:rFonts w:eastAsia="Calibri"/>
          <w:kern w:val="2"/>
          <w:sz w:val="24"/>
          <w:szCs w:val="24"/>
        </w:rPr>
        <w:t>. (u daljnjem tekstu: PKK</w:t>
      </w:r>
      <w:r w:rsidRPr="00BD1B6F">
        <w:rPr>
          <w:rFonts w:eastAsia="Calibri"/>
          <w:kern w:val="2"/>
          <w:sz w:val="24"/>
          <w:szCs w:val="24"/>
        </w:rPr>
        <w:t xml:space="preserve"> 2021.-2027</w:t>
      </w:r>
      <w:r>
        <w:rPr>
          <w:rFonts w:eastAsia="Calibri"/>
          <w:kern w:val="2"/>
          <w:sz w:val="24"/>
          <w:szCs w:val="24"/>
        </w:rPr>
        <w:t>.),</w:t>
      </w:r>
      <w:r w:rsidRPr="00BD1B6F">
        <w:rPr>
          <w:rFonts w:eastAsia="Calibri"/>
          <w:kern w:val="2"/>
          <w:sz w:val="24"/>
          <w:szCs w:val="24"/>
        </w:rPr>
        <w:t xml:space="preserve"> planirana je provedba niza reformskih mjera i ulaganja. Njihovom provedbom </w:t>
      </w:r>
      <w:r w:rsidRPr="00672866">
        <w:rPr>
          <w:rFonts w:eastAsia="Calibri"/>
          <w:kern w:val="2"/>
          <w:sz w:val="24"/>
          <w:szCs w:val="24"/>
        </w:rPr>
        <w:t>doprinijet</w:t>
      </w:r>
      <w:r w:rsidRPr="00BD1B6F">
        <w:rPr>
          <w:rFonts w:eastAsia="Calibri"/>
          <w:kern w:val="2"/>
          <w:sz w:val="24"/>
          <w:szCs w:val="24"/>
        </w:rPr>
        <w:t xml:space="preserve"> će se povećanju učinkovitosti i kvalitete zdravstvenog sustava</w:t>
      </w:r>
      <w:r>
        <w:rPr>
          <w:rFonts w:eastAsia="Calibri"/>
          <w:kern w:val="2"/>
          <w:sz w:val="24"/>
          <w:szCs w:val="24"/>
        </w:rPr>
        <w:t xml:space="preserve"> u Hrvatskoj</w:t>
      </w:r>
      <w:r w:rsidRPr="00BD1B6F">
        <w:rPr>
          <w:rFonts w:eastAsia="Calibri"/>
          <w:kern w:val="2"/>
          <w:sz w:val="24"/>
          <w:szCs w:val="24"/>
        </w:rPr>
        <w:t xml:space="preserve"> te poboljšanju njegove dostupnosti i financijske održivosti. </w:t>
      </w:r>
    </w:p>
    <w:p w14:paraId="224B501B"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U okviru NPOO komponente C5.1. „Jačanje otpornosti zdravstvenog sustava“</w:t>
      </w:r>
      <w:r>
        <w:rPr>
          <w:rFonts w:eastAsia="Calibri"/>
          <w:kern w:val="2"/>
          <w:sz w:val="24"/>
          <w:szCs w:val="24"/>
        </w:rPr>
        <w:t>,</w:t>
      </w:r>
      <w:r w:rsidRPr="00BD1B6F">
        <w:rPr>
          <w:rFonts w:eastAsia="Calibri"/>
          <w:kern w:val="2"/>
          <w:sz w:val="24"/>
          <w:szCs w:val="24"/>
        </w:rPr>
        <w:t xml:space="preserve"> izrađeni su i u rujnu 2022. usvojeni „Okvir za procjenu učinkovitosti zdravstvenog sustava“</w:t>
      </w:r>
      <w:r w:rsidRPr="00BD1B6F">
        <w:t xml:space="preserve"> </w:t>
      </w:r>
      <w:r w:rsidRPr="00BD1B6F">
        <w:rPr>
          <w:rFonts w:eastAsia="Calibri"/>
          <w:kern w:val="2"/>
          <w:sz w:val="24"/>
          <w:szCs w:val="24"/>
        </w:rPr>
        <w:t xml:space="preserve">te „Akcijski plan za izradu izvješća o procjeni učinkovitosti hrvatskog zdravstvenog sustava“. </w:t>
      </w:r>
      <w:r>
        <w:rPr>
          <w:rFonts w:eastAsia="Calibri"/>
          <w:kern w:val="2"/>
          <w:sz w:val="24"/>
          <w:szCs w:val="24"/>
        </w:rPr>
        <w:t>S o</w:t>
      </w:r>
      <w:r w:rsidRPr="00BD1B6F">
        <w:rPr>
          <w:rFonts w:eastAsia="Calibri"/>
          <w:kern w:val="2"/>
          <w:sz w:val="24"/>
          <w:szCs w:val="24"/>
        </w:rPr>
        <w:t xml:space="preserve">bzirom </w:t>
      </w:r>
      <w:r>
        <w:rPr>
          <w:rFonts w:eastAsia="Calibri"/>
          <w:kern w:val="2"/>
          <w:sz w:val="24"/>
          <w:szCs w:val="24"/>
        </w:rPr>
        <w:t xml:space="preserve">na to </w:t>
      </w:r>
      <w:r w:rsidRPr="00BD1B6F">
        <w:rPr>
          <w:rFonts w:eastAsia="Calibri"/>
          <w:kern w:val="2"/>
          <w:sz w:val="24"/>
          <w:szCs w:val="24"/>
        </w:rPr>
        <w:t>da su za razumijevanje stanja kvalitete zdravstvene zaštite i ocjenu učinkovitosti zdravstvenog sustava nužni pouzdani i valjani pokazatelji, Okvirom su definirani odgovarajući pokazatelji</w:t>
      </w:r>
      <w:r w:rsidRPr="00BD1B6F">
        <w:t xml:space="preserve"> </w:t>
      </w:r>
      <w:r>
        <w:rPr>
          <w:sz w:val="24"/>
          <w:szCs w:val="24"/>
        </w:rPr>
        <w:t xml:space="preserve">i </w:t>
      </w:r>
      <w:r w:rsidRPr="00BD1B6F">
        <w:rPr>
          <w:rFonts w:eastAsia="Calibri"/>
          <w:kern w:val="2"/>
          <w:sz w:val="24"/>
          <w:szCs w:val="24"/>
        </w:rPr>
        <w:t xml:space="preserve">utvrđena glavna područja analize </w:t>
      </w:r>
      <w:r w:rsidRPr="00672866">
        <w:rPr>
          <w:rFonts w:eastAsia="Calibri"/>
          <w:kern w:val="2"/>
          <w:sz w:val="24"/>
          <w:szCs w:val="24"/>
        </w:rPr>
        <w:t>koj</w:t>
      </w:r>
      <w:r>
        <w:rPr>
          <w:rFonts w:eastAsia="Calibri"/>
          <w:kern w:val="2"/>
          <w:sz w:val="24"/>
          <w:szCs w:val="24"/>
        </w:rPr>
        <w:t>a</w:t>
      </w:r>
      <w:r w:rsidRPr="00BD1B6F">
        <w:rPr>
          <w:rFonts w:eastAsia="Calibri"/>
          <w:kern w:val="2"/>
          <w:sz w:val="24"/>
          <w:szCs w:val="24"/>
        </w:rPr>
        <w:t xml:space="preserve"> će se koristiti pri procjeni učinkovitosti hrvatskog zdravstvenog sustava. Temeljem smjernica iz Akcijskog plana </w:t>
      </w:r>
      <w:r w:rsidRPr="00672866">
        <w:rPr>
          <w:rFonts w:eastAsia="Calibri"/>
          <w:kern w:val="2"/>
          <w:sz w:val="24"/>
          <w:szCs w:val="24"/>
        </w:rPr>
        <w:t>izradit</w:t>
      </w:r>
      <w:r w:rsidRPr="00BD1B6F">
        <w:rPr>
          <w:rFonts w:eastAsia="Calibri"/>
          <w:kern w:val="2"/>
          <w:sz w:val="24"/>
          <w:szCs w:val="24"/>
        </w:rPr>
        <w:t xml:space="preserve"> će se prvo „Izvješće o procjeni učinkovitosti hrvatskog zdravstvenog sustava“ kojim će se ključnim dionicima u zdravstvenom sustavu omogućiti pouzdano praćenje rezultata i ishoda u provedbi reformi te olakšati priprem</w:t>
      </w:r>
      <w:r>
        <w:rPr>
          <w:rFonts w:eastAsia="Calibri"/>
          <w:kern w:val="2"/>
          <w:sz w:val="24"/>
          <w:szCs w:val="24"/>
        </w:rPr>
        <w:t>a</w:t>
      </w:r>
      <w:r w:rsidRPr="00BD1B6F">
        <w:rPr>
          <w:rFonts w:eastAsia="Calibri"/>
          <w:kern w:val="2"/>
          <w:sz w:val="24"/>
          <w:szCs w:val="24"/>
        </w:rPr>
        <w:t xml:space="preserve"> novih i prilagodb</w:t>
      </w:r>
      <w:r>
        <w:rPr>
          <w:rFonts w:eastAsia="Calibri"/>
          <w:kern w:val="2"/>
          <w:sz w:val="24"/>
          <w:szCs w:val="24"/>
        </w:rPr>
        <w:t>a</w:t>
      </w:r>
      <w:r w:rsidRPr="00BD1B6F">
        <w:rPr>
          <w:rFonts w:eastAsia="Calibri"/>
          <w:kern w:val="2"/>
          <w:sz w:val="24"/>
          <w:szCs w:val="24"/>
        </w:rPr>
        <w:t xml:space="preserve"> postojećih politika, usmjerenih na daljnje poboljšanje učinkovitosti, kvalitete i dostupnosti zdravstvenog sustava. </w:t>
      </w:r>
    </w:p>
    <w:p w14:paraId="3E4CD43B"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Kako bi se poboljšala dostupnost zdravstvene zaštite i doprinijelo ravnomjernijoj popunjenosti Mreže javne zdravstvene službe na području Hrvatske, u okviru NPOO-a pokrenuta</w:t>
      </w:r>
      <w:r>
        <w:rPr>
          <w:rFonts w:eastAsia="Calibri"/>
          <w:kern w:val="2"/>
          <w:sz w:val="24"/>
          <w:szCs w:val="24"/>
        </w:rPr>
        <w:t xml:space="preserve"> je</w:t>
      </w:r>
      <w:r w:rsidRPr="00BD1B6F">
        <w:rPr>
          <w:rFonts w:eastAsia="Calibri"/>
          <w:kern w:val="2"/>
          <w:sz w:val="24"/>
          <w:szCs w:val="24"/>
        </w:rPr>
        <w:t xml:space="preserve"> provedba </w:t>
      </w:r>
      <w:r>
        <w:rPr>
          <w:rFonts w:eastAsia="Calibri"/>
          <w:kern w:val="2"/>
          <w:sz w:val="24"/>
          <w:szCs w:val="24"/>
        </w:rPr>
        <w:t>i</w:t>
      </w:r>
      <w:r w:rsidRPr="00BD1B6F">
        <w:rPr>
          <w:rFonts w:eastAsia="Calibri"/>
          <w:kern w:val="2"/>
          <w:sz w:val="24"/>
          <w:szCs w:val="24"/>
        </w:rPr>
        <w:t>nvesticije „Centralno financiranje specijalizacija“ (</w:t>
      </w:r>
      <w:r w:rsidRPr="00672866">
        <w:rPr>
          <w:rFonts w:eastAsia="Calibri"/>
          <w:kern w:val="2"/>
          <w:sz w:val="24"/>
          <w:szCs w:val="24"/>
        </w:rPr>
        <w:t>C5.1.</w:t>
      </w:r>
      <w:r w:rsidRPr="00BD1B6F">
        <w:rPr>
          <w:rFonts w:eastAsia="Calibri"/>
          <w:kern w:val="2"/>
          <w:sz w:val="24"/>
          <w:szCs w:val="24"/>
        </w:rPr>
        <w:t xml:space="preserve"> R3-</w:t>
      </w:r>
      <w:r w:rsidRPr="00BD1B6F">
        <w:rPr>
          <w:rFonts w:eastAsia="Calibri"/>
          <w:kern w:val="2"/>
          <w:sz w:val="24"/>
          <w:szCs w:val="24"/>
        </w:rPr>
        <w:lastRenderedPageBreak/>
        <w:t xml:space="preserve">I1) kojom će se omogućiti financiranje specijalizacija za </w:t>
      </w:r>
      <w:r>
        <w:rPr>
          <w:rFonts w:eastAsia="Calibri"/>
          <w:kern w:val="2"/>
          <w:sz w:val="24"/>
          <w:szCs w:val="24"/>
        </w:rPr>
        <w:t xml:space="preserve"> </w:t>
      </w:r>
      <w:r w:rsidRPr="4EA18699">
        <w:rPr>
          <w:color w:val="000000" w:themeColor="text1"/>
          <w:sz w:val="24"/>
          <w:szCs w:val="24"/>
        </w:rPr>
        <w:t>ukupno 467 doktora medicine</w:t>
      </w:r>
      <w:r w:rsidRPr="00BD1B6F">
        <w:rPr>
          <w:rFonts w:eastAsia="Calibri"/>
          <w:kern w:val="2"/>
          <w:sz w:val="24"/>
          <w:szCs w:val="24"/>
        </w:rPr>
        <w:t>. U okviru investicije</w:t>
      </w:r>
      <w:r>
        <w:rPr>
          <w:rFonts w:eastAsia="Calibri"/>
          <w:kern w:val="2"/>
          <w:sz w:val="24"/>
          <w:szCs w:val="24"/>
        </w:rPr>
        <w:t>,</w:t>
      </w:r>
      <w:r w:rsidRPr="00BD1B6F">
        <w:rPr>
          <w:rFonts w:eastAsia="Calibri"/>
          <w:kern w:val="2"/>
          <w:sz w:val="24"/>
          <w:szCs w:val="24"/>
        </w:rPr>
        <w:t xml:space="preserve"> u rujnu 2022. raspisan </w:t>
      </w:r>
      <w:r>
        <w:rPr>
          <w:rFonts w:eastAsia="Calibri"/>
          <w:kern w:val="2"/>
          <w:sz w:val="24"/>
          <w:szCs w:val="24"/>
        </w:rPr>
        <w:t>je P</w:t>
      </w:r>
      <w:r w:rsidRPr="00BD1B6F">
        <w:rPr>
          <w:rFonts w:eastAsia="Calibri"/>
          <w:kern w:val="2"/>
          <w:sz w:val="24"/>
          <w:szCs w:val="24"/>
        </w:rPr>
        <w:t xml:space="preserve">oziv za dodjelu bespovratnih sredstava za </w:t>
      </w:r>
      <w:r>
        <w:rPr>
          <w:rFonts w:eastAsia="Calibri"/>
          <w:kern w:val="2"/>
          <w:sz w:val="24"/>
          <w:szCs w:val="24"/>
        </w:rPr>
        <w:t>c</w:t>
      </w:r>
      <w:r w:rsidRPr="00BD1B6F">
        <w:rPr>
          <w:rFonts w:eastAsia="Calibri"/>
          <w:kern w:val="2"/>
          <w:sz w:val="24"/>
          <w:szCs w:val="24"/>
        </w:rPr>
        <w:t>entralno financiranje specijalizacija liječnika na razini primarne zdravstvene zaštite,</w:t>
      </w:r>
      <w:r w:rsidRPr="00BD1B6F">
        <w:t xml:space="preserve"> </w:t>
      </w:r>
      <w:r w:rsidRPr="00BD1B6F">
        <w:rPr>
          <w:rFonts w:eastAsia="Calibri"/>
          <w:kern w:val="2"/>
          <w:sz w:val="24"/>
          <w:szCs w:val="24"/>
        </w:rPr>
        <w:t>ukupno raspoloživog iznosa bespovratnih sredstava za dodjelu u iznosu 67,7 milijuna eura. U okviru Poziva potpisani su ugovori o dodjeli bespovratnih sredstava s 26 zdravstvenih ustanova u iznosu od 20,35 milijuna eura, za specijalizaciju ukupno 147 doktora medicine u 11 područja specijalizacije.</w:t>
      </w:r>
    </w:p>
    <w:p w14:paraId="2476ACA8"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U okviru reformskih mjera usmjerenih na povećanje dostupnosti i kvalitete zdravstvene zaštite, uz racionalizaciju troškova zdravstvene skrbi, nastavljena je provedba projekta funkcionalne integracije bolnica. Tijekom 2022. ukupno je funkcionalno povezano 18 bolnica, dok se u 2023. očekuje funkcionalno povezivanje još dviju bolnica. Funkcionalnom integracijom bolnica omogućuje se preraspodjela i koncentracija bolničkih usluga, bolje iskorištavanje ugovorenih kapaciteta, uz mogućnost ugovaranja novih kapaciteta gdje za to postoji potreba. Provedbom funkcionalne integracije otklanja </w:t>
      </w:r>
      <w:r>
        <w:rPr>
          <w:rFonts w:eastAsia="Calibri"/>
          <w:kern w:val="2"/>
          <w:sz w:val="24"/>
          <w:szCs w:val="24"/>
        </w:rPr>
        <w:t xml:space="preserve">se </w:t>
      </w:r>
      <w:r w:rsidRPr="00BD1B6F">
        <w:rPr>
          <w:rFonts w:eastAsia="Calibri"/>
          <w:kern w:val="2"/>
          <w:sz w:val="24"/>
          <w:szCs w:val="24"/>
        </w:rPr>
        <w:t>nepotrebno umnožavanje sofisticiranih dijagnostičkih i terapijskih zahvata na malim geografskim udaljenostima, sve s ciljem povećavanja kvalitete zdravstvene zaštite. Provedbom funkcionalne integracije</w:t>
      </w:r>
      <w:r>
        <w:rPr>
          <w:rFonts w:eastAsia="Calibri"/>
          <w:kern w:val="2"/>
          <w:sz w:val="24"/>
          <w:szCs w:val="24"/>
        </w:rPr>
        <w:t>,</w:t>
      </w:r>
      <w:r w:rsidRPr="00BD1B6F">
        <w:rPr>
          <w:rFonts w:eastAsia="Calibri"/>
          <w:kern w:val="2"/>
          <w:sz w:val="24"/>
          <w:szCs w:val="24"/>
        </w:rPr>
        <w:t xml:space="preserve"> u bolnicama se osiguravaju i dodatni bolnički kapaciteti za medicinske djelatnosti koje dosad nisu bile dostupne, kao što je djelatnost palijativne skrbi.</w:t>
      </w:r>
    </w:p>
    <w:p w14:paraId="77CA7EF9"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S ciljem poboljšanja dostupnosti zdravstvene zaštite i proširenja usluga u djelatnosti hitne medicine na području cijele Hrvatske, usvojen je Telemedicinski okvir. U skladu s razvijenim Telemedicinskim okvirom</w:t>
      </w:r>
      <w:r>
        <w:rPr>
          <w:rFonts w:eastAsia="Calibri"/>
          <w:kern w:val="2"/>
          <w:sz w:val="24"/>
          <w:szCs w:val="24"/>
        </w:rPr>
        <w:t>,</w:t>
      </w:r>
      <w:r w:rsidRPr="00BD1B6F">
        <w:rPr>
          <w:rFonts w:eastAsia="Calibri"/>
          <w:kern w:val="2"/>
          <w:sz w:val="24"/>
          <w:szCs w:val="24"/>
        </w:rPr>
        <w:t xml:space="preserve"> potpisan je u kolovozu 2022. u okviru NPOO investicije „Transfuzija“ (C5.1. R5-I3) ugovor o dodjeli bespovratnih sredstva u iznosu od 1,98 milijuna eura za uspostavljanje i povezivanje 35 telemedicinskih specijalističkih i pristupnih centara za pružanje teletransfuzijskih usluga. Osim racionalizacije troškova rada bolničkih transfuzijskih centara, pacijentima u udaljenim i ruralnim područjima će se korištenjem telemedicinskih usluga skratiti vrijeme dijagnosticiranja i omogućiti brže i učinkovitije liječenje, pogotovo u uvjetima kada veliki specijalistički centri nisu dostupni. </w:t>
      </w:r>
    </w:p>
    <w:p w14:paraId="2E75FD69"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Također, u okviru NPOO investicije „Telecordis“ (</w:t>
      </w:r>
      <w:r w:rsidRPr="00672866">
        <w:rPr>
          <w:rFonts w:eastAsia="Calibri"/>
          <w:kern w:val="2"/>
          <w:sz w:val="24"/>
          <w:szCs w:val="24"/>
        </w:rPr>
        <w:t>C5.1.</w:t>
      </w:r>
      <w:r w:rsidRPr="00BD1B6F">
        <w:rPr>
          <w:rFonts w:eastAsia="Calibri"/>
          <w:kern w:val="2"/>
          <w:sz w:val="24"/>
          <w:szCs w:val="24"/>
        </w:rPr>
        <w:t xml:space="preserve"> R5-I2), u ožujku 2022. sklopljen je ugovor o dodjeli bespovratnih sredstava u iznosu od 686</w:t>
      </w:r>
      <w:r>
        <w:rPr>
          <w:rFonts w:eastAsia="Calibri"/>
          <w:kern w:val="2"/>
          <w:sz w:val="24"/>
          <w:szCs w:val="24"/>
        </w:rPr>
        <w:t xml:space="preserve"> tisuća</w:t>
      </w:r>
      <w:r w:rsidRPr="00BD1B6F">
        <w:rPr>
          <w:rFonts w:eastAsia="Calibri"/>
          <w:kern w:val="2"/>
          <w:sz w:val="24"/>
          <w:szCs w:val="24"/>
        </w:rPr>
        <w:t xml:space="preserve"> eura za uspostavu telemedicinskih centara za pružanje kardioloških usluga na 40 lokacija domova zdravlja u udaljenim i ruralnim područjima i uspostavu 4 specijalistička telemedicinska centra u kojima će se 24 sata dnevno očitavati nalazi i pružati usluge dijagnostike. </w:t>
      </w:r>
      <w:r w:rsidRPr="00BD1B6F">
        <w:rPr>
          <w:sz w:val="24"/>
          <w:szCs w:val="24"/>
        </w:rPr>
        <w:t>Provedbom investicije</w:t>
      </w:r>
      <w:r>
        <w:rPr>
          <w:sz w:val="24"/>
          <w:szCs w:val="24"/>
        </w:rPr>
        <w:t>,</w:t>
      </w:r>
      <w:r w:rsidRPr="00BD1B6F">
        <w:rPr>
          <w:sz w:val="24"/>
          <w:szCs w:val="24"/>
        </w:rPr>
        <w:t xml:space="preserve"> </w:t>
      </w:r>
      <w:r w:rsidRPr="00BD1B6F">
        <w:rPr>
          <w:rFonts w:eastAsia="Calibri"/>
          <w:kern w:val="2"/>
          <w:sz w:val="24"/>
          <w:szCs w:val="24"/>
        </w:rPr>
        <w:t>pacijentima primarne zdravstvene zaštite u udaljenim i rural</w:t>
      </w:r>
      <w:r w:rsidRPr="00BD1B6F">
        <w:rPr>
          <w:rFonts w:eastAsia="Calibri"/>
          <w:kern w:val="2"/>
          <w:sz w:val="24"/>
          <w:szCs w:val="24"/>
        </w:rPr>
        <w:lastRenderedPageBreak/>
        <w:t>nim područjima omogućit</w:t>
      </w:r>
      <w:r>
        <w:rPr>
          <w:rFonts w:eastAsia="Calibri"/>
          <w:kern w:val="2"/>
          <w:sz w:val="24"/>
          <w:szCs w:val="24"/>
        </w:rPr>
        <w:t xml:space="preserve"> će se</w:t>
      </w:r>
      <w:r w:rsidRPr="00BD1B6F">
        <w:rPr>
          <w:rFonts w:eastAsia="Calibri"/>
          <w:kern w:val="2"/>
          <w:sz w:val="24"/>
          <w:szCs w:val="24"/>
        </w:rPr>
        <w:t xml:space="preserve"> moderna i dostupna specijalistička kardiološka usluga uz pravovremeno postavljanje dijagnoze i poboljšanje učinkovitosti liječenja i zdravstvenih ishoda.</w:t>
      </w:r>
    </w:p>
    <w:p w14:paraId="7F876EA5"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Nastavljen je rad na provedbi Nacionalnog plana razvoja zdravstva za razdoblje od 2021. do 2027. kojim su ljudski resursi u zdravstvu prepoznati kao strateški važan čimbenik za održivost zdravstvenog sustava i održavanje visoke razine kvalitete zdravstvenih usluga. Prema podacima o provedbi za 2022.</w:t>
      </w:r>
      <w:r>
        <w:rPr>
          <w:rFonts w:eastAsia="Calibri"/>
          <w:kern w:val="2"/>
          <w:sz w:val="24"/>
          <w:szCs w:val="24"/>
        </w:rPr>
        <w:t>,</w:t>
      </w:r>
      <w:r w:rsidRPr="00BD1B6F">
        <w:rPr>
          <w:rFonts w:eastAsia="Calibri"/>
          <w:kern w:val="2"/>
          <w:sz w:val="24"/>
          <w:szCs w:val="24"/>
        </w:rPr>
        <w:t xml:space="preserve"> vidljiva su određena poboljšanja u unaprjeđenju financijske </w:t>
      </w:r>
      <w:r w:rsidRPr="00672866">
        <w:rPr>
          <w:rFonts w:eastAsia="Calibri"/>
          <w:kern w:val="2"/>
          <w:sz w:val="24"/>
          <w:szCs w:val="24"/>
        </w:rPr>
        <w:t>održivost</w:t>
      </w:r>
      <w:r>
        <w:rPr>
          <w:rFonts w:eastAsia="Calibri"/>
          <w:kern w:val="2"/>
          <w:sz w:val="24"/>
          <w:szCs w:val="24"/>
        </w:rPr>
        <w:t>i</w:t>
      </w:r>
      <w:r w:rsidRPr="00BD1B6F">
        <w:rPr>
          <w:rFonts w:eastAsia="Calibri"/>
          <w:kern w:val="2"/>
          <w:sz w:val="24"/>
          <w:szCs w:val="24"/>
        </w:rPr>
        <w:t xml:space="preserve"> bolničkog sustava, </w:t>
      </w:r>
      <w:r w:rsidRPr="00672866">
        <w:rPr>
          <w:rFonts w:eastAsia="Calibri"/>
          <w:kern w:val="2"/>
          <w:sz w:val="24"/>
          <w:szCs w:val="24"/>
        </w:rPr>
        <w:t>s</w:t>
      </w:r>
      <w:r w:rsidRPr="00BD1B6F">
        <w:rPr>
          <w:rFonts w:eastAsia="Calibri"/>
          <w:kern w:val="2"/>
          <w:sz w:val="24"/>
          <w:szCs w:val="24"/>
        </w:rPr>
        <w:t xml:space="preserve"> 44,06 % bolnica koje nisu generirale deficit (40% u 2021.), te poboljšanja u dostupnosti primarne zdravstvene zaštite </w:t>
      </w:r>
      <w:r w:rsidRPr="00672866">
        <w:rPr>
          <w:rFonts w:eastAsia="Calibri"/>
          <w:kern w:val="2"/>
          <w:sz w:val="24"/>
          <w:szCs w:val="24"/>
        </w:rPr>
        <w:t>s</w:t>
      </w:r>
      <w:r w:rsidRPr="00BD1B6F">
        <w:rPr>
          <w:rFonts w:eastAsia="Calibri"/>
          <w:kern w:val="2"/>
          <w:sz w:val="24"/>
          <w:szCs w:val="24"/>
        </w:rPr>
        <w:t xml:space="preserve"> 2</w:t>
      </w:r>
      <w:r w:rsidRPr="008115FB">
        <w:rPr>
          <w:rFonts w:eastAsia="Calibri"/>
          <w:kern w:val="2"/>
          <w:sz w:val="24"/>
          <w:szCs w:val="24"/>
        </w:rPr>
        <w:t>.</w:t>
      </w:r>
      <w:r w:rsidRPr="00BD1B6F">
        <w:rPr>
          <w:rFonts w:eastAsia="Calibri"/>
          <w:kern w:val="2"/>
          <w:sz w:val="24"/>
          <w:szCs w:val="24"/>
        </w:rPr>
        <w:t>327 popunjenih timova u djelatnosti obiteljske medicine (2</w:t>
      </w:r>
      <w:r w:rsidRPr="008115FB">
        <w:rPr>
          <w:rFonts w:eastAsia="Calibri"/>
          <w:kern w:val="2"/>
          <w:sz w:val="24"/>
          <w:szCs w:val="24"/>
        </w:rPr>
        <w:t>.</w:t>
      </w:r>
      <w:r w:rsidRPr="00BD1B6F">
        <w:rPr>
          <w:rFonts w:eastAsia="Calibri"/>
          <w:kern w:val="2"/>
          <w:sz w:val="24"/>
          <w:szCs w:val="24"/>
        </w:rPr>
        <w:t>256 timova u 2021.).</w:t>
      </w:r>
    </w:p>
    <w:p w14:paraId="09ACB76A"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Radi unaprjeđenja kvalitete zdravstvene usluge i poboljšanja ishoda liječenja u Hrvatskoj, nastavljena je provedba ulaganja u preventivu, razvoj zdravstvene pismenosti i edukaciju korisnika zdravstvenog sustava. Planiranim reformama i ulaganjima, </w:t>
      </w:r>
      <w:r w:rsidRPr="00672866">
        <w:rPr>
          <w:rFonts w:eastAsia="Calibri"/>
          <w:kern w:val="2"/>
          <w:sz w:val="24"/>
          <w:szCs w:val="24"/>
        </w:rPr>
        <w:t>unaprijedit</w:t>
      </w:r>
      <w:r w:rsidRPr="00BD1B6F">
        <w:rPr>
          <w:rFonts w:eastAsia="Calibri"/>
          <w:kern w:val="2"/>
          <w:sz w:val="24"/>
          <w:szCs w:val="24"/>
        </w:rPr>
        <w:t xml:space="preserve"> će se sadašnji model preventivnih zdravstvenih pregleda, uz reviziju svih postojećih i uspostavu novih Nacionalnih preventivnih programa, usmjerenih na pojedine rizične skupine građana. </w:t>
      </w:r>
    </w:p>
    <w:p w14:paraId="42052092"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U okviru Nacionalnih preventivnih programa, novi model preventivnih zdravstvenih pregleda, prilagođen dobi i spolu, </w:t>
      </w:r>
      <w:r w:rsidRPr="00672866">
        <w:rPr>
          <w:rFonts w:eastAsia="Calibri"/>
          <w:kern w:val="2"/>
          <w:sz w:val="24"/>
          <w:szCs w:val="24"/>
        </w:rPr>
        <w:t>bit</w:t>
      </w:r>
      <w:r w:rsidRPr="00BD1B6F">
        <w:rPr>
          <w:rFonts w:eastAsia="Calibri"/>
          <w:kern w:val="2"/>
          <w:sz w:val="24"/>
          <w:szCs w:val="24"/>
        </w:rPr>
        <w:t xml:space="preserve"> će omogućen svim punoljetnim građanima koji će to pravo moći ostvariti u najkraćem roku putem obveznog zdravstvenog osiguranja bez dodatnog financijskog sudjelovanja, u najbližoj zdravstvenoj ustanovi. Aktivnosti primarne prevencije,</w:t>
      </w:r>
      <w:r>
        <w:rPr>
          <w:rFonts w:eastAsia="Calibri"/>
          <w:kern w:val="2"/>
          <w:sz w:val="24"/>
          <w:szCs w:val="24"/>
        </w:rPr>
        <w:t xml:space="preserve"> </w:t>
      </w:r>
      <w:r w:rsidRPr="00BD1B6F">
        <w:rPr>
          <w:rFonts w:eastAsia="Calibri"/>
          <w:kern w:val="2"/>
          <w:sz w:val="24"/>
          <w:szCs w:val="24"/>
        </w:rPr>
        <w:t xml:space="preserve">odnosno promicanje zdravlja i zdravog načina života s promjenom nezdravih životnih stilova i navika poput loše prehrane, debljine, pušenja, tjelesne neaktivnosti i prekomjerne konzumacije alkohola, također će se nastaviti u nadolazećem razdoblju. </w:t>
      </w:r>
    </w:p>
    <w:p w14:paraId="59BF4A51"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Tijekom 2022. pokrenuta je izrada Akcijskog plana za prevenciju debljine 2023.</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2026. kojim će se, prema dobi i spolu, razraditi prioriteti i mjere za promicanje zdravih životnih navika, prevenciju rizičnih čimbenika te intenziviranje aktivnosti prepoznavanja, praćenja i liječenja debljine. </w:t>
      </w:r>
      <w:r>
        <w:rPr>
          <w:rFonts w:eastAsia="Calibri"/>
          <w:kern w:val="2"/>
          <w:sz w:val="24"/>
          <w:szCs w:val="24"/>
        </w:rPr>
        <w:t>Budući</w:t>
      </w:r>
      <w:r w:rsidRPr="00BD1B6F">
        <w:rPr>
          <w:rFonts w:eastAsia="Calibri"/>
          <w:kern w:val="2"/>
          <w:sz w:val="24"/>
          <w:szCs w:val="24"/>
        </w:rPr>
        <w:t xml:space="preserve"> da prekomjerna tjelesna masa i debljina često počinju od najranije životne dobi, </w:t>
      </w:r>
      <w:r>
        <w:rPr>
          <w:rFonts w:eastAsia="Calibri"/>
          <w:kern w:val="2"/>
          <w:sz w:val="24"/>
          <w:szCs w:val="24"/>
        </w:rPr>
        <w:t>A</w:t>
      </w:r>
      <w:r w:rsidRPr="00BD1B6F">
        <w:rPr>
          <w:rFonts w:eastAsia="Calibri"/>
          <w:kern w:val="2"/>
          <w:sz w:val="24"/>
          <w:szCs w:val="24"/>
        </w:rPr>
        <w:t xml:space="preserve">kcijskim planom će se osigurati pravovremeno djelovanje koje je od ključne važnosti za prevenciju debljine, uz poboljšanje ishoda liječenja. </w:t>
      </w:r>
    </w:p>
    <w:p w14:paraId="1A92F7FE"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Rak pluća jedan </w:t>
      </w:r>
      <w:r w:rsidRPr="00BD1B6F" w:rsidDel="001824C2">
        <w:rPr>
          <w:rFonts w:eastAsia="Calibri"/>
          <w:kern w:val="2"/>
          <w:sz w:val="24"/>
          <w:szCs w:val="24"/>
        </w:rPr>
        <w:t xml:space="preserve">je </w:t>
      </w:r>
      <w:r w:rsidRPr="00BD1B6F">
        <w:rPr>
          <w:rFonts w:eastAsia="Calibri"/>
          <w:kern w:val="2"/>
          <w:sz w:val="24"/>
          <w:szCs w:val="24"/>
        </w:rPr>
        <w:t xml:space="preserve">od vodećih javnozdravstvenih problema u Hrvatskoj, a godišnje se otkrije više od </w:t>
      </w:r>
      <w:r w:rsidRPr="00672866">
        <w:rPr>
          <w:rFonts w:eastAsia="Calibri"/>
          <w:kern w:val="2"/>
          <w:sz w:val="24"/>
          <w:szCs w:val="24"/>
        </w:rPr>
        <w:t>3</w:t>
      </w:r>
      <w:r>
        <w:rPr>
          <w:rFonts w:eastAsia="Calibri"/>
          <w:kern w:val="2"/>
          <w:sz w:val="24"/>
          <w:szCs w:val="24"/>
        </w:rPr>
        <w:t>.</w:t>
      </w:r>
      <w:r w:rsidRPr="00672866">
        <w:rPr>
          <w:rFonts w:eastAsia="Calibri"/>
          <w:kern w:val="2"/>
          <w:sz w:val="24"/>
          <w:szCs w:val="24"/>
        </w:rPr>
        <w:t>000</w:t>
      </w:r>
      <w:r w:rsidRPr="00BD1B6F">
        <w:rPr>
          <w:rFonts w:eastAsia="Calibri"/>
          <w:kern w:val="2"/>
          <w:sz w:val="24"/>
          <w:szCs w:val="24"/>
        </w:rPr>
        <w:t xml:space="preserve"> novih slučajeva te gotovo isti broj bolesnika umire svake godine od te smrtonosne bolesti</w:t>
      </w:r>
      <w:r w:rsidRPr="00BD1B6F">
        <w:t xml:space="preserve">. </w:t>
      </w:r>
      <w:r w:rsidRPr="00BD1B6F">
        <w:rPr>
          <w:sz w:val="24"/>
          <w:szCs w:val="24"/>
        </w:rPr>
        <w:t xml:space="preserve">S ciljem stvaranja preduvjeta za smanjenje smrtnosti od raka pluća za 20%, </w:t>
      </w:r>
      <w:r w:rsidRPr="00BD1B6F">
        <w:rPr>
          <w:rFonts w:eastAsia="Calibri"/>
          <w:kern w:val="2"/>
          <w:sz w:val="24"/>
          <w:szCs w:val="24"/>
        </w:rPr>
        <w:t>Hrvatska je kao prva u E</w:t>
      </w:r>
      <w:r>
        <w:rPr>
          <w:rFonts w:eastAsia="Calibri"/>
          <w:kern w:val="2"/>
          <w:sz w:val="24"/>
          <w:szCs w:val="24"/>
        </w:rPr>
        <w:t>uropskoj uniji</w:t>
      </w:r>
      <w:r w:rsidRPr="00BD1B6F">
        <w:rPr>
          <w:rFonts w:eastAsia="Calibri"/>
          <w:kern w:val="2"/>
          <w:sz w:val="24"/>
          <w:szCs w:val="24"/>
        </w:rPr>
        <w:t xml:space="preserve">, donijela Nacionalni </w:t>
      </w:r>
      <w:r w:rsidRPr="00BD1B6F">
        <w:rPr>
          <w:rFonts w:eastAsia="Calibri"/>
          <w:kern w:val="2"/>
          <w:sz w:val="24"/>
          <w:szCs w:val="24"/>
        </w:rPr>
        <w:lastRenderedPageBreak/>
        <w:t xml:space="preserve">program za probir i rano otkrivanje raka pluća. U skladu s Nacionalnim programom, provode se preventivni dijagnostički pregledi na pacijentima u ranijim stadijima bolesti, čime se doprinosi povećanju mogućnosti izlječenja te poboljšanju ukupnog preživljenja (petogodišnje preživljenje od raka pluća u </w:t>
      </w:r>
      <w:r w:rsidRPr="00672866">
        <w:rPr>
          <w:rFonts w:eastAsia="Calibri"/>
          <w:kern w:val="2"/>
          <w:sz w:val="24"/>
          <w:szCs w:val="24"/>
        </w:rPr>
        <w:t>H</w:t>
      </w:r>
      <w:r>
        <w:rPr>
          <w:rFonts w:eastAsia="Calibri"/>
          <w:kern w:val="2"/>
          <w:sz w:val="24"/>
          <w:szCs w:val="24"/>
        </w:rPr>
        <w:t>rvatskoj</w:t>
      </w:r>
      <w:r w:rsidRPr="00BD1B6F">
        <w:rPr>
          <w:rFonts w:eastAsia="Calibri"/>
          <w:kern w:val="2"/>
          <w:sz w:val="24"/>
          <w:szCs w:val="24"/>
        </w:rPr>
        <w:t xml:space="preserve"> je trenutno oko 10%). Uključivanjem liječnika obiteljske medicine u probir i digitalizacijom procedura za naručivanje sudionika na pregled pluća </w:t>
      </w:r>
      <w:r w:rsidRPr="00BD1B6F">
        <w:rPr>
          <w:rFonts w:eastAsia="Calibri"/>
          <w:i/>
          <w:iCs/>
          <w:kern w:val="2"/>
          <w:sz w:val="24"/>
          <w:szCs w:val="24"/>
        </w:rPr>
        <w:t>Low-Dose</w:t>
      </w:r>
      <w:r w:rsidRPr="00BD1B6F">
        <w:rPr>
          <w:rFonts w:eastAsia="Calibri"/>
          <w:kern w:val="2"/>
          <w:sz w:val="24"/>
          <w:szCs w:val="24"/>
        </w:rPr>
        <w:t xml:space="preserve"> CT-om, stvoreni su uvjeti da odaziv sudionika na naručeni </w:t>
      </w:r>
      <w:r>
        <w:rPr>
          <w:rFonts w:eastAsia="Calibri"/>
          <w:kern w:val="2"/>
          <w:sz w:val="24"/>
          <w:szCs w:val="24"/>
        </w:rPr>
        <w:t xml:space="preserve">pregled </w:t>
      </w:r>
      <w:r w:rsidRPr="00BD1B6F">
        <w:rPr>
          <w:rFonts w:eastAsia="Calibri"/>
          <w:kern w:val="2"/>
          <w:sz w:val="24"/>
          <w:szCs w:val="24"/>
        </w:rPr>
        <w:t>bude iznimno dobar (veći od 95%).</w:t>
      </w:r>
    </w:p>
    <w:p w14:paraId="13409AB3"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S ciljem smanjenja smrtnosti od raka dojke za 25%, u 2022. je proveden osmi po redu Nacionalni </w:t>
      </w:r>
      <w:r w:rsidRPr="00672866">
        <w:rPr>
          <w:rFonts w:eastAsia="Calibri"/>
          <w:kern w:val="2"/>
          <w:sz w:val="24"/>
          <w:szCs w:val="24"/>
        </w:rPr>
        <w:t>program</w:t>
      </w:r>
      <w:r w:rsidRPr="00BD1B6F">
        <w:rPr>
          <w:rFonts w:eastAsia="Calibri"/>
          <w:kern w:val="2"/>
          <w:sz w:val="24"/>
          <w:szCs w:val="24"/>
        </w:rPr>
        <w:t xml:space="preserve"> ranog otkrivanja raka dojke. U okviru Nacionalnog programa</w:t>
      </w:r>
      <w:r>
        <w:rPr>
          <w:rFonts w:eastAsia="Calibri"/>
          <w:kern w:val="2"/>
          <w:sz w:val="24"/>
          <w:szCs w:val="24"/>
        </w:rPr>
        <w:t>,</w:t>
      </w:r>
      <w:r w:rsidRPr="00BD1B6F">
        <w:rPr>
          <w:rFonts w:eastAsia="Calibri"/>
          <w:kern w:val="2"/>
          <w:sz w:val="24"/>
          <w:szCs w:val="24"/>
        </w:rPr>
        <w:t xml:space="preserve"> svake dvije godine se na mamografski pregled pozivaju žene u dobi 50-69 godina. Tijekom 2022. učinjeno je ukupno 130.727 mamografskih pregleda, uz odaziv na pregled od 62%. Od ukupnog broja učinjenih mamografskih pregleda, njih 8.035 je zahtijevalo daljnju obradu.</w:t>
      </w:r>
      <w:r w:rsidRPr="00BD1B6F">
        <w:t xml:space="preserve"> </w:t>
      </w:r>
      <w:r w:rsidRPr="00BD1B6F">
        <w:rPr>
          <w:rFonts w:eastAsia="Calibri"/>
          <w:kern w:val="2"/>
          <w:sz w:val="24"/>
          <w:szCs w:val="24"/>
        </w:rPr>
        <w:t>Provođenjem preventivnih mamografskih pregleda povećao se udio slučajeva raka dojke koji su otkriveni u ranom, lokaliziranom stadiju, što je jedan od razloga pada smrtnosti od raka dojke u Hrvatskoj. Dosad je u okviru provedbe Nacionalnog programa ranog otkrivanja raka dojke</w:t>
      </w:r>
      <w:r w:rsidRPr="00BD1B6F" w:rsidDel="0054794C">
        <w:rPr>
          <w:rFonts w:eastAsia="Calibri"/>
          <w:kern w:val="2"/>
          <w:sz w:val="24"/>
          <w:szCs w:val="24"/>
        </w:rPr>
        <w:t xml:space="preserve"> </w:t>
      </w:r>
      <w:r w:rsidRPr="00BD1B6F">
        <w:rPr>
          <w:rFonts w:eastAsia="Calibri"/>
          <w:kern w:val="2"/>
          <w:sz w:val="24"/>
          <w:szCs w:val="24"/>
        </w:rPr>
        <w:t xml:space="preserve">otkriveno više od 7.000 novih slučajeva raka dojke. </w:t>
      </w:r>
    </w:p>
    <w:p w14:paraId="307B8D2F"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Radi ranog otkrivanja i smanjenja smrtnosti od raka debelog crijeva, u 2022. je nastavljena provedba preventivnih pregleda u okviru Nacionalnog programa ranog otkrivanja raka debelog crijeva. U 2022. na preventivni pregled je pozvano ukupno 664.042 osobe, od čega se na poziv odazvalo 158.916 osoba</w:t>
      </w:r>
      <w:r>
        <w:rPr>
          <w:rFonts w:eastAsia="Calibri"/>
          <w:kern w:val="2"/>
          <w:sz w:val="24"/>
          <w:szCs w:val="24"/>
        </w:rPr>
        <w:t>,</w:t>
      </w:r>
      <w:r w:rsidRPr="00BD1B6F">
        <w:rPr>
          <w:rFonts w:eastAsia="Calibri"/>
          <w:kern w:val="2"/>
          <w:sz w:val="24"/>
          <w:szCs w:val="24"/>
        </w:rPr>
        <w:t xml:space="preserve"> a njih 120.450 poslalo </w:t>
      </w:r>
      <w:r>
        <w:rPr>
          <w:rFonts w:eastAsia="Calibri"/>
          <w:kern w:val="2"/>
          <w:sz w:val="24"/>
          <w:szCs w:val="24"/>
        </w:rPr>
        <w:t xml:space="preserve">je </w:t>
      </w:r>
      <w:r w:rsidRPr="00BD1B6F">
        <w:rPr>
          <w:rFonts w:eastAsia="Calibri"/>
          <w:kern w:val="2"/>
          <w:sz w:val="24"/>
          <w:szCs w:val="24"/>
        </w:rPr>
        <w:t>uzorke za pregled (76</w:t>
      </w:r>
      <w:r w:rsidRPr="00672866">
        <w:rPr>
          <w:rFonts w:eastAsia="Calibri"/>
          <w:kern w:val="2"/>
          <w:sz w:val="24"/>
          <w:szCs w:val="24"/>
        </w:rPr>
        <w:t>%)</w:t>
      </w:r>
      <w:r>
        <w:rPr>
          <w:rFonts w:eastAsia="Calibri"/>
          <w:kern w:val="2"/>
          <w:sz w:val="24"/>
          <w:szCs w:val="24"/>
        </w:rPr>
        <w:t>,</w:t>
      </w:r>
      <w:r w:rsidRPr="00BD1B6F">
        <w:rPr>
          <w:rFonts w:eastAsia="Calibri"/>
          <w:kern w:val="2"/>
          <w:sz w:val="24"/>
          <w:szCs w:val="24"/>
        </w:rPr>
        <w:t xml:space="preserve"> od čega je obrađeno 120.355 uzoraka (21% od ukupno pozvanih). U okviru praćenja provedbe Nacionalnog programa</w:t>
      </w:r>
      <w:r>
        <w:rPr>
          <w:rFonts w:eastAsia="Calibri"/>
          <w:kern w:val="2"/>
          <w:sz w:val="24"/>
          <w:szCs w:val="24"/>
        </w:rPr>
        <w:t>,</w:t>
      </w:r>
      <w:r w:rsidRPr="00BD1B6F">
        <w:rPr>
          <w:rFonts w:eastAsia="Calibri"/>
          <w:kern w:val="2"/>
          <w:sz w:val="24"/>
          <w:szCs w:val="24"/>
        </w:rPr>
        <w:t xml:space="preserve"> redovito se na nacionalnoj i županijskoj razini prati: udio odazvanih, broj i razlozi opravdanog izostanka, broj i udio pozitivnih nalaza na okultnu krv u stolici, broj i udio naručenih na kolonoskopiju u okviru programa</w:t>
      </w:r>
      <w:r>
        <w:rPr>
          <w:rFonts w:eastAsia="Calibri"/>
          <w:kern w:val="2"/>
          <w:sz w:val="24"/>
          <w:szCs w:val="24"/>
        </w:rPr>
        <w:t>,</w:t>
      </w:r>
      <w:r w:rsidRPr="00BD1B6F">
        <w:rPr>
          <w:rFonts w:eastAsia="Calibri"/>
          <w:kern w:val="2"/>
          <w:sz w:val="24"/>
          <w:szCs w:val="24"/>
        </w:rPr>
        <w:t xml:space="preserve"> te ishod svih nalaza do krajnje dijagnoze. </w:t>
      </w:r>
    </w:p>
    <w:p w14:paraId="0EE41AD8"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U području prevencije ovisnosti nastavljena je provedba intervencija na univerzalnoj, selektivnoj i indiciranoj razini, kako bi se unaprijedila kvaliteta te razvijali znanstveno utemeljeni programi prevencije. Godišnje se provede više od 300 programa prevencije ovisnosti, od čega većina u okviru odgojno-obrazovnog sustava. U 2022. registrirano je 6.078 osoba liječenih zbog ovisnosti o psihoaktivnim drogama, od kojih je 641 </w:t>
      </w:r>
      <w:r>
        <w:rPr>
          <w:rFonts w:eastAsia="Calibri"/>
          <w:kern w:val="2"/>
          <w:sz w:val="24"/>
          <w:szCs w:val="24"/>
        </w:rPr>
        <w:t>bila prvi put</w:t>
      </w:r>
      <w:r w:rsidRPr="00BD1B6F">
        <w:rPr>
          <w:rFonts w:eastAsia="Calibri"/>
          <w:kern w:val="2"/>
          <w:sz w:val="24"/>
          <w:szCs w:val="24"/>
        </w:rPr>
        <w:t xml:space="preserve"> na liječenju. Zbog ovisnosti o opijatima</w:t>
      </w:r>
      <w:r>
        <w:rPr>
          <w:rFonts w:eastAsia="Calibri"/>
          <w:kern w:val="2"/>
          <w:sz w:val="24"/>
          <w:szCs w:val="24"/>
        </w:rPr>
        <w:t>,</w:t>
      </w:r>
      <w:r w:rsidRPr="00BD1B6F">
        <w:rPr>
          <w:rFonts w:eastAsia="Calibri"/>
          <w:kern w:val="2"/>
          <w:sz w:val="24"/>
          <w:szCs w:val="24"/>
        </w:rPr>
        <w:t xml:space="preserve"> tijekom 2022. na liječenju je bilo 4.741 osoba, od kojih je 138 bilo liječeno prvi put. Ukupan broj liječenih osoba, kao i onih koji su se prvi put javili na liječenje, porastao je u odnosu na 2020. i 2021. U 2022. 90% ovisnika o opijatima primalo je neku vrstu supstitucijske terapije, dok je ukupno 476 osoba bilo je uključeno u Projekt resocijalizacije ovisnika te su pružene psihosocijalne i rehabilitacijske usluge za 719 osoba.</w:t>
      </w:r>
    </w:p>
    <w:p w14:paraId="5FE690FB" w14:textId="77777777" w:rsidR="0058774E" w:rsidRPr="00BD1B6F" w:rsidRDefault="0058774E" w:rsidP="0058774E">
      <w:pPr>
        <w:widowControl/>
        <w:autoSpaceDE/>
        <w:autoSpaceDN/>
        <w:spacing w:before="240" w:line="276" w:lineRule="auto"/>
        <w:ind w:firstLine="720"/>
        <w:jc w:val="both"/>
        <w:rPr>
          <w:rFonts w:eastAsia="Calibri"/>
          <w:b/>
          <w:bCs/>
          <w:kern w:val="2"/>
          <w:sz w:val="24"/>
          <w:szCs w:val="24"/>
        </w:rPr>
      </w:pPr>
      <w:r w:rsidRPr="00BD1B6F">
        <w:rPr>
          <w:rFonts w:eastAsia="Calibri"/>
          <w:b/>
          <w:bCs/>
          <w:kern w:val="2"/>
          <w:sz w:val="24"/>
          <w:szCs w:val="24"/>
        </w:rPr>
        <w:lastRenderedPageBreak/>
        <w:t>Zdravlje, zdrave prehrambene navike i aktivni život kroz sport</w:t>
      </w:r>
    </w:p>
    <w:p w14:paraId="2B54D616"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Iako je Hrvatska domovina velikog broja iznimno uspješnih sportaša, prema podacima Svjetske zdravstvene organizacije nalazi se među zemljama koje u proteklom desetljeću bilježe značajan pad tjelesne aktivnosti stanovništva, uključujući i zabrinjavajuću brojku od gotovo 60% osoba koje nikada ne vježbaju i ne bave se sportom. Kako bi se navedeno stanje poboljšalo, nastavljeni su napori na jačanju zakonodavnog okvira za bavljenje sportom, unaprjeđenju infrastrukturnih uvjeta za bavljenje sportom i rekreacijom, provedbi javnih kampanja za promicanje zdravlja i aktivnog života građana svih dobnih skupina te pružanju potpore za provedbu programa i projekata kojima se potiče redovno uključivanje u sportske aktivnosti i tjelesno vježbanje.</w:t>
      </w:r>
    </w:p>
    <w:p w14:paraId="70A5C8DB"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Radi unaprjeđenja statusa sportaša i kvalitete obavljanja sportskih djelatnosti te poticanja djece i mladih u Hrvatskoj na bavljenje sportom, u 2022. je donesen novi Zakon o sportu. Zakonom se jasnije definira sustav financiranja sporta i osiguravaju uvjeti za bolji nadzor nad trošenjem javnih sredstava. Također, uvodi se kategorizacija sportova, kako bi se osigurali uvjeti da financiranje javnih potreba u sportu bude u skladu s jasno utvrđenim kriterijima.</w:t>
      </w:r>
    </w:p>
    <w:p w14:paraId="2317629C"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Radi unaprjeđenja uvjeta i poticanja građana svih dobi na bavljenje sportom i vježbanje, u 2022. je provedeno niz natječaja i javnih poziva u području sporta, u okviru kojih je osigurano financiranje u ukupnom iznosu od 6,3 milijuna eura. Sufinancirana je provedba 77 projekata izgradnje, dogradnje i opremanja sportskih građevina na području cijele Hrvatske u ukupnom iznosu od 4 milijuna eura. U 2022. sufinancirana je provedba 161 programa poticanja lokalnog sporta i sportskih natjecanja, na kojima je omogućeno besplatno sudjelovanje u sportskim programima za 22.500 djece te je sufinancirana provedba 45 besplatnih programa obuke neplivača „Hrvatska pliva“ koji je uspješno svladalo 7.850 polaznika. Za sufinanciranje navedenih programa iz Državnog proračuna za 2022. utrošeno </w:t>
      </w:r>
      <w:r>
        <w:rPr>
          <w:rFonts w:eastAsia="Calibri"/>
          <w:kern w:val="2"/>
          <w:sz w:val="24"/>
          <w:szCs w:val="24"/>
        </w:rPr>
        <w:t xml:space="preserve">je </w:t>
      </w:r>
      <w:r w:rsidRPr="00BD1B6F">
        <w:rPr>
          <w:rFonts w:eastAsia="Calibri"/>
          <w:kern w:val="2"/>
          <w:sz w:val="24"/>
          <w:szCs w:val="24"/>
        </w:rPr>
        <w:t>2,3 milijuna eura.</w:t>
      </w:r>
    </w:p>
    <w:p w14:paraId="532EC779"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Kako bi se uključio što veći broj najmlađih učenika u sportske aktivnosti i doprinijelo stvaranju navike svakodnevnog tjelesnog vježbanja, u 2022. je nastavljena provedba programa „Univerzalne sportske škole“ namijenjenog učenicima od prvog do četvrtog razreda osnovnih škola, i programa „Vježbaonica“ namijenjenog učenicima od petog do osmog razreda osnovnih škola te svim učenicima srednjih škola u Hrvatskoj. U provedbu navedenih programa tijekom 2022. bile su uključene ukupno 783 škole (672 u 2021.), a različite sportske programe pohađalo</w:t>
      </w:r>
      <w:r>
        <w:rPr>
          <w:rFonts w:eastAsia="Calibri"/>
          <w:kern w:val="2"/>
          <w:sz w:val="24"/>
          <w:szCs w:val="24"/>
        </w:rPr>
        <w:t xml:space="preserve"> je</w:t>
      </w:r>
      <w:r w:rsidRPr="00BD1B6F">
        <w:rPr>
          <w:rFonts w:eastAsia="Calibri"/>
          <w:kern w:val="2"/>
          <w:sz w:val="24"/>
          <w:szCs w:val="24"/>
        </w:rPr>
        <w:t xml:space="preserve"> ukupno 10.290 polaznika. </w:t>
      </w:r>
    </w:p>
    <w:p w14:paraId="44A74DC4"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S ciljem uključivanja što većeg broja djece u organizirani oblik tjelesne aktivnosti, tijekom 2022. proveden je projekt „Sportski praznici“ ukupne vrijednosti 412 tisuća </w:t>
      </w:r>
      <w:r w:rsidRPr="00BD1B6F">
        <w:rPr>
          <w:rFonts w:eastAsia="Calibri"/>
          <w:kern w:val="2"/>
          <w:sz w:val="24"/>
          <w:szCs w:val="24"/>
        </w:rPr>
        <w:lastRenderedPageBreak/>
        <w:t xml:space="preserve">eura. Projekt je namijenjen učenicima osnovnih škola, a proveden je pod stručnim vodstvom kineziologa. U razdoblju od </w:t>
      </w:r>
      <w:r>
        <w:rPr>
          <w:rFonts w:eastAsia="Calibri"/>
          <w:kern w:val="2"/>
          <w:sz w:val="24"/>
          <w:szCs w:val="24"/>
        </w:rPr>
        <w:t>4</w:t>
      </w:r>
      <w:r w:rsidRPr="00BD1B6F">
        <w:rPr>
          <w:rFonts w:eastAsia="Calibri"/>
          <w:kern w:val="2"/>
          <w:sz w:val="24"/>
          <w:szCs w:val="24"/>
        </w:rPr>
        <w:t xml:space="preserve"> tjedna, na 84 lokacije u svim županijama te Gradu Zagrebu, različitim programima tjelesne aktivnosti besplatno </w:t>
      </w:r>
      <w:r>
        <w:rPr>
          <w:rFonts w:eastAsia="Calibri"/>
          <w:kern w:val="2"/>
          <w:sz w:val="24"/>
          <w:szCs w:val="24"/>
        </w:rPr>
        <w:t xml:space="preserve">se </w:t>
      </w:r>
      <w:r w:rsidRPr="00BD1B6F">
        <w:rPr>
          <w:rFonts w:eastAsia="Calibri"/>
          <w:kern w:val="2"/>
          <w:sz w:val="24"/>
          <w:szCs w:val="24"/>
        </w:rPr>
        <w:t xml:space="preserve">bavilo ukupno 13.576 školske djece, uz stručni nadzor kineziologa i osiguran zdravi obrok. </w:t>
      </w:r>
    </w:p>
    <w:p w14:paraId="615F25C1" w14:textId="77777777" w:rsidR="0058774E" w:rsidRPr="00BD1B6F" w:rsidRDefault="0058774E" w:rsidP="0058774E">
      <w:pPr>
        <w:spacing w:line="276" w:lineRule="auto"/>
        <w:jc w:val="both"/>
        <w:rPr>
          <w:rFonts w:eastAsia="Calibri"/>
          <w:bCs/>
          <w:kern w:val="2"/>
          <w:sz w:val="24"/>
          <w:szCs w:val="24"/>
        </w:rPr>
      </w:pPr>
    </w:p>
    <w:p w14:paraId="1A3836E1" w14:textId="77777777" w:rsidR="0058774E" w:rsidRPr="00BD1B6F" w:rsidRDefault="0058774E" w:rsidP="0058774E">
      <w:pPr>
        <w:spacing w:line="276" w:lineRule="auto"/>
        <w:jc w:val="both"/>
        <w:rPr>
          <w:rFonts w:eastAsia="Calibri"/>
          <w:kern w:val="2"/>
          <w:sz w:val="24"/>
          <w:szCs w:val="24"/>
        </w:rPr>
      </w:pPr>
      <w:r w:rsidRPr="00BD1B6F">
        <w:rPr>
          <w:rFonts w:eastAsia="Calibri"/>
          <w:kern w:val="2"/>
          <w:sz w:val="24"/>
          <w:szCs w:val="24"/>
        </w:rPr>
        <w:t>U 2022. proveden</w:t>
      </w:r>
      <w:r>
        <w:rPr>
          <w:rFonts w:eastAsia="Calibri"/>
          <w:kern w:val="2"/>
          <w:sz w:val="24"/>
          <w:szCs w:val="24"/>
        </w:rPr>
        <w:t xml:space="preserve"> je</w:t>
      </w:r>
      <w:r w:rsidRPr="00BD1B6F">
        <w:rPr>
          <w:rFonts w:eastAsia="Calibri"/>
          <w:kern w:val="2"/>
          <w:sz w:val="24"/>
          <w:szCs w:val="24"/>
        </w:rPr>
        <w:t xml:space="preserve"> projekt „Europski tjedan sporta“ kojim se građane educira o važnosti bavljenja zdravstveno usmjerenim vježbanjem. U okviru projekta provedene su 4 promotivne kampanje za javnost u koje je bilo uključeno 95 sportskih udruga, klubova i škola te ukupno 5 tisuća sudionika, kojima su predstavljene različite vrste sportsko-rekreativnih aktivnosti. </w:t>
      </w:r>
    </w:p>
    <w:p w14:paraId="799E2070" w14:textId="77777777" w:rsidR="0058774E" w:rsidRPr="00BD1B6F" w:rsidRDefault="0058774E" w:rsidP="0058774E">
      <w:pPr>
        <w:spacing w:line="276" w:lineRule="auto"/>
        <w:jc w:val="both"/>
        <w:rPr>
          <w:rFonts w:eastAsia="Calibri"/>
          <w:kern w:val="2"/>
          <w:sz w:val="24"/>
          <w:szCs w:val="24"/>
        </w:rPr>
      </w:pPr>
    </w:p>
    <w:p w14:paraId="424F6C90" w14:textId="77777777" w:rsidR="0058774E" w:rsidRPr="00BD1B6F" w:rsidRDefault="0058774E" w:rsidP="0058774E">
      <w:pPr>
        <w:spacing w:line="276" w:lineRule="auto"/>
        <w:jc w:val="both"/>
        <w:rPr>
          <w:rFonts w:eastAsia="Calibri"/>
          <w:kern w:val="2"/>
          <w:sz w:val="24"/>
          <w:szCs w:val="24"/>
        </w:rPr>
      </w:pPr>
      <w:r w:rsidRPr="00BD1B6F">
        <w:rPr>
          <w:rFonts w:eastAsia="Calibri"/>
          <w:kern w:val="2"/>
          <w:sz w:val="24"/>
          <w:szCs w:val="24"/>
        </w:rPr>
        <w:t xml:space="preserve">S ciljem uključivanja manje zastupljenih skupina u bavljenje sportom i tjelesno usmjerenim vježbanjem, u 2022. je proveden </w:t>
      </w:r>
      <w:r>
        <w:rPr>
          <w:rFonts w:eastAsia="Calibri"/>
          <w:kern w:val="2"/>
          <w:sz w:val="24"/>
          <w:szCs w:val="24"/>
        </w:rPr>
        <w:t>n</w:t>
      </w:r>
      <w:r w:rsidRPr="00BD1B6F">
        <w:rPr>
          <w:rFonts w:eastAsia="Calibri"/>
          <w:kern w:val="2"/>
          <w:sz w:val="24"/>
          <w:szCs w:val="24"/>
        </w:rPr>
        <w:t xml:space="preserve">atječaj za sufinanciranje izgradnje, građevinskih zahvata i opremanja sportskih građevina, u okviru kojeg je sufinancirana izgradnja i opremanje 22 vanjska vježbališta </w:t>
      </w:r>
      <w:r>
        <w:rPr>
          <w:rFonts w:eastAsia="Calibri"/>
          <w:kern w:val="2"/>
          <w:sz w:val="24"/>
          <w:szCs w:val="24"/>
        </w:rPr>
        <w:t>prilagođena</w:t>
      </w:r>
      <w:r w:rsidRPr="00BD1B6F">
        <w:rPr>
          <w:rFonts w:eastAsia="Calibri"/>
          <w:kern w:val="2"/>
          <w:sz w:val="24"/>
          <w:szCs w:val="24"/>
        </w:rPr>
        <w:t xml:space="preserve"> i </w:t>
      </w:r>
      <w:r>
        <w:rPr>
          <w:rFonts w:eastAsia="Calibri"/>
          <w:kern w:val="2"/>
          <w:sz w:val="24"/>
          <w:szCs w:val="24"/>
        </w:rPr>
        <w:t xml:space="preserve">za </w:t>
      </w:r>
      <w:r w:rsidRPr="00BD1B6F">
        <w:rPr>
          <w:rFonts w:eastAsia="Calibri"/>
          <w:kern w:val="2"/>
          <w:sz w:val="24"/>
          <w:szCs w:val="24"/>
        </w:rPr>
        <w:t>osob</w:t>
      </w:r>
      <w:r>
        <w:rPr>
          <w:rFonts w:eastAsia="Calibri"/>
          <w:kern w:val="2"/>
          <w:sz w:val="24"/>
          <w:szCs w:val="24"/>
        </w:rPr>
        <w:t>e</w:t>
      </w:r>
      <w:r w:rsidRPr="00BD1B6F">
        <w:rPr>
          <w:rFonts w:eastAsia="Calibri"/>
          <w:kern w:val="2"/>
          <w:sz w:val="24"/>
          <w:szCs w:val="24"/>
        </w:rPr>
        <w:t xml:space="preserve"> s invaliditetom. Također, u okviru programa „Univerzalnih sportskih škola“</w:t>
      </w:r>
      <w:r>
        <w:rPr>
          <w:rFonts w:eastAsia="Calibri"/>
          <w:kern w:val="2"/>
          <w:sz w:val="24"/>
          <w:szCs w:val="24"/>
        </w:rPr>
        <w:t>,</w:t>
      </w:r>
      <w:r w:rsidRPr="00BD1B6F">
        <w:rPr>
          <w:rFonts w:eastAsia="Calibri"/>
          <w:kern w:val="2"/>
          <w:sz w:val="24"/>
          <w:szCs w:val="24"/>
        </w:rPr>
        <w:t xml:space="preserve"> sudjelovanje u zdravstveno usmjerenom tjelesnom vježbanju i sportskom natjecanju bilo </w:t>
      </w:r>
      <w:r>
        <w:rPr>
          <w:rFonts w:eastAsia="Calibri"/>
          <w:kern w:val="2"/>
          <w:sz w:val="24"/>
          <w:szCs w:val="24"/>
        </w:rPr>
        <w:t xml:space="preserve">je </w:t>
      </w:r>
      <w:r w:rsidRPr="00BD1B6F">
        <w:rPr>
          <w:rFonts w:eastAsia="Calibri"/>
          <w:kern w:val="2"/>
          <w:sz w:val="24"/>
          <w:szCs w:val="24"/>
        </w:rPr>
        <w:t>omogućeno i za 290 učenika s poteškoćama u razvoju.</w:t>
      </w:r>
    </w:p>
    <w:p w14:paraId="7C049E29" w14:textId="77777777" w:rsidR="0058774E" w:rsidRPr="00BD1B6F" w:rsidRDefault="0058774E" w:rsidP="0058774E">
      <w:pPr>
        <w:spacing w:line="276" w:lineRule="auto"/>
        <w:jc w:val="both"/>
        <w:rPr>
          <w:rFonts w:eastAsia="Calibri"/>
          <w:kern w:val="2"/>
          <w:sz w:val="24"/>
          <w:szCs w:val="24"/>
        </w:rPr>
      </w:pPr>
    </w:p>
    <w:p w14:paraId="58348088" w14:textId="77777777" w:rsidR="0058774E" w:rsidRPr="00BD1B6F" w:rsidRDefault="0058774E" w:rsidP="0058774E">
      <w:pPr>
        <w:spacing w:line="276" w:lineRule="auto"/>
        <w:jc w:val="both"/>
        <w:rPr>
          <w:rFonts w:eastAsia="Calibri"/>
          <w:bCs/>
        </w:rPr>
      </w:pPr>
      <w:r w:rsidRPr="00BD1B6F">
        <w:rPr>
          <w:rFonts w:eastAsia="Calibri"/>
          <w:kern w:val="2"/>
          <w:sz w:val="24"/>
          <w:szCs w:val="24"/>
        </w:rPr>
        <w:t>Prema posljednjim podacima</w:t>
      </w:r>
      <w:r w:rsidRPr="00BD1B6F">
        <w:t xml:space="preserve"> </w:t>
      </w:r>
      <w:r w:rsidRPr="00BD1B6F">
        <w:rPr>
          <w:rFonts w:eastAsia="Calibri"/>
          <w:kern w:val="2"/>
          <w:sz w:val="24"/>
          <w:szCs w:val="24"/>
        </w:rPr>
        <w:t xml:space="preserve">Europske inicijative praćenja debljine u djece, od 39 zemalja uključenih u istraživanje, Hrvatska se nalazi na visokom sedmom mjestu po prevalenciji pretilosti kod djece, s 33,1% djevojčica i čak 37% dječaka s prekomjernom tjelesnom masom i debljinom. Unatoč preporuci Svjetske zdravstvene organizacije o dnevnoj konzumaciji </w:t>
      </w:r>
      <w:r>
        <w:rPr>
          <w:rFonts w:eastAsia="Calibri"/>
          <w:kern w:val="2"/>
          <w:sz w:val="24"/>
          <w:szCs w:val="24"/>
        </w:rPr>
        <w:t>5</w:t>
      </w:r>
      <w:r w:rsidRPr="00BD1B6F">
        <w:rPr>
          <w:rFonts w:eastAsia="Calibri"/>
          <w:kern w:val="2"/>
          <w:sz w:val="24"/>
          <w:szCs w:val="24"/>
        </w:rPr>
        <w:t xml:space="preserve"> porcija voća i povrća, prema istraživanju samo 20,5% hrvatskih školaraca u dobi od </w:t>
      </w:r>
      <w:r>
        <w:rPr>
          <w:rFonts w:eastAsia="Calibri"/>
          <w:kern w:val="2"/>
          <w:sz w:val="24"/>
          <w:szCs w:val="24"/>
        </w:rPr>
        <w:t>8</w:t>
      </w:r>
      <w:r w:rsidRPr="00BD1B6F">
        <w:rPr>
          <w:rFonts w:eastAsia="Calibri"/>
          <w:kern w:val="2"/>
          <w:sz w:val="24"/>
          <w:szCs w:val="24"/>
        </w:rPr>
        <w:t xml:space="preserve"> godina jede povrće svaki dan, a 33,7% voće. S ciljem promicanja važnosti usvajanja dobrih prehrambenih navika kod djece te poticanja na svakodnevnu tjelesnu aktivnost</w:t>
      </w:r>
      <w:r>
        <w:rPr>
          <w:rFonts w:eastAsia="Calibri"/>
          <w:kern w:val="2"/>
          <w:sz w:val="24"/>
          <w:szCs w:val="24"/>
        </w:rPr>
        <w:t>,</w:t>
      </w:r>
      <w:r w:rsidRPr="00BD1B6F">
        <w:rPr>
          <w:rFonts w:eastAsia="Calibri"/>
          <w:kern w:val="2"/>
          <w:sz w:val="24"/>
          <w:szCs w:val="24"/>
        </w:rPr>
        <w:t xml:space="preserve"> tijekom 2022. provedena </w:t>
      </w:r>
      <w:r>
        <w:rPr>
          <w:rFonts w:eastAsia="Calibri"/>
          <w:kern w:val="2"/>
          <w:sz w:val="24"/>
          <w:szCs w:val="24"/>
        </w:rPr>
        <w:t xml:space="preserve">je </w:t>
      </w:r>
      <w:r w:rsidRPr="00BD1B6F">
        <w:rPr>
          <w:rFonts w:eastAsia="Calibri"/>
          <w:kern w:val="2"/>
          <w:sz w:val="24"/>
          <w:szCs w:val="24"/>
        </w:rPr>
        <w:t xml:space="preserve">edukativna kampanja „Usvoji zdrave navike u 21 dan“. U okviru kampanje  proveden </w:t>
      </w:r>
      <w:r>
        <w:rPr>
          <w:rFonts w:eastAsia="Calibri"/>
          <w:kern w:val="2"/>
          <w:sz w:val="24"/>
          <w:szCs w:val="24"/>
        </w:rPr>
        <w:t xml:space="preserve">je </w:t>
      </w:r>
      <w:r w:rsidRPr="00BD1B6F">
        <w:rPr>
          <w:rFonts w:eastAsia="Calibri"/>
          <w:kern w:val="2"/>
          <w:sz w:val="24"/>
          <w:szCs w:val="24"/>
        </w:rPr>
        <w:t>i nagradni natječaj za mlade</w:t>
      </w:r>
      <w:r>
        <w:rPr>
          <w:rFonts w:eastAsia="Calibri"/>
          <w:kern w:val="2"/>
          <w:sz w:val="24"/>
          <w:szCs w:val="24"/>
        </w:rPr>
        <w:t>,</w:t>
      </w:r>
      <w:r w:rsidRPr="00BD1B6F">
        <w:rPr>
          <w:rFonts w:eastAsia="Calibri"/>
          <w:kern w:val="2"/>
          <w:sz w:val="24"/>
          <w:szCs w:val="24"/>
        </w:rPr>
        <w:t xml:space="preserve"> s ciljem motiviranja na promjene loših navika i usvajanje navika dobrih za zdravlje. </w:t>
      </w:r>
    </w:p>
    <w:p w14:paraId="7133C1FC" w14:textId="77777777" w:rsidR="0058774E" w:rsidRPr="00BD1B6F" w:rsidRDefault="0058774E" w:rsidP="0058774E">
      <w:pPr>
        <w:widowControl/>
        <w:autoSpaceDE/>
        <w:autoSpaceDN/>
        <w:spacing w:before="240" w:line="276" w:lineRule="auto"/>
        <w:ind w:firstLine="720"/>
        <w:jc w:val="both"/>
        <w:rPr>
          <w:rFonts w:eastAsia="Calibri"/>
          <w:b/>
          <w:bCs/>
          <w:kern w:val="2"/>
          <w:sz w:val="24"/>
          <w:szCs w:val="24"/>
        </w:rPr>
      </w:pPr>
      <w:r w:rsidRPr="00BD1B6F">
        <w:rPr>
          <w:rFonts w:eastAsia="Calibri"/>
          <w:b/>
          <w:bCs/>
          <w:kern w:val="2"/>
          <w:sz w:val="24"/>
          <w:szCs w:val="24"/>
        </w:rPr>
        <w:t>Dostojanstveno starenje</w:t>
      </w:r>
    </w:p>
    <w:p w14:paraId="69A5E5EB"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Nastavljeni su napori usmjereni na poboljšanje uvjeta za dostojanstvenu starost i kvalitetan život hrvatskih građana treće životne dobi. U 2022. napravljeni</w:t>
      </w:r>
      <w:r>
        <w:rPr>
          <w:rFonts w:eastAsia="Calibri"/>
          <w:kern w:val="2"/>
          <w:sz w:val="24"/>
          <w:szCs w:val="24"/>
        </w:rPr>
        <w:t xml:space="preserve"> su</w:t>
      </w:r>
      <w:r w:rsidRPr="00BD1B6F">
        <w:rPr>
          <w:rFonts w:eastAsia="Calibri"/>
          <w:kern w:val="2"/>
          <w:sz w:val="24"/>
          <w:szCs w:val="24"/>
        </w:rPr>
        <w:t xml:space="preserve"> značajni iskoraci u osiguravanju primjerenosti mirovina i smanjenju rizika od siromaštva za umirovljenike, povećanju dostupnosti i kvalitete infrastrukture namijenjene skrbi o starijim osobama</w:t>
      </w:r>
      <w:r>
        <w:rPr>
          <w:rFonts w:eastAsia="Calibri"/>
          <w:kern w:val="2"/>
          <w:sz w:val="24"/>
          <w:szCs w:val="24"/>
        </w:rPr>
        <w:t>,</w:t>
      </w:r>
      <w:r w:rsidRPr="00BD1B6F">
        <w:rPr>
          <w:rFonts w:eastAsia="Calibri"/>
          <w:kern w:val="2"/>
          <w:sz w:val="24"/>
          <w:szCs w:val="24"/>
        </w:rPr>
        <w:t xml:space="preserve"> te u stvaranju uvjeta za uključivanje umirovljenika u svijet rada i društvene aktivnosti. </w:t>
      </w:r>
    </w:p>
    <w:p w14:paraId="1C724E80" w14:textId="77777777" w:rsidR="0058774E" w:rsidRPr="00BD1B6F" w:rsidRDefault="0058774E" w:rsidP="0058774E">
      <w:pPr>
        <w:widowControl/>
        <w:autoSpaceDE/>
        <w:autoSpaceDN/>
        <w:spacing w:before="240" w:line="276" w:lineRule="auto"/>
        <w:jc w:val="both"/>
        <w:rPr>
          <w:rFonts w:eastAsia="Calibri"/>
          <w:kern w:val="2"/>
          <w:sz w:val="24"/>
          <w:szCs w:val="24"/>
        </w:rPr>
      </w:pPr>
      <w:r>
        <w:rPr>
          <w:rFonts w:eastAsia="Calibri"/>
          <w:kern w:val="2"/>
          <w:sz w:val="24"/>
          <w:szCs w:val="24"/>
        </w:rPr>
        <w:lastRenderedPageBreak/>
        <w:t>U</w:t>
      </w:r>
      <w:r w:rsidRPr="00BD1B6F">
        <w:rPr>
          <w:rFonts w:eastAsia="Calibri"/>
          <w:kern w:val="2"/>
          <w:sz w:val="24"/>
          <w:szCs w:val="24"/>
        </w:rPr>
        <w:t xml:space="preserve"> 2022. nastavljeni </w:t>
      </w:r>
      <w:r>
        <w:rPr>
          <w:rFonts w:eastAsia="Calibri"/>
          <w:kern w:val="2"/>
          <w:sz w:val="24"/>
          <w:szCs w:val="24"/>
        </w:rPr>
        <w:t xml:space="preserve">su </w:t>
      </w:r>
      <w:r w:rsidRPr="00BD1B6F">
        <w:rPr>
          <w:rFonts w:eastAsia="Calibri"/>
          <w:kern w:val="2"/>
          <w:sz w:val="24"/>
          <w:szCs w:val="24"/>
        </w:rPr>
        <w:t xml:space="preserve">pozitivni trendovi u obveznom mirovinskom osiguranju na temelju generacijske solidarnosti. Na dan 31. prosinca 2022., </w:t>
      </w:r>
      <w:r>
        <w:rPr>
          <w:rFonts w:eastAsia="Calibri"/>
          <w:kern w:val="2"/>
          <w:sz w:val="24"/>
          <w:szCs w:val="24"/>
        </w:rPr>
        <w:t xml:space="preserve">ukupan </w:t>
      </w:r>
      <w:r w:rsidRPr="00BD1B6F">
        <w:rPr>
          <w:rFonts w:eastAsia="Calibri"/>
          <w:kern w:val="2"/>
          <w:sz w:val="24"/>
          <w:szCs w:val="24"/>
        </w:rPr>
        <w:t>broj osiguranika iznosio je 1.607.734</w:t>
      </w:r>
      <w:r>
        <w:rPr>
          <w:rFonts w:eastAsia="Calibri"/>
          <w:kern w:val="2"/>
          <w:sz w:val="24"/>
          <w:szCs w:val="24"/>
        </w:rPr>
        <w:t xml:space="preserve">, dok je korisnika mirovine bilo </w:t>
      </w:r>
      <w:r w:rsidRPr="00BD1B6F">
        <w:rPr>
          <w:rFonts w:eastAsia="Calibri"/>
          <w:kern w:val="2"/>
          <w:sz w:val="24"/>
          <w:szCs w:val="24"/>
        </w:rPr>
        <w:t>1.227.671, uz omjer 1,31</w:t>
      </w:r>
      <w:r>
        <w:rPr>
          <w:rFonts w:eastAsia="Calibri"/>
          <w:kern w:val="2"/>
          <w:sz w:val="24"/>
          <w:szCs w:val="24"/>
        </w:rPr>
        <w:t>:1</w:t>
      </w:r>
      <w:r w:rsidRPr="00BD1B6F">
        <w:rPr>
          <w:rFonts w:eastAsia="Calibri"/>
          <w:kern w:val="2"/>
          <w:sz w:val="24"/>
          <w:szCs w:val="24"/>
        </w:rPr>
        <w:t xml:space="preserve"> (omjer je u 2021. iznosio 1,28</w:t>
      </w:r>
      <w:r>
        <w:rPr>
          <w:rFonts w:eastAsia="Calibri"/>
          <w:kern w:val="2"/>
          <w:sz w:val="24"/>
          <w:szCs w:val="24"/>
        </w:rPr>
        <w:t>:1</w:t>
      </w:r>
      <w:r w:rsidRPr="00BD1B6F">
        <w:rPr>
          <w:rFonts w:eastAsia="Calibri"/>
          <w:kern w:val="2"/>
          <w:sz w:val="24"/>
          <w:szCs w:val="24"/>
        </w:rPr>
        <w:t>). Prosječna mirovina isplaćena za prosinac 2022. iznosila je 380,97 eura, a prosječna starosna mirovina 408,46 eura. Nadalje, prosječna obiteljska mirovina za prosinac 2022. iznosila je 306,58 eura za ukupno 211.079 korisnika.</w:t>
      </w:r>
    </w:p>
    <w:p w14:paraId="683A4E14"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U cilju daljnjeg unapr</w:t>
      </w:r>
      <w:r>
        <w:rPr>
          <w:rFonts w:eastAsia="Calibri"/>
          <w:kern w:val="2"/>
          <w:sz w:val="24"/>
          <w:szCs w:val="24"/>
        </w:rPr>
        <w:t>j</w:t>
      </w:r>
      <w:r w:rsidRPr="00BD1B6F">
        <w:rPr>
          <w:rFonts w:eastAsia="Calibri"/>
          <w:kern w:val="2"/>
          <w:sz w:val="24"/>
          <w:szCs w:val="24"/>
        </w:rPr>
        <w:t>eđenja položaja umirovljenika</w:t>
      </w:r>
      <w:r>
        <w:rPr>
          <w:rFonts w:eastAsia="Calibri"/>
          <w:kern w:val="2"/>
          <w:sz w:val="24"/>
          <w:szCs w:val="24"/>
        </w:rPr>
        <w:t>,</w:t>
      </w:r>
      <w:r w:rsidRPr="00BD1B6F">
        <w:rPr>
          <w:rFonts w:eastAsia="Calibri"/>
          <w:kern w:val="2"/>
          <w:sz w:val="24"/>
          <w:szCs w:val="24"/>
        </w:rPr>
        <w:t xml:space="preserve"> u 2022. je donesen Zakon o izmjenama i dopunama Zakona o mirovinskom osiguranju kojim je napravljen značajan iskorak u povećanju mirovina za najosjetljivije kategorije umirovljenika, odnosno korisnike obiteljskih i najnižih mirovina. Izmjenama zakonskog okvira obiteljske mirovine, od 1. siječnja 2023. za 10% se povećavaju mirovine za više od 210.000 korisnika, a najniže mirovine za 3%, za više od 280.000 korisnika. Povećanjima se izravno doprinosi smanjenju rizika od siromaštva za korisnike koji u prosjeku primaju niži iznos mirovine. </w:t>
      </w:r>
      <w:r>
        <w:rPr>
          <w:rFonts w:eastAsia="Calibri"/>
          <w:kern w:val="2"/>
          <w:sz w:val="24"/>
          <w:szCs w:val="24"/>
        </w:rPr>
        <w:t>Z</w:t>
      </w:r>
      <w:r w:rsidRPr="00BD1B6F">
        <w:rPr>
          <w:rFonts w:eastAsia="Calibri"/>
          <w:kern w:val="2"/>
          <w:sz w:val="24"/>
          <w:szCs w:val="24"/>
        </w:rPr>
        <w:t xml:space="preserve">akonskim izmjenama omogućeno je istovremeno korištenje osobne mirovine i dijela obiteljske mirovine umrlog partnera, kako bi se zaštitilo umirovljenike s nižim mirovinskim primanjima u samačkim kućanstvima. Navedenim </w:t>
      </w:r>
      <w:r>
        <w:rPr>
          <w:rFonts w:eastAsia="Calibri"/>
          <w:kern w:val="2"/>
          <w:sz w:val="24"/>
          <w:szCs w:val="24"/>
        </w:rPr>
        <w:t xml:space="preserve">izmjenama </w:t>
      </w:r>
      <w:r w:rsidRPr="00BD1B6F">
        <w:rPr>
          <w:rFonts w:eastAsia="Calibri"/>
          <w:kern w:val="2"/>
          <w:sz w:val="24"/>
          <w:szCs w:val="24"/>
        </w:rPr>
        <w:t xml:space="preserve">planira </w:t>
      </w:r>
      <w:r>
        <w:rPr>
          <w:rFonts w:eastAsia="Calibri"/>
          <w:kern w:val="2"/>
          <w:sz w:val="24"/>
          <w:szCs w:val="24"/>
        </w:rPr>
        <w:t xml:space="preserve">se </w:t>
      </w:r>
      <w:r w:rsidRPr="00BD1B6F">
        <w:rPr>
          <w:rFonts w:eastAsia="Calibri"/>
          <w:kern w:val="2"/>
          <w:sz w:val="24"/>
          <w:szCs w:val="24"/>
        </w:rPr>
        <w:t>obuhvatiti više od 150.000 korisnika mirovina</w:t>
      </w:r>
      <w:r>
        <w:rPr>
          <w:rFonts w:eastAsia="Calibri"/>
          <w:kern w:val="2"/>
          <w:sz w:val="24"/>
          <w:szCs w:val="24"/>
        </w:rPr>
        <w:t>.</w:t>
      </w:r>
      <w:r w:rsidRPr="00BD1B6F">
        <w:rPr>
          <w:rFonts w:eastAsia="Calibri"/>
          <w:kern w:val="2"/>
          <w:sz w:val="24"/>
          <w:szCs w:val="24"/>
        </w:rPr>
        <w:t xml:space="preserve"> Također, u cilju daljnjeg poticanja duljeg ostanka u svijetu rada, dodatno je proširen krug korisnika mirovina kojima je omogućen rad do polovice punog radnog vremena uz istovremeno korištenje mirovine</w:t>
      </w:r>
      <w:r>
        <w:rPr>
          <w:rFonts w:eastAsia="Calibri"/>
          <w:kern w:val="2"/>
          <w:sz w:val="24"/>
          <w:szCs w:val="24"/>
        </w:rPr>
        <w:t>.</w:t>
      </w:r>
      <w:r w:rsidRPr="00672866">
        <w:rPr>
          <w:rFonts w:eastAsia="Calibri"/>
          <w:kern w:val="2"/>
          <w:sz w:val="24"/>
          <w:szCs w:val="24"/>
        </w:rPr>
        <w:t xml:space="preserve"> </w:t>
      </w:r>
    </w:p>
    <w:p w14:paraId="1FD23D58"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Pokrenute su aktivnosti u okviru komponente C4.2. „Unaprjeđenje mirovinskog sustava kroz povećanje adekvatnosti mirovina“ utvrđene NPOO-om. U skladu s planom, osnovana je Radna skupina za analizu stanja mirovinskog sustava, radi pripreme sveobuhvatne analize mirovinskog sustava te rasprave sa socijalnim partnerima, umirovljeničkim udrugama, akademskom zajednicom i drugim zainteresiranim dionicima. Osim sveobuhvatne analize mirovinskog sustava, radna skupina će donijeti i prijedlog mjera za daljnje unaprjeđenje mirovinskog sustava i povećanje razine primjerenosti mirovina.</w:t>
      </w:r>
    </w:p>
    <w:p w14:paraId="5F8817E8" w14:textId="77777777" w:rsidR="0058774E" w:rsidRPr="00BD1B6F" w:rsidRDefault="0058774E" w:rsidP="0058774E">
      <w:pPr>
        <w:widowControl/>
        <w:autoSpaceDE/>
        <w:autoSpaceDN/>
        <w:spacing w:before="240" w:line="276" w:lineRule="auto"/>
        <w:ind w:firstLine="720"/>
        <w:jc w:val="both"/>
        <w:rPr>
          <w:rFonts w:eastAsia="Calibri"/>
          <w:b/>
          <w:bCs/>
          <w:kern w:val="2"/>
          <w:sz w:val="24"/>
          <w:szCs w:val="24"/>
        </w:rPr>
      </w:pPr>
      <w:r w:rsidRPr="00BD1B6F">
        <w:rPr>
          <w:rFonts w:eastAsia="Calibri"/>
          <w:b/>
          <w:bCs/>
          <w:kern w:val="2"/>
          <w:sz w:val="24"/>
          <w:szCs w:val="24"/>
        </w:rPr>
        <w:t>Socijalna solidarnost i odgovornost</w:t>
      </w:r>
    </w:p>
    <w:p w14:paraId="030A0F4E"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Napori u ostvarivanju jednakih prilika za ranjive društvene skupine i osiguravanju brige za one koji nisu u mogućnosti skrbiti o osnovnim životnim potrebama te borbi protiv svih oblika nasilja, diskriminacije i isključenosti, čine temelj hrvatskog sustava socijalne sigurnosti.</w:t>
      </w:r>
    </w:p>
    <w:p w14:paraId="33F9C5A7"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Kao pokazatelj kvalitetne i učinkovite provedbe mjera socijalne skrbi u Hrvatskoj, u 2022. je nastavljen pozitiv</w:t>
      </w:r>
      <w:r>
        <w:rPr>
          <w:rFonts w:eastAsia="Calibri"/>
          <w:kern w:val="2"/>
          <w:sz w:val="24"/>
          <w:szCs w:val="24"/>
        </w:rPr>
        <w:t>an</w:t>
      </w:r>
      <w:r w:rsidRPr="00BD1B6F">
        <w:rPr>
          <w:rFonts w:eastAsia="Calibri"/>
          <w:kern w:val="2"/>
          <w:sz w:val="24"/>
          <w:szCs w:val="24"/>
        </w:rPr>
        <w:t xml:space="preserve"> trend smanjenja udjela osoba u riziku od siromaštva i </w:t>
      </w:r>
      <w:r w:rsidRPr="00BD1B6F">
        <w:rPr>
          <w:rFonts w:eastAsia="Calibri"/>
          <w:kern w:val="2"/>
          <w:sz w:val="24"/>
          <w:szCs w:val="24"/>
        </w:rPr>
        <w:lastRenderedPageBreak/>
        <w:t xml:space="preserve">socijalne isključenosti koji je snižen na 19,9%, </w:t>
      </w:r>
      <w:r>
        <w:rPr>
          <w:rFonts w:eastAsia="Calibri"/>
          <w:kern w:val="2"/>
          <w:sz w:val="24"/>
          <w:szCs w:val="24"/>
        </w:rPr>
        <w:t xml:space="preserve">što je </w:t>
      </w:r>
      <w:r w:rsidRPr="00BD1B6F">
        <w:rPr>
          <w:rFonts w:eastAsia="Calibri"/>
          <w:kern w:val="2"/>
          <w:sz w:val="24"/>
          <w:szCs w:val="24"/>
        </w:rPr>
        <w:t>bolje od prosjeka EU</w:t>
      </w:r>
      <w:r>
        <w:rPr>
          <w:rFonts w:eastAsia="Calibri"/>
          <w:kern w:val="2"/>
          <w:sz w:val="24"/>
          <w:szCs w:val="24"/>
        </w:rPr>
        <w:t>-a</w:t>
      </w:r>
      <w:r w:rsidRPr="00BD1B6F">
        <w:rPr>
          <w:rFonts w:eastAsia="Calibri"/>
          <w:kern w:val="2"/>
          <w:sz w:val="24"/>
          <w:szCs w:val="24"/>
        </w:rPr>
        <w:t xml:space="preserve"> koji je iznosio 21,6%. </w:t>
      </w:r>
    </w:p>
    <w:p w14:paraId="102078DB"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S ciljem daljnjeg smanjenja rizika od siromaštva, socijalne ugroženosti i isključenosti kod korisnika socijalne skrbi, u 2022. donesen </w:t>
      </w:r>
      <w:r>
        <w:rPr>
          <w:rFonts w:eastAsia="Calibri"/>
          <w:kern w:val="2"/>
          <w:sz w:val="24"/>
          <w:szCs w:val="24"/>
        </w:rPr>
        <w:t xml:space="preserve">je </w:t>
      </w:r>
      <w:r w:rsidRPr="00BD1B6F">
        <w:rPr>
          <w:rFonts w:eastAsia="Calibri"/>
          <w:kern w:val="2"/>
          <w:sz w:val="24"/>
          <w:szCs w:val="24"/>
        </w:rPr>
        <w:t xml:space="preserve">novi Zakon o socijalnoj skrbi. Provedbom zakona će se povećati dostupnost, transparentnost, adekvatnost i obuhvat socijalnih naknada za korisnike socijalne skrbi. Novim </w:t>
      </w:r>
      <w:r>
        <w:rPr>
          <w:rFonts w:eastAsia="Calibri"/>
          <w:kern w:val="2"/>
          <w:sz w:val="24"/>
          <w:szCs w:val="24"/>
        </w:rPr>
        <w:t>Z</w:t>
      </w:r>
      <w:r w:rsidRPr="00BD1B6F">
        <w:rPr>
          <w:rFonts w:eastAsia="Calibri"/>
          <w:kern w:val="2"/>
          <w:sz w:val="24"/>
          <w:szCs w:val="24"/>
        </w:rPr>
        <w:t xml:space="preserve">akonom predviđeno je osnivanje Hrvatskog zavoda za socijalni rad, Obiteljskog centra kao samostalne ustanove socijalne skrbi te osnivanje Akademije socijalne skrbi u svrhu kontinuiranog stručnog usavršavanja stručnih i drugih radnika u sustavu i podizanje kvalitete stručnog rada. Također, radi izjednačavanja mogućnosti za osobe s invaliditetom, povećan </w:t>
      </w:r>
      <w:r>
        <w:rPr>
          <w:rFonts w:eastAsia="Calibri"/>
          <w:kern w:val="2"/>
          <w:sz w:val="24"/>
          <w:szCs w:val="24"/>
        </w:rPr>
        <w:t xml:space="preserve">je </w:t>
      </w:r>
      <w:r w:rsidRPr="00BD1B6F">
        <w:rPr>
          <w:rFonts w:eastAsia="Calibri"/>
          <w:kern w:val="2"/>
          <w:sz w:val="24"/>
          <w:szCs w:val="24"/>
        </w:rPr>
        <w:t>iznos prava osobne invalidnine te je ukinut prihodovni i imovinski cenzus za priznavanje prava na osobnu invalidninu. Dodatno, unaprjeđeno je i pravo na status roditelja njegovatelja i njegovatelja, proširenjem kruga osoba kojima se može priznati to pravo te je povećan iznos naknade roditelju njegovatelju i njegovatelju.</w:t>
      </w:r>
    </w:p>
    <w:p w14:paraId="48C9243A"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Izrađen je prijedlog Zakona o osobnoj asistenciji i upućen u postupak javnog savjetovanja tijekom prosinca 2022. Zakonom se prvi put u Hrvatskoj uspostavlja normativni okvir usluge osobne asistencije, čime usluga osobne asistencije postaje usluga socijalne skrbi kojom se osigurava pomoć osobi s invaliditetom u aktivnostima koje ne može izvoditi sama. Prema planu</w:t>
      </w:r>
      <w:r>
        <w:rPr>
          <w:rFonts w:eastAsia="Calibri"/>
          <w:kern w:val="2"/>
          <w:sz w:val="24"/>
          <w:szCs w:val="24"/>
        </w:rPr>
        <w:t>,</w:t>
      </w:r>
      <w:r w:rsidRPr="00BD1B6F">
        <w:rPr>
          <w:rFonts w:eastAsia="Calibri"/>
          <w:kern w:val="2"/>
          <w:sz w:val="24"/>
          <w:szCs w:val="24"/>
        </w:rPr>
        <w:t xml:space="preserve"> </w:t>
      </w:r>
      <w:r>
        <w:rPr>
          <w:rFonts w:eastAsia="Calibri"/>
          <w:kern w:val="2"/>
          <w:sz w:val="24"/>
          <w:szCs w:val="24"/>
        </w:rPr>
        <w:t>z</w:t>
      </w:r>
      <w:r w:rsidRPr="00672866">
        <w:rPr>
          <w:rFonts w:eastAsia="Calibri"/>
          <w:kern w:val="2"/>
          <w:sz w:val="24"/>
          <w:szCs w:val="24"/>
        </w:rPr>
        <w:t>akon</w:t>
      </w:r>
      <w:r w:rsidRPr="00BD1B6F">
        <w:rPr>
          <w:rFonts w:eastAsia="Calibri"/>
          <w:kern w:val="2"/>
          <w:sz w:val="24"/>
          <w:szCs w:val="24"/>
        </w:rPr>
        <w:t xml:space="preserve"> </w:t>
      </w:r>
      <w:r>
        <w:rPr>
          <w:rFonts w:eastAsia="Calibri"/>
          <w:kern w:val="2"/>
          <w:sz w:val="24"/>
          <w:szCs w:val="24"/>
        </w:rPr>
        <w:t xml:space="preserve">će </w:t>
      </w:r>
      <w:r w:rsidRPr="00C275FA">
        <w:rPr>
          <w:rFonts w:eastAsia="Calibri"/>
          <w:kern w:val="2"/>
          <w:sz w:val="24"/>
          <w:szCs w:val="24"/>
        </w:rPr>
        <w:t>stupiti na snagu 1. srpnja 2023.</w:t>
      </w:r>
    </w:p>
    <w:p w14:paraId="677FA786"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Kako bi se osigurao nastavak procesa deinstitucionalizacije korisnika i prevencije institucionalizacije te omogućila transformacija pružatelja socijalnih usluga, izrađen je Operativni plan deinstitucionalizacije, prevencije institucionalizacije i transformacije pružatelja socijalnih usluga za razdoblje od 2022. do 2027. Plan predstavlja preduvjet kojim su definirana ulaganja koja su prihvatljiva za financiranje sredstvima EU fondova u novom financijskom razdoblju 2021.</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2027. Provedbom reformi i ulaganja u okviru operativnog plana</w:t>
      </w:r>
      <w:r>
        <w:rPr>
          <w:rFonts w:eastAsia="Calibri"/>
          <w:kern w:val="2"/>
          <w:sz w:val="24"/>
          <w:szCs w:val="24"/>
        </w:rPr>
        <w:t xml:space="preserve">, </w:t>
      </w:r>
      <w:r w:rsidRPr="00BD1B6F">
        <w:rPr>
          <w:rFonts w:eastAsia="Calibri"/>
          <w:kern w:val="2"/>
          <w:sz w:val="24"/>
          <w:szCs w:val="24"/>
        </w:rPr>
        <w:t>poboljšat će se regionalna ravnomjernost i dostupnost izvaninstitucijskih usluga</w:t>
      </w:r>
      <w:r>
        <w:rPr>
          <w:rFonts w:eastAsia="Calibri"/>
          <w:kern w:val="2"/>
          <w:sz w:val="24"/>
          <w:szCs w:val="24"/>
        </w:rPr>
        <w:t>,</w:t>
      </w:r>
      <w:r w:rsidRPr="00BD1B6F">
        <w:rPr>
          <w:rFonts w:eastAsia="Calibri"/>
          <w:kern w:val="2"/>
          <w:sz w:val="24"/>
          <w:szCs w:val="24"/>
        </w:rPr>
        <w:t xml:space="preserve"> većem broju korisnika socijalnih usluga </w:t>
      </w:r>
      <w:r>
        <w:rPr>
          <w:rFonts w:eastAsia="Calibri"/>
          <w:kern w:val="2"/>
          <w:sz w:val="24"/>
          <w:szCs w:val="24"/>
        </w:rPr>
        <w:t>omogućit će se</w:t>
      </w:r>
      <w:r w:rsidRPr="00BD1B6F">
        <w:rPr>
          <w:rFonts w:eastAsia="Calibri"/>
          <w:kern w:val="2"/>
          <w:sz w:val="24"/>
          <w:szCs w:val="24"/>
        </w:rPr>
        <w:t xml:space="preserve"> skrb i život u zajednici te će se smanjiti ukupan broj korisnika socijalnih usluga u ustanovama za socijalnu skrb. </w:t>
      </w:r>
    </w:p>
    <w:p w14:paraId="274AB372"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Nadalje, s ciljem razvoja, širenja dostupnosti i unaprjeđenja kvalitete izvaninstitucijskih socijalnih usluga, u 2022. provedena </w:t>
      </w:r>
      <w:r>
        <w:rPr>
          <w:rFonts w:eastAsia="Calibri"/>
          <w:kern w:val="2"/>
          <w:sz w:val="24"/>
          <w:szCs w:val="24"/>
        </w:rPr>
        <w:t>su 2</w:t>
      </w:r>
      <w:r w:rsidRPr="00BD1B6F">
        <w:rPr>
          <w:rFonts w:eastAsia="Calibri"/>
          <w:kern w:val="2"/>
          <w:sz w:val="24"/>
          <w:szCs w:val="24"/>
        </w:rPr>
        <w:t xml:space="preserve"> ograničena poziva te </w:t>
      </w:r>
      <w:r>
        <w:rPr>
          <w:rFonts w:eastAsia="Calibri"/>
          <w:kern w:val="2"/>
          <w:sz w:val="24"/>
          <w:szCs w:val="24"/>
        </w:rPr>
        <w:t>3</w:t>
      </w:r>
      <w:r w:rsidRPr="00BD1B6F">
        <w:rPr>
          <w:rFonts w:eastAsia="Calibri"/>
          <w:kern w:val="2"/>
          <w:sz w:val="24"/>
          <w:szCs w:val="24"/>
        </w:rPr>
        <w:t xml:space="preserve"> otvorena poziva financirana sredstvima E</w:t>
      </w:r>
      <w:r>
        <w:rPr>
          <w:rFonts w:eastAsia="Calibri"/>
          <w:kern w:val="2"/>
          <w:sz w:val="24"/>
          <w:szCs w:val="24"/>
        </w:rPr>
        <w:t>SF</w:t>
      </w:r>
      <w:r w:rsidRPr="00BD1B6F">
        <w:rPr>
          <w:rFonts w:eastAsia="Calibri"/>
          <w:kern w:val="2"/>
          <w:sz w:val="24"/>
          <w:szCs w:val="24"/>
        </w:rPr>
        <w:t xml:space="preserve"> </w:t>
      </w:r>
      <w:r w:rsidRPr="00644C64">
        <w:rPr>
          <w:rFonts w:eastAsia="Calibri"/>
          <w:kern w:val="2"/>
          <w:sz w:val="24"/>
          <w:szCs w:val="24"/>
        </w:rPr>
        <w:t>2014.</w:t>
      </w:r>
      <w:r>
        <w:rPr>
          <w:rFonts w:eastAsia="Calibri"/>
          <w:kern w:val="2"/>
          <w:sz w:val="24"/>
          <w:szCs w:val="24"/>
        </w:rPr>
        <w:t xml:space="preserve"> </w:t>
      </w:r>
      <w:r w:rsidRPr="00644C64">
        <w:rPr>
          <w:rFonts w:eastAsia="Calibri"/>
          <w:kern w:val="2"/>
          <w:sz w:val="24"/>
          <w:szCs w:val="24"/>
        </w:rPr>
        <w:t>-</w:t>
      </w:r>
      <w:r>
        <w:rPr>
          <w:rFonts w:eastAsia="Calibri"/>
          <w:kern w:val="2"/>
          <w:sz w:val="24"/>
          <w:szCs w:val="24"/>
        </w:rPr>
        <w:t xml:space="preserve"> </w:t>
      </w:r>
      <w:r w:rsidRPr="00644C64">
        <w:rPr>
          <w:rFonts w:eastAsia="Calibri"/>
          <w:kern w:val="2"/>
          <w:sz w:val="24"/>
          <w:szCs w:val="24"/>
        </w:rPr>
        <w:t>2020.</w:t>
      </w:r>
      <w:r>
        <w:rPr>
          <w:rFonts w:eastAsia="Calibri"/>
          <w:kern w:val="2"/>
          <w:sz w:val="24"/>
          <w:szCs w:val="24"/>
        </w:rPr>
        <w:t xml:space="preserve"> </w:t>
      </w:r>
      <w:r w:rsidRPr="00BD1B6F">
        <w:rPr>
          <w:rFonts w:eastAsia="Calibri"/>
          <w:kern w:val="2"/>
          <w:sz w:val="24"/>
          <w:szCs w:val="24"/>
        </w:rPr>
        <w:t xml:space="preserve">Temeljem provedenih poziva, s odabranim </w:t>
      </w:r>
      <w:r>
        <w:rPr>
          <w:rFonts w:eastAsia="Calibri"/>
          <w:kern w:val="2"/>
          <w:sz w:val="24"/>
          <w:szCs w:val="24"/>
        </w:rPr>
        <w:t xml:space="preserve">je </w:t>
      </w:r>
      <w:r w:rsidRPr="00BD1B6F">
        <w:rPr>
          <w:rFonts w:eastAsia="Calibri"/>
          <w:kern w:val="2"/>
          <w:sz w:val="24"/>
          <w:szCs w:val="24"/>
        </w:rPr>
        <w:t>korisnicima  sklopljeno 195 ugovora o dodjeli bespovratnih sredstava ukupne vrijednosti 66 milijuna eura, od kojih je tijekom 2022. završena provedba za 109 ugovora, ukupne vrijednosti 28,6 milijuna eura.</w:t>
      </w:r>
    </w:p>
    <w:p w14:paraId="77D2E83D"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lastRenderedPageBreak/>
        <w:t xml:space="preserve">Kako bi se osigurala kvalitetna podrška u provedbi procesa deinstitucionalizacije, u suradnji sa Svjetskom bankom pokrenuta </w:t>
      </w:r>
      <w:r>
        <w:rPr>
          <w:rFonts w:eastAsia="Calibri"/>
          <w:kern w:val="2"/>
          <w:sz w:val="24"/>
          <w:szCs w:val="24"/>
        </w:rPr>
        <w:t xml:space="preserve">je </w:t>
      </w:r>
      <w:r w:rsidRPr="00BD1B6F">
        <w:rPr>
          <w:rFonts w:eastAsia="Calibri"/>
          <w:kern w:val="2"/>
          <w:sz w:val="24"/>
          <w:szCs w:val="24"/>
        </w:rPr>
        <w:t>provedba ESF+ projekta „Prijelaz s institucionalne na skrb i podršku u zajednici za djecu, mlade i osobe s invaliditetom u Hrvatskoj“. U okviru projekta izradit će se planovi za deinstitucionalizaciju 38 državnih domova socijalne skrbi koji još nisu započeli s provedbom procesa deinstitucionalizacije te će se uspostaviti sustav za praćenje procesa.</w:t>
      </w:r>
    </w:p>
    <w:p w14:paraId="71246577"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S ciljem nastavka napora u borbi protiv siromaštva i socijalne isključenosti te uspostavljanja sustava za praćenje učinkovitosti socijalnih programa, u okviru Instrumenta za tehničku potporu (TSI), ugovorena je provedba projekta „Sveobuhvatna dijagnostika siromaštva i socijalne isključenosti i pregled sustava za praćenje socijalnih politika“. Projekt se provodi u suradnji s Glavnom upravom za potporu strukturnim reformama Europske komisije i Svjetskom </w:t>
      </w:r>
      <w:r>
        <w:rPr>
          <w:rFonts w:eastAsia="Calibri"/>
          <w:kern w:val="2"/>
          <w:sz w:val="24"/>
          <w:szCs w:val="24"/>
        </w:rPr>
        <w:t>b</w:t>
      </w:r>
      <w:r w:rsidRPr="00BD1B6F">
        <w:rPr>
          <w:rFonts w:eastAsia="Calibri"/>
          <w:kern w:val="2"/>
          <w:sz w:val="24"/>
          <w:szCs w:val="24"/>
        </w:rPr>
        <w:t>ankom</w:t>
      </w:r>
      <w:r>
        <w:rPr>
          <w:rFonts w:eastAsia="Calibri"/>
          <w:kern w:val="2"/>
          <w:sz w:val="24"/>
          <w:szCs w:val="24"/>
        </w:rPr>
        <w:t>,</w:t>
      </w:r>
      <w:r w:rsidRPr="00BD1B6F">
        <w:rPr>
          <w:rFonts w:eastAsia="Calibri"/>
          <w:kern w:val="2"/>
          <w:sz w:val="24"/>
          <w:szCs w:val="24"/>
        </w:rPr>
        <w:t xml:space="preserve"> a </w:t>
      </w:r>
      <w:r>
        <w:rPr>
          <w:rFonts w:eastAsia="Calibri"/>
          <w:kern w:val="2"/>
          <w:sz w:val="24"/>
          <w:szCs w:val="24"/>
        </w:rPr>
        <w:t>p</w:t>
      </w:r>
      <w:r w:rsidRPr="00BD1B6F">
        <w:rPr>
          <w:rFonts w:eastAsia="Calibri"/>
          <w:kern w:val="2"/>
          <w:sz w:val="24"/>
          <w:szCs w:val="24"/>
        </w:rPr>
        <w:t>rojektom će se razviti metodologija za sustav baze podataka o siromaštvu i socijalnoj isključenosti kojim će se pratiti pokazatelj</w:t>
      </w:r>
      <w:r>
        <w:rPr>
          <w:rFonts w:eastAsia="Calibri"/>
          <w:kern w:val="2"/>
          <w:sz w:val="24"/>
          <w:szCs w:val="24"/>
        </w:rPr>
        <w:t>i</w:t>
      </w:r>
      <w:r w:rsidRPr="00BD1B6F">
        <w:rPr>
          <w:rFonts w:eastAsia="Calibri"/>
          <w:kern w:val="2"/>
          <w:sz w:val="24"/>
          <w:szCs w:val="24"/>
        </w:rPr>
        <w:t xml:space="preserve"> siromaštva i socijalne isključenosti na podnacionalnoj razini u Hrvatskoj.</w:t>
      </w:r>
    </w:p>
    <w:p w14:paraId="1C55896F" w14:textId="77777777" w:rsidR="0058774E" w:rsidRPr="00BD1B6F" w:rsidRDefault="0058774E" w:rsidP="0058774E">
      <w:pPr>
        <w:widowControl/>
        <w:autoSpaceDE/>
        <w:autoSpaceDN/>
        <w:spacing w:before="240" w:line="276" w:lineRule="auto"/>
        <w:jc w:val="both"/>
        <w:rPr>
          <w:rFonts w:eastAsia="Calibri"/>
          <w:kern w:val="2"/>
          <w:sz w:val="24"/>
          <w:szCs w:val="24"/>
        </w:rPr>
      </w:pPr>
      <w:r>
        <w:rPr>
          <w:rFonts w:eastAsia="Calibri"/>
          <w:kern w:val="2"/>
          <w:sz w:val="24"/>
          <w:szCs w:val="24"/>
        </w:rPr>
        <w:t>Nastavljena je uspješna provedba javnog poziva za financiranje troškova školske prehrane za djecu u riziku od siromaštva, sufinanciranog u okviru Operativnog programa za hranu i osnovnu materijalnu pomoć za razdoblje 2014. - 2020. iz Fonda europske pomoći za najpotrebitije (FEAD). U 2022. završena je p</w:t>
      </w:r>
      <w:r w:rsidRPr="00BD1B6F">
        <w:rPr>
          <w:rFonts w:eastAsia="Calibri"/>
          <w:kern w:val="2"/>
          <w:sz w:val="24"/>
          <w:szCs w:val="24"/>
        </w:rPr>
        <w:t>roved</w:t>
      </w:r>
      <w:r>
        <w:rPr>
          <w:rFonts w:eastAsia="Calibri"/>
          <w:kern w:val="2"/>
          <w:sz w:val="24"/>
          <w:szCs w:val="24"/>
        </w:rPr>
        <w:t>ba</w:t>
      </w:r>
      <w:r w:rsidRPr="00BD1B6F">
        <w:rPr>
          <w:rFonts w:eastAsia="Calibri"/>
          <w:kern w:val="2"/>
          <w:sz w:val="24"/>
          <w:szCs w:val="24"/>
        </w:rPr>
        <w:t xml:space="preserve"> </w:t>
      </w:r>
      <w:r>
        <w:rPr>
          <w:rFonts w:eastAsia="Calibri"/>
          <w:kern w:val="2"/>
          <w:sz w:val="24"/>
          <w:szCs w:val="24"/>
        </w:rPr>
        <w:t xml:space="preserve">projekata </w:t>
      </w:r>
      <w:r w:rsidRPr="00012AA7">
        <w:rPr>
          <w:rFonts w:eastAsia="Calibri"/>
          <w:kern w:val="2"/>
          <w:sz w:val="24"/>
          <w:szCs w:val="24"/>
        </w:rPr>
        <w:t>ukupne vrijednosti 3,3 milijuna eura</w:t>
      </w:r>
      <w:r w:rsidRPr="00012AA7" w:rsidDel="00394AB4">
        <w:rPr>
          <w:rFonts w:eastAsia="Calibri"/>
          <w:kern w:val="2"/>
          <w:sz w:val="24"/>
          <w:szCs w:val="24"/>
        </w:rPr>
        <w:t xml:space="preserve"> </w:t>
      </w:r>
      <w:r>
        <w:rPr>
          <w:rFonts w:eastAsia="Calibri"/>
          <w:kern w:val="2"/>
          <w:sz w:val="24"/>
          <w:szCs w:val="24"/>
        </w:rPr>
        <w:t>kojima je</w:t>
      </w:r>
      <w:r w:rsidRPr="00BD1B6F">
        <w:rPr>
          <w:rFonts w:eastAsia="Calibri"/>
          <w:kern w:val="2"/>
          <w:sz w:val="24"/>
          <w:szCs w:val="24"/>
        </w:rPr>
        <w:t xml:space="preserve"> školsk</w:t>
      </w:r>
      <w:r>
        <w:rPr>
          <w:rFonts w:eastAsia="Calibri"/>
          <w:kern w:val="2"/>
          <w:sz w:val="24"/>
          <w:szCs w:val="24"/>
        </w:rPr>
        <w:t>a</w:t>
      </w:r>
      <w:r w:rsidRPr="00BD1B6F">
        <w:rPr>
          <w:rFonts w:eastAsia="Calibri"/>
          <w:kern w:val="2"/>
          <w:sz w:val="24"/>
          <w:szCs w:val="24"/>
        </w:rPr>
        <w:t xml:space="preserve"> </w:t>
      </w:r>
      <w:r>
        <w:rPr>
          <w:rFonts w:eastAsia="Calibri"/>
          <w:kern w:val="2"/>
          <w:sz w:val="24"/>
          <w:szCs w:val="24"/>
        </w:rPr>
        <w:t>p</w:t>
      </w:r>
      <w:r w:rsidRPr="00BD1B6F">
        <w:rPr>
          <w:rFonts w:eastAsia="Calibri"/>
          <w:kern w:val="2"/>
          <w:sz w:val="24"/>
          <w:szCs w:val="24"/>
        </w:rPr>
        <w:t>rehran</w:t>
      </w:r>
      <w:r>
        <w:rPr>
          <w:rFonts w:eastAsia="Calibri"/>
          <w:kern w:val="2"/>
          <w:sz w:val="24"/>
          <w:szCs w:val="24"/>
        </w:rPr>
        <w:t>a</w:t>
      </w:r>
      <w:r w:rsidRPr="00BD1B6F">
        <w:rPr>
          <w:rFonts w:eastAsia="Calibri"/>
          <w:kern w:val="2"/>
          <w:sz w:val="24"/>
          <w:szCs w:val="24"/>
        </w:rPr>
        <w:t xml:space="preserve"> za djecu u riziku od siromaštva </w:t>
      </w:r>
      <w:r>
        <w:rPr>
          <w:rFonts w:eastAsia="Calibri"/>
          <w:kern w:val="2"/>
          <w:sz w:val="24"/>
          <w:szCs w:val="24"/>
        </w:rPr>
        <w:t xml:space="preserve">osigurana tijekom </w:t>
      </w:r>
      <w:r w:rsidRPr="00BD1B6F">
        <w:rPr>
          <w:rFonts w:eastAsia="Calibri"/>
          <w:kern w:val="2"/>
          <w:sz w:val="24"/>
          <w:szCs w:val="24"/>
        </w:rPr>
        <w:t>šk</w:t>
      </w:r>
      <w:r>
        <w:rPr>
          <w:rFonts w:eastAsia="Calibri"/>
          <w:kern w:val="2"/>
          <w:sz w:val="24"/>
          <w:szCs w:val="24"/>
        </w:rPr>
        <w:t>olske</w:t>
      </w:r>
      <w:r w:rsidRPr="00BD1B6F">
        <w:rPr>
          <w:rFonts w:eastAsia="Calibri"/>
          <w:kern w:val="2"/>
          <w:sz w:val="24"/>
          <w:szCs w:val="24"/>
        </w:rPr>
        <w:t xml:space="preserve"> god</w:t>
      </w:r>
      <w:r>
        <w:rPr>
          <w:rFonts w:eastAsia="Calibri"/>
          <w:kern w:val="2"/>
          <w:sz w:val="24"/>
          <w:szCs w:val="24"/>
        </w:rPr>
        <w:t>ine</w:t>
      </w:r>
      <w:r w:rsidRPr="00BD1B6F">
        <w:rPr>
          <w:rFonts w:eastAsia="Calibri"/>
          <w:kern w:val="2"/>
          <w:sz w:val="24"/>
          <w:szCs w:val="24"/>
        </w:rPr>
        <w:t xml:space="preserve"> 2021./2022., </w:t>
      </w:r>
      <w:r>
        <w:rPr>
          <w:rFonts w:eastAsia="Calibri"/>
          <w:kern w:val="2"/>
          <w:sz w:val="24"/>
          <w:szCs w:val="24"/>
        </w:rPr>
        <w:t>te su</w:t>
      </w:r>
      <w:r w:rsidRPr="00BD1B6F">
        <w:rPr>
          <w:rFonts w:eastAsia="Calibri"/>
          <w:kern w:val="2"/>
          <w:sz w:val="24"/>
          <w:szCs w:val="24"/>
        </w:rPr>
        <w:t xml:space="preserve"> ugovor</w:t>
      </w:r>
      <w:r>
        <w:rPr>
          <w:rFonts w:eastAsia="Calibri"/>
          <w:kern w:val="2"/>
          <w:sz w:val="24"/>
          <w:szCs w:val="24"/>
        </w:rPr>
        <w:t>ena 33 nova projekta</w:t>
      </w:r>
      <w:r w:rsidRPr="00BD1B6F">
        <w:rPr>
          <w:rFonts w:eastAsia="Calibri"/>
          <w:kern w:val="2"/>
          <w:sz w:val="24"/>
          <w:szCs w:val="24"/>
        </w:rPr>
        <w:t xml:space="preserve"> za osiguravanje školske prehrane za djecu u riziku od siromaštva </w:t>
      </w:r>
      <w:r>
        <w:rPr>
          <w:rFonts w:eastAsia="Calibri"/>
          <w:kern w:val="2"/>
          <w:sz w:val="24"/>
          <w:szCs w:val="24"/>
        </w:rPr>
        <w:t xml:space="preserve">u </w:t>
      </w:r>
      <w:r w:rsidRPr="00BD1B6F">
        <w:rPr>
          <w:rFonts w:eastAsia="Calibri"/>
          <w:kern w:val="2"/>
          <w:sz w:val="24"/>
          <w:szCs w:val="24"/>
        </w:rPr>
        <w:t>š</w:t>
      </w:r>
      <w:r>
        <w:rPr>
          <w:rFonts w:eastAsia="Calibri"/>
          <w:kern w:val="2"/>
          <w:sz w:val="24"/>
          <w:szCs w:val="24"/>
        </w:rPr>
        <w:t>kolskoj</w:t>
      </w:r>
      <w:r w:rsidRPr="00BD1B6F">
        <w:rPr>
          <w:rFonts w:eastAsia="Calibri"/>
          <w:kern w:val="2"/>
          <w:sz w:val="24"/>
          <w:szCs w:val="24"/>
        </w:rPr>
        <w:t xml:space="preserve"> god</w:t>
      </w:r>
      <w:r>
        <w:rPr>
          <w:rFonts w:eastAsia="Calibri"/>
          <w:kern w:val="2"/>
          <w:sz w:val="24"/>
          <w:szCs w:val="24"/>
        </w:rPr>
        <w:t>ini</w:t>
      </w:r>
      <w:r w:rsidRPr="00BD1B6F">
        <w:rPr>
          <w:rFonts w:eastAsia="Calibri"/>
          <w:kern w:val="2"/>
          <w:sz w:val="24"/>
          <w:szCs w:val="24"/>
        </w:rPr>
        <w:t xml:space="preserve"> 2022./2023. u</w:t>
      </w:r>
      <w:r>
        <w:rPr>
          <w:rFonts w:eastAsia="Calibri"/>
          <w:kern w:val="2"/>
          <w:sz w:val="24"/>
          <w:szCs w:val="24"/>
        </w:rPr>
        <w:t>kupne</w:t>
      </w:r>
      <w:r w:rsidRPr="00BD1B6F">
        <w:rPr>
          <w:rFonts w:eastAsia="Calibri"/>
          <w:kern w:val="2"/>
          <w:sz w:val="24"/>
          <w:szCs w:val="24"/>
        </w:rPr>
        <w:t xml:space="preserve"> vrijednosti 3,6 milijuna eura. Ugovorenim projektima</w:t>
      </w:r>
      <w:r>
        <w:rPr>
          <w:rFonts w:eastAsia="Calibri"/>
          <w:kern w:val="2"/>
          <w:sz w:val="24"/>
          <w:szCs w:val="24"/>
        </w:rPr>
        <w:t xml:space="preserve"> </w:t>
      </w:r>
      <w:r w:rsidRPr="00BD1B6F">
        <w:rPr>
          <w:rFonts w:eastAsia="Calibri"/>
          <w:kern w:val="2"/>
          <w:sz w:val="24"/>
          <w:szCs w:val="24"/>
        </w:rPr>
        <w:t>osiguran je besplatan školski obrok za 27.493 djece u 410 škola</w:t>
      </w:r>
      <w:r w:rsidRPr="00394AB4">
        <w:t xml:space="preserve"> </w:t>
      </w:r>
      <w:r w:rsidRPr="00394AB4">
        <w:rPr>
          <w:rFonts w:eastAsia="Calibri"/>
          <w:kern w:val="2"/>
          <w:sz w:val="24"/>
          <w:szCs w:val="24"/>
        </w:rPr>
        <w:t>tijekom školske godine 2022./2023</w:t>
      </w:r>
      <w:r w:rsidRPr="00BD1B6F">
        <w:rPr>
          <w:rFonts w:eastAsia="Calibri"/>
          <w:kern w:val="2"/>
          <w:sz w:val="24"/>
          <w:szCs w:val="24"/>
        </w:rPr>
        <w:t>.</w:t>
      </w:r>
      <w:r>
        <w:rPr>
          <w:rFonts w:eastAsia="Calibri"/>
          <w:kern w:val="2"/>
          <w:sz w:val="24"/>
          <w:szCs w:val="24"/>
        </w:rPr>
        <w:t xml:space="preserve"> Krajem 2022. Vlada je donijela odluku da se od 2. polugodišta školske godine 2022/2023. osigura jedan besplatan školski obrok za svu djecu u osnovnim školama u Hrvatskoj te je za tu namjenu osigurano 72 milijuna eura.</w:t>
      </w:r>
    </w:p>
    <w:p w14:paraId="18861CE7"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Tijekom izvještajnog razdoblja, radi poboljšanja dostupnosti usluga potpore te osiguravanja sigurnog smještaja i pomoći ženama žrtvama nasilja i žrtvama nasilja u obitelji, proveden je </w:t>
      </w:r>
      <w:r>
        <w:rPr>
          <w:rFonts w:eastAsia="Calibri"/>
          <w:kern w:val="2"/>
          <w:sz w:val="24"/>
          <w:szCs w:val="24"/>
        </w:rPr>
        <w:t>p</w:t>
      </w:r>
      <w:r w:rsidRPr="00BD1B6F">
        <w:rPr>
          <w:rFonts w:eastAsia="Calibri"/>
          <w:kern w:val="2"/>
          <w:sz w:val="24"/>
          <w:szCs w:val="24"/>
        </w:rPr>
        <w:t xml:space="preserve">oziv „Osiguravanje sustava podrške za žene žrtve nasilja i žrtve nasilja u obitelji“. U okviru poziva ugovoreno je 6 projekata u ukupnoj vrijednosti od 7,26 milijuna eura koji su se provodili tijekom 2022. Provedbom projekata </w:t>
      </w:r>
      <w:r w:rsidRPr="00672866">
        <w:rPr>
          <w:rFonts w:eastAsia="Calibri"/>
          <w:kern w:val="2"/>
          <w:sz w:val="24"/>
          <w:szCs w:val="24"/>
        </w:rPr>
        <w:t>osigurat</w:t>
      </w:r>
      <w:r w:rsidRPr="00BD1B6F">
        <w:rPr>
          <w:rFonts w:eastAsia="Calibri"/>
          <w:kern w:val="2"/>
          <w:sz w:val="24"/>
          <w:szCs w:val="24"/>
        </w:rPr>
        <w:t xml:space="preserve"> će se pružanje usluga potpore i sigurnog smještaja za žene i djecu žrtve nasilja, na području 6 preostalih hrvatskih županija u kojima se te usluge skrbi dosad nisu pružale. Također, pripremljena je i provedena nacionalna medijska kampanja, koja je imala cilj senzibili</w:t>
      </w:r>
      <w:r>
        <w:rPr>
          <w:rFonts w:eastAsia="Calibri"/>
          <w:kern w:val="2"/>
          <w:sz w:val="24"/>
          <w:szCs w:val="24"/>
        </w:rPr>
        <w:t>zirati</w:t>
      </w:r>
      <w:r w:rsidRPr="00BD1B6F">
        <w:rPr>
          <w:rFonts w:eastAsia="Calibri"/>
          <w:kern w:val="2"/>
          <w:sz w:val="24"/>
          <w:szCs w:val="24"/>
        </w:rPr>
        <w:t xml:space="preserve"> javnost na problem nasilja nad ženama i nasilja u obitelji, kao i </w:t>
      </w:r>
      <w:r>
        <w:rPr>
          <w:rFonts w:eastAsia="Calibri"/>
          <w:kern w:val="2"/>
          <w:sz w:val="24"/>
          <w:szCs w:val="24"/>
        </w:rPr>
        <w:t>osvijestiti je</w:t>
      </w:r>
      <w:r w:rsidRPr="00BD1B6F">
        <w:rPr>
          <w:rFonts w:eastAsia="Calibri"/>
          <w:kern w:val="2"/>
          <w:sz w:val="24"/>
          <w:szCs w:val="24"/>
        </w:rPr>
        <w:t xml:space="preserve"> na važnost prijavljivanja nasilja.</w:t>
      </w:r>
    </w:p>
    <w:p w14:paraId="6C0F7885"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lastRenderedPageBreak/>
        <w:t>S ciljem osiguranja uvjeta za zaštitu prava svakog djeteta bez iznimke i davanja prednosti najboljem interesu svakog djeteta, donesen je u 2022. Nacionalni plan za prava djece u Republici Hrvatskoj za razdoblje od 2022. do 2026. godine. U skladu s Nacionalnim planom unaprijedit će se zakonodavni okvir za zaštitu prava djece, unaprijediti sustav za eliminaciju svih oblika nasilja nad djecom,</w:t>
      </w:r>
      <w:r w:rsidRPr="00BD1B6F" w:rsidDel="004A713A">
        <w:rPr>
          <w:rFonts w:eastAsia="Calibri"/>
          <w:kern w:val="2"/>
          <w:sz w:val="24"/>
          <w:szCs w:val="24"/>
        </w:rPr>
        <w:t xml:space="preserve"> </w:t>
      </w:r>
      <w:r w:rsidRPr="00BD1B6F">
        <w:rPr>
          <w:rFonts w:eastAsia="Calibri"/>
          <w:kern w:val="2"/>
          <w:sz w:val="24"/>
          <w:szCs w:val="24"/>
        </w:rPr>
        <w:t>osigurati provedba mjera suzbijanja diskriminacije i socijalne isključenosti djece te zaštite mentalnog zdravlja djece i omogućiti podrška roditeljima kod podizanja djece u otežanim okolnostima. Također, u 2022. izrađen je Prijedlog „Nacionalnog akcijskog plana za provedbu preporuke Vijeća EU-a o uspostavi europskog jamstva za djecu“ kojim su utvrđene mjere i aktivnosti za smanjenje siromaštva i socijalne isključenosti djece. Nakon dobivenog pozitivnog mišljenja Europske komisije, Nacionalni akcijski plan upućen</w:t>
      </w:r>
      <w:r>
        <w:rPr>
          <w:rFonts w:eastAsia="Calibri"/>
          <w:kern w:val="2"/>
          <w:sz w:val="24"/>
          <w:szCs w:val="24"/>
        </w:rPr>
        <w:t xml:space="preserve"> je</w:t>
      </w:r>
      <w:r w:rsidRPr="00BD1B6F">
        <w:rPr>
          <w:rFonts w:eastAsia="Calibri"/>
          <w:kern w:val="2"/>
          <w:sz w:val="24"/>
          <w:szCs w:val="24"/>
        </w:rPr>
        <w:t xml:space="preserve"> u proceduru usvajanja na Vladi</w:t>
      </w:r>
      <w:r>
        <w:rPr>
          <w:rFonts w:eastAsia="Calibri"/>
          <w:kern w:val="2"/>
          <w:sz w:val="24"/>
          <w:szCs w:val="24"/>
        </w:rPr>
        <w:t>,</w:t>
      </w:r>
      <w:r w:rsidRPr="00BD1B6F">
        <w:rPr>
          <w:rFonts w:eastAsia="Calibri"/>
          <w:kern w:val="2"/>
          <w:sz w:val="24"/>
          <w:szCs w:val="24"/>
        </w:rPr>
        <w:t xml:space="preserve"> a donošenje</w:t>
      </w:r>
      <w:r>
        <w:rPr>
          <w:rFonts w:eastAsia="Calibri"/>
          <w:kern w:val="2"/>
          <w:sz w:val="24"/>
          <w:szCs w:val="24"/>
        </w:rPr>
        <w:t xml:space="preserve"> je</w:t>
      </w:r>
      <w:r w:rsidRPr="00BD1B6F">
        <w:rPr>
          <w:rFonts w:eastAsia="Calibri"/>
          <w:kern w:val="2"/>
          <w:sz w:val="24"/>
          <w:szCs w:val="24"/>
        </w:rPr>
        <w:t xml:space="preserve"> </w:t>
      </w:r>
      <w:r>
        <w:rPr>
          <w:rFonts w:eastAsia="Calibri"/>
          <w:kern w:val="2"/>
          <w:sz w:val="24"/>
          <w:szCs w:val="24"/>
        </w:rPr>
        <w:t xml:space="preserve">planirano </w:t>
      </w:r>
      <w:r w:rsidRPr="00C275FA">
        <w:rPr>
          <w:rFonts w:eastAsia="Calibri"/>
          <w:kern w:val="2"/>
          <w:sz w:val="24"/>
          <w:szCs w:val="24"/>
        </w:rPr>
        <w:t>u 2. kvartalu 2023.</w:t>
      </w:r>
      <w:r w:rsidRPr="00BD1B6F">
        <w:rPr>
          <w:rFonts w:eastAsia="Calibri"/>
          <w:kern w:val="2"/>
          <w:sz w:val="24"/>
          <w:szCs w:val="24"/>
        </w:rPr>
        <w:t xml:space="preserve"> </w:t>
      </w:r>
      <w:r w:rsidRPr="008115FB">
        <w:rPr>
          <w:rFonts w:eastAsia="Calibri"/>
          <w:kern w:val="2"/>
          <w:sz w:val="24"/>
          <w:szCs w:val="24"/>
        </w:rPr>
        <w:t xml:space="preserve">Nacionalni akcijski plan obuhvaća mjere i aktivnosti usmjerene djeci u riziku od siromaštva </w:t>
      </w:r>
      <w:r>
        <w:rPr>
          <w:rFonts w:eastAsia="Calibri"/>
          <w:kern w:val="2"/>
          <w:sz w:val="24"/>
          <w:szCs w:val="24"/>
        </w:rPr>
        <w:t>i</w:t>
      </w:r>
      <w:r w:rsidRPr="008115FB">
        <w:rPr>
          <w:rFonts w:eastAsia="Calibri"/>
          <w:kern w:val="2"/>
          <w:sz w:val="24"/>
          <w:szCs w:val="24"/>
        </w:rPr>
        <w:t xml:space="preserve"> socijalne isključenosti</w:t>
      </w:r>
      <w:r>
        <w:rPr>
          <w:rFonts w:eastAsia="Calibri"/>
          <w:kern w:val="2"/>
          <w:sz w:val="24"/>
          <w:szCs w:val="24"/>
        </w:rPr>
        <w:t>,</w:t>
      </w:r>
      <w:r w:rsidRPr="008115FB">
        <w:rPr>
          <w:rFonts w:eastAsia="Calibri"/>
          <w:kern w:val="2"/>
          <w:sz w:val="24"/>
          <w:szCs w:val="24"/>
        </w:rPr>
        <w:t xml:space="preserve"> radi osiguranja pristupa ranom i predškolskom odgoju i obrazovanju, pristupa i podrške osnovnoškolskom i srednjoškolskom obrazovanju te pristupa kvalitetnoj prehrani, primjerenom stanovanju i zdravstvenim </w:t>
      </w:r>
      <w:r>
        <w:rPr>
          <w:rFonts w:eastAsia="Calibri"/>
          <w:kern w:val="2"/>
          <w:sz w:val="24"/>
          <w:szCs w:val="24"/>
        </w:rPr>
        <w:t>i</w:t>
      </w:r>
      <w:r w:rsidRPr="008115FB">
        <w:rPr>
          <w:rFonts w:eastAsia="Calibri"/>
          <w:kern w:val="2"/>
          <w:sz w:val="24"/>
          <w:szCs w:val="24"/>
        </w:rPr>
        <w:t xml:space="preserve"> socijalnim uslugama u zajednici. </w:t>
      </w:r>
      <w:r w:rsidRPr="00BD1B6F">
        <w:rPr>
          <w:rFonts w:eastAsia="Calibri"/>
          <w:kern w:val="2"/>
          <w:sz w:val="24"/>
          <w:szCs w:val="24"/>
        </w:rPr>
        <w:t xml:space="preserve">Provedbom mjera i aktivnosti predviđenih Nacionalnim akcijskim planom, </w:t>
      </w:r>
      <w:r w:rsidRPr="008115FB">
        <w:rPr>
          <w:rFonts w:eastAsia="Calibri"/>
          <w:kern w:val="2"/>
          <w:sz w:val="24"/>
          <w:szCs w:val="24"/>
        </w:rPr>
        <w:t xml:space="preserve">djeci će se osigurati osnovni pristup pravima i uslugama te će se </w:t>
      </w:r>
      <w:r w:rsidRPr="00BD1B6F">
        <w:rPr>
          <w:rFonts w:eastAsia="Calibri"/>
          <w:kern w:val="2"/>
          <w:sz w:val="24"/>
          <w:szCs w:val="24"/>
        </w:rPr>
        <w:t>doprinijet</w:t>
      </w:r>
      <w:r w:rsidRPr="008115FB">
        <w:rPr>
          <w:rFonts w:eastAsia="Calibri"/>
          <w:kern w:val="2"/>
          <w:sz w:val="24"/>
          <w:szCs w:val="24"/>
        </w:rPr>
        <w:t>i</w:t>
      </w:r>
      <w:r w:rsidRPr="00BD1B6F">
        <w:rPr>
          <w:rFonts w:eastAsia="Calibri"/>
          <w:kern w:val="2"/>
          <w:sz w:val="24"/>
          <w:szCs w:val="24"/>
        </w:rPr>
        <w:t xml:space="preserve"> smanjenju ukupnog broja djece u riziku od siromaštva i socijalne isključenosti. Ukupna vrijednost ulaganja u okviru Nacionalnog akcijskog plana procijenjena je na 652 milijuna eura.</w:t>
      </w:r>
    </w:p>
    <w:p w14:paraId="288F85C5"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Kako bi se doprinijelo smanjenju rizika od socijalne isključenosti kod osoba s invaliditetom, Vlada je donijela Odluku o nastavku financiranja usluga osobne asistencije osobama s invaliditetom za 2022. godinu. Odlukom je osigurano financiranje u ukupnom iznosu od 6,6 milijuna eura, za usluge osobnog asistenta za 2.219 osoba s invaliditetom, za zapošljavanje 98 tumača i prevoditelja hrvatskog znakovnog jezika u udrugama gluhih i nagluhih u udrugama gluhoslijepih osoba</w:t>
      </w:r>
      <w:r>
        <w:rPr>
          <w:rFonts w:eastAsia="Calibri"/>
          <w:kern w:val="2"/>
          <w:sz w:val="24"/>
          <w:szCs w:val="24"/>
        </w:rPr>
        <w:t>,</w:t>
      </w:r>
      <w:r w:rsidRPr="00BD1B6F">
        <w:rPr>
          <w:rFonts w:eastAsia="Calibri"/>
          <w:kern w:val="2"/>
          <w:sz w:val="24"/>
          <w:szCs w:val="24"/>
        </w:rPr>
        <w:t xml:space="preserve"> te zapošljavanje 66 videćih pratitelja u udrugama slijepih osoba.</w:t>
      </w:r>
    </w:p>
    <w:p w14:paraId="250BAF5C" w14:textId="77777777" w:rsidR="0058774E" w:rsidRDefault="0058774E" w:rsidP="0058774E">
      <w:pPr>
        <w:widowControl/>
        <w:autoSpaceDE/>
        <w:autoSpaceDN/>
        <w:spacing w:before="240" w:line="276" w:lineRule="auto"/>
        <w:ind w:left="720"/>
        <w:jc w:val="both"/>
        <w:rPr>
          <w:rFonts w:eastAsia="Calibri"/>
          <w:b/>
          <w:bCs/>
          <w:kern w:val="2"/>
          <w:sz w:val="24"/>
          <w:szCs w:val="24"/>
        </w:rPr>
      </w:pPr>
    </w:p>
    <w:p w14:paraId="4C531943" w14:textId="77777777" w:rsidR="0058774E" w:rsidRDefault="0058774E" w:rsidP="0058774E">
      <w:pPr>
        <w:widowControl/>
        <w:autoSpaceDE/>
        <w:autoSpaceDN/>
        <w:spacing w:before="240" w:line="276" w:lineRule="auto"/>
        <w:ind w:left="720"/>
        <w:jc w:val="both"/>
        <w:rPr>
          <w:rFonts w:eastAsia="Calibri"/>
          <w:b/>
          <w:bCs/>
          <w:kern w:val="2"/>
          <w:sz w:val="24"/>
          <w:szCs w:val="24"/>
        </w:rPr>
      </w:pPr>
    </w:p>
    <w:p w14:paraId="2AFD0C10" w14:textId="77777777" w:rsidR="0058774E" w:rsidRPr="00BD1B6F" w:rsidRDefault="0058774E" w:rsidP="0058774E">
      <w:pPr>
        <w:widowControl/>
        <w:autoSpaceDE/>
        <w:autoSpaceDN/>
        <w:spacing w:before="240" w:line="276" w:lineRule="auto"/>
        <w:ind w:left="720"/>
        <w:jc w:val="both"/>
        <w:rPr>
          <w:rFonts w:eastAsia="Calibri"/>
          <w:b/>
          <w:bCs/>
          <w:kern w:val="2"/>
          <w:sz w:val="24"/>
          <w:szCs w:val="24"/>
        </w:rPr>
      </w:pPr>
      <w:r w:rsidRPr="00BD1B6F">
        <w:rPr>
          <w:rFonts w:eastAsia="Calibri"/>
          <w:b/>
          <w:bCs/>
          <w:kern w:val="2"/>
          <w:sz w:val="24"/>
          <w:szCs w:val="24"/>
        </w:rPr>
        <w:t>Zaštita dostojanstva hrvatskih branitelja i članova njihovih obitelji te civilnih stradalnika Domovinskog rata i članova njihovih obitelji</w:t>
      </w:r>
    </w:p>
    <w:p w14:paraId="48C48ACB" w14:textId="77777777" w:rsidR="0058774E" w:rsidRDefault="0058774E" w:rsidP="0058774E">
      <w:pPr>
        <w:widowControl/>
        <w:autoSpaceDE/>
        <w:autoSpaceDN/>
        <w:spacing w:before="240" w:line="276" w:lineRule="auto"/>
        <w:jc w:val="both"/>
        <w:rPr>
          <w:rFonts w:eastAsia="Calibri"/>
          <w:kern w:val="2"/>
          <w:sz w:val="24"/>
          <w:szCs w:val="24"/>
        </w:rPr>
      </w:pPr>
      <w:r w:rsidRPr="4EA18699">
        <w:rPr>
          <w:color w:val="000000" w:themeColor="text1"/>
          <w:sz w:val="24"/>
          <w:szCs w:val="24"/>
        </w:rPr>
        <w:t>Ministarstvo hrvatskih branitelja ulaže sustavne napore usmjerene zaštiti interesa i digniteta svih sudionika Domovinskog rata i dosljednoj provedbi javnih politika za osiguranje odgovarajuće zdravstvene i socijalne skrbi onima kojima je Hrvatska najzahvalnija</w:t>
      </w:r>
      <w:r>
        <w:rPr>
          <w:color w:val="000000" w:themeColor="text1"/>
          <w:sz w:val="24"/>
          <w:szCs w:val="24"/>
        </w:rPr>
        <w:t>.</w:t>
      </w:r>
    </w:p>
    <w:p w14:paraId="370D6470"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lastRenderedPageBreak/>
        <w:t xml:space="preserve">S ciljem </w:t>
      </w:r>
      <w:r w:rsidRPr="008115FB">
        <w:rPr>
          <w:rFonts w:eastAsia="Calibri"/>
          <w:kern w:val="2"/>
          <w:sz w:val="24"/>
          <w:szCs w:val="24"/>
        </w:rPr>
        <w:t>poboljšanja i zaštite zdravlja</w:t>
      </w:r>
      <w:r>
        <w:rPr>
          <w:rFonts w:eastAsia="Calibri"/>
          <w:kern w:val="2"/>
          <w:sz w:val="24"/>
          <w:szCs w:val="24"/>
        </w:rPr>
        <w:t>,</w:t>
      </w:r>
      <w:r w:rsidRPr="008115FB">
        <w:rPr>
          <w:rFonts w:eastAsia="Calibri"/>
          <w:kern w:val="2"/>
          <w:sz w:val="24"/>
          <w:szCs w:val="24"/>
        </w:rPr>
        <w:t xml:space="preserve"> provode se dodatni programi zd</w:t>
      </w:r>
      <w:r w:rsidRPr="00BD1B6F">
        <w:rPr>
          <w:rFonts w:eastAsia="Calibri"/>
          <w:kern w:val="2"/>
          <w:sz w:val="24"/>
          <w:szCs w:val="24"/>
        </w:rPr>
        <w:t xml:space="preserve">ravstvene skrbi za hrvatske branitelje i hrvatske ratne vojne invalide iz Domovinskog rata, nastavljena je provedba bolničke medicinske rehabilitacije u suradnji </w:t>
      </w:r>
      <w:r w:rsidRPr="00672866">
        <w:rPr>
          <w:rFonts w:eastAsia="Calibri"/>
          <w:kern w:val="2"/>
          <w:sz w:val="24"/>
          <w:szCs w:val="24"/>
        </w:rPr>
        <w:t>s</w:t>
      </w:r>
      <w:r w:rsidRPr="00BD1B6F">
        <w:rPr>
          <w:rFonts w:eastAsia="Calibri"/>
          <w:kern w:val="2"/>
          <w:sz w:val="24"/>
          <w:szCs w:val="24"/>
        </w:rPr>
        <w:t xml:space="preserve"> 4 specijalne bolnice za medicinsku rehabilitaciju. Temeljem ugovora o suradnji sa Specijalnom bolnicom za medicinsku rehabilitaciju Krapinske Toplice, Specijalnom bolnicom za medicinsku rehabilitaciju Daruvarske toplice, Specijalnom bolnicom za medicinsku rehabilitaciju Lipik</w:t>
      </w:r>
      <w:r>
        <w:rPr>
          <w:rFonts w:eastAsia="Calibri"/>
          <w:kern w:val="2"/>
          <w:sz w:val="24"/>
          <w:szCs w:val="24"/>
        </w:rPr>
        <w:t>,</w:t>
      </w:r>
      <w:r w:rsidRPr="00BD1B6F">
        <w:rPr>
          <w:rFonts w:eastAsia="Calibri"/>
          <w:kern w:val="2"/>
          <w:sz w:val="24"/>
          <w:szCs w:val="24"/>
        </w:rPr>
        <w:t xml:space="preserve"> te Lječilištem Topusko, tijekom 2022. </w:t>
      </w:r>
      <w:r w:rsidRPr="008115FB">
        <w:rPr>
          <w:rFonts w:eastAsia="Calibri"/>
          <w:kern w:val="2"/>
          <w:sz w:val="24"/>
          <w:szCs w:val="24"/>
        </w:rPr>
        <w:t>osigurana je</w:t>
      </w:r>
      <w:r w:rsidRPr="00BD1B6F">
        <w:rPr>
          <w:rFonts w:eastAsia="Calibri"/>
          <w:kern w:val="2"/>
          <w:sz w:val="24"/>
          <w:szCs w:val="24"/>
        </w:rPr>
        <w:t xml:space="preserve"> uslug</w:t>
      </w:r>
      <w:r w:rsidRPr="008115FB">
        <w:rPr>
          <w:rFonts w:eastAsia="Calibri"/>
          <w:kern w:val="2"/>
          <w:sz w:val="24"/>
          <w:szCs w:val="24"/>
        </w:rPr>
        <w:t>a</w:t>
      </w:r>
      <w:r w:rsidRPr="00BD1B6F">
        <w:rPr>
          <w:rFonts w:eastAsia="Calibri"/>
          <w:kern w:val="2"/>
          <w:sz w:val="24"/>
          <w:szCs w:val="24"/>
        </w:rPr>
        <w:t xml:space="preserve"> bolničke medicinske rehabilitacije za ukupno 1.167 korisnika.</w:t>
      </w:r>
    </w:p>
    <w:p w14:paraId="17D2FC99"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U okviru Programa preventivnih sistematskih pregleda hrvatskih branitelja iz Domovinskog rata</w:t>
      </w:r>
      <w:r>
        <w:rPr>
          <w:rFonts w:eastAsia="Calibri"/>
          <w:kern w:val="2"/>
          <w:sz w:val="24"/>
          <w:szCs w:val="24"/>
        </w:rPr>
        <w:t>,</w:t>
      </w:r>
      <w:r w:rsidRPr="00BD1B6F">
        <w:rPr>
          <w:rFonts w:eastAsia="Calibri"/>
          <w:kern w:val="2"/>
          <w:sz w:val="24"/>
          <w:szCs w:val="24"/>
        </w:rPr>
        <w:t xml:space="preserve"> u 2022. provedeno </w:t>
      </w:r>
      <w:r>
        <w:rPr>
          <w:rFonts w:eastAsia="Calibri"/>
          <w:kern w:val="2"/>
          <w:sz w:val="24"/>
          <w:szCs w:val="24"/>
        </w:rPr>
        <w:t xml:space="preserve">je </w:t>
      </w:r>
      <w:r w:rsidRPr="00BD1B6F">
        <w:rPr>
          <w:rFonts w:eastAsia="Calibri"/>
          <w:kern w:val="2"/>
          <w:sz w:val="24"/>
          <w:szCs w:val="24"/>
        </w:rPr>
        <w:t>12.681 preventivnih sistematskih pregleda za hrvatske branitelje u ukupnoj vrijednosti 1,2</w:t>
      </w:r>
      <w:r w:rsidRPr="008115FB">
        <w:rPr>
          <w:rFonts w:eastAsia="Calibri"/>
          <w:kern w:val="2"/>
          <w:sz w:val="24"/>
          <w:szCs w:val="24"/>
        </w:rPr>
        <w:t>3</w:t>
      </w:r>
      <w:r w:rsidRPr="00BD1B6F">
        <w:rPr>
          <w:rFonts w:eastAsia="Calibri"/>
          <w:kern w:val="2"/>
          <w:sz w:val="24"/>
          <w:szCs w:val="24"/>
        </w:rPr>
        <w:t xml:space="preserve"> milijuna eura. Program se provodi s ciljem smanjenja broja prijevremenih smrti i slučajeva onesposobljenosti od kardiovaskularnih</w:t>
      </w:r>
      <w:r w:rsidRPr="008115FB">
        <w:rPr>
          <w:rFonts w:eastAsia="Calibri"/>
          <w:kern w:val="2"/>
          <w:sz w:val="24"/>
          <w:szCs w:val="24"/>
        </w:rPr>
        <w:t xml:space="preserve"> i drugih kroničnih nezaraznih</w:t>
      </w:r>
      <w:r w:rsidRPr="00BD1B6F">
        <w:rPr>
          <w:rFonts w:eastAsia="Calibri"/>
          <w:kern w:val="2"/>
          <w:sz w:val="24"/>
          <w:szCs w:val="24"/>
        </w:rPr>
        <w:t xml:space="preserve"> i onkoloških bolesti</w:t>
      </w:r>
      <w:r w:rsidRPr="008115FB">
        <w:rPr>
          <w:rFonts w:eastAsia="Calibri"/>
          <w:kern w:val="2"/>
          <w:sz w:val="24"/>
          <w:szCs w:val="24"/>
        </w:rPr>
        <w:t xml:space="preserve"> te</w:t>
      </w:r>
      <w:r w:rsidRPr="00BD1B6F">
        <w:rPr>
          <w:rFonts w:eastAsia="Calibri"/>
          <w:kern w:val="2"/>
          <w:sz w:val="24"/>
          <w:szCs w:val="24"/>
        </w:rPr>
        <w:t xml:space="preserve"> poveća</w:t>
      </w:r>
      <w:r w:rsidRPr="008115FB">
        <w:rPr>
          <w:rFonts w:eastAsia="Calibri"/>
          <w:kern w:val="2"/>
          <w:sz w:val="24"/>
          <w:szCs w:val="24"/>
        </w:rPr>
        <w:t>nja</w:t>
      </w:r>
      <w:r w:rsidRPr="00BD1B6F">
        <w:rPr>
          <w:rFonts w:eastAsia="Calibri"/>
          <w:kern w:val="2"/>
          <w:sz w:val="24"/>
          <w:szCs w:val="24"/>
        </w:rPr>
        <w:t xml:space="preserve"> mogućnost</w:t>
      </w:r>
      <w:r w:rsidRPr="008115FB">
        <w:rPr>
          <w:rFonts w:eastAsia="Calibri"/>
          <w:kern w:val="2"/>
          <w:sz w:val="24"/>
          <w:szCs w:val="24"/>
        </w:rPr>
        <w:t>i</w:t>
      </w:r>
      <w:r w:rsidRPr="00BD1B6F">
        <w:rPr>
          <w:rFonts w:eastAsia="Calibri"/>
          <w:kern w:val="2"/>
          <w:sz w:val="24"/>
          <w:szCs w:val="24"/>
        </w:rPr>
        <w:t xml:space="preserve"> izlječenja</w:t>
      </w:r>
      <w:r w:rsidRPr="008115FB">
        <w:rPr>
          <w:rFonts w:eastAsia="Calibri"/>
          <w:kern w:val="2"/>
          <w:sz w:val="24"/>
          <w:szCs w:val="24"/>
        </w:rPr>
        <w:t xml:space="preserve">, </w:t>
      </w:r>
      <w:r w:rsidRPr="00BD1B6F">
        <w:rPr>
          <w:rFonts w:eastAsia="Calibri"/>
          <w:kern w:val="2"/>
          <w:sz w:val="24"/>
          <w:szCs w:val="24"/>
        </w:rPr>
        <w:t>poboljša</w:t>
      </w:r>
      <w:r w:rsidRPr="008115FB">
        <w:rPr>
          <w:rFonts w:eastAsia="Calibri"/>
          <w:kern w:val="2"/>
          <w:sz w:val="24"/>
          <w:szCs w:val="24"/>
        </w:rPr>
        <w:t>nja</w:t>
      </w:r>
      <w:r w:rsidRPr="00BD1B6F">
        <w:rPr>
          <w:rFonts w:eastAsia="Calibri"/>
          <w:kern w:val="2"/>
          <w:sz w:val="24"/>
          <w:szCs w:val="24"/>
        </w:rPr>
        <w:t xml:space="preserve"> kvalitet</w:t>
      </w:r>
      <w:r w:rsidRPr="008115FB">
        <w:rPr>
          <w:rFonts w:eastAsia="Calibri"/>
          <w:kern w:val="2"/>
          <w:sz w:val="24"/>
          <w:szCs w:val="24"/>
        </w:rPr>
        <w:t>e zdravlja i</w:t>
      </w:r>
      <w:r w:rsidRPr="00BD1B6F">
        <w:rPr>
          <w:rFonts w:eastAsia="Calibri"/>
          <w:kern w:val="2"/>
          <w:sz w:val="24"/>
          <w:szCs w:val="24"/>
        </w:rPr>
        <w:t xml:space="preserve"> živ</w:t>
      </w:r>
      <w:r w:rsidRPr="008115FB">
        <w:rPr>
          <w:rFonts w:eastAsia="Calibri"/>
          <w:kern w:val="2"/>
          <w:sz w:val="24"/>
          <w:szCs w:val="24"/>
        </w:rPr>
        <w:t>ota</w:t>
      </w:r>
      <w:r w:rsidRPr="00BD1B6F">
        <w:rPr>
          <w:rFonts w:eastAsia="Calibri"/>
          <w:kern w:val="2"/>
          <w:sz w:val="24"/>
          <w:szCs w:val="24"/>
        </w:rPr>
        <w:t xml:space="preserve"> u populaciji hrvatskih branitelja.</w:t>
      </w:r>
    </w:p>
    <w:p w14:paraId="1431403E"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Tijekom 2022. u okviru provedbe Nacionalnog programa psihosocijalne i zdravstvene pomoći sudionicima i stradalnicima Domovinskog rata, Drugog svjetskog rata te povratnicima iz mirovnih misija, provedeno je ukupno 81.354 intervencija za 68.803 korisnika, za što je utrošeno ukupno 976</w:t>
      </w:r>
      <w:r>
        <w:rPr>
          <w:rFonts w:eastAsia="Calibri"/>
          <w:kern w:val="2"/>
          <w:sz w:val="24"/>
          <w:szCs w:val="24"/>
        </w:rPr>
        <w:t xml:space="preserve"> tisuća</w:t>
      </w:r>
      <w:r w:rsidRPr="00BD1B6F">
        <w:rPr>
          <w:rFonts w:eastAsia="Calibri"/>
          <w:kern w:val="2"/>
          <w:sz w:val="24"/>
          <w:szCs w:val="24"/>
        </w:rPr>
        <w:t xml:space="preserve"> eura. Od ukupnog broja intervencija provedeno je 890 kriznih intervencija. Program se provodi u okviru Nacionalnog centra za psihotraumu te županijskih centara za psihosocijalnu pomoć, s ciljem podizanja kvalitete života i podupiranja potpune psihosocijalne reintegracije svih sudionika i stradalnika rata na području cijele Hrvatske, kao i sudionika Drugog svjetskog rata, vojnih i civilnih invalida Drugog svjetskog rata i članova njihovih obitelji te osoba stradalih pri obavljanju vojnih i redarstvenih dužnosti u okviru misija UN-a, NATO misija i misija EU-a i članova njihovih obitelji. </w:t>
      </w:r>
    </w:p>
    <w:p w14:paraId="407A4904"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Radi ublažavanja negativnih učinaka i ratnih trauma te smanjivanja socijalne isključenosti i poboljšanja kvalitete života hrvatskih branitelja i članova njihovih obitelji, u 2022. proveden</w:t>
      </w:r>
      <w:r>
        <w:rPr>
          <w:rFonts w:eastAsia="Calibri"/>
          <w:kern w:val="2"/>
          <w:sz w:val="24"/>
          <w:szCs w:val="24"/>
        </w:rPr>
        <w:t xml:space="preserve"> je</w:t>
      </w:r>
      <w:r w:rsidRPr="00BD1B6F">
        <w:rPr>
          <w:rFonts w:eastAsia="Calibri"/>
          <w:kern w:val="2"/>
          <w:sz w:val="24"/>
          <w:szCs w:val="24"/>
        </w:rPr>
        <w:t xml:space="preserve"> </w:t>
      </w:r>
      <w:r>
        <w:rPr>
          <w:rFonts w:eastAsia="Calibri"/>
          <w:kern w:val="2"/>
          <w:sz w:val="24"/>
          <w:szCs w:val="24"/>
        </w:rPr>
        <w:t>p</w:t>
      </w:r>
      <w:r w:rsidRPr="00BD1B6F">
        <w:rPr>
          <w:rFonts w:eastAsia="Calibri"/>
          <w:kern w:val="2"/>
          <w:sz w:val="24"/>
          <w:szCs w:val="24"/>
        </w:rPr>
        <w:t xml:space="preserve">oziv namijenjen udrugama iz Domovinskog rata za potporu u provedbu aktivnosti pružanja psihosocijalne pomoći hrvatskim braniteljima i članovima njihovih obitelji. U okviru </w:t>
      </w:r>
      <w:r>
        <w:rPr>
          <w:rFonts w:eastAsia="Calibri"/>
          <w:kern w:val="2"/>
          <w:sz w:val="24"/>
          <w:szCs w:val="24"/>
        </w:rPr>
        <w:t>p</w:t>
      </w:r>
      <w:r w:rsidRPr="00BD1B6F">
        <w:rPr>
          <w:rFonts w:eastAsia="Calibri"/>
          <w:kern w:val="2"/>
          <w:sz w:val="24"/>
          <w:szCs w:val="24"/>
        </w:rPr>
        <w:t>oziva sufinancirana je provedba aktivnosti potpore udruga iz Domovinskog rata u ukupnom iznosu od 1,4 milijuna eura, sufinancirani su troškovi nabave 189 medicinskih pomagala za 157 korisnika</w:t>
      </w:r>
      <w:r>
        <w:rPr>
          <w:rFonts w:eastAsia="Calibri"/>
          <w:kern w:val="2"/>
          <w:sz w:val="24"/>
          <w:szCs w:val="24"/>
        </w:rPr>
        <w:t>, a</w:t>
      </w:r>
      <w:r w:rsidRPr="00BD1B6F">
        <w:rPr>
          <w:rFonts w:eastAsia="Calibri"/>
          <w:kern w:val="2"/>
          <w:sz w:val="24"/>
          <w:szCs w:val="24"/>
        </w:rPr>
        <w:t xml:space="preserve"> za posebno ranjivu skupinu od 16 hrvatskih ratnih vojnih invalida oboljelih od kroničnih i uznapredovanih bolesti, osiguran </w:t>
      </w:r>
      <w:r>
        <w:rPr>
          <w:rFonts w:eastAsia="Calibri"/>
          <w:kern w:val="2"/>
          <w:sz w:val="24"/>
          <w:szCs w:val="24"/>
        </w:rPr>
        <w:t>je</w:t>
      </w:r>
      <w:r w:rsidRPr="00672866">
        <w:rPr>
          <w:rFonts w:eastAsia="Calibri"/>
          <w:kern w:val="2"/>
          <w:sz w:val="24"/>
          <w:szCs w:val="24"/>
        </w:rPr>
        <w:t xml:space="preserve"> </w:t>
      </w:r>
      <w:r w:rsidRPr="00BD1B6F">
        <w:rPr>
          <w:rFonts w:eastAsia="Calibri"/>
          <w:kern w:val="2"/>
          <w:sz w:val="24"/>
          <w:szCs w:val="24"/>
        </w:rPr>
        <w:t xml:space="preserve">nastavak dugotrajnog liječenja s pojačanom skrbi. </w:t>
      </w:r>
    </w:p>
    <w:p w14:paraId="2E4FE4AA"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lastRenderedPageBreak/>
        <w:t>Nastavljena je dodjela pomoći hrvatskim braniteljima iz Domovinskog rata u slučajevima kada je značajno naglašena socijalna ili ekonomska isključenost te kada su značajno ugroženi život i zdravlje korisnika ili članova njegova zajedničkog kućanstva (teška financijska situacija, bolest ili smrt). U izvještajnom razdoblju odobreno je 2.535 zahtjeva za jednokratn</w:t>
      </w:r>
      <w:r>
        <w:rPr>
          <w:rFonts w:eastAsia="Calibri"/>
          <w:kern w:val="2"/>
          <w:sz w:val="24"/>
          <w:szCs w:val="24"/>
        </w:rPr>
        <w:t>u</w:t>
      </w:r>
      <w:r w:rsidRPr="00BD1B6F">
        <w:rPr>
          <w:rFonts w:eastAsia="Calibri"/>
          <w:kern w:val="2"/>
          <w:sz w:val="24"/>
          <w:szCs w:val="24"/>
        </w:rPr>
        <w:t xml:space="preserve"> pomoć ukupne vrijednosti 786</w:t>
      </w:r>
      <w:r>
        <w:rPr>
          <w:rFonts w:eastAsia="Calibri"/>
          <w:kern w:val="2"/>
          <w:sz w:val="24"/>
          <w:szCs w:val="24"/>
        </w:rPr>
        <w:t xml:space="preserve"> tisuća</w:t>
      </w:r>
      <w:r w:rsidRPr="00BD1B6F">
        <w:rPr>
          <w:rFonts w:eastAsia="Calibri"/>
          <w:kern w:val="2"/>
          <w:sz w:val="24"/>
          <w:szCs w:val="24"/>
        </w:rPr>
        <w:t xml:space="preserve"> eura.</w:t>
      </w:r>
    </w:p>
    <w:p w14:paraId="4A0408CD" w14:textId="77777777" w:rsidR="0058774E" w:rsidRPr="00BD1B6F" w:rsidRDefault="0058774E" w:rsidP="0058774E">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S ciljem poboljšavanja pristupačnosti objektima javne namjene za osobe s invaliditetom, proveden je </w:t>
      </w:r>
      <w:r>
        <w:rPr>
          <w:rFonts w:eastAsia="Calibri"/>
          <w:kern w:val="2"/>
          <w:sz w:val="24"/>
          <w:szCs w:val="24"/>
        </w:rPr>
        <w:t>j</w:t>
      </w:r>
      <w:r w:rsidRPr="00BD1B6F">
        <w:rPr>
          <w:rFonts w:eastAsia="Calibri"/>
          <w:kern w:val="2"/>
          <w:sz w:val="24"/>
          <w:szCs w:val="24"/>
        </w:rPr>
        <w:t>avni poziv za 2022. godinu za sufinanciranje projekata rješavanja pristupačnosti objektima osoba s invaliditetom, financiran sredstvima Državnog proračuna. Temeljem poziva</w:t>
      </w:r>
      <w:r>
        <w:rPr>
          <w:rFonts w:eastAsia="Calibri"/>
          <w:kern w:val="2"/>
          <w:sz w:val="24"/>
          <w:szCs w:val="24"/>
        </w:rPr>
        <w:t>,</w:t>
      </w:r>
      <w:r w:rsidRPr="00BD1B6F">
        <w:rPr>
          <w:rFonts w:eastAsia="Calibri"/>
          <w:kern w:val="2"/>
          <w:sz w:val="24"/>
          <w:szCs w:val="24"/>
        </w:rPr>
        <w:t xml:space="preserve"> sklopljeni su s 27 JLP(R)S-ova ugovori o sufinanciranju 27 projekata prilagodbe objekata javne namjene osobama s invaliditetom, ukupne vrijednosti 331</w:t>
      </w:r>
      <w:r>
        <w:rPr>
          <w:rFonts w:eastAsia="Calibri"/>
          <w:kern w:val="2"/>
          <w:sz w:val="24"/>
          <w:szCs w:val="24"/>
        </w:rPr>
        <w:t xml:space="preserve"> tisuću </w:t>
      </w:r>
      <w:r w:rsidRPr="00BD1B6F">
        <w:rPr>
          <w:rFonts w:eastAsia="Calibri"/>
          <w:kern w:val="2"/>
          <w:sz w:val="24"/>
          <w:szCs w:val="24"/>
        </w:rPr>
        <w:t xml:space="preserve">eura. </w:t>
      </w:r>
    </w:p>
    <w:p w14:paraId="17D27F69" w14:textId="77777777" w:rsidR="0058774E" w:rsidRPr="00BD1B6F" w:rsidRDefault="0058774E" w:rsidP="0058774E">
      <w:pPr>
        <w:widowControl/>
        <w:autoSpaceDE/>
        <w:autoSpaceDN/>
        <w:spacing w:before="240" w:line="271" w:lineRule="auto"/>
        <w:jc w:val="both"/>
        <w:rPr>
          <w:rFonts w:eastAsia="Calibri"/>
          <w:kern w:val="2"/>
          <w:sz w:val="24"/>
          <w:szCs w:val="24"/>
        </w:rPr>
      </w:pPr>
      <w:r w:rsidRPr="00BD1B6F">
        <w:rPr>
          <w:rFonts w:eastAsia="Calibri"/>
          <w:kern w:val="2"/>
          <w:sz w:val="24"/>
          <w:szCs w:val="24"/>
        </w:rPr>
        <w:t>Radi daljnjeg unapređenja sustava</w:t>
      </w:r>
      <w:r w:rsidRPr="00BD1B6F">
        <w:rPr>
          <w:rFonts w:eastAsia="Calibri"/>
        </w:rPr>
        <w:t xml:space="preserve"> </w:t>
      </w:r>
      <w:r w:rsidRPr="00BD1B6F">
        <w:rPr>
          <w:rFonts w:eastAsia="Calibri"/>
          <w:kern w:val="2"/>
          <w:sz w:val="24"/>
          <w:szCs w:val="24"/>
        </w:rPr>
        <w:t>za pružanje psihosocijalne i zdravstvene skrbi za braniteljsko-stradalničku populaciju iz Domovinskog rata, tijekom 2022. završeni su radovi na izgradnji i opremanju veteranskih centara u Daruvaru, Petrinji, Sinju i Šibeniku. Aktivnosti su provedene u okviru EU projekta „Uspostava veteranskih centara u Republici Hrvatskoj“, sufinanciranog sredstvima</w:t>
      </w:r>
      <w:r>
        <w:rPr>
          <w:rFonts w:eastAsia="Calibri"/>
          <w:kern w:val="2"/>
          <w:sz w:val="24"/>
          <w:szCs w:val="24"/>
        </w:rPr>
        <w:t xml:space="preserve"> </w:t>
      </w:r>
      <w:r w:rsidRPr="006F719E">
        <w:rPr>
          <w:rFonts w:eastAsia="Calibri"/>
          <w:kern w:val="2"/>
          <w:sz w:val="24"/>
          <w:szCs w:val="24"/>
        </w:rPr>
        <w:t>EFRR</w:t>
      </w:r>
      <w:r>
        <w:rPr>
          <w:rFonts w:eastAsia="Calibri"/>
          <w:kern w:val="2"/>
          <w:sz w:val="24"/>
          <w:szCs w:val="24"/>
        </w:rPr>
        <w:t>,</w:t>
      </w:r>
      <w:r w:rsidRPr="00672866">
        <w:rPr>
          <w:rFonts w:eastAsia="Calibri"/>
          <w:kern w:val="2"/>
          <w:sz w:val="24"/>
          <w:szCs w:val="24"/>
        </w:rPr>
        <w:t xml:space="preserve"> </w:t>
      </w:r>
      <w:r w:rsidRPr="00BD1B6F">
        <w:rPr>
          <w:rFonts w:eastAsia="Calibri"/>
          <w:kern w:val="2"/>
          <w:sz w:val="24"/>
          <w:szCs w:val="24"/>
        </w:rPr>
        <w:t xml:space="preserve">ukupne vrijednosti ulaganja 45 milijuna eura. U veteranskim centrima </w:t>
      </w:r>
      <w:r w:rsidRPr="00672866">
        <w:rPr>
          <w:rFonts w:eastAsia="Calibri"/>
          <w:kern w:val="2"/>
          <w:sz w:val="24"/>
          <w:szCs w:val="24"/>
        </w:rPr>
        <w:t>bit</w:t>
      </w:r>
      <w:r w:rsidRPr="00BD1B6F">
        <w:rPr>
          <w:rFonts w:eastAsia="Calibri"/>
          <w:kern w:val="2"/>
          <w:sz w:val="24"/>
          <w:szCs w:val="24"/>
        </w:rPr>
        <w:t xml:space="preserve"> će osigurana stručna podrška i usluge psihosocijalne i zdravstvene skrbi za braniteljsko-stradalničku populaciju, a za provedbu </w:t>
      </w:r>
      <w:r>
        <w:rPr>
          <w:rFonts w:eastAsia="Calibri"/>
          <w:kern w:val="2"/>
          <w:sz w:val="24"/>
          <w:szCs w:val="24"/>
        </w:rPr>
        <w:t>p</w:t>
      </w:r>
      <w:r w:rsidRPr="00BD1B6F">
        <w:rPr>
          <w:rFonts w:eastAsia="Calibri"/>
          <w:kern w:val="2"/>
          <w:sz w:val="24"/>
          <w:szCs w:val="24"/>
        </w:rPr>
        <w:t>rojekta tijekom 2022. utrošeno</w:t>
      </w:r>
      <w:r>
        <w:rPr>
          <w:rFonts w:eastAsia="Calibri"/>
          <w:kern w:val="2"/>
          <w:sz w:val="24"/>
          <w:szCs w:val="24"/>
        </w:rPr>
        <w:t xml:space="preserve"> je</w:t>
      </w:r>
      <w:r w:rsidRPr="00BD1B6F">
        <w:rPr>
          <w:rFonts w:eastAsia="Calibri"/>
          <w:kern w:val="2"/>
          <w:sz w:val="24"/>
          <w:szCs w:val="24"/>
        </w:rPr>
        <w:t xml:space="preserve"> 14,4 milijuna eura. U lipnju 2022. otvoren </w:t>
      </w:r>
      <w:r>
        <w:rPr>
          <w:rFonts w:eastAsia="Calibri"/>
          <w:kern w:val="2"/>
          <w:sz w:val="24"/>
          <w:szCs w:val="24"/>
        </w:rPr>
        <w:t>je V</w:t>
      </w:r>
      <w:r w:rsidRPr="00BD1B6F">
        <w:rPr>
          <w:rFonts w:eastAsia="Calibri"/>
          <w:kern w:val="2"/>
          <w:sz w:val="24"/>
          <w:szCs w:val="24"/>
        </w:rPr>
        <w:t>eteranski centar u Šibeniku, kapaciteta 148 ležajeva, koji je u 2022. imao ukupno 507 korisnika. Veteranski centar u Sinju otvoren</w:t>
      </w:r>
      <w:r>
        <w:rPr>
          <w:rFonts w:eastAsia="Calibri"/>
          <w:kern w:val="2"/>
          <w:sz w:val="24"/>
          <w:szCs w:val="24"/>
        </w:rPr>
        <w:t xml:space="preserve"> je</w:t>
      </w:r>
      <w:r w:rsidRPr="00BD1B6F">
        <w:rPr>
          <w:rFonts w:eastAsia="Calibri"/>
          <w:kern w:val="2"/>
          <w:sz w:val="24"/>
          <w:szCs w:val="24"/>
        </w:rPr>
        <w:t xml:space="preserve"> u siječnju 2023., a </w:t>
      </w:r>
      <w:r>
        <w:rPr>
          <w:rFonts w:eastAsia="Calibri"/>
          <w:kern w:val="2"/>
          <w:sz w:val="24"/>
          <w:szCs w:val="24"/>
        </w:rPr>
        <w:t>onaj</w:t>
      </w:r>
      <w:r w:rsidRPr="00BD1B6F">
        <w:rPr>
          <w:rFonts w:eastAsia="Calibri"/>
          <w:kern w:val="2"/>
          <w:sz w:val="24"/>
          <w:szCs w:val="24"/>
        </w:rPr>
        <w:t xml:space="preserve"> u Petrinji u lipnju 2023., dok se otvaranje Veteranskog centra u Daruvaru očekuje do kraja 2023. Ukupan kapacitet sva 4 veteranska centra bit će 620 ležajeva, odnosno 12.000 korisnika godišnje. </w:t>
      </w:r>
    </w:p>
    <w:p w14:paraId="016E97F2" w14:textId="77777777" w:rsidR="0058774E" w:rsidRPr="00BD1B6F" w:rsidRDefault="0058774E" w:rsidP="0058774E">
      <w:pPr>
        <w:widowControl/>
        <w:autoSpaceDE/>
        <w:autoSpaceDN/>
        <w:spacing w:before="240" w:line="271" w:lineRule="auto"/>
        <w:jc w:val="both"/>
        <w:rPr>
          <w:rFonts w:eastAsia="Calibri"/>
          <w:kern w:val="2"/>
          <w:sz w:val="24"/>
          <w:szCs w:val="24"/>
        </w:rPr>
      </w:pPr>
      <w:r>
        <w:rPr>
          <w:rFonts w:eastAsia="Calibri"/>
          <w:kern w:val="2"/>
          <w:sz w:val="24"/>
          <w:szCs w:val="24"/>
        </w:rPr>
        <w:t>S obzirom na to</w:t>
      </w:r>
      <w:r w:rsidRPr="00BD1B6F">
        <w:rPr>
          <w:rFonts w:eastAsia="Calibri"/>
          <w:kern w:val="2"/>
          <w:sz w:val="24"/>
          <w:szCs w:val="24"/>
        </w:rPr>
        <w:t xml:space="preserve"> da je neriješeno stambeno pitanje jedan od važnijih problema s kojim se suočava značajan broj hrvatskih branitelja i članova njihovih obitelji, sustavno se provode napori na osiguravanju zakonskog prav</w:t>
      </w:r>
      <w:r>
        <w:rPr>
          <w:rFonts w:eastAsia="Calibri"/>
          <w:kern w:val="2"/>
          <w:sz w:val="24"/>
          <w:szCs w:val="24"/>
        </w:rPr>
        <w:t>a</w:t>
      </w:r>
      <w:r w:rsidRPr="00BD1B6F">
        <w:rPr>
          <w:rFonts w:eastAsia="Calibri"/>
          <w:kern w:val="2"/>
          <w:sz w:val="24"/>
          <w:szCs w:val="24"/>
        </w:rPr>
        <w:t xml:space="preserve"> stambenog zbrinjavanja hrvatskih branitelja. Tijekom 2022., za provedbu stambenog zbrinjavanja braniteljsko-stradalničke populacije iz Domovinskog rata, dodijeljena su 62 stana, isplaćeno je 140 stambenih kredita i 279 financijskih potpora za stambeno zbrinjavanje, za što </w:t>
      </w:r>
      <w:r>
        <w:rPr>
          <w:rFonts w:eastAsia="Calibri"/>
          <w:kern w:val="2"/>
          <w:sz w:val="24"/>
          <w:szCs w:val="24"/>
        </w:rPr>
        <w:t xml:space="preserve">je </w:t>
      </w:r>
      <w:r w:rsidRPr="00BD1B6F">
        <w:rPr>
          <w:rFonts w:eastAsia="Calibri"/>
          <w:kern w:val="2"/>
          <w:sz w:val="24"/>
          <w:szCs w:val="24"/>
        </w:rPr>
        <w:t>ukupno utrošeno 7,2 milijuna eura. Od početka provedbe stambenog zbrinjavanja 1998. do danas</w:t>
      </w:r>
      <w:r>
        <w:rPr>
          <w:rFonts w:eastAsia="Calibri"/>
          <w:kern w:val="2"/>
          <w:sz w:val="24"/>
          <w:szCs w:val="24"/>
        </w:rPr>
        <w:t>,</w:t>
      </w:r>
      <w:r w:rsidRPr="00BD1B6F">
        <w:rPr>
          <w:rFonts w:eastAsia="Calibri"/>
          <w:kern w:val="2"/>
          <w:sz w:val="24"/>
          <w:szCs w:val="24"/>
        </w:rPr>
        <w:t xml:space="preserve"> pozitivno </w:t>
      </w:r>
      <w:r>
        <w:rPr>
          <w:rFonts w:eastAsia="Calibri"/>
          <w:kern w:val="2"/>
          <w:sz w:val="24"/>
          <w:szCs w:val="24"/>
        </w:rPr>
        <w:t xml:space="preserve">je </w:t>
      </w:r>
      <w:r w:rsidRPr="00BD1B6F">
        <w:rPr>
          <w:rFonts w:eastAsia="Calibri"/>
          <w:kern w:val="2"/>
          <w:sz w:val="24"/>
          <w:szCs w:val="24"/>
        </w:rPr>
        <w:t>riješeno više od 18</w:t>
      </w:r>
      <w:r>
        <w:rPr>
          <w:rFonts w:eastAsia="Calibri"/>
          <w:kern w:val="2"/>
          <w:sz w:val="24"/>
          <w:szCs w:val="24"/>
        </w:rPr>
        <w:t>.</w:t>
      </w:r>
      <w:r w:rsidRPr="00BD1B6F">
        <w:rPr>
          <w:rFonts w:eastAsia="Calibri"/>
          <w:kern w:val="2"/>
          <w:sz w:val="24"/>
          <w:szCs w:val="24"/>
        </w:rPr>
        <w:t>000 zahtjeva za stambeno zbrinjavanje dodjelom stana, stambenog kredita ili financijske potpore, no na rješavanje stambenog pitanja još uvijek čeka više od 10.000 stradalnika iz Domovinskog rata zbog čega će se s provedbom stambenog zbrinjavanja nastaviti i dalje.</w:t>
      </w:r>
    </w:p>
    <w:p w14:paraId="0AC7C641" w14:textId="77777777" w:rsidR="0058774E" w:rsidRPr="00BD1B6F" w:rsidRDefault="0058774E" w:rsidP="0058774E">
      <w:pPr>
        <w:widowControl/>
        <w:autoSpaceDE/>
        <w:autoSpaceDN/>
        <w:spacing w:before="240" w:line="271" w:lineRule="auto"/>
        <w:jc w:val="both"/>
        <w:rPr>
          <w:rFonts w:eastAsia="Calibri"/>
          <w:kern w:val="2"/>
          <w:sz w:val="24"/>
          <w:szCs w:val="24"/>
        </w:rPr>
      </w:pPr>
      <w:r w:rsidRPr="00BD1B6F">
        <w:rPr>
          <w:rFonts w:eastAsia="Calibri"/>
          <w:kern w:val="2"/>
          <w:sz w:val="24"/>
          <w:szCs w:val="24"/>
        </w:rPr>
        <w:t xml:space="preserve">Radi unaprjeđenja pristupa i konkurentnosti hrvatskih branitelja na tržištu rada, u skladu s Programom stručnog osposobljavanja i zapošljavanja hrvatskih branitelja i </w:t>
      </w:r>
      <w:r w:rsidRPr="00BD1B6F">
        <w:rPr>
          <w:rFonts w:eastAsia="Calibri"/>
          <w:kern w:val="2"/>
          <w:sz w:val="24"/>
          <w:szCs w:val="24"/>
        </w:rPr>
        <w:lastRenderedPageBreak/>
        <w:t>članova njihovih obitelji za razdoblje od 2021. do 2023</w:t>
      </w:r>
      <w:r w:rsidRPr="00672866">
        <w:rPr>
          <w:rFonts w:eastAsia="Calibri"/>
          <w:kern w:val="2"/>
          <w:sz w:val="24"/>
          <w:szCs w:val="24"/>
        </w:rPr>
        <w:t>.,</w:t>
      </w:r>
      <w:r w:rsidRPr="00BD1B6F">
        <w:rPr>
          <w:rFonts w:eastAsia="Calibri"/>
          <w:kern w:val="2"/>
          <w:sz w:val="24"/>
          <w:szCs w:val="24"/>
        </w:rPr>
        <w:t xml:space="preserve"> tijekom 2022. raspisano </w:t>
      </w:r>
      <w:r>
        <w:rPr>
          <w:rFonts w:eastAsia="Calibri"/>
          <w:kern w:val="2"/>
          <w:sz w:val="24"/>
          <w:szCs w:val="24"/>
        </w:rPr>
        <w:t>je 6</w:t>
      </w:r>
      <w:r w:rsidRPr="00BD1B6F">
        <w:rPr>
          <w:rFonts w:eastAsia="Calibri"/>
          <w:kern w:val="2"/>
          <w:sz w:val="24"/>
          <w:szCs w:val="24"/>
        </w:rPr>
        <w:t xml:space="preserve"> javnih poziva za korištenje mjera potpore iz Programa. Program predstavlja kombinaciju ciljanih mjera aktivne politike zapošljavanja i aktivnosti usmjerenih stvaranju uvjeta za lakše i brže uključivanje na tržište rada, stjecanje obrazovanja i radnog iskustva, kao i pružanja podrške u ponovnoj aktivaciji braniteljsko-stradalničke populacije s otežanim pristupom tržištu rada. Temeljem poziva, odobreno je 117 zahtjeva za potporu, a za njihovu je provedbu tijekom 2022. isplaćeno ukupno 972</w:t>
      </w:r>
      <w:r>
        <w:rPr>
          <w:rFonts w:eastAsia="Calibri"/>
          <w:kern w:val="2"/>
          <w:sz w:val="24"/>
          <w:szCs w:val="24"/>
        </w:rPr>
        <w:t xml:space="preserve"> tisuće</w:t>
      </w:r>
      <w:r w:rsidRPr="00BD1B6F">
        <w:rPr>
          <w:rFonts w:eastAsia="Calibri"/>
          <w:kern w:val="2"/>
          <w:sz w:val="24"/>
          <w:szCs w:val="24"/>
        </w:rPr>
        <w:t xml:space="preserve"> eura.</w:t>
      </w:r>
    </w:p>
    <w:p w14:paraId="2D0D6CF4" w14:textId="77777777" w:rsidR="0058774E" w:rsidRPr="00BD1B6F" w:rsidRDefault="0058774E" w:rsidP="0058774E">
      <w:pPr>
        <w:widowControl/>
        <w:autoSpaceDE/>
        <w:autoSpaceDN/>
        <w:spacing w:before="240" w:line="271" w:lineRule="auto"/>
        <w:jc w:val="both"/>
        <w:rPr>
          <w:rFonts w:eastAsia="Calibri"/>
          <w:kern w:val="2"/>
          <w:sz w:val="24"/>
          <w:szCs w:val="24"/>
        </w:rPr>
      </w:pPr>
      <w:r w:rsidRPr="00BD1B6F">
        <w:rPr>
          <w:rFonts w:eastAsia="Calibri"/>
          <w:kern w:val="2"/>
          <w:sz w:val="24"/>
          <w:szCs w:val="24"/>
        </w:rPr>
        <w:t>Nastavljeni su napori vezani za traženje osoba nestalih u Domovinskog ratu i posmrtnih ostataka smrtno stradalih osoba u Domovinskom ratu za koje nije poznato mjesto ukopa</w:t>
      </w:r>
      <w:r>
        <w:rPr>
          <w:rFonts w:eastAsia="Calibri"/>
          <w:kern w:val="2"/>
          <w:sz w:val="24"/>
          <w:szCs w:val="24"/>
        </w:rPr>
        <w:t>,</w:t>
      </w:r>
      <w:r w:rsidRPr="00BD1B6F">
        <w:rPr>
          <w:rFonts w:eastAsia="Calibri"/>
          <w:kern w:val="2"/>
          <w:sz w:val="24"/>
          <w:szCs w:val="24"/>
        </w:rPr>
        <w:t xml:space="preserve"> što predstavlja najznačajnije neriješeno pitanje oružane velikosrpske agresije na Hrvatsku. U 2022. prikupljena su saznanja o mogućim mjestima prikrivenih grobnica iz Domovinskog rata, temeljem kojih su provedena cjelovita terenska istraživanja na 76 lokacija, pri čemu su pronađeni i ekshumirani posmrtni ostaci </w:t>
      </w:r>
      <w:r>
        <w:rPr>
          <w:rFonts w:eastAsia="Calibri"/>
          <w:kern w:val="2"/>
          <w:sz w:val="24"/>
          <w:szCs w:val="24"/>
        </w:rPr>
        <w:t>7</w:t>
      </w:r>
      <w:r w:rsidRPr="00BD1B6F">
        <w:rPr>
          <w:rFonts w:eastAsia="Calibri"/>
          <w:kern w:val="2"/>
          <w:sz w:val="24"/>
          <w:szCs w:val="24"/>
        </w:rPr>
        <w:t xml:space="preserve"> osoba. Provedeno je </w:t>
      </w:r>
      <w:r>
        <w:rPr>
          <w:rFonts w:eastAsia="Calibri"/>
          <w:kern w:val="2"/>
          <w:sz w:val="24"/>
          <w:szCs w:val="24"/>
        </w:rPr>
        <w:t>10</w:t>
      </w:r>
      <w:r w:rsidRPr="00BD1B6F">
        <w:rPr>
          <w:rFonts w:eastAsia="Calibri"/>
          <w:kern w:val="2"/>
          <w:sz w:val="24"/>
          <w:szCs w:val="24"/>
        </w:rPr>
        <w:t xml:space="preserve"> završnih identifikacija, </w:t>
      </w:r>
      <w:r>
        <w:rPr>
          <w:rFonts w:eastAsia="Calibri"/>
          <w:kern w:val="2"/>
          <w:sz w:val="24"/>
          <w:szCs w:val="24"/>
        </w:rPr>
        <w:t>prilikom kojih</w:t>
      </w:r>
      <w:r w:rsidRPr="00BD1B6F">
        <w:rPr>
          <w:rFonts w:eastAsia="Calibri"/>
          <w:kern w:val="2"/>
          <w:sz w:val="24"/>
          <w:szCs w:val="24"/>
        </w:rPr>
        <w:t xml:space="preserve"> su završno identificirani posmrtni ostaci 49 osoba te je organizirana njihova pogrebna skrb. Za provedbu navedenih napora utrošeno </w:t>
      </w:r>
      <w:r>
        <w:rPr>
          <w:rFonts w:eastAsia="Calibri"/>
          <w:kern w:val="2"/>
          <w:sz w:val="24"/>
          <w:szCs w:val="24"/>
        </w:rPr>
        <w:t xml:space="preserve">je </w:t>
      </w:r>
      <w:r w:rsidRPr="00BD1B6F">
        <w:rPr>
          <w:rFonts w:eastAsia="Calibri"/>
          <w:kern w:val="2"/>
          <w:sz w:val="24"/>
          <w:szCs w:val="24"/>
        </w:rPr>
        <w:t xml:space="preserve">659 tisuća eura. </w:t>
      </w:r>
    </w:p>
    <w:p w14:paraId="77199A9A" w14:textId="77777777" w:rsidR="0058774E" w:rsidRPr="00BD1B6F" w:rsidRDefault="0058774E" w:rsidP="0058774E">
      <w:pPr>
        <w:widowControl/>
        <w:autoSpaceDE/>
        <w:autoSpaceDN/>
        <w:spacing w:before="240" w:line="271" w:lineRule="auto"/>
        <w:jc w:val="both"/>
        <w:rPr>
          <w:rFonts w:eastAsia="Calibri"/>
          <w:kern w:val="2"/>
          <w:sz w:val="24"/>
          <w:szCs w:val="24"/>
        </w:rPr>
      </w:pPr>
      <w:r w:rsidRPr="00BD1B6F">
        <w:rPr>
          <w:rFonts w:eastAsia="Calibri"/>
          <w:kern w:val="2"/>
          <w:sz w:val="24"/>
          <w:szCs w:val="24"/>
        </w:rPr>
        <w:t xml:space="preserve">U 2022. nastavljeni </w:t>
      </w:r>
      <w:r>
        <w:rPr>
          <w:rFonts w:eastAsia="Calibri"/>
          <w:kern w:val="2"/>
          <w:sz w:val="24"/>
          <w:szCs w:val="24"/>
        </w:rPr>
        <w:t xml:space="preserve">su </w:t>
      </w:r>
      <w:r w:rsidRPr="00BD1B6F">
        <w:rPr>
          <w:rFonts w:eastAsia="Calibri"/>
          <w:kern w:val="2"/>
          <w:sz w:val="24"/>
          <w:szCs w:val="24"/>
        </w:rPr>
        <w:t xml:space="preserve">napori na očuvanju vrijednosti i digniteta Domovinskog rata i hrvatskih branitelja, za što je ukupno utrošeno 1,17 milijuna eura. Raspisana su </w:t>
      </w:r>
      <w:r>
        <w:rPr>
          <w:rFonts w:eastAsia="Calibri"/>
          <w:kern w:val="2"/>
          <w:sz w:val="24"/>
          <w:szCs w:val="24"/>
        </w:rPr>
        <w:t>4</w:t>
      </w:r>
      <w:r w:rsidRPr="00BD1B6F">
        <w:rPr>
          <w:rFonts w:eastAsia="Calibri"/>
          <w:kern w:val="2"/>
          <w:sz w:val="24"/>
          <w:szCs w:val="24"/>
        </w:rPr>
        <w:t xml:space="preserve"> javna poziva za sufinanciranje umjetničkih i dokumentarističkih djela o Domovinskom ratu, u okviru kojih je dodijeljeno 7 nagrada i 7 pohvala učenicima srednjih škola za kratke priče o Domovinskom ratu, sufinancirane su aktivnosti tiska 23 književna djela o Domovinskom ratu, sufinancirano je snimanje 14 audiovizualnih djela o Domovinskom ratu</w:t>
      </w:r>
      <w:r>
        <w:rPr>
          <w:rFonts w:eastAsia="Calibri"/>
          <w:kern w:val="2"/>
          <w:sz w:val="24"/>
          <w:szCs w:val="24"/>
        </w:rPr>
        <w:t>,</w:t>
      </w:r>
      <w:r w:rsidRPr="00BD1B6F">
        <w:rPr>
          <w:rFonts w:eastAsia="Calibri"/>
          <w:kern w:val="2"/>
          <w:sz w:val="24"/>
          <w:szCs w:val="24"/>
        </w:rPr>
        <w:t xml:space="preserve"> te je sufinancirana izgradnja 43 spomen-obilježja žrtvama stradalim u Domovinskom ratu. </w:t>
      </w:r>
    </w:p>
    <w:p w14:paraId="4473C3A2" w14:textId="2C4CF2DB" w:rsidR="004E2CAB" w:rsidRPr="00BD1B6F" w:rsidRDefault="0058774E" w:rsidP="0058774E">
      <w:pPr>
        <w:spacing w:before="240" w:line="271" w:lineRule="auto"/>
        <w:jc w:val="both"/>
      </w:pPr>
      <w:r w:rsidRPr="00BD1B6F">
        <w:rPr>
          <w:rFonts w:eastAsia="Calibri"/>
          <w:kern w:val="2"/>
          <w:sz w:val="24"/>
          <w:szCs w:val="24"/>
        </w:rPr>
        <w:t xml:space="preserve">Nastavljeni su napori na osiguravanju prava civilnih stradalnika i invalida iz Domovinskog rata koja proizlaze iz Zakona o civilnim stradalnicima iz Domovinskog rata. </w:t>
      </w:r>
      <w:r>
        <w:rPr>
          <w:rFonts w:eastAsia="Calibri"/>
          <w:kern w:val="2"/>
          <w:sz w:val="24"/>
          <w:szCs w:val="24"/>
        </w:rPr>
        <w:t>U skladu sa</w:t>
      </w:r>
      <w:r w:rsidRPr="00BD1B6F">
        <w:rPr>
          <w:rFonts w:eastAsia="Calibri"/>
          <w:kern w:val="2"/>
          <w:sz w:val="24"/>
          <w:szCs w:val="24"/>
        </w:rPr>
        <w:t xml:space="preserve"> Zakon</w:t>
      </w:r>
      <w:r>
        <w:rPr>
          <w:rFonts w:eastAsia="Calibri"/>
          <w:kern w:val="2"/>
          <w:sz w:val="24"/>
          <w:szCs w:val="24"/>
        </w:rPr>
        <w:t>om</w:t>
      </w:r>
      <w:r w:rsidRPr="00BD1B6F">
        <w:rPr>
          <w:rFonts w:eastAsia="Calibri"/>
          <w:kern w:val="2"/>
          <w:sz w:val="24"/>
          <w:szCs w:val="24"/>
        </w:rPr>
        <w:t xml:space="preserve">, tijekom 2022. pravo na osobnu invalidninu koristilo </w:t>
      </w:r>
      <w:r>
        <w:rPr>
          <w:rFonts w:eastAsia="Calibri"/>
          <w:kern w:val="2"/>
          <w:sz w:val="24"/>
          <w:szCs w:val="24"/>
        </w:rPr>
        <w:t xml:space="preserve">je </w:t>
      </w:r>
      <w:r w:rsidRPr="00BD1B6F">
        <w:rPr>
          <w:rFonts w:eastAsia="Calibri"/>
          <w:kern w:val="2"/>
          <w:sz w:val="24"/>
          <w:szCs w:val="24"/>
        </w:rPr>
        <w:t>1.690 korisnika, dodatak za njegu i pomoć druge osobe koristilo je 79 korisnika, ortopedski dodatak 244 korisnika</w:t>
      </w:r>
      <w:r>
        <w:rPr>
          <w:rFonts w:eastAsia="Calibri"/>
          <w:kern w:val="2"/>
          <w:sz w:val="24"/>
          <w:szCs w:val="24"/>
        </w:rPr>
        <w:t>,</w:t>
      </w:r>
      <w:r w:rsidRPr="00BD1B6F">
        <w:rPr>
          <w:rFonts w:eastAsia="Calibri"/>
          <w:kern w:val="2"/>
          <w:sz w:val="24"/>
          <w:szCs w:val="24"/>
        </w:rPr>
        <w:t xml:space="preserve"> te posebni dodatak 412 korisnika, za što je utrošeno ukupno 3,5 milijuna eura.</w:t>
      </w:r>
      <w:r w:rsidR="004E2CAB" w:rsidRPr="00BD1B6F">
        <w:br w:type="page"/>
      </w:r>
    </w:p>
    <w:p w14:paraId="0C285E5C" w14:textId="4D41CAF6" w:rsidR="00652636" w:rsidRPr="00BD1B6F" w:rsidRDefault="004E2CAB" w:rsidP="004E2CAB">
      <w:pPr>
        <w:pStyle w:val="Heading2"/>
        <w:spacing w:before="120" w:after="120" w:line="360" w:lineRule="auto"/>
        <w:ind w:left="0" w:firstLine="0"/>
        <w:rPr>
          <w:b w:val="0"/>
          <w:bCs w:val="0"/>
          <w:color w:val="000000" w:themeColor="text1"/>
          <w:sz w:val="24"/>
          <w:szCs w:val="24"/>
        </w:rPr>
      </w:pPr>
      <w:bookmarkStart w:id="78" w:name="_Toc133420954"/>
      <w:bookmarkStart w:id="79" w:name="_Toc156819384"/>
      <w:r w:rsidRPr="00BD1B6F">
        <w:rPr>
          <w:rStyle w:val="Heading2Char"/>
          <w:b/>
          <w:bCs/>
          <w:color w:val="000000" w:themeColor="text1"/>
          <w:sz w:val="24"/>
          <w:szCs w:val="24"/>
        </w:rPr>
        <w:lastRenderedPageBreak/>
        <w:t xml:space="preserve">6. </w:t>
      </w:r>
      <w:r w:rsidR="00652636" w:rsidRPr="00BD1B6F">
        <w:rPr>
          <w:rStyle w:val="Heading2Char"/>
          <w:b/>
          <w:bCs/>
          <w:color w:val="000000" w:themeColor="text1"/>
          <w:sz w:val="24"/>
          <w:szCs w:val="24"/>
        </w:rPr>
        <w:t>Demografska revitalizacija i bolji položaj obitelji</w:t>
      </w:r>
      <w:bookmarkEnd w:id="78"/>
      <w:bookmarkEnd w:id="79"/>
      <w:r w:rsidR="00652636" w:rsidRPr="00BD1B6F">
        <w:rPr>
          <w:b w:val="0"/>
          <w:bCs w:val="0"/>
          <w:color w:val="000000" w:themeColor="text1"/>
          <w:sz w:val="24"/>
          <w:szCs w:val="24"/>
        </w:rPr>
        <w:t> </w:t>
      </w:r>
    </w:p>
    <w:p w14:paraId="5EBE12AC" w14:textId="1B6808B2" w:rsidR="00652636" w:rsidRPr="00FD2238" w:rsidRDefault="004225DF" w:rsidP="004F6CC5">
      <w:pPr>
        <w:pStyle w:val="Heading3"/>
        <w:spacing w:before="120" w:after="120"/>
        <w:ind w:left="567"/>
        <w:jc w:val="both"/>
        <w:rPr>
          <w:color w:val="000000" w:themeColor="text1"/>
          <w:sz w:val="24"/>
          <w:szCs w:val="24"/>
          <w:lang w:eastAsia="en-GB"/>
        </w:rPr>
      </w:pPr>
      <w:bookmarkStart w:id="80" w:name="_Toc130784370"/>
      <w:bookmarkStart w:id="81" w:name="_Toc133420955"/>
      <w:bookmarkStart w:id="82" w:name="_Toc156819385"/>
      <w:r w:rsidRPr="00BD1B6F">
        <w:rPr>
          <w:color w:val="000000" w:themeColor="text1"/>
          <w:sz w:val="24"/>
          <w:szCs w:val="24"/>
          <w:lang w:eastAsia="en-GB"/>
        </w:rPr>
        <w:t xml:space="preserve">6.1. </w:t>
      </w:r>
      <w:r w:rsidR="00652636" w:rsidRPr="00BD1B6F">
        <w:rPr>
          <w:color w:val="000000" w:themeColor="text1"/>
          <w:sz w:val="24"/>
          <w:szCs w:val="24"/>
          <w:lang w:eastAsia="en-GB"/>
        </w:rPr>
        <w:t>Ostvarene vrijednosti pokazatelja uspješnosti</w:t>
      </w:r>
      <w:bookmarkEnd w:id="80"/>
      <w:bookmarkEnd w:id="81"/>
      <w:bookmarkEnd w:id="82"/>
      <w:r w:rsidR="00652636" w:rsidRPr="00BD1B6F">
        <w:rPr>
          <w:color w:val="000000" w:themeColor="text1"/>
          <w:sz w:val="24"/>
          <w:szCs w:val="24"/>
          <w:lang w:eastAsia="en-GB"/>
        </w:rPr>
        <w:t> </w:t>
      </w:r>
    </w:p>
    <w:tbl>
      <w:tblPr>
        <w:tblW w:w="9069" w:type="dxa"/>
        <w:tblBorders>
          <w:top w:val="dotted" w:sz="2" w:space="0" w:color="auto"/>
          <w:left w:val="dotted" w:sz="2" w:space="0" w:color="auto"/>
          <w:bottom w:val="dotted" w:sz="2" w:space="0" w:color="auto"/>
          <w:right w:val="dotted" w:sz="2" w:space="0" w:color="auto"/>
          <w:insideH w:val="dotted" w:sz="2" w:space="0" w:color="auto"/>
        </w:tblBorders>
        <w:shd w:val="clear" w:color="auto" w:fill="FFFFFF" w:themeFill="background1"/>
        <w:tblCellMar>
          <w:left w:w="0" w:type="dxa"/>
          <w:right w:w="0" w:type="dxa"/>
        </w:tblCellMar>
        <w:tblLook w:val="04A0" w:firstRow="1" w:lastRow="0" w:firstColumn="1" w:lastColumn="0" w:noHBand="0" w:noVBand="1"/>
      </w:tblPr>
      <w:tblGrid>
        <w:gridCol w:w="2689"/>
        <w:gridCol w:w="2123"/>
        <w:gridCol w:w="2129"/>
        <w:gridCol w:w="2128"/>
      </w:tblGrid>
      <w:tr w:rsidR="00AE5832" w:rsidRPr="008115FB" w14:paraId="0113E47B" w14:textId="77777777" w:rsidTr="00FD2238">
        <w:trPr>
          <w:trHeight w:val="629"/>
        </w:trPr>
        <w:tc>
          <w:tcPr>
            <w:tcW w:w="2689"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hideMark/>
          </w:tcPr>
          <w:p w14:paraId="3CDF3377" w14:textId="77777777" w:rsidR="00652636" w:rsidRPr="00FD2238" w:rsidRDefault="00652636" w:rsidP="005F1902">
            <w:pPr>
              <w:jc w:val="center"/>
              <w:textAlignment w:val="baseline"/>
              <w:rPr>
                <w:b/>
                <w:bCs/>
                <w:color w:val="000000" w:themeColor="text1"/>
                <w:sz w:val="24"/>
                <w:szCs w:val="24"/>
                <w:lang w:eastAsia="en-GB"/>
              </w:rPr>
            </w:pPr>
            <w:r w:rsidRPr="00BD1B6F">
              <w:rPr>
                <w:b/>
                <w:bCs/>
                <w:color w:val="000000" w:themeColor="text1"/>
                <w:sz w:val="24"/>
                <w:szCs w:val="24"/>
                <w:lang w:eastAsia="en-GB"/>
              </w:rPr>
              <w:t>Pokazatelj uspješnosti</w:t>
            </w:r>
            <w:r w:rsidRPr="00FD2238">
              <w:rPr>
                <w:b/>
                <w:bCs/>
                <w:color w:val="000000" w:themeColor="text1"/>
                <w:sz w:val="24"/>
                <w:szCs w:val="24"/>
                <w:lang w:eastAsia="en-GB"/>
              </w:rPr>
              <w:t> </w:t>
            </w:r>
          </w:p>
        </w:tc>
        <w:tc>
          <w:tcPr>
            <w:tcW w:w="2123"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hideMark/>
          </w:tcPr>
          <w:p w14:paraId="5A7859B6" w14:textId="77777777" w:rsidR="00AE5832" w:rsidRPr="00BD1B6F" w:rsidRDefault="00652636" w:rsidP="005F1902">
            <w:pPr>
              <w:jc w:val="center"/>
              <w:textAlignment w:val="baseline"/>
              <w:rPr>
                <w:b/>
                <w:bCs/>
                <w:color w:val="000000" w:themeColor="text1"/>
                <w:sz w:val="24"/>
                <w:szCs w:val="24"/>
                <w:lang w:eastAsia="en-GB"/>
              </w:rPr>
            </w:pPr>
            <w:r w:rsidRPr="00BD1B6F">
              <w:rPr>
                <w:b/>
                <w:bCs/>
                <w:color w:val="000000" w:themeColor="text1"/>
                <w:sz w:val="24"/>
                <w:szCs w:val="24"/>
                <w:lang w:eastAsia="en-GB"/>
              </w:rPr>
              <w:t xml:space="preserve">Početna </w:t>
            </w:r>
          </w:p>
          <w:p w14:paraId="59C6340C" w14:textId="3A4A9664" w:rsidR="00652636" w:rsidRPr="00FD2238" w:rsidRDefault="00652636" w:rsidP="005F1902">
            <w:pPr>
              <w:jc w:val="center"/>
              <w:textAlignment w:val="baseline"/>
              <w:rPr>
                <w:b/>
                <w:bCs/>
                <w:color w:val="000000" w:themeColor="text1"/>
                <w:sz w:val="24"/>
                <w:szCs w:val="24"/>
                <w:lang w:eastAsia="en-GB"/>
              </w:rPr>
            </w:pPr>
            <w:r w:rsidRPr="00BD1B6F">
              <w:rPr>
                <w:b/>
                <w:bCs/>
                <w:color w:val="000000" w:themeColor="text1"/>
                <w:sz w:val="24"/>
                <w:szCs w:val="24"/>
                <w:lang w:eastAsia="en-GB"/>
              </w:rPr>
              <w:t>vrijednost</w:t>
            </w:r>
            <w:r w:rsidRPr="00FD2238">
              <w:rPr>
                <w:b/>
                <w:bCs/>
                <w:color w:val="000000" w:themeColor="text1"/>
                <w:sz w:val="24"/>
                <w:szCs w:val="24"/>
                <w:lang w:eastAsia="en-GB"/>
              </w:rPr>
              <w:t> </w:t>
            </w:r>
          </w:p>
        </w:tc>
        <w:tc>
          <w:tcPr>
            <w:tcW w:w="2129"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hideMark/>
          </w:tcPr>
          <w:p w14:paraId="563F0AE0" w14:textId="77777777" w:rsidR="00AE5832" w:rsidRPr="00BD1B6F" w:rsidRDefault="00652636" w:rsidP="005F1902">
            <w:pPr>
              <w:jc w:val="center"/>
              <w:textAlignment w:val="baseline"/>
              <w:rPr>
                <w:b/>
                <w:bCs/>
                <w:color w:val="000000" w:themeColor="text1"/>
                <w:sz w:val="24"/>
                <w:szCs w:val="24"/>
                <w:lang w:eastAsia="en-GB"/>
              </w:rPr>
            </w:pPr>
            <w:r w:rsidRPr="00BD1B6F">
              <w:rPr>
                <w:b/>
                <w:bCs/>
                <w:color w:val="000000" w:themeColor="text1"/>
                <w:sz w:val="24"/>
                <w:szCs w:val="24"/>
                <w:lang w:eastAsia="en-GB"/>
              </w:rPr>
              <w:t xml:space="preserve">Ciljna </w:t>
            </w:r>
          </w:p>
          <w:p w14:paraId="23C785B4" w14:textId="739C8248" w:rsidR="00652636" w:rsidRPr="00FD2238" w:rsidRDefault="00652636" w:rsidP="005F1902">
            <w:pPr>
              <w:jc w:val="center"/>
              <w:textAlignment w:val="baseline"/>
              <w:rPr>
                <w:b/>
                <w:bCs/>
                <w:color w:val="000000" w:themeColor="text1"/>
                <w:sz w:val="24"/>
                <w:szCs w:val="24"/>
                <w:lang w:eastAsia="en-GB"/>
              </w:rPr>
            </w:pPr>
            <w:r w:rsidRPr="00BD1B6F">
              <w:rPr>
                <w:b/>
                <w:bCs/>
                <w:color w:val="000000" w:themeColor="text1"/>
                <w:sz w:val="24"/>
                <w:szCs w:val="24"/>
                <w:lang w:eastAsia="en-GB"/>
              </w:rPr>
              <w:t>vrijednost</w:t>
            </w:r>
            <w:r w:rsidRPr="00FD2238">
              <w:rPr>
                <w:b/>
                <w:bCs/>
                <w:color w:val="000000" w:themeColor="text1"/>
                <w:sz w:val="24"/>
                <w:szCs w:val="24"/>
                <w:lang w:eastAsia="en-GB"/>
              </w:rPr>
              <w:t> </w:t>
            </w:r>
          </w:p>
        </w:tc>
        <w:tc>
          <w:tcPr>
            <w:tcW w:w="2128"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hideMark/>
          </w:tcPr>
          <w:p w14:paraId="79EC921C" w14:textId="77777777" w:rsidR="00AE5832" w:rsidRPr="00BD1B6F" w:rsidRDefault="00652636" w:rsidP="005F1902">
            <w:pPr>
              <w:jc w:val="center"/>
              <w:textAlignment w:val="baseline"/>
              <w:rPr>
                <w:b/>
                <w:bCs/>
                <w:color w:val="000000" w:themeColor="text1"/>
                <w:sz w:val="24"/>
                <w:szCs w:val="24"/>
                <w:lang w:eastAsia="en-GB"/>
              </w:rPr>
            </w:pPr>
            <w:r w:rsidRPr="00BD1B6F">
              <w:rPr>
                <w:b/>
                <w:bCs/>
                <w:color w:val="000000" w:themeColor="text1"/>
                <w:sz w:val="24"/>
                <w:szCs w:val="24"/>
                <w:lang w:eastAsia="en-GB"/>
              </w:rPr>
              <w:t xml:space="preserve">Ostvarena </w:t>
            </w:r>
          </w:p>
          <w:p w14:paraId="38611FF6" w14:textId="79B0424E" w:rsidR="00652636" w:rsidRPr="00FD2238" w:rsidRDefault="00652636" w:rsidP="005F1902">
            <w:pPr>
              <w:jc w:val="center"/>
              <w:textAlignment w:val="baseline"/>
              <w:rPr>
                <w:b/>
                <w:bCs/>
                <w:color w:val="000000" w:themeColor="text1"/>
                <w:sz w:val="24"/>
                <w:szCs w:val="24"/>
                <w:lang w:eastAsia="en-GB"/>
              </w:rPr>
            </w:pPr>
            <w:r w:rsidRPr="00BD1B6F">
              <w:rPr>
                <w:b/>
                <w:bCs/>
                <w:color w:val="000000" w:themeColor="text1"/>
                <w:sz w:val="24"/>
                <w:szCs w:val="24"/>
                <w:lang w:eastAsia="en-GB"/>
              </w:rPr>
              <w:t>vrijednost</w:t>
            </w:r>
            <w:r w:rsidRPr="00FD2238">
              <w:rPr>
                <w:b/>
                <w:bCs/>
                <w:color w:val="000000" w:themeColor="text1"/>
                <w:sz w:val="24"/>
                <w:szCs w:val="24"/>
                <w:lang w:eastAsia="en-GB"/>
              </w:rPr>
              <w:t> </w:t>
            </w:r>
          </w:p>
        </w:tc>
      </w:tr>
      <w:tr w:rsidR="00AE5832" w:rsidRPr="008115FB" w14:paraId="4E69D641" w14:textId="77777777" w:rsidTr="00FD2238">
        <w:trPr>
          <w:trHeight w:val="854"/>
        </w:trPr>
        <w:tc>
          <w:tcPr>
            <w:tcW w:w="2689" w:type="dxa"/>
            <w:tcBorders>
              <w:top w:val="dotted" w:sz="4" w:space="0" w:color="auto"/>
            </w:tcBorders>
            <w:shd w:val="clear" w:color="auto" w:fill="FFFFFF" w:themeFill="background1"/>
            <w:vAlign w:val="center"/>
            <w:hideMark/>
          </w:tcPr>
          <w:p w14:paraId="0071FDAF" w14:textId="77777777" w:rsidR="00AE5832" w:rsidRPr="00BD1B6F" w:rsidRDefault="00652636" w:rsidP="005F1902">
            <w:pPr>
              <w:ind w:left="142"/>
              <w:textAlignment w:val="baseline"/>
              <w:rPr>
                <w:color w:val="000000" w:themeColor="text1"/>
                <w:sz w:val="24"/>
                <w:szCs w:val="24"/>
                <w:lang w:eastAsia="en-GB"/>
              </w:rPr>
            </w:pPr>
            <w:r w:rsidRPr="00BD1B6F">
              <w:rPr>
                <w:color w:val="000000" w:themeColor="text1"/>
                <w:sz w:val="24"/>
                <w:szCs w:val="24"/>
                <w:lang w:eastAsia="en-GB"/>
              </w:rPr>
              <w:t xml:space="preserve">Stopa totalnog </w:t>
            </w:r>
          </w:p>
          <w:p w14:paraId="7330FA6D" w14:textId="2D85C8B8" w:rsidR="00652636" w:rsidRPr="00FD2238" w:rsidRDefault="00652636" w:rsidP="005F1902">
            <w:pPr>
              <w:ind w:left="142"/>
              <w:textAlignment w:val="baseline"/>
              <w:rPr>
                <w:color w:val="000000" w:themeColor="text1"/>
                <w:sz w:val="24"/>
                <w:szCs w:val="24"/>
                <w:lang w:eastAsia="en-GB"/>
              </w:rPr>
            </w:pPr>
            <w:r w:rsidRPr="00BD1B6F">
              <w:rPr>
                <w:color w:val="000000" w:themeColor="text1"/>
                <w:sz w:val="24"/>
                <w:szCs w:val="24"/>
                <w:lang w:eastAsia="en-GB"/>
              </w:rPr>
              <w:t>fertiliteta</w:t>
            </w:r>
            <w:r w:rsidRPr="00FD2238">
              <w:rPr>
                <w:color w:val="000000" w:themeColor="text1"/>
                <w:sz w:val="24"/>
                <w:szCs w:val="24"/>
                <w:lang w:eastAsia="en-GB"/>
              </w:rPr>
              <w:t> </w:t>
            </w:r>
          </w:p>
        </w:tc>
        <w:tc>
          <w:tcPr>
            <w:tcW w:w="2123" w:type="dxa"/>
            <w:tcBorders>
              <w:top w:val="dotted" w:sz="4" w:space="0" w:color="auto"/>
            </w:tcBorders>
            <w:shd w:val="clear" w:color="auto" w:fill="DAEEF3" w:themeFill="accent5" w:themeFillTint="33"/>
            <w:vAlign w:val="center"/>
            <w:hideMark/>
          </w:tcPr>
          <w:p w14:paraId="39042D32" w14:textId="77777777" w:rsidR="00652636" w:rsidRPr="00FD2238" w:rsidRDefault="00652636" w:rsidP="005F1902">
            <w:pPr>
              <w:jc w:val="center"/>
              <w:textAlignment w:val="baseline"/>
              <w:rPr>
                <w:color w:val="000000" w:themeColor="text1"/>
                <w:sz w:val="24"/>
                <w:szCs w:val="24"/>
                <w:lang w:eastAsia="en-GB"/>
              </w:rPr>
            </w:pPr>
            <w:r w:rsidRPr="00BD1B6F">
              <w:rPr>
                <w:color w:val="000000" w:themeColor="text1"/>
                <w:sz w:val="24"/>
                <w:szCs w:val="24"/>
                <w:lang w:eastAsia="en-GB"/>
              </w:rPr>
              <w:t>1,47 djece (2018.)</w:t>
            </w:r>
            <w:r w:rsidRPr="00FD2238">
              <w:rPr>
                <w:color w:val="000000" w:themeColor="text1"/>
                <w:sz w:val="24"/>
                <w:szCs w:val="24"/>
                <w:lang w:eastAsia="en-GB"/>
              </w:rPr>
              <w:t> </w:t>
            </w:r>
          </w:p>
        </w:tc>
        <w:tc>
          <w:tcPr>
            <w:tcW w:w="2129" w:type="dxa"/>
            <w:tcBorders>
              <w:top w:val="dotted" w:sz="4" w:space="0" w:color="auto"/>
            </w:tcBorders>
            <w:shd w:val="clear" w:color="auto" w:fill="FFFFFF" w:themeFill="background1"/>
            <w:vAlign w:val="center"/>
            <w:hideMark/>
          </w:tcPr>
          <w:p w14:paraId="7046B772" w14:textId="77777777" w:rsidR="00652636" w:rsidRPr="00FD2238" w:rsidRDefault="00652636" w:rsidP="005F1902">
            <w:pPr>
              <w:jc w:val="center"/>
              <w:textAlignment w:val="baseline"/>
              <w:rPr>
                <w:color w:val="000000" w:themeColor="text1"/>
                <w:sz w:val="24"/>
                <w:szCs w:val="24"/>
                <w:lang w:eastAsia="en-GB"/>
              </w:rPr>
            </w:pPr>
            <w:r w:rsidRPr="00BD1B6F">
              <w:rPr>
                <w:color w:val="000000" w:themeColor="text1"/>
                <w:sz w:val="24"/>
                <w:szCs w:val="24"/>
                <w:lang w:eastAsia="en-GB"/>
              </w:rPr>
              <w:t>1,8 djece</w:t>
            </w:r>
            <w:r w:rsidRPr="00FD2238">
              <w:rPr>
                <w:color w:val="000000" w:themeColor="text1"/>
                <w:sz w:val="24"/>
                <w:szCs w:val="24"/>
                <w:lang w:eastAsia="en-GB"/>
              </w:rPr>
              <w:t> </w:t>
            </w:r>
          </w:p>
        </w:tc>
        <w:tc>
          <w:tcPr>
            <w:tcW w:w="2128" w:type="dxa"/>
            <w:tcBorders>
              <w:top w:val="dotted" w:sz="4" w:space="0" w:color="auto"/>
            </w:tcBorders>
            <w:shd w:val="clear" w:color="auto" w:fill="DAEEF3" w:themeFill="accent5" w:themeFillTint="33"/>
            <w:vAlign w:val="center"/>
            <w:hideMark/>
          </w:tcPr>
          <w:p w14:paraId="63F879E9" w14:textId="73F304C5" w:rsidR="00652636" w:rsidRPr="00FD2238" w:rsidRDefault="00943593" w:rsidP="005F1902">
            <w:pPr>
              <w:jc w:val="center"/>
              <w:textAlignment w:val="baseline"/>
              <w:rPr>
                <w:color w:val="000000" w:themeColor="text1"/>
                <w:sz w:val="24"/>
                <w:szCs w:val="24"/>
                <w:lang w:eastAsia="en-GB"/>
              </w:rPr>
            </w:pPr>
            <w:r w:rsidRPr="00FD2238">
              <w:rPr>
                <w:color w:val="000000" w:themeColor="text1"/>
                <w:sz w:val="24"/>
                <w:szCs w:val="24"/>
                <w:lang w:eastAsia="en-GB"/>
              </w:rPr>
              <w:t>1,</w:t>
            </w:r>
            <w:r w:rsidR="001931D3" w:rsidRPr="00FD2238">
              <w:rPr>
                <w:color w:val="000000" w:themeColor="text1"/>
                <w:sz w:val="24"/>
                <w:szCs w:val="24"/>
                <w:lang w:eastAsia="en-GB"/>
              </w:rPr>
              <w:t>62</w:t>
            </w:r>
            <w:r w:rsidRPr="00FD2238">
              <w:rPr>
                <w:color w:val="000000" w:themeColor="text1"/>
                <w:sz w:val="24"/>
                <w:szCs w:val="24"/>
                <w:lang w:eastAsia="en-GB"/>
              </w:rPr>
              <w:t xml:space="preserve"> (2021.)</w:t>
            </w:r>
          </w:p>
        </w:tc>
      </w:tr>
    </w:tbl>
    <w:p w14:paraId="4D4D6A0F" w14:textId="171894D5" w:rsidR="00652636" w:rsidRPr="00FD2238" w:rsidRDefault="00652636" w:rsidP="00540139">
      <w:pPr>
        <w:rPr>
          <w:lang w:eastAsia="en-GB"/>
        </w:rPr>
      </w:pPr>
      <w:r w:rsidRPr="00FD2238">
        <w:rPr>
          <w:lang w:eastAsia="en-GB"/>
        </w:rPr>
        <w:t> </w:t>
      </w:r>
    </w:p>
    <w:p w14:paraId="6FB1E419" w14:textId="0DB50124" w:rsidR="00C05222" w:rsidRPr="00BD1B6F" w:rsidRDefault="1E0B86D3" w:rsidP="004C1D5B">
      <w:pPr>
        <w:pStyle w:val="Heading3"/>
        <w:spacing w:before="120" w:after="120" w:line="276" w:lineRule="auto"/>
        <w:ind w:left="567"/>
        <w:rPr>
          <w:b w:val="0"/>
          <w:color w:val="000000" w:themeColor="text1"/>
          <w:sz w:val="24"/>
          <w:szCs w:val="24"/>
        </w:rPr>
      </w:pPr>
      <w:bookmarkStart w:id="83" w:name="_Toc156819386"/>
      <w:r w:rsidRPr="00BD1B6F">
        <w:rPr>
          <w:sz w:val="24"/>
          <w:szCs w:val="24"/>
        </w:rPr>
        <w:t>6.</w:t>
      </w:r>
      <w:r w:rsidR="00606E3F">
        <w:rPr>
          <w:sz w:val="24"/>
          <w:szCs w:val="24"/>
        </w:rPr>
        <w:t>2</w:t>
      </w:r>
      <w:r w:rsidRPr="00BD1B6F">
        <w:rPr>
          <w:sz w:val="24"/>
          <w:szCs w:val="24"/>
        </w:rPr>
        <w:t>. Opis napretka u provedbi strateškog cilja Demografska revitalizacija i bolji položaj obitelji</w:t>
      </w:r>
      <w:bookmarkEnd w:id="83"/>
      <w:r w:rsidRPr="00BD1B6F">
        <w:rPr>
          <w:sz w:val="24"/>
          <w:szCs w:val="24"/>
        </w:rPr>
        <w:t> </w:t>
      </w:r>
    </w:p>
    <w:p w14:paraId="26C58F2F" w14:textId="77777777" w:rsidR="004C10F6" w:rsidRPr="00BD1B6F" w:rsidRDefault="004C10F6" w:rsidP="004C10F6">
      <w:pPr>
        <w:pStyle w:val="BodyText"/>
        <w:ind w:left="567"/>
        <w:rPr>
          <w:b/>
          <w:bCs/>
        </w:rPr>
      </w:pPr>
      <w:r w:rsidRPr="00BD1B6F">
        <w:rPr>
          <w:b/>
          <w:bCs/>
          <w:lang w:eastAsia="en-GB"/>
        </w:rPr>
        <w:t>Ublažavanje negativnih demografskih trendova i izgradnja poticajnog okruženja za mlade i obitelj</w:t>
      </w:r>
      <w:r w:rsidRPr="00FD2238">
        <w:rPr>
          <w:b/>
          <w:bCs/>
          <w:lang w:eastAsia="en-GB"/>
        </w:rPr>
        <w:t> </w:t>
      </w:r>
    </w:p>
    <w:p w14:paraId="0412BAFF" w14:textId="77777777" w:rsidR="004C10F6" w:rsidRPr="00BD1B6F" w:rsidRDefault="004C10F6" w:rsidP="004C10F6">
      <w:pPr>
        <w:pStyle w:val="NormalWeb"/>
        <w:shd w:val="clear" w:color="auto" w:fill="FFFFFF" w:themeFill="background1"/>
        <w:spacing w:before="240" w:line="276" w:lineRule="auto"/>
        <w:jc w:val="both"/>
        <w:textAlignment w:val="baseline"/>
      </w:pPr>
      <w:r w:rsidRPr="00BD1B6F">
        <w:t>Hrvatska nastavlja borbu s negativnim demografskim trendovima i odlučnu provedbu demografske politike radi povećanja stope fertiliteta i stvaranja poticajnog i privlačnog društvenog i ekonomskog okružja za ostanak, povratak i dolazak mladih ljudi i obitelji koji će u Hrvatskoj pronaći svoje mjesto za rad i podizanje djece.</w:t>
      </w:r>
    </w:p>
    <w:p w14:paraId="5D9C6F99" w14:textId="77777777" w:rsidR="004C10F6" w:rsidRPr="00BD1B6F" w:rsidRDefault="004C10F6" w:rsidP="004C10F6">
      <w:pPr>
        <w:pStyle w:val="NormalWeb"/>
        <w:shd w:val="clear" w:color="auto" w:fill="FFFFFF" w:themeFill="background1"/>
        <w:spacing w:before="240" w:line="276" w:lineRule="auto"/>
        <w:jc w:val="both"/>
        <w:textAlignment w:val="baseline"/>
        <w:rPr>
          <w:color w:val="000000"/>
          <w:lang w:eastAsia="hr-HR"/>
        </w:rPr>
      </w:pPr>
      <w:r w:rsidRPr="00BD1B6F">
        <w:t>Iako je u 2021. zabilježen rast stope fertiliteta na 1,62, koji je premašio prosjek EU-a, poboljšanje je bilo tek privremenog karaktera. Prema podacima Državnog zavoda za statistiku za 2022., broj živorođene djece pao je za 7,2%, te je rođeno 2.625 djece manje nego u 2021. godini. Ukupan pad broja stanovnika djelomično je ublažen pojačanim useljavanjem. Hrvatska je u 2022.,</w:t>
      </w:r>
      <w:r w:rsidRPr="00BD1B6F">
        <w:rPr>
          <w:color w:val="000000"/>
          <w:bdr w:val="none" w:sz="0" w:space="0" w:color="auto" w:frame="1"/>
          <w:lang w:eastAsia="hr-HR"/>
        </w:rPr>
        <w:t xml:space="preserve"> prvi put od 2008</w:t>
      </w:r>
      <w:r w:rsidRPr="005F57FE">
        <w:rPr>
          <w:color w:val="000000"/>
          <w:bdr w:val="none" w:sz="0" w:space="0" w:color="auto" w:frame="1"/>
          <w:lang w:eastAsia="hr-HR"/>
        </w:rPr>
        <w:t>.</w:t>
      </w:r>
      <w:r>
        <w:rPr>
          <w:color w:val="000000"/>
          <w:bdr w:val="none" w:sz="0" w:space="0" w:color="auto" w:frame="1"/>
          <w:lang w:eastAsia="hr-HR"/>
        </w:rPr>
        <w:t>,</w:t>
      </w:r>
      <w:r w:rsidRPr="00BD1B6F">
        <w:rPr>
          <w:color w:val="000000"/>
          <w:bdr w:val="none" w:sz="0" w:space="0" w:color="auto" w:frame="1"/>
          <w:lang w:eastAsia="hr-HR"/>
        </w:rPr>
        <w:t xml:space="preserve"> zabilježila pozitivan migracijski saldo, pa tako </w:t>
      </w:r>
      <w:r w:rsidRPr="00BD1B6F">
        <w:rPr>
          <w:color w:val="000000"/>
          <w:lang w:eastAsia="hr-HR"/>
        </w:rPr>
        <w:t xml:space="preserve">podaci Državnog zavoda za statistiku pokazuju da se iz Hrvatske tijekom 2022. iselilo 46.287 osoba, a uselile su se ili vratile 57.972 </w:t>
      </w:r>
      <w:r w:rsidRPr="005F57FE">
        <w:rPr>
          <w:color w:val="000000"/>
          <w:lang w:eastAsia="hr-HR"/>
        </w:rPr>
        <w:t>osobe</w:t>
      </w:r>
      <w:r w:rsidRPr="00BD1B6F">
        <w:rPr>
          <w:color w:val="000000"/>
          <w:lang w:eastAsia="hr-HR"/>
        </w:rPr>
        <w:t>, od kojih je velik dio radnika iz trećih zemalja.</w:t>
      </w:r>
    </w:p>
    <w:p w14:paraId="55722BCE" w14:textId="77777777" w:rsidR="004C10F6" w:rsidRPr="00BD1B6F" w:rsidRDefault="004C10F6" w:rsidP="004C10F6">
      <w:pPr>
        <w:spacing w:before="240" w:line="276" w:lineRule="auto"/>
        <w:ind w:left="19" w:right="23"/>
        <w:jc w:val="both"/>
        <w:rPr>
          <w:sz w:val="24"/>
          <w:szCs w:val="24"/>
        </w:rPr>
      </w:pPr>
      <w:r w:rsidRPr="00BD1B6F">
        <w:rPr>
          <w:sz w:val="24"/>
          <w:szCs w:val="24"/>
        </w:rPr>
        <w:t>S ciljem suočavanja s demografskim promjenama i pronalaženjem rješenja za demografske izazove, pokrenuta je izrada Strategije demografske revitalizacije do 2033. godine. Strategijom se utvrđuju strateški ciljevi i ključna područja intervencija za utjecanje na očekivani demografski razvoj Hrvatske te se postavlja okvir za razradu mjera u različitim područjima javne politike, kao što su socijalna, obrazovna, zdravstvena i druge, koje trebaju djelovati sinergijski i omogućiti optimalnu upotrebu resursa</w:t>
      </w:r>
      <w:r>
        <w:rPr>
          <w:sz w:val="24"/>
          <w:szCs w:val="24"/>
        </w:rPr>
        <w:t xml:space="preserve"> </w:t>
      </w:r>
      <w:r w:rsidRPr="00BD1B6F">
        <w:rPr>
          <w:sz w:val="24"/>
          <w:szCs w:val="24"/>
        </w:rPr>
        <w:t>kako bi se postigle željene demografske promjene.</w:t>
      </w:r>
    </w:p>
    <w:p w14:paraId="180754E8" w14:textId="77777777" w:rsidR="004C10F6" w:rsidRPr="00BD1B6F" w:rsidRDefault="004C10F6" w:rsidP="004C10F6">
      <w:pPr>
        <w:spacing w:before="240" w:line="276" w:lineRule="auto"/>
        <w:ind w:left="19" w:right="23"/>
        <w:jc w:val="both"/>
        <w:rPr>
          <w:sz w:val="24"/>
          <w:szCs w:val="24"/>
        </w:rPr>
      </w:pPr>
      <w:r w:rsidRPr="00BD1B6F">
        <w:rPr>
          <w:sz w:val="24"/>
          <w:szCs w:val="24"/>
        </w:rPr>
        <w:t xml:space="preserve">Radi unaprjeđenja politika koje djeluju u smjeru podrške obitelji, nastavljeni su napori u unaprjeđenju zakonskog okvira kojim se uređuje sustav obiteljskih potpora. U srpnju 2022. donesen je Zakon o izmjenama i dopunama Zakona o rodiljnim i roditeljskim potporama te je u prosincu 2022. donesen i novi Zakon o rodiljnim i roditeljskim potporama. Zakonom o izmjenama i dopunama povećan je maksimalni iznos naknade plaće koja se isplaćuje za vrijeme korištenja roditeljskog dopusta za </w:t>
      </w:r>
      <w:r w:rsidRPr="00BD1B6F">
        <w:rPr>
          <w:sz w:val="24"/>
          <w:szCs w:val="24"/>
        </w:rPr>
        <w:lastRenderedPageBreak/>
        <w:t>zaposlene i samozaposlene roditelje sa 750,44 eura (170% proračunske osnovice) na 995,44 eura (225,5% proračunske osnovice)</w:t>
      </w:r>
      <w:r>
        <w:rPr>
          <w:sz w:val="24"/>
          <w:szCs w:val="24"/>
        </w:rPr>
        <w:t>,</w:t>
      </w:r>
      <w:r w:rsidRPr="00BD1B6F">
        <w:rPr>
          <w:sz w:val="24"/>
          <w:szCs w:val="24"/>
        </w:rPr>
        <w:t xml:space="preserve"> te je uveden očinski dopust kao novo pravo (plaćeno) u trajanju od 10 radnih dana za zaposlene i samozaposlene roditelje, odnosno 15 dana u slučaju rođenja blizanaca ili višestrukog poroda.</w:t>
      </w:r>
      <w:r w:rsidRPr="00BD1B6F" w:rsidDel="00AE261C">
        <w:rPr>
          <w:sz w:val="24"/>
          <w:szCs w:val="24"/>
        </w:rPr>
        <w:t xml:space="preserve"> </w:t>
      </w:r>
      <w:r w:rsidRPr="00BD1B6F">
        <w:rPr>
          <w:sz w:val="24"/>
          <w:szCs w:val="24"/>
        </w:rPr>
        <w:t>Tijekom 2022.</w:t>
      </w:r>
      <w:r>
        <w:rPr>
          <w:sz w:val="24"/>
          <w:szCs w:val="24"/>
        </w:rPr>
        <w:t>,</w:t>
      </w:r>
      <w:r w:rsidRPr="00BD1B6F">
        <w:rPr>
          <w:sz w:val="24"/>
          <w:szCs w:val="24"/>
        </w:rPr>
        <w:t xml:space="preserve"> više od 10.000 korisnika iskoristilo </w:t>
      </w:r>
      <w:r>
        <w:rPr>
          <w:sz w:val="24"/>
          <w:szCs w:val="24"/>
        </w:rPr>
        <w:t xml:space="preserve">je </w:t>
      </w:r>
      <w:r w:rsidRPr="00BD1B6F">
        <w:rPr>
          <w:sz w:val="24"/>
          <w:szCs w:val="24"/>
        </w:rPr>
        <w:t>svoje pravo na očinski dopust.</w:t>
      </w:r>
      <w:r w:rsidRPr="00BD1B6F" w:rsidDel="00AE261C">
        <w:rPr>
          <w:sz w:val="24"/>
          <w:szCs w:val="24"/>
        </w:rPr>
        <w:t xml:space="preserve"> </w:t>
      </w:r>
      <w:r w:rsidRPr="00BD1B6F">
        <w:rPr>
          <w:sz w:val="24"/>
          <w:szCs w:val="24"/>
        </w:rPr>
        <w:t xml:space="preserve">Novim su </w:t>
      </w:r>
      <w:r>
        <w:rPr>
          <w:sz w:val="24"/>
          <w:szCs w:val="24"/>
        </w:rPr>
        <w:t>z</w:t>
      </w:r>
      <w:r w:rsidRPr="00C357FD">
        <w:rPr>
          <w:sz w:val="24"/>
          <w:szCs w:val="24"/>
        </w:rPr>
        <w:t>akonom</w:t>
      </w:r>
      <w:r w:rsidRPr="00BD1B6F">
        <w:rPr>
          <w:sz w:val="24"/>
          <w:szCs w:val="24"/>
        </w:rPr>
        <w:t xml:space="preserve"> povećana materijalna prava određenih skupina zaposlenih i samozaposlenih roditelja </w:t>
      </w:r>
      <w:r w:rsidRPr="00C357FD">
        <w:rPr>
          <w:sz w:val="24"/>
          <w:szCs w:val="24"/>
        </w:rPr>
        <w:t>s</w:t>
      </w:r>
      <w:r w:rsidRPr="00BD1B6F">
        <w:rPr>
          <w:sz w:val="24"/>
          <w:szCs w:val="24"/>
        </w:rPr>
        <w:t xml:space="preserve"> 309 eura (70% proračunske osnovice) na 551,80 eura (125% proračunske osnovice)</w:t>
      </w:r>
      <w:r>
        <w:rPr>
          <w:sz w:val="24"/>
          <w:szCs w:val="24"/>
        </w:rPr>
        <w:t>,</w:t>
      </w:r>
      <w:r w:rsidRPr="00BD1B6F">
        <w:rPr>
          <w:sz w:val="24"/>
          <w:szCs w:val="24"/>
        </w:rPr>
        <w:t xml:space="preserve"> te je izmijenjeno razdoblje obveznog trajanja prethodnog osiguranja zaposlenog ili samozaposlenog roditelja kako bi uvjeti bili povoljniji za korisnike prava, a uvedeno je i novo pravo na dopust drugog posvojitelja i pravo na udomiteljski dopust. </w:t>
      </w:r>
      <w:r>
        <w:rPr>
          <w:sz w:val="24"/>
          <w:szCs w:val="24"/>
        </w:rPr>
        <w:t>S o</w:t>
      </w:r>
      <w:r w:rsidRPr="00BD1B6F">
        <w:rPr>
          <w:sz w:val="24"/>
          <w:szCs w:val="24"/>
        </w:rPr>
        <w:t xml:space="preserve">bzirom na povezanost sustava obiteljskih potpora s ukupnim pronatalitetnim kretanjima i učinkom na poboljšanje socijalne sigurnosti obitelji s uzdržavanom djecom, očekuje se da će navedeni napori </w:t>
      </w:r>
      <w:r>
        <w:rPr>
          <w:sz w:val="24"/>
          <w:szCs w:val="24"/>
        </w:rPr>
        <w:t>doprinijeti</w:t>
      </w:r>
      <w:r w:rsidRPr="00BD1B6F">
        <w:rPr>
          <w:sz w:val="24"/>
          <w:szCs w:val="24"/>
        </w:rPr>
        <w:t xml:space="preserve"> poboljšanju demografskih kretanja. </w:t>
      </w:r>
    </w:p>
    <w:p w14:paraId="6C50FE4D" w14:textId="77777777" w:rsidR="004C10F6" w:rsidRPr="00BD1B6F" w:rsidRDefault="004C10F6" w:rsidP="004C10F6">
      <w:pPr>
        <w:spacing w:before="240" w:line="276" w:lineRule="auto"/>
        <w:ind w:left="19" w:right="23"/>
        <w:jc w:val="both"/>
        <w:rPr>
          <w:sz w:val="24"/>
          <w:szCs w:val="24"/>
        </w:rPr>
      </w:pPr>
      <w:r w:rsidRPr="00BD1B6F">
        <w:rPr>
          <w:sz w:val="24"/>
          <w:szCs w:val="24"/>
        </w:rPr>
        <w:t xml:space="preserve">S ciljem osnaživanja roditelja i odgovora na njihove potrebe, kao i usklađivanja obiteljskog i poslovnog života, tijekom 2022. proveden je Poziv za prijavu projekata udruga usmjerenih podršci roditeljstvu, temeljem kojeg je odobrena financijska podrška u ukupnoj vrijednosti 675 tisuća eura za provedbu 72 projekta organizacija civilnog društva usmjerenih na pružanje podrške (sadašnjim i budućim) roditeljima te poticanju očeva na veću uključenost u obiteljski život. </w:t>
      </w:r>
    </w:p>
    <w:p w14:paraId="7A38CEC0" w14:textId="77777777" w:rsidR="004C10F6" w:rsidRPr="00BD1B6F" w:rsidRDefault="004C10F6" w:rsidP="004C10F6">
      <w:pPr>
        <w:spacing w:before="240" w:line="276" w:lineRule="auto"/>
        <w:ind w:left="19" w:right="23"/>
        <w:jc w:val="both"/>
        <w:rPr>
          <w:sz w:val="24"/>
          <w:szCs w:val="24"/>
        </w:rPr>
      </w:pPr>
      <w:r w:rsidRPr="00BD1B6F">
        <w:rPr>
          <w:sz w:val="24"/>
          <w:szCs w:val="24"/>
        </w:rPr>
        <w:t xml:space="preserve">Dostupni i priuštivi dječji vrtići roditeljima </w:t>
      </w:r>
      <w:r w:rsidRPr="00914516">
        <w:rPr>
          <w:sz w:val="24"/>
          <w:szCs w:val="24"/>
        </w:rPr>
        <w:t>omogu</w:t>
      </w:r>
      <w:r>
        <w:rPr>
          <w:sz w:val="24"/>
          <w:szCs w:val="24"/>
        </w:rPr>
        <w:t>ć</w:t>
      </w:r>
      <w:r w:rsidRPr="00914516">
        <w:rPr>
          <w:sz w:val="24"/>
          <w:szCs w:val="24"/>
        </w:rPr>
        <w:t>u</w:t>
      </w:r>
      <w:r>
        <w:rPr>
          <w:sz w:val="24"/>
          <w:szCs w:val="24"/>
        </w:rPr>
        <w:t>ju</w:t>
      </w:r>
      <w:r w:rsidRPr="00BD1B6F">
        <w:rPr>
          <w:sz w:val="24"/>
          <w:szCs w:val="24"/>
        </w:rPr>
        <w:t xml:space="preserve"> sudjelovanje na tržištu rada</w:t>
      </w:r>
      <w:r>
        <w:rPr>
          <w:sz w:val="24"/>
          <w:szCs w:val="24"/>
        </w:rPr>
        <w:t>,</w:t>
      </w:r>
      <w:r w:rsidRPr="00BD1B6F">
        <w:rPr>
          <w:sz w:val="24"/>
          <w:szCs w:val="24"/>
        </w:rPr>
        <w:t xml:space="preserve"> dok djeca imaju najbolju moguću skrb koja im je neophodna za razvoj i odgoj. Time se stvaraju uvjeti i pozitivno okruženje za ostanak mladih ljudi u svojim sredinama te se neizravno utječe na njihove odluke za osnivanje obitelji i rađanje djece. Radi poboljšanja materijalnih uvjeta i podizanja kvalitete pedagoških standarda te ublažavanja postojećih regionalnih nejednakosti u predškolskom odgoju, proveden je Poziv za prijavu projekata usmjerenih na poboljšanje materijalnih uvjeta u vrtićima za 2022., vrijednosti sredstava za provedbu u ukupnom iznosu od 1,46 milijuna eura. Pozivom je osigurana potpora za provedbu 82 projekta opremanja dječjih vrtića fiksnom opremom, uređenja okoliša i postojećih vanjskih terena za igru, od kojih 72 u potpomognutim područjima. </w:t>
      </w:r>
    </w:p>
    <w:p w14:paraId="70608279" w14:textId="77777777" w:rsidR="004C10F6" w:rsidRPr="00BD1B6F" w:rsidRDefault="004C10F6" w:rsidP="004C10F6">
      <w:pPr>
        <w:spacing w:before="240" w:line="276" w:lineRule="auto"/>
        <w:ind w:left="19" w:right="23"/>
        <w:jc w:val="both"/>
        <w:rPr>
          <w:sz w:val="24"/>
          <w:szCs w:val="24"/>
        </w:rPr>
      </w:pPr>
      <w:r w:rsidRPr="00BD1B6F">
        <w:rPr>
          <w:sz w:val="24"/>
          <w:szCs w:val="24"/>
        </w:rPr>
        <w:t xml:space="preserve">Također, s ciljem poticanja ravnomjernog regionalnog razvoja predškolske djelatnosti, provedena su </w:t>
      </w:r>
      <w:r>
        <w:rPr>
          <w:sz w:val="24"/>
          <w:szCs w:val="24"/>
        </w:rPr>
        <w:t>3</w:t>
      </w:r>
      <w:r w:rsidRPr="00BD1B6F">
        <w:rPr>
          <w:sz w:val="24"/>
          <w:szCs w:val="24"/>
        </w:rPr>
        <w:t xml:space="preserve"> </w:t>
      </w:r>
      <w:r>
        <w:rPr>
          <w:sz w:val="24"/>
          <w:szCs w:val="24"/>
        </w:rPr>
        <w:t>j</w:t>
      </w:r>
      <w:r w:rsidRPr="00BD1B6F">
        <w:rPr>
          <w:sz w:val="24"/>
          <w:szCs w:val="24"/>
        </w:rPr>
        <w:t xml:space="preserve">avna poziva za zaprimanje zahtjeva općina i gradova za dodjelu financijske potpore za održavanje i razvoj predškolske djelatnosti u 2022. Financijskom potporom sudjeluje se u dijelu troškova ekonomske cijene boravka djeteta u dječjem vrtiću, u iznosu od 66,36 eura po djetetu mjesečno, za 11 mjeseci godišnje. Temeljem provedenih javnih poziva, 104 općine i 41 grad ostvarili </w:t>
      </w:r>
      <w:r>
        <w:rPr>
          <w:sz w:val="24"/>
          <w:szCs w:val="24"/>
        </w:rPr>
        <w:t xml:space="preserve">su </w:t>
      </w:r>
      <w:r w:rsidRPr="00BD1B6F">
        <w:rPr>
          <w:sz w:val="24"/>
          <w:szCs w:val="24"/>
        </w:rPr>
        <w:t xml:space="preserve">financijsku </w:t>
      </w:r>
      <w:r w:rsidRPr="00BD1B6F">
        <w:rPr>
          <w:sz w:val="24"/>
          <w:szCs w:val="24"/>
        </w:rPr>
        <w:lastRenderedPageBreak/>
        <w:t xml:space="preserve">potporu u iznosu </w:t>
      </w:r>
      <w:r>
        <w:rPr>
          <w:sz w:val="24"/>
          <w:szCs w:val="24"/>
        </w:rPr>
        <w:t xml:space="preserve">od </w:t>
      </w:r>
      <w:r w:rsidRPr="00BD1B6F">
        <w:rPr>
          <w:sz w:val="24"/>
          <w:szCs w:val="24"/>
        </w:rPr>
        <w:t xml:space="preserve">4,34 milijuna eura, čime je održavanje predškolske djelatnosti omogućeno za ukupno 14.978 djece. </w:t>
      </w:r>
    </w:p>
    <w:p w14:paraId="417A5D5C" w14:textId="77777777" w:rsidR="004C10F6" w:rsidRPr="00BD1B6F" w:rsidRDefault="004C10F6" w:rsidP="004C10F6">
      <w:pPr>
        <w:spacing w:before="240" w:line="276" w:lineRule="auto"/>
        <w:ind w:left="19" w:right="23"/>
        <w:jc w:val="both"/>
        <w:rPr>
          <w:sz w:val="24"/>
          <w:szCs w:val="24"/>
        </w:rPr>
      </w:pPr>
      <w:r w:rsidRPr="00BD1B6F">
        <w:rPr>
          <w:sz w:val="24"/>
          <w:szCs w:val="24"/>
        </w:rPr>
        <w:t xml:space="preserve">Radi stvaranja uvjeta za usklađivanje poslovnog i obiteljskog života obiteljima s uzdržavanom djecom uključenima u programe ranog i predškolskog odgoja i obrazovanja, tijekom 2022.  nastavljena </w:t>
      </w:r>
      <w:r>
        <w:rPr>
          <w:sz w:val="24"/>
          <w:szCs w:val="24"/>
        </w:rPr>
        <w:t xml:space="preserve">je </w:t>
      </w:r>
      <w:r w:rsidRPr="00BD1B6F">
        <w:rPr>
          <w:sz w:val="24"/>
          <w:szCs w:val="24"/>
        </w:rPr>
        <w:t xml:space="preserve">provedba </w:t>
      </w:r>
      <w:r>
        <w:rPr>
          <w:sz w:val="24"/>
          <w:szCs w:val="24"/>
        </w:rPr>
        <w:t>p</w:t>
      </w:r>
      <w:r w:rsidRPr="00BD1B6F">
        <w:rPr>
          <w:sz w:val="24"/>
          <w:szCs w:val="24"/>
        </w:rPr>
        <w:t>oziva na dostavu projektnih prijedloga “Nastavak unaprjeđenja usluga za djecu u sustavu ranog i predškolskog odgoja i obrazovanja” koji se financira sredstvima ESF 2014.</w:t>
      </w:r>
      <w:r>
        <w:rPr>
          <w:sz w:val="24"/>
          <w:szCs w:val="24"/>
        </w:rPr>
        <w:t xml:space="preserve"> </w:t>
      </w:r>
      <w:r w:rsidRPr="00BD1B6F">
        <w:rPr>
          <w:sz w:val="24"/>
          <w:szCs w:val="24"/>
        </w:rPr>
        <w:t>-</w:t>
      </w:r>
      <w:r>
        <w:rPr>
          <w:sz w:val="24"/>
          <w:szCs w:val="24"/>
        </w:rPr>
        <w:t xml:space="preserve"> </w:t>
      </w:r>
      <w:r w:rsidRPr="00BD1B6F">
        <w:rPr>
          <w:sz w:val="24"/>
          <w:szCs w:val="24"/>
        </w:rPr>
        <w:t xml:space="preserve">2020. Tijekom 2022. donesene </w:t>
      </w:r>
      <w:r>
        <w:rPr>
          <w:sz w:val="24"/>
          <w:szCs w:val="24"/>
        </w:rPr>
        <w:t>su 3</w:t>
      </w:r>
      <w:r w:rsidRPr="00BD1B6F">
        <w:rPr>
          <w:sz w:val="24"/>
          <w:szCs w:val="24"/>
        </w:rPr>
        <w:t xml:space="preserve"> </w:t>
      </w:r>
      <w:r>
        <w:rPr>
          <w:sz w:val="24"/>
          <w:szCs w:val="24"/>
        </w:rPr>
        <w:t>o</w:t>
      </w:r>
      <w:r w:rsidRPr="00BD1B6F">
        <w:rPr>
          <w:sz w:val="24"/>
          <w:szCs w:val="24"/>
        </w:rPr>
        <w:t>dluke o financiranju provedbe za 29 projekata u ukupnoj vrijednosti 8,37 milijuna eura. Pozivom se financiraju projekti kojima se potiče inovativan pristup u osiguranju produljenog radnog vremena vrtića s ciljem veće dostupnosti, priuštivosti i obuhvata djece programima ranog i predškolskog odgoja i obrazovanja.</w:t>
      </w:r>
    </w:p>
    <w:p w14:paraId="0E5C6093" w14:textId="77777777" w:rsidR="004C10F6" w:rsidRPr="00BD1B6F" w:rsidRDefault="004C10F6" w:rsidP="004C10F6">
      <w:pPr>
        <w:spacing w:before="240" w:line="276" w:lineRule="auto"/>
        <w:ind w:right="23"/>
        <w:jc w:val="both"/>
        <w:rPr>
          <w:sz w:val="24"/>
          <w:szCs w:val="24"/>
        </w:rPr>
      </w:pPr>
      <w:r w:rsidRPr="00BD1B6F">
        <w:rPr>
          <w:sz w:val="24"/>
          <w:szCs w:val="24"/>
        </w:rPr>
        <w:t xml:space="preserve">Radi poticanja demografske obnove društva, urbane regeneracije naselja te smanjenja iseljavanja iz Hrvatske, nastavljena je provedba Programa </w:t>
      </w:r>
      <w:r>
        <w:rPr>
          <w:sz w:val="24"/>
          <w:szCs w:val="24"/>
        </w:rPr>
        <w:t>društveno poticane stanogradnje (u daljnjem tekstu: POS).</w:t>
      </w:r>
      <w:r w:rsidRPr="00BD1B6F">
        <w:rPr>
          <w:sz w:val="24"/>
          <w:szCs w:val="24"/>
        </w:rPr>
        <w:t xml:space="preserve"> U okviru </w:t>
      </w:r>
      <w:r>
        <w:rPr>
          <w:sz w:val="24"/>
          <w:szCs w:val="24"/>
        </w:rPr>
        <w:t>POS-a</w:t>
      </w:r>
      <w:r w:rsidRPr="00BD1B6F">
        <w:rPr>
          <w:sz w:val="24"/>
          <w:szCs w:val="24"/>
        </w:rPr>
        <w:t xml:space="preserve">, korisnicima kredita (mlađima od 45 godina) omogućeno </w:t>
      </w:r>
      <w:r>
        <w:rPr>
          <w:sz w:val="24"/>
          <w:szCs w:val="24"/>
        </w:rPr>
        <w:t xml:space="preserve">je </w:t>
      </w:r>
      <w:r w:rsidRPr="00BD1B6F">
        <w:rPr>
          <w:sz w:val="24"/>
          <w:szCs w:val="24"/>
        </w:rPr>
        <w:t>subvencioniranje dijela (od 30% do 51%) mjesečnog iznosa rate ili anuiteta stambenog kredita ugovorenog kod kreditnih institucija za kupnju stana ili kuće, odnosno za izgradnju kuće, u svrhu rješavanja stambenog pitanja po povoljnijim uvjetima. U ožujku 2022. objavljen</w:t>
      </w:r>
      <w:r>
        <w:rPr>
          <w:sz w:val="24"/>
          <w:szCs w:val="24"/>
        </w:rPr>
        <w:t xml:space="preserve"> je</w:t>
      </w:r>
      <w:r w:rsidRPr="00BD1B6F">
        <w:rPr>
          <w:sz w:val="24"/>
          <w:szCs w:val="24"/>
        </w:rPr>
        <w:t xml:space="preserve"> sedmi po redu </w:t>
      </w:r>
      <w:r>
        <w:rPr>
          <w:sz w:val="24"/>
          <w:szCs w:val="24"/>
        </w:rPr>
        <w:t>j</w:t>
      </w:r>
      <w:r w:rsidRPr="00BD1B6F">
        <w:rPr>
          <w:sz w:val="24"/>
          <w:szCs w:val="24"/>
        </w:rPr>
        <w:t>avni poziv za zaprimanje zahtjeva za subvencioniranje stambenih kredita,</w:t>
      </w:r>
      <w:r w:rsidRPr="00BD1B6F" w:rsidDel="00E5451D">
        <w:rPr>
          <w:sz w:val="24"/>
          <w:szCs w:val="24"/>
        </w:rPr>
        <w:t xml:space="preserve"> </w:t>
      </w:r>
      <w:r w:rsidRPr="00BD1B6F">
        <w:rPr>
          <w:sz w:val="24"/>
          <w:szCs w:val="24"/>
        </w:rPr>
        <w:t xml:space="preserve">u okviru kojeg je zaprimljeno ukupno 5.870 zahtjeva za subvencioniranje kredita. Odobreno je 5.675 zahtjeva za korištenje subvencija, ukupnog iznosa visine subvencija 52,4 milijuna eura. </w:t>
      </w:r>
      <w:r>
        <w:rPr>
          <w:sz w:val="24"/>
          <w:szCs w:val="24"/>
        </w:rPr>
        <w:t>POS</w:t>
      </w:r>
      <w:r w:rsidRPr="00BD1B6F">
        <w:rPr>
          <w:sz w:val="24"/>
          <w:szCs w:val="24"/>
        </w:rPr>
        <w:t xml:space="preserve"> se uspješno provodi od 2017</w:t>
      </w:r>
      <w:r w:rsidRPr="00C47F26">
        <w:rPr>
          <w:sz w:val="24"/>
          <w:szCs w:val="24"/>
        </w:rPr>
        <w:t>.,</w:t>
      </w:r>
      <w:r w:rsidRPr="00BD1B6F">
        <w:rPr>
          <w:sz w:val="24"/>
          <w:szCs w:val="24"/>
        </w:rPr>
        <w:t xml:space="preserve"> a upravo zahvaljujući njemu ukupno je 27.492 mladih i mladih s obitelji riješilo svoje stambeno pitanje te je u obiteljima koje koriste subvencije iz </w:t>
      </w:r>
      <w:r>
        <w:rPr>
          <w:sz w:val="24"/>
          <w:szCs w:val="24"/>
        </w:rPr>
        <w:t>POS-a</w:t>
      </w:r>
      <w:r w:rsidRPr="00BD1B6F">
        <w:rPr>
          <w:sz w:val="24"/>
          <w:szCs w:val="24"/>
        </w:rPr>
        <w:t xml:space="preserve"> od početka provedbe rođeno više od 7.200 djece. U skladu s izmjenama Zakona o subvencioniranju stambenih kredita, produljena je provedba </w:t>
      </w:r>
      <w:r>
        <w:rPr>
          <w:sz w:val="24"/>
          <w:szCs w:val="24"/>
        </w:rPr>
        <w:t>POS-a</w:t>
      </w:r>
      <w:r w:rsidRPr="00BD1B6F">
        <w:rPr>
          <w:sz w:val="24"/>
          <w:szCs w:val="24"/>
        </w:rPr>
        <w:t xml:space="preserve"> do 31. prosinca 2023.  </w:t>
      </w:r>
    </w:p>
    <w:p w14:paraId="08F1AC31" w14:textId="77777777" w:rsidR="004C10F6" w:rsidRPr="00BD1B6F" w:rsidRDefault="004C10F6" w:rsidP="004C10F6">
      <w:pPr>
        <w:spacing w:before="240" w:line="276" w:lineRule="auto"/>
        <w:ind w:left="19" w:right="23"/>
        <w:jc w:val="both"/>
        <w:rPr>
          <w:sz w:val="24"/>
          <w:szCs w:val="24"/>
        </w:rPr>
      </w:pPr>
      <w:r w:rsidRPr="00BD1B6F">
        <w:rPr>
          <w:sz w:val="24"/>
          <w:szCs w:val="24"/>
        </w:rPr>
        <w:t>Tijekom 2022. dovršeno je i korisnicima predano ukupno 109 POS stanova u 12 građevina, dok je na dan 31. prosinca 2022. u izgradnji bilo 427 stanova u 12 višestambenih građevina, ukupne vrijednosti 40,2 milijuna eura. Od početka provedbe POS</w:t>
      </w:r>
      <w:r>
        <w:rPr>
          <w:sz w:val="24"/>
          <w:szCs w:val="24"/>
        </w:rPr>
        <w:t>-a</w:t>
      </w:r>
      <w:r w:rsidRPr="00BD1B6F">
        <w:rPr>
          <w:sz w:val="24"/>
          <w:szCs w:val="24"/>
        </w:rPr>
        <w:t xml:space="preserve"> do 31. prosinca 2022., izgrađeno je ukupno 8.499 stanova u 275 objekata na području 82 jedinice lokalne samouprave. Ukupna vrijednost dosad izgrađenih stanova iznosi 588 milijuna eura, za što je Hrvatska putem poticajnih sredstava dosad uložila 152,5 milijuna eura. </w:t>
      </w:r>
    </w:p>
    <w:p w14:paraId="3A677D89" w14:textId="77777777" w:rsidR="004C10F6" w:rsidRPr="00BD1B6F" w:rsidRDefault="004C10F6" w:rsidP="004C10F6">
      <w:pPr>
        <w:spacing w:before="240" w:line="276" w:lineRule="auto"/>
        <w:ind w:left="19" w:right="23"/>
        <w:jc w:val="both"/>
        <w:rPr>
          <w:sz w:val="24"/>
          <w:szCs w:val="24"/>
        </w:rPr>
      </w:pPr>
      <w:r w:rsidRPr="00BD1B6F">
        <w:rPr>
          <w:sz w:val="24"/>
          <w:szCs w:val="24"/>
        </w:rPr>
        <w:t xml:space="preserve">Nadalje, nastavljeni su napori u provedbi reforme poreznog sustava s ciljem smanjenja poreznog opterećenja za obitelji s uzdržavanim članovima. Izmjenama i dopunama Pravilnika o porezu na dohodak, porezni limit na dohodak uzdržavanog člana obitelji do kojeg može biti porezna olakšica povećan </w:t>
      </w:r>
      <w:r>
        <w:rPr>
          <w:sz w:val="24"/>
          <w:szCs w:val="24"/>
        </w:rPr>
        <w:t xml:space="preserve">je </w:t>
      </w:r>
      <w:r w:rsidRPr="00BD1B6F">
        <w:rPr>
          <w:sz w:val="24"/>
          <w:szCs w:val="24"/>
        </w:rPr>
        <w:t xml:space="preserve">za 60%, </w:t>
      </w:r>
      <w:r w:rsidRPr="00737E7A">
        <w:rPr>
          <w:sz w:val="24"/>
          <w:szCs w:val="24"/>
        </w:rPr>
        <w:t>s</w:t>
      </w:r>
      <w:r w:rsidRPr="00BD1B6F">
        <w:rPr>
          <w:sz w:val="24"/>
          <w:szCs w:val="24"/>
        </w:rPr>
        <w:t xml:space="preserve"> postojećih 1.990,84 </w:t>
      </w:r>
      <w:r w:rsidRPr="00BD1B6F">
        <w:rPr>
          <w:sz w:val="24"/>
          <w:szCs w:val="24"/>
        </w:rPr>
        <w:lastRenderedPageBreak/>
        <w:t xml:space="preserve">eura na 3.185,35 eura, a studentima je neoporezivi cjelogodišnji iznos primitaka povećan za 14%, s 8.361,54 eura na 9.556,04 eura. </w:t>
      </w:r>
    </w:p>
    <w:p w14:paraId="2F47D147" w14:textId="77777777" w:rsidR="004C10F6" w:rsidRPr="00BD1B6F" w:rsidRDefault="004C10F6" w:rsidP="004C10F6">
      <w:pPr>
        <w:spacing w:before="240" w:line="276" w:lineRule="auto"/>
        <w:ind w:left="19" w:right="23"/>
        <w:jc w:val="both"/>
        <w:rPr>
          <w:sz w:val="24"/>
          <w:szCs w:val="24"/>
        </w:rPr>
      </w:pPr>
      <w:r w:rsidRPr="00BD1B6F">
        <w:rPr>
          <w:sz w:val="24"/>
          <w:szCs w:val="24"/>
        </w:rPr>
        <w:t xml:space="preserve">S ciljem osiguravanja poticajnog okruženja za obitelj i mlade nastavljeni su napori u provedbi projekta e-dječja kartica „Mudrica”. </w:t>
      </w:r>
      <w:r>
        <w:rPr>
          <w:sz w:val="24"/>
          <w:szCs w:val="24"/>
        </w:rPr>
        <w:t>Mudrica</w:t>
      </w:r>
      <w:r w:rsidRPr="00BD1B6F">
        <w:rPr>
          <w:sz w:val="24"/>
          <w:szCs w:val="24"/>
        </w:rPr>
        <w:t xml:space="preserve"> je namijenjena korisnicima s djecom, a njeno korištenje omogućuje razne pogodnosti i povoljniji pristup robama i uslugama, odnosno poboljšanje obiteljskog standarda. Korisnici </w:t>
      </w:r>
      <w:r>
        <w:rPr>
          <w:sz w:val="24"/>
          <w:szCs w:val="24"/>
        </w:rPr>
        <w:t>Mudrice</w:t>
      </w:r>
      <w:r w:rsidRPr="00BD1B6F">
        <w:rPr>
          <w:sz w:val="24"/>
          <w:szCs w:val="24"/>
        </w:rPr>
        <w:t xml:space="preserve"> mogu biti svi roditelji najmanje jednog djeteta do 18 godina života, skrbnici i udomitelji. U suradnji </w:t>
      </w:r>
      <w:r>
        <w:rPr>
          <w:sz w:val="24"/>
          <w:szCs w:val="24"/>
        </w:rPr>
        <w:t>sa</w:t>
      </w:r>
      <w:r w:rsidRPr="00BD1B6F">
        <w:rPr>
          <w:sz w:val="24"/>
          <w:szCs w:val="24"/>
        </w:rPr>
        <w:t xml:space="preserve"> 144 partnera iz javnog i privatnog sektora, tijekom 2022. povoljniji pristup robama i uslugama </w:t>
      </w:r>
      <w:r>
        <w:rPr>
          <w:sz w:val="24"/>
          <w:szCs w:val="24"/>
        </w:rPr>
        <w:t xml:space="preserve">Mudricom je </w:t>
      </w:r>
      <w:r w:rsidRPr="00BD1B6F">
        <w:rPr>
          <w:sz w:val="24"/>
          <w:szCs w:val="24"/>
        </w:rPr>
        <w:t xml:space="preserve">bio omogućen za gotovo 25.000 korisnika. </w:t>
      </w:r>
    </w:p>
    <w:p w14:paraId="713468D5" w14:textId="77777777" w:rsidR="004C10F6" w:rsidRPr="00BD1B6F" w:rsidRDefault="004C10F6" w:rsidP="004C10F6">
      <w:pPr>
        <w:spacing w:before="240" w:line="276" w:lineRule="auto"/>
        <w:ind w:left="19" w:right="23"/>
        <w:jc w:val="both"/>
        <w:rPr>
          <w:sz w:val="24"/>
          <w:szCs w:val="24"/>
        </w:rPr>
      </w:pPr>
      <w:r w:rsidRPr="00BD1B6F">
        <w:rPr>
          <w:sz w:val="24"/>
          <w:szCs w:val="24"/>
        </w:rPr>
        <w:t>Za demografsku obnovu ključno je zaustavljanje procesa odlaska mladih. To je velik izazov s kojim se suočavaju brojne zemlje</w:t>
      </w:r>
      <w:r>
        <w:rPr>
          <w:sz w:val="24"/>
          <w:szCs w:val="24"/>
        </w:rPr>
        <w:t>, a</w:t>
      </w:r>
      <w:r w:rsidRPr="00BD1B6F">
        <w:rPr>
          <w:sz w:val="24"/>
          <w:szCs w:val="24"/>
        </w:rPr>
        <w:t xml:space="preserve"> Hrvatska nastavlja provoditi značajne napore za poboljšanje općih uvjeta života i rada kako bi mladi u Hrvatskoj zasnivali svoje obitelji, rješavali stambeno pitanje i dostojno živjeli od svojeg rada. </w:t>
      </w:r>
    </w:p>
    <w:p w14:paraId="02A69DA2" w14:textId="77777777" w:rsidR="004C10F6" w:rsidRPr="00BD1B6F" w:rsidRDefault="004C10F6" w:rsidP="004C10F6">
      <w:pPr>
        <w:spacing w:before="240" w:line="276" w:lineRule="auto"/>
        <w:ind w:left="19" w:right="23"/>
        <w:jc w:val="both"/>
        <w:rPr>
          <w:sz w:val="24"/>
          <w:szCs w:val="24"/>
        </w:rPr>
      </w:pPr>
      <w:r w:rsidRPr="00BD1B6F">
        <w:rPr>
          <w:sz w:val="24"/>
          <w:szCs w:val="24"/>
        </w:rPr>
        <w:t xml:space="preserve">Pandemija bolesti COVID-19 bila </w:t>
      </w:r>
      <w:r>
        <w:rPr>
          <w:sz w:val="24"/>
          <w:szCs w:val="24"/>
        </w:rPr>
        <w:t xml:space="preserve">je </w:t>
      </w:r>
      <w:r w:rsidRPr="00BD1B6F">
        <w:rPr>
          <w:sz w:val="24"/>
          <w:szCs w:val="24"/>
        </w:rPr>
        <w:t xml:space="preserve">osobito teška za mlađe generacije, </w:t>
      </w:r>
      <w:r>
        <w:rPr>
          <w:sz w:val="24"/>
          <w:szCs w:val="24"/>
        </w:rPr>
        <w:t>pa</w:t>
      </w:r>
      <w:r w:rsidRPr="00BD1B6F">
        <w:rPr>
          <w:sz w:val="24"/>
          <w:szCs w:val="24"/>
        </w:rPr>
        <w:t xml:space="preserve"> je EU 2022. </w:t>
      </w:r>
      <w:r>
        <w:rPr>
          <w:sz w:val="24"/>
          <w:szCs w:val="24"/>
        </w:rPr>
        <w:t xml:space="preserve">godinu </w:t>
      </w:r>
      <w:r w:rsidRPr="00BD1B6F">
        <w:rPr>
          <w:sz w:val="24"/>
          <w:szCs w:val="24"/>
        </w:rPr>
        <w:t>proglasio Europskom godinom mladih. Radi poticanja mladih na uključivanje u društvo i razumijevanja i uvažavanja njihovih stavova i mišljenja o različitima temama, organizirano</w:t>
      </w:r>
      <w:r>
        <w:rPr>
          <w:sz w:val="24"/>
          <w:szCs w:val="24"/>
        </w:rPr>
        <w:t xml:space="preserve"> je</w:t>
      </w:r>
      <w:r w:rsidRPr="00BD1B6F">
        <w:rPr>
          <w:sz w:val="24"/>
          <w:szCs w:val="24"/>
        </w:rPr>
        <w:t xml:space="preserve"> više od </w:t>
      </w:r>
      <w:r w:rsidRPr="00653184">
        <w:rPr>
          <w:sz w:val="24"/>
          <w:szCs w:val="24"/>
        </w:rPr>
        <w:t>1</w:t>
      </w:r>
      <w:r>
        <w:rPr>
          <w:sz w:val="24"/>
          <w:szCs w:val="24"/>
        </w:rPr>
        <w:t>.</w:t>
      </w:r>
      <w:r w:rsidRPr="00653184">
        <w:rPr>
          <w:sz w:val="24"/>
          <w:szCs w:val="24"/>
        </w:rPr>
        <w:t>400</w:t>
      </w:r>
      <w:r w:rsidRPr="00BD1B6F">
        <w:rPr>
          <w:sz w:val="24"/>
          <w:szCs w:val="24"/>
        </w:rPr>
        <w:t xml:space="preserve"> različitih aktivnosti u organizaciji tijela državne uprave, javnih ustanova te udruga mladih i za mlade. U okviru obilježavanja Europske godine mladih, Vlada je 19. rujna 2022. donijela Odluku o uvođenju pilot-projekta povoljnijeg prijevoza redovnih studenata željeznicom. Pilot-projektom je za 113.000 redovnih studenata na području Hrvatske uvedena mogućnost neograničenog korištenja usluge željezničkog prometa po jedinstvenoj cijeni mjesečne karte od 9,95 eura. Pilot</w:t>
      </w:r>
      <w:r>
        <w:rPr>
          <w:sz w:val="24"/>
          <w:szCs w:val="24"/>
        </w:rPr>
        <w:t>-</w:t>
      </w:r>
      <w:r w:rsidRPr="00BD1B6F">
        <w:rPr>
          <w:sz w:val="24"/>
          <w:szCs w:val="24"/>
        </w:rPr>
        <w:t xml:space="preserve">projektom, koji će se provoditi do 30. rujna 2023., osim poticanja većeg korištenja željezničkog prijevoza, želi se doprinijeti i povećanju mobilnosti studenata, zaustaviti trend iseljavanja mladih iz ruralnih područja te doprinijeti poboljšanju kvalitete života studenata i njihovih obitelji u ruralnim područjima. Od </w:t>
      </w:r>
      <w:r>
        <w:rPr>
          <w:sz w:val="24"/>
          <w:szCs w:val="24"/>
        </w:rPr>
        <w:t>njegovog uvođenja</w:t>
      </w:r>
      <w:r w:rsidRPr="00BD1B6F">
        <w:rPr>
          <w:sz w:val="24"/>
          <w:szCs w:val="24"/>
        </w:rPr>
        <w:t xml:space="preserve">, mogućnost povoljnijeg prijevoza željeznicom iskoristilo </w:t>
      </w:r>
      <w:r>
        <w:rPr>
          <w:sz w:val="24"/>
          <w:szCs w:val="24"/>
        </w:rPr>
        <w:t xml:space="preserve">je </w:t>
      </w:r>
      <w:r w:rsidRPr="00BD1B6F">
        <w:rPr>
          <w:sz w:val="24"/>
          <w:szCs w:val="24"/>
        </w:rPr>
        <w:t>19.518 studenata (24,5% redovnih studenata</w:t>
      </w:r>
      <w:r>
        <w:rPr>
          <w:sz w:val="24"/>
          <w:szCs w:val="24"/>
        </w:rPr>
        <w:t xml:space="preserve"> u Hrvatskoj</w:t>
      </w:r>
      <w:r w:rsidRPr="00BD1B6F">
        <w:rPr>
          <w:sz w:val="24"/>
          <w:szCs w:val="24"/>
        </w:rPr>
        <w:t xml:space="preserve">). </w:t>
      </w:r>
    </w:p>
    <w:p w14:paraId="4CF9F2B1" w14:textId="77777777" w:rsidR="004C10F6" w:rsidRPr="00BD1B6F" w:rsidRDefault="004C10F6" w:rsidP="004C10F6">
      <w:pPr>
        <w:spacing w:before="240" w:line="276" w:lineRule="auto"/>
        <w:ind w:left="19" w:right="23"/>
        <w:jc w:val="both"/>
        <w:rPr>
          <w:sz w:val="24"/>
          <w:szCs w:val="24"/>
        </w:rPr>
      </w:pPr>
      <w:r w:rsidRPr="00BD1B6F">
        <w:rPr>
          <w:sz w:val="24"/>
          <w:szCs w:val="24"/>
        </w:rPr>
        <w:t>Kako bi se u Hrvatskoj osiguralo okruženje u kojemu se provodi kvalitetan rad s mladima i poticalo uključivanje mladih u aktivnosti kojima se jača njihova snaga i participacija u društvu, izrađen je Nacrt prijedloga Nacionalnog programa za mlade za razdoblje 2023.</w:t>
      </w:r>
      <w:r>
        <w:rPr>
          <w:sz w:val="24"/>
          <w:szCs w:val="24"/>
        </w:rPr>
        <w:t xml:space="preserve"> </w:t>
      </w:r>
      <w:r w:rsidRPr="00BD1B6F">
        <w:rPr>
          <w:sz w:val="24"/>
          <w:szCs w:val="24"/>
        </w:rPr>
        <w:t>-</w:t>
      </w:r>
      <w:r>
        <w:rPr>
          <w:sz w:val="24"/>
          <w:szCs w:val="24"/>
        </w:rPr>
        <w:t xml:space="preserve"> </w:t>
      </w:r>
      <w:r w:rsidRPr="00BD1B6F">
        <w:rPr>
          <w:sz w:val="24"/>
          <w:szCs w:val="24"/>
        </w:rPr>
        <w:t>2025. Programom je u 6 prioritetnih područja utvrđeno 28 mjera čijom će se provedbom mladi osnažiti za suočavanje s izazovima suvremenog društva, potaknuti na aktivno i odgovorno sudjelovanje u razvoju te poboljšati uvjete za razvijanje njihovih potencijala za samoostvarenje i sudjelovanje u društvenim aktivnostima</w:t>
      </w:r>
      <w:r w:rsidRPr="0068437B">
        <w:rPr>
          <w:sz w:val="24"/>
          <w:szCs w:val="24"/>
        </w:rPr>
        <w:t>. Usvajanje je planirano u prvoj polovici 2023.,</w:t>
      </w:r>
      <w:r w:rsidRPr="00BD1B6F">
        <w:rPr>
          <w:sz w:val="24"/>
          <w:szCs w:val="24"/>
        </w:rPr>
        <w:t xml:space="preserve"> a procijenjena vrijednost ulaganja u okviru Nacionalnog programa iznosi ukupno 8 milijuna eura. </w:t>
      </w:r>
    </w:p>
    <w:p w14:paraId="2BE05BE7" w14:textId="77777777" w:rsidR="004C10F6" w:rsidRPr="00BD1B6F" w:rsidRDefault="004C10F6" w:rsidP="004C10F6">
      <w:pPr>
        <w:spacing w:before="240" w:line="276" w:lineRule="auto"/>
        <w:ind w:left="19" w:right="23"/>
        <w:jc w:val="both"/>
        <w:rPr>
          <w:sz w:val="24"/>
          <w:szCs w:val="24"/>
        </w:rPr>
      </w:pPr>
      <w:r w:rsidRPr="00BD1B6F">
        <w:rPr>
          <w:sz w:val="24"/>
          <w:szCs w:val="24"/>
        </w:rPr>
        <w:lastRenderedPageBreak/>
        <w:t>Kako bi se pružio odgovor na potrebe i probleme mladih te doprinijelo smanjenju rizika od socijalnog isključivanja i poboljšala kvaliteta života</w:t>
      </w:r>
      <w:r w:rsidRPr="00BD1B6F" w:rsidDel="004F6BF8">
        <w:rPr>
          <w:sz w:val="24"/>
          <w:szCs w:val="24"/>
        </w:rPr>
        <w:t xml:space="preserve"> </w:t>
      </w:r>
      <w:r w:rsidRPr="00BD1B6F">
        <w:rPr>
          <w:sz w:val="24"/>
          <w:szCs w:val="24"/>
        </w:rPr>
        <w:t xml:space="preserve">mladih, u rujnu 2022. objavljen je </w:t>
      </w:r>
      <w:r>
        <w:rPr>
          <w:sz w:val="24"/>
          <w:szCs w:val="24"/>
        </w:rPr>
        <w:t>p</w:t>
      </w:r>
      <w:r w:rsidRPr="00BD1B6F">
        <w:rPr>
          <w:sz w:val="24"/>
          <w:szCs w:val="24"/>
        </w:rPr>
        <w:t xml:space="preserve">oziv za dodjelu financijskih sredstava za projekte udruga usmjerenih mladima za 2022. Temeljem provedenog </w:t>
      </w:r>
      <w:r>
        <w:rPr>
          <w:sz w:val="24"/>
          <w:szCs w:val="24"/>
        </w:rPr>
        <w:t>p</w:t>
      </w:r>
      <w:r w:rsidRPr="00BD1B6F">
        <w:rPr>
          <w:sz w:val="24"/>
          <w:szCs w:val="24"/>
        </w:rPr>
        <w:t>oziva, dodijeljena su sredstva za 117 projekata udruga mladih i za mlade,</w:t>
      </w:r>
      <w:r w:rsidRPr="00BD1B6F">
        <w:t xml:space="preserve"> </w:t>
      </w:r>
      <w:r w:rsidRPr="00BD1B6F">
        <w:rPr>
          <w:sz w:val="24"/>
          <w:szCs w:val="24"/>
        </w:rPr>
        <w:t xml:space="preserve">u ukupnom iznosu od 1.46 milijuna eura. </w:t>
      </w:r>
      <w:r>
        <w:rPr>
          <w:sz w:val="24"/>
          <w:szCs w:val="24"/>
        </w:rPr>
        <w:t>Budući</w:t>
      </w:r>
      <w:r w:rsidRPr="00BD1B6F">
        <w:rPr>
          <w:sz w:val="24"/>
          <w:szCs w:val="24"/>
        </w:rPr>
        <w:t xml:space="preserve"> da se mladi iz ruralnih sredina suočavaju sa značajno slabijim mogućnostima od onih u urbanim sredinama te su u većem riziku od socijalne isključenosti, u okviru </w:t>
      </w:r>
      <w:r>
        <w:rPr>
          <w:sz w:val="24"/>
          <w:szCs w:val="24"/>
        </w:rPr>
        <w:t>p</w:t>
      </w:r>
      <w:r w:rsidRPr="00BD1B6F">
        <w:rPr>
          <w:sz w:val="24"/>
          <w:szCs w:val="24"/>
        </w:rPr>
        <w:t xml:space="preserve">oziva </w:t>
      </w:r>
      <w:r>
        <w:rPr>
          <w:sz w:val="24"/>
          <w:szCs w:val="24"/>
        </w:rPr>
        <w:t>poseban</w:t>
      </w:r>
      <w:r w:rsidRPr="00BD1B6F">
        <w:rPr>
          <w:sz w:val="24"/>
          <w:szCs w:val="24"/>
        </w:rPr>
        <w:t xml:space="preserve"> je naglasak stavljen na prioritetno područje „Mladi u ruralnim sredinama“, radi poticanja na provedbu aktivnosti koje odgovaraju na potrebe i probleme mladih u ruralnim sredinama te pružanja dodatnih mogućnosti </w:t>
      </w:r>
      <w:r w:rsidRPr="00BD1B6F" w:rsidDel="00E04DF9">
        <w:rPr>
          <w:sz w:val="24"/>
          <w:szCs w:val="24"/>
        </w:rPr>
        <w:t xml:space="preserve">za </w:t>
      </w:r>
      <w:r w:rsidRPr="00BD1B6F">
        <w:rPr>
          <w:sz w:val="24"/>
          <w:szCs w:val="24"/>
        </w:rPr>
        <w:t>osobni i profesionalni razvoj</w:t>
      </w:r>
      <w:r w:rsidRPr="00BD1B6F" w:rsidDel="00715BF8">
        <w:rPr>
          <w:sz w:val="24"/>
          <w:szCs w:val="24"/>
        </w:rPr>
        <w:t xml:space="preserve"> </w:t>
      </w:r>
      <w:r w:rsidRPr="00BD1B6F">
        <w:rPr>
          <w:sz w:val="24"/>
          <w:szCs w:val="24"/>
        </w:rPr>
        <w:t xml:space="preserve">i poticanja mladih na veće uključivanje u društvo. </w:t>
      </w:r>
    </w:p>
    <w:p w14:paraId="5932711A" w14:textId="77777777" w:rsidR="004C10F6" w:rsidRPr="00BD1B6F" w:rsidRDefault="004C10F6" w:rsidP="004C10F6">
      <w:pPr>
        <w:pStyle w:val="Heading4"/>
        <w:spacing w:before="240" w:line="276" w:lineRule="auto"/>
        <w:ind w:left="0"/>
        <w:rPr>
          <w:lang w:eastAsia="en-GB"/>
        </w:rPr>
      </w:pPr>
      <w:r>
        <w:rPr>
          <w:lang w:eastAsia="en-GB"/>
        </w:rPr>
        <w:tab/>
      </w:r>
      <w:r w:rsidRPr="00BD1B6F">
        <w:rPr>
          <w:lang w:eastAsia="en-GB"/>
        </w:rPr>
        <w:t>Jačanje povezanosti s Hrvatima izvan Hrvatske i povratak hrvatskog iseljeništva </w:t>
      </w:r>
    </w:p>
    <w:p w14:paraId="7F29D785" w14:textId="77777777" w:rsidR="004C10F6" w:rsidRPr="00BD1B6F" w:rsidRDefault="004C10F6" w:rsidP="004C10F6">
      <w:pPr>
        <w:spacing w:before="240" w:line="276" w:lineRule="auto"/>
        <w:jc w:val="both"/>
        <w:rPr>
          <w:sz w:val="24"/>
          <w:szCs w:val="24"/>
        </w:rPr>
      </w:pPr>
      <w:r w:rsidRPr="00BD1B6F">
        <w:rPr>
          <w:sz w:val="24"/>
          <w:szCs w:val="24"/>
        </w:rPr>
        <w:t xml:space="preserve">Zbog važnosti osiguravanja veze s Hrvatima izvan Hrvatske te zajedništva domovinske i iseljene Hrvatske, nastavljeni su napori na jačanju i unaprjeđenju suradnje te stvaranju poticajnog okruženja i uvjeta za povratak i integraciju hrvatskih iseljenika i njihovih potomaka u domovinu. </w:t>
      </w:r>
    </w:p>
    <w:p w14:paraId="033E0ACC" w14:textId="77777777" w:rsidR="004C10F6" w:rsidRPr="00BD1B6F" w:rsidRDefault="004C10F6" w:rsidP="004C10F6">
      <w:pPr>
        <w:spacing w:before="240" w:line="276" w:lineRule="auto"/>
        <w:jc w:val="both"/>
        <w:rPr>
          <w:sz w:val="24"/>
          <w:szCs w:val="24"/>
        </w:rPr>
      </w:pPr>
      <w:r w:rsidRPr="00BD1B6F">
        <w:rPr>
          <w:sz w:val="24"/>
          <w:szCs w:val="24"/>
        </w:rPr>
        <w:t>S ciljem doprinosa demografskoj revitalizaciji Hrvatske, jačanjem povezanosti i odnosa s Hrvatima izvan Hrvatske te stvaranjem poticajnog okruženja i uvjeta za povratak i useljavanje hrvatskih iseljenika, donesen je Nacionalni plan razvoja odnosa Republike Hrvatske s Hrvatima izvan Republike Hrvatske do 2027</w:t>
      </w:r>
      <w:r w:rsidRPr="00CD6395">
        <w:rPr>
          <w:sz w:val="24"/>
          <w:szCs w:val="24"/>
        </w:rPr>
        <w:t>.</w:t>
      </w:r>
      <w:r>
        <w:rPr>
          <w:sz w:val="24"/>
          <w:szCs w:val="24"/>
        </w:rPr>
        <w:t>,</w:t>
      </w:r>
      <w:r w:rsidRPr="00BD1B6F">
        <w:rPr>
          <w:sz w:val="24"/>
          <w:szCs w:val="24"/>
        </w:rPr>
        <w:t xml:space="preserve"> s pripadajućim </w:t>
      </w:r>
      <w:r>
        <w:rPr>
          <w:sz w:val="24"/>
          <w:szCs w:val="24"/>
        </w:rPr>
        <w:t>A</w:t>
      </w:r>
      <w:r w:rsidRPr="00BD1B6F">
        <w:rPr>
          <w:sz w:val="24"/>
          <w:szCs w:val="24"/>
        </w:rPr>
        <w:t xml:space="preserve">kcijskim planom za provedbu do 2024. U skladu s Nacionalnim planom, provodit će se napori na stvaranju poticajnog okruženja za povratak i useljavanje hrvatskog iseljeništva, privlačenju mladih naraštaja iz hrvatskog iseljeništva na dolazak, školovanje i studij u Hrvatsku, unaprjeđenju procesa integracije povratnika iz hrvatskog iseljeništva u društvo, informiranju javnosti o važnosti povratka hrvatskog iseljeništva te pružanju podrške provedbi projekata usmjerenih na poticanje povratka, useljavanja i integracije hrvatskih iseljenika. </w:t>
      </w:r>
    </w:p>
    <w:p w14:paraId="7E30E2C9" w14:textId="77777777" w:rsidR="004C10F6" w:rsidRPr="00BD1B6F" w:rsidRDefault="004C10F6" w:rsidP="004C10F6">
      <w:pPr>
        <w:spacing w:before="240" w:line="276" w:lineRule="auto"/>
        <w:jc w:val="both"/>
        <w:rPr>
          <w:sz w:val="24"/>
          <w:szCs w:val="24"/>
        </w:rPr>
      </w:pPr>
      <w:r w:rsidRPr="00BD1B6F">
        <w:rPr>
          <w:sz w:val="24"/>
          <w:szCs w:val="24"/>
        </w:rPr>
        <w:t>S ciljem jačanja povezanosti i odnosa te uspostavljanja veza s Hrvatima izvan Hrvatske, kao preduvjeta za njihov povratak i useljavanje u Hrvatsku, nastavljeno je pružanje potpore za provedbu programa i projekata organizacija, institucija, udruga i pojedinaca izvan Hrvatske, u području očuvanja jezika i kulture te razvijanja hrvatskog kulturnog i nacionalnog identiteta.</w:t>
      </w:r>
    </w:p>
    <w:p w14:paraId="34793F72" w14:textId="77777777" w:rsidR="004C10F6" w:rsidRPr="00BD1B6F" w:rsidRDefault="004C10F6" w:rsidP="004C10F6">
      <w:pPr>
        <w:spacing w:before="240" w:line="276" w:lineRule="auto"/>
        <w:jc w:val="both"/>
        <w:rPr>
          <w:sz w:val="24"/>
          <w:szCs w:val="24"/>
        </w:rPr>
      </w:pPr>
      <w:r w:rsidRPr="00BD1B6F">
        <w:rPr>
          <w:sz w:val="24"/>
          <w:szCs w:val="24"/>
        </w:rPr>
        <w:t xml:space="preserve">Radi unaprjeđenja položaja i kvalitete života Hrvata u Bosni i Hercegovini, u 2022. nastavljena </w:t>
      </w:r>
      <w:r>
        <w:rPr>
          <w:sz w:val="24"/>
          <w:szCs w:val="24"/>
        </w:rPr>
        <w:t xml:space="preserve">je </w:t>
      </w:r>
      <w:r w:rsidRPr="00BD1B6F">
        <w:rPr>
          <w:sz w:val="24"/>
          <w:szCs w:val="24"/>
        </w:rPr>
        <w:t>potpora provedbi programa i projekata od interesa za hrvatski narod u B</w:t>
      </w:r>
      <w:r>
        <w:rPr>
          <w:sz w:val="24"/>
          <w:szCs w:val="24"/>
        </w:rPr>
        <w:t>I</w:t>
      </w:r>
      <w:r w:rsidRPr="00BD1B6F">
        <w:rPr>
          <w:sz w:val="24"/>
          <w:szCs w:val="24"/>
        </w:rPr>
        <w:t xml:space="preserve">H. U okviru „Programa potpore Hrvatima u Bosni i Hercegovini“ proveden je </w:t>
      </w:r>
      <w:r>
        <w:rPr>
          <w:sz w:val="24"/>
          <w:szCs w:val="24"/>
        </w:rPr>
        <w:t>j</w:t>
      </w:r>
      <w:r w:rsidRPr="00BD1B6F">
        <w:rPr>
          <w:sz w:val="24"/>
          <w:szCs w:val="24"/>
        </w:rPr>
        <w:t xml:space="preserve">avni </w:t>
      </w:r>
      <w:r w:rsidRPr="00BD1B6F">
        <w:rPr>
          <w:sz w:val="24"/>
          <w:szCs w:val="24"/>
        </w:rPr>
        <w:lastRenderedPageBreak/>
        <w:t>natječaj za financiranje obrazovnih, znanstvenih, kulturnih, zdravstvenih, poljoprivrednih i ostalih potreba hrvatskog naroda u B</w:t>
      </w:r>
      <w:r>
        <w:rPr>
          <w:sz w:val="24"/>
          <w:szCs w:val="24"/>
        </w:rPr>
        <w:t xml:space="preserve">osni </w:t>
      </w:r>
      <w:r w:rsidRPr="00BD1B6F">
        <w:rPr>
          <w:sz w:val="24"/>
          <w:szCs w:val="24"/>
        </w:rPr>
        <w:t>i</w:t>
      </w:r>
      <w:r>
        <w:rPr>
          <w:sz w:val="24"/>
          <w:szCs w:val="24"/>
        </w:rPr>
        <w:t xml:space="preserve"> </w:t>
      </w:r>
      <w:r w:rsidRPr="00BD1B6F">
        <w:rPr>
          <w:sz w:val="24"/>
          <w:szCs w:val="24"/>
        </w:rPr>
        <w:t>H</w:t>
      </w:r>
      <w:r>
        <w:rPr>
          <w:sz w:val="24"/>
          <w:szCs w:val="24"/>
        </w:rPr>
        <w:t>ercegovini</w:t>
      </w:r>
      <w:r w:rsidRPr="00BD1B6F">
        <w:rPr>
          <w:sz w:val="24"/>
          <w:szCs w:val="24"/>
        </w:rPr>
        <w:t xml:space="preserve">. Temeljem natječaja, iznosom potpore od 4,3 milijuna eura osigurana je provedba 148 programa i projekata kojima se izravno </w:t>
      </w:r>
      <w:r>
        <w:rPr>
          <w:sz w:val="24"/>
          <w:szCs w:val="24"/>
        </w:rPr>
        <w:t>doprinosi</w:t>
      </w:r>
      <w:r w:rsidRPr="00BD1B6F">
        <w:rPr>
          <w:sz w:val="24"/>
          <w:szCs w:val="24"/>
        </w:rPr>
        <w:t xml:space="preserve"> osiguravanju uvjeta Hrvatima u Bosni i Hercegovini za održivi ostanak u toj zemlji, ali i stvaranju platforme za njihov razvoj i prosperitet. </w:t>
      </w:r>
    </w:p>
    <w:p w14:paraId="2A83BD93" w14:textId="77777777" w:rsidR="004C10F6" w:rsidRDefault="004C10F6" w:rsidP="004C10F6">
      <w:pPr>
        <w:spacing w:before="240" w:line="276" w:lineRule="auto"/>
        <w:jc w:val="both"/>
        <w:rPr>
          <w:sz w:val="24"/>
          <w:szCs w:val="24"/>
        </w:rPr>
      </w:pPr>
      <w:r w:rsidRPr="00BD1B6F">
        <w:rPr>
          <w:sz w:val="24"/>
          <w:szCs w:val="24"/>
        </w:rPr>
        <w:t xml:space="preserve">Radi podupiranja aktivnosti u ostvarivanju i jačanju manjinskih prava te radi očuvanja hrvatskog identiteta, jezika, kulture i kulturne baštine, u okviru „Programa potpore hrvatskoj nacionalnoj manjini u 12 europskih država“, u 2022. je proveden </w:t>
      </w:r>
      <w:r>
        <w:rPr>
          <w:sz w:val="24"/>
          <w:szCs w:val="24"/>
        </w:rPr>
        <w:t>j</w:t>
      </w:r>
      <w:r w:rsidRPr="00BD1B6F">
        <w:rPr>
          <w:sz w:val="24"/>
          <w:szCs w:val="24"/>
        </w:rPr>
        <w:t xml:space="preserve">avni poziv za prijavu programa i projekata organizacija hrvatske nacionalne manjine. Temeljem poziva financirana je provedba 136 projekata razvoja hrvatskih manjinskih medija, djelovanja hrvatskih manjinskih institucija te ispunjavanja općih javnih potreba hrvatske manjinske zajednice u domicilnim zemljama, za što je izdvojeno ukupno 1,15 milijuna eura. </w:t>
      </w:r>
    </w:p>
    <w:p w14:paraId="1B0C7CFB" w14:textId="77777777" w:rsidR="004C10F6" w:rsidRDefault="004C10F6" w:rsidP="004C10F6">
      <w:pPr>
        <w:spacing w:before="240" w:after="258" w:line="276" w:lineRule="auto"/>
        <w:ind w:left="19" w:right="19" w:hanging="5"/>
        <w:jc w:val="both"/>
      </w:pPr>
      <w:r w:rsidRPr="4EA18699">
        <w:rPr>
          <w:color w:val="000000" w:themeColor="text1"/>
          <w:sz w:val="24"/>
          <w:szCs w:val="24"/>
        </w:rPr>
        <w:t xml:space="preserve">S ciljem očuvanja i jačanja veza te suradnje Hrvatske i iseljeničkih zajednica Hrvata izvan Hrvatske, u okviru „Programa potpore hrvatskim zajednicama u iseljeništvu” proveden je </w:t>
      </w:r>
      <w:r>
        <w:rPr>
          <w:color w:val="000000" w:themeColor="text1"/>
          <w:sz w:val="24"/>
          <w:szCs w:val="24"/>
        </w:rPr>
        <w:t>j</w:t>
      </w:r>
      <w:r w:rsidRPr="4EA18699">
        <w:rPr>
          <w:color w:val="000000" w:themeColor="text1"/>
          <w:sz w:val="24"/>
          <w:szCs w:val="24"/>
        </w:rPr>
        <w:t>avni natječaj za prijavu programa i projekata organizacija hrvatskog iseljeništva u prekomorskim i europskim državama. Temeljem natječaja osigurano je financiranje za provedbu 97 projekata organizacija hrvatskih iseljenika i potomaka hrvatskih iseljenika u područjima bitnim</w:t>
      </w:r>
      <w:r>
        <w:rPr>
          <w:color w:val="000000" w:themeColor="text1"/>
          <w:sz w:val="24"/>
          <w:szCs w:val="24"/>
        </w:rPr>
        <w:t>a</w:t>
      </w:r>
      <w:r w:rsidRPr="4EA18699">
        <w:rPr>
          <w:color w:val="000000" w:themeColor="text1"/>
          <w:sz w:val="24"/>
          <w:szCs w:val="24"/>
        </w:rPr>
        <w:t xml:space="preserve"> za očuvanje i njegovanje hrvatskog identiteta, u ukupnom iznosu potpore od 756 tisuća eura.</w:t>
      </w:r>
    </w:p>
    <w:p w14:paraId="49237516" w14:textId="77777777" w:rsidR="004C10F6" w:rsidRDefault="004C10F6" w:rsidP="004C10F6">
      <w:pPr>
        <w:spacing w:before="240" w:line="276" w:lineRule="auto"/>
        <w:jc w:val="both"/>
        <w:rPr>
          <w:sz w:val="24"/>
          <w:szCs w:val="24"/>
        </w:rPr>
      </w:pPr>
      <w:r w:rsidRPr="4EA18699">
        <w:rPr>
          <w:color w:val="000000" w:themeColor="text1"/>
          <w:sz w:val="24"/>
          <w:szCs w:val="24"/>
        </w:rPr>
        <w:t xml:space="preserve">U okviru „Programa financiranja posebnih potreba i projekata od interesa za Hrvate izvan Republike Hrvatske” provedena su </w:t>
      </w:r>
      <w:r>
        <w:rPr>
          <w:color w:val="000000" w:themeColor="text1"/>
          <w:sz w:val="24"/>
          <w:szCs w:val="24"/>
        </w:rPr>
        <w:t>2</w:t>
      </w:r>
      <w:r w:rsidRPr="4EA18699">
        <w:rPr>
          <w:color w:val="000000" w:themeColor="text1"/>
          <w:sz w:val="24"/>
          <w:szCs w:val="24"/>
        </w:rPr>
        <w:t xml:space="preserve"> </w:t>
      </w:r>
      <w:r>
        <w:rPr>
          <w:color w:val="000000" w:themeColor="text1"/>
          <w:sz w:val="24"/>
          <w:szCs w:val="24"/>
        </w:rPr>
        <w:t>j</w:t>
      </w:r>
      <w:r w:rsidRPr="4EA18699">
        <w:rPr>
          <w:color w:val="000000" w:themeColor="text1"/>
          <w:sz w:val="24"/>
          <w:szCs w:val="24"/>
        </w:rPr>
        <w:t>avna poziva namijenjena neprofitnim organizacijama unutar i izvan Hrvatske. Temeljem provedenih poziva, ukupnim iznosom potpore od 1,3 milijuna eura sufinancirana je provedba 353 projekta u području očuvanja i jačanja identiteta te jačanja suradnje s Hrvatima izvan Hrvatske u svim područjima društvenih djelatnosti.</w:t>
      </w:r>
    </w:p>
    <w:p w14:paraId="704FA6E7" w14:textId="77777777" w:rsidR="004C10F6" w:rsidRPr="00BD1B6F" w:rsidRDefault="004C10F6" w:rsidP="004C10F6">
      <w:pPr>
        <w:spacing w:before="240" w:line="276" w:lineRule="auto"/>
        <w:jc w:val="both"/>
        <w:rPr>
          <w:sz w:val="24"/>
          <w:szCs w:val="24"/>
        </w:rPr>
      </w:pPr>
      <w:r w:rsidRPr="00BD1B6F">
        <w:rPr>
          <w:sz w:val="24"/>
          <w:szCs w:val="24"/>
        </w:rPr>
        <w:t>U 2022.</w:t>
      </w:r>
      <w:r>
        <w:rPr>
          <w:sz w:val="24"/>
          <w:szCs w:val="24"/>
        </w:rPr>
        <w:t>,</w:t>
      </w:r>
      <w:r w:rsidRPr="00BD1B6F">
        <w:rPr>
          <w:sz w:val="24"/>
          <w:szCs w:val="24"/>
        </w:rPr>
        <w:t xml:space="preserve"> u okviru Programa učenja hrvatskog jezika u Hrvatskoj za Hrvate izvan Republike Hrvatske</w:t>
      </w:r>
      <w:r>
        <w:rPr>
          <w:sz w:val="24"/>
          <w:szCs w:val="24"/>
        </w:rPr>
        <w:t>,</w:t>
      </w:r>
      <w:r w:rsidRPr="00BD1B6F">
        <w:rPr>
          <w:sz w:val="24"/>
          <w:szCs w:val="24"/>
        </w:rPr>
        <w:t xml:space="preserve"> odobren</w:t>
      </w:r>
      <w:r>
        <w:rPr>
          <w:sz w:val="24"/>
          <w:szCs w:val="24"/>
        </w:rPr>
        <w:t>a</w:t>
      </w:r>
      <w:r w:rsidRPr="00BD1B6F">
        <w:rPr>
          <w:sz w:val="24"/>
          <w:szCs w:val="24"/>
        </w:rPr>
        <w:t xml:space="preserve"> je ukupno 441 stipendija za učenje hrvatskog jezika (242 stipendije u 2021.) za što je izdvojeno ukupno 163 tisuće eura. Provedba Programa započela </w:t>
      </w:r>
      <w:r>
        <w:rPr>
          <w:sz w:val="24"/>
          <w:szCs w:val="24"/>
        </w:rPr>
        <w:t xml:space="preserve">je </w:t>
      </w:r>
      <w:r w:rsidRPr="00BD1B6F">
        <w:rPr>
          <w:sz w:val="24"/>
          <w:szCs w:val="24"/>
        </w:rPr>
        <w:t>2012</w:t>
      </w:r>
      <w:r>
        <w:rPr>
          <w:sz w:val="24"/>
          <w:szCs w:val="24"/>
        </w:rPr>
        <w:t>.</w:t>
      </w:r>
      <w:r w:rsidRPr="00BD1B6F">
        <w:rPr>
          <w:sz w:val="24"/>
          <w:szCs w:val="24"/>
        </w:rPr>
        <w:t xml:space="preserve"> s ciljem jačanja povezanosti i zajedništva s Hrvatima izvan </w:t>
      </w:r>
      <w:r>
        <w:rPr>
          <w:sz w:val="24"/>
          <w:szCs w:val="24"/>
        </w:rPr>
        <w:t>države</w:t>
      </w:r>
      <w:r w:rsidRPr="00BD1B6F">
        <w:rPr>
          <w:sz w:val="24"/>
          <w:szCs w:val="24"/>
        </w:rPr>
        <w:t xml:space="preserve"> te očuvanja hrvatskog jezičnog identiteta, a u razdoblju do 2022. ukupno je dodijeljeno 2.227 stipendija za 1.694 polaznika. Također, u suradnji s Filozofskim fakultetom Sveučilišta u Zagrebu, u okviru Programa  omogućeni </w:t>
      </w:r>
      <w:r>
        <w:rPr>
          <w:sz w:val="24"/>
          <w:szCs w:val="24"/>
        </w:rPr>
        <w:t xml:space="preserve">su </w:t>
      </w:r>
      <w:r w:rsidRPr="00BD1B6F">
        <w:rPr>
          <w:sz w:val="24"/>
          <w:szCs w:val="24"/>
        </w:rPr>
        <w:t xml:space="preserve">besplatni internetski e-tečajevi hrvatskog jezika (razine A1 i A2) kojima je tijekom 2022. pristupilo </w:t>
      </w:r>
      <w:r w:rsidRPr="008115FB">
        <w:rPr>
          <w:sz w:val="24"/>
          <w:szCs w:val="24"/>
        </w:rPr>
        <w:t xml:space="preserve">više od </w:t>
      </w:r>
      <w:r w:rsidRPr="00BD1B6F">
        <w:rPr>
          <w:sz w:val="24"/>
          <w:szCs w:val="24"/>
        </w:rPr>
        <w:t xml:space="preserve">14.000 korisnika, većinom Hrvata i potomaka Hrvata izvan </w:t>
      </w:r>
      <w:r>
        <w:rPr>
          <w:sz w:val="24"/>
          <w:szCs w:val="24"/>
        </w:rPr>
        <w:t>Hrvatske</w:t>
      </w:r>
      <w:r w:rsidRPr="003565A5">
        <w:rPr>
          <w:sz w:val="24"/>
          <w:szCs w:val="24"/>
        </w:rPr>
        <w:t xml:space="preserve">. </w:t>
      </w:r>
    </w:p>
    <w:p w14:paraId="3AC2EAEC" w14:textId="77777777" w:rsidR="004C10F6" w:rsidRPr="00BD1B6F" w:rsidRDefault="004C10F6" w:rsidP="004C10F6">
      <w:pPr>
        <w:spacing w:before="240" w:line="276" w:lineRule="auto"/>
        <w:jc w:val="both"/>
        <w:rPr>
          <w:sz w:val="24"/>
          <w:szCs w:val="24"/>
        </w:rPr>
      </w:pPr>
      <w:r w:rsidRPr="00BD1B6F">
        <w:rPr>
          <w:sz w:val="24"/>
          <w:szCs w:val="24"/>
        </w:rPr>
        <w:lastRenderedPageBreak/>
        <w:t>U svrhu stvaranja poticajnog okruženja za povratak i useljavanje i snažniji doprinos dijaspore demografskim potencijalima Hrvatske</w:t>
      </w:r>
      <w:r>
        <w:rPr>
          <w:sz w:val="24"/>
          <w:szCs w:val="24"/>
        </w:rPr>
        <w:t>,</w:t>
      </w:r>
      <w:r w:rsidRPr="00BD1B6F">
        <w:rPr>
          <w:sz w:val="24"/>
          <w:szCs w:val="24"/>
        </w:rPr>
        <w:t xml:space="preserve"> donesen je u listopadu 2022. „Pravilnik o izdavanju potvrde u svrhu podnošenja zahtjeva za reguliranje boravka pripadniku hrvatskog naroda sa stranim državljanstvom ili bez državljanstva“ (</w:t>
      </w:r>
      <w:r w:rsidRPr="008115FB">
        <w:rPr>
          <w:sz w:val="24"/>
          <w:szCs w:val="24"/>
        </w:rPr>
        <w:t>„</w:t>
      </w:r>
      <w:r w:rsidRPr="00BD1B6F">
        <w:rPr>
          <w:sz w:val="24"/>
          <w:szCs w:val="24"/>
        </w:rPr>
        <w:t>N</w:t>
      </w:r>
      <w:r w:rsidRPr="008115FB">
        <w:rPr>
          <w:sz w:val="24"/>
          <w:szCs w:val="24"/>
        </w:rPr>
        <w:t xml:space="preserve">arodne </w:t>
      </w:r>
      <w:r w:rsidRPr="00BD1B6F">
        <w:rPr>
          <w:sz w:val="24"/>
          <w:szCs w:val="24"/>
        </w:rPr>
        <w:t>N</w:t>
      </w:r>
      <w:r w:rsidRPr="008115FB">
        <w:rPr>
          <w:sz w:val="24"/>
          <w:szCs w:val="24"/>
        </w:rPr>
        <w:t>ovine“,</w:t>
      </w:r>
      <w:r w:rsidRPr="00BD1B6F">
        <w:rPr>
          <w:sz w:val="24"/>
          <w:szCs w:val="24"/>
        </w:rPr>
        <w:t xml:space="preserve"> br</w:t>
      </w:r>
      <w:r w:rsidRPr="008115FB">
        <w:rPr>
          <w:sz w:val="24"/>
          <w:szCs w:val="24"/>
        </w:rPr>
        <w:t xml:space="preserve">oj: </w:t>
      </w:r>
      <w:r w:rsidRPr="00BD1B6F">
        <w:rPr>
          <w:sz w:val="24"/>
          <w:szCs w:val="24"/>
        </w:rPr>
        <w:t xml:space="preserve">122/22). Pravilnikom su definirani dokazi i postupci prilikom izdavanje potvrde za reguliranje boravka pripadniku hrvatskog naroda sa stranim državljanstvom ili bez državljanstva. Potvrdom o reguliranom boravku povratnicima i useljenicima iz hrvatskog iseljeništva omogućuje </w:t>
      </w:r>
      <w:r>
        <w:rPr>
          <w:sz w:val="24"/>
          <w:szCs w:val="24"/>
        </w:rPr>
        <w:t xml:space="preserve">se </w:t>
      </w:r>
      <w:r w:rsidRPr="00BD1B6F">
        <w:rPr>
          <w:sz w:val="24"/>
          <w:szCs w:val="24"/>
        </w:rPr>
        <w:t>ostvarivanje prava na zapošljavanje i samozapošljavanje, pohađanje tečajeva, strukovn</w:t>
      </w:r>
      <w:r>
        <w:rPr>
          <w:sz w:val="24"/>
          <w:szCs w:val="24"/>
        </w:rPr>
        <w:t>a</w:t>
      </w:r>
      <w:r w:rsidRPr="00BD1B6F">
        <w:rPr>
          <w:sz w:val="24"/>
          <w:szCs w:val="24"/>
        </w:rPr>
        <w:t xml:space="preserve"> izobrazb</w:t>
      </w:r>
      <w:r>
        <w:rPr>
          <w:sz w:val="24"/>
          <w:szCs w:val="24"/>
        </w:rPr>
        <w:t>a</w:t>
      </w:r>
      <w:r w:rsidRPr="00BD1B6F">
        <w:rPr>
          <w:sz w:val="24"/>
          <w:szCs w:val="24"/>
        </w:rPr>
        <w:t xml:space="preserve"> te redovno obrazovanje i studiranje. U skladu s novim Pravilnikom, tijekom 2022. proveden je postupak reguliranja boravka za 204 podnositelja zahtjeva temeljem kojeg je izdano 198 potvrda u svrhu reguliranja privremenog boravka kod nadležne </w:t>
      </w:r>
      <w:r>
        <w:rPr>
          <w:sz w:val="24"/>
          <w:szCs w:val="24"/>
        </w:rPr>
        <w:t>p</w:t>
      </w:r>
      <w:r w:rsidRPr="00BD1B6F">
        <w:rPr>
          <w:sz w:val="24"/>
          <w:szCs w:val="24"/>
        </w:rPr>
        <w:t xml:space="preserve">olicijske uprave. </w:t>
      </w:r>
    </w:p>
    <w:p w14:paraId="62BB3513" w14:textId="77777777" w:rsidR="004C10F6" w:rsidRPr="00BD1B6F" w:rsidRDefault="004C10F6" w:rsidP="004C10F6">
      <w:pPr>
        <w:spacing w:before="240" w:line="276" w:lineRule="auto"/>
        <w:jc w:val="both"/>
        <w:rPr>
          <w:sz w:val="24"/>
          <w:szCs w:val="24"/>
        </w:rPr>
      </w:pPr>
      <w:r w:rsidRPr="00BD1B6F">
        <w:rPr>
          <w:sz w:val="24"/>
          <w:szCs w:val="24"/>
        </w:rPr>
        <w:t xml:space="preserve">Kako bi se hrvatskim povratnicima i useljenicima osigurala potpora prilikom povratka i useljavanja, u okviru Središnjeg državnog ureda za Hrvate izvan Republike Hrvatske ustrojen je Ured dobrodošlice. Uloga Ureda dobrodošlice je olakšati povratak, snalaženje i integraciju Hrvata povratnika i useljenika u državni sustav Republike Hrvatske. Ured dobrodošlice pruža hrvatskim povratnicima i useljenicima sve informacije koje im mogu biti od koristi pri njihovom nastanjenju i stupanju u poslovni odnos u Hrvatskoj. Tijekom 2022. zaprimljeno je više </w:t>
      </w:r>
      <w:r w:rsidRPr="008115FB">
        <w:rPr>
          <w:sz w:val="24"/>
          <w:szCs w:val="24"/>
        </w:rPr>
        <w:t xml:space="preserve">od </w:t>
      </w:r>
      <w:r w:rsidRPr="00BD1B6F">
        <w:rPr>
          <w:sz w:val="24"/>
          <w:szCs w:val="24"/>
        </w:rPr>
        <w:t>10.000 upita iseljenih Hrvata i njihovih potomaka, za koje su</w:t>
      </w:r>
      <w:r w:rsidRPr="00BD1B6F">
        <w:t xml:space="preserve"> </w:t>
      </w:r>
      <w:r w:rsidRPr="00BD1B6F">
        <w:rPr>
          <w:sz w:val="24"/>
          <w:szCs w:val="24"/>
        </w:rPr>
        <w:t xml:space="preserve">pripremljena pojašnjenja i odgovori. Također, za 400 obitelji i mladih potomaka hrvatskih iseljenika uglavnom iz zemalja Južne Amerike, koji prvi put useljavaju u Hrvatsku, osigurana je i </w:t>
      </w:r>
      <w:r>
        <w:rPr>
          <w:sz w:val="24"/>
          <w:szCs w:val="24"/>
        </w:rPr>
        <w:t xml:space="preserve">stručna </w:t>
      </w:r>
      <w:r w:rsidRPr="00BD1B6F">
        <w:rPr>
          <w:sz w:val="24"/>
          <w:szCs w:val="24"/>
        </w:rPr>
        <w:t>podrška mentora/</w:t>
      </w:r>
      <w:r>
        <w:rPr>
          <w:sz w:val="24"/>
          <w:szCs w:val="24"/>
        </w:rPr>
        <w:t xml:space="preserve"> </w:t>
      </w:r>
      <w:r w:rsidRPr="00BD1B6F">
        <w:rPr>
          <w:sz w:val="24"/>
          <w:szCs w:val="24"/>
        </w:rPr>
        <w:t>savjetnika.</w:t>
      </w:r>
    </w:p>
    <w:p w14:paraId="42F015D5" w14:textId="77777777" w:rsidR="004C10F6" w:rsidRPr="00BD1B6F" w:rsidRDefault="004C10F6" w:rsidP="004C10F6">
      <w:pPr>
        <w:spacing w:before="240" w:line="276" w:lineRule="auto"/>
        <w:jc w:val="both"/>
        <w:rPr>
          <w:sz w:val="24"/>
          <w:szCs w:val="24"/>
        </w:rPr>
      </w:pPr>
      <w:r>
        <w:rPr>
          <w:sz w:val="24"/>
          <w:szCs w:val="24"/>
        </w:rPr>
        <w:t>S ciljem</w:t>
      </w:r>
      <w:r w:rsidRPr="00BD1B6F">
        <w:rPr>
          <w:sz w:val="24"/>
          <w:szCs w:val="24"/>
        </w:rPr>
        <w:t xml:space="preserve"> poticanja povratka hrvatskih državljana radno aktivne dobi iz država Europskog gospodarskog prostora, Švicarske Konfederacije i Ujedinjenog Kraljevstva Velike Britanije </w:t>
      </w:r>
      <w:r>
        <w:rPr>
          <w:sz w:val="24"/>
          <w:szCs w:val="24"/>
        </w:rPr>
        <w:t>i</w:t>
      </w:r>
      <w:r w:rsidRPr="00BD1B6F">
        <w:rPr>
          <w:sz w:val="24"/>
          <w:szCs w:val="24"/>
        </w:rPr>
        <w:t xml:space="preserve"> Sjeverne Irske, nastavljena je provedba mjere „Biram Hrvatsku </w:t>
      </w:r>
      <w:r w:rsidRPr="008115FB">
        <w:rPr>
          <w:sz w:val="24"/>
          <w:szCs w:val="24"/>
        </w:rPr>
        <w:t>-</w:t>
      </w:r>
      <w:r w:rsidRPr="00BD1B6F">
        <w:rPr>
          <w:sz w:val="24"/>
          <w:szCs w:val="24"/>
        </w:rPr>
        <w:t xml:space="preserve"> povratak u Hrvatsku“. Osim dodane vrijednost koju samozapošljavanje povratnika s međunarodnim radnim iskustvom ima za hrvatsko gospodarstvo, ova mjera ima i izravne demografske učinke u smislu poticanja povratka i useljavanja hrvatskih iseljenika i njihovih potomaka u Hrvatsku. Tijekom 2022. putem mjere je odobrena dodjela potpore za više od 100 projekata samozapošljavanja hrvatskih državljana iz vanjske migracije, a od siječnja 2023. mogućnost dobivanja potpore za samozapošljavanje proširena </w:t>
      </w:r>
      <w:r>
        <w:rPr>
          <w:sz w:val="24"/>
          <w:szCs w:val="24"/>
        </w:rPr>
        <w:t xml:space="preserve">je </w:t>
      </w:r>
      <w:r w:rsidRPr="00BD1B6F">
        <w:rPr>
          <w:sz w:val="24"/>
          <w:szCs w:val="24"/>
        </w:rPr>
        <w:t xml:space="preserve">i na </w:t>
      </w:r>
      <w:r>
        <w:rPr>
          <w:sz w:val="24"/>
          <w:szCs w:val="24"/>
        </w:rPr>
        <w:t>8</w:t>
      </w:r>
      <w:r w:rsidRPr="00BD1B6F">
        <w:rPr>
          <w:sz w:val="24"/>
          <w:szCs w:val="24"/>
        </w:rPr>
        <w:t xml:space="preserve"> prekooceanskih država u kojima žive pripadnici hrvatskog iseljeništva.</w:t>
      </w:r>
    </w:p>
    <w:p w14:paraId="0F8276DB" w14:textId="77777777" w:rsidR="004C10F6" w:rsidRPr="00BD1B6F" w:rsidRDefault="004C10F6" w:rsidP="004C10F6">
      <w:pPr>
        <w:spacing w:before="240" w:line="276" w:lineRule="auto"/>
        <w:jc w:val="both"/>
        <w:rPr>
          <w:sz w:val="24"/>
          <w:szCs w:val="24"/>
        </w:rPr>
      </w:pPr>
      <w:r>
        <w:rPr>
          <w:sz w:val="24"/>
          <w:szCs w:val="24"/>
        </w:rPr>
        <w:t>Radi</w:t>
      </w:r>
      <w:r w:rsidRPr="00BD1B6F">
        <w:rPr>
          <w:sz w:val="24"/>
          <w:szCs w:val="24"/>
        </w:rPr>
        <w:t xml:space="preserve"> pružanja podrške i potpore razvoju i provedbi projekata s ciljem poticanja povratka, useljavanja i integracije</w:t>
      </w:r>
      <w:r>
        <w:rPr>
          <w:sz w:val="24"/>
          <w:szCs w:val="24"/>
        </w:rPr>
        <w:t>,</w:t>
      </w:r>
      <w:r w:rsidRPr="00BD1B6F">
        <w:rPr>
          <w:sz w:val="24"/>
          <w:szCs w:val="24"/>
        </w:rPr>
        <w:t xml:space="preserve"> ukupno je sufinancirano 14 projekata organizacija </w:t>
      </w:r>
      <w:r w:rsidRPr="00BD1B6F">
        <w:rPr>
          <w:sz w:val="24"/>
          <w:szCs w:val="24"/>
        </w:rPr>
        <w:lastRenderedPageBreak/>
        <w:t xml:space="preserve">civilnog društva </w:t>
      </w:r>
      <w:r w:rsidRPr="00EE4628">
        <w:rPr>
          <w:sz w:val="24"/>
          <w:szCs w:val="24"/>
        </w:rPr>
        <w:t>te</w:t>
      </w:r>
      <w:r w:rsidRPr="00BD1B6F">
        <w:rPr>
          <w:sz w:val="24"/>
          <w:szCs w:val="24"/>
        </w:rPr>
        <w:t xml:space="preserve"> je dodijeljeno 8 financijskih potpora u integraciji mladim useljeničkim obiteljima iz hrvatskog iseljeništva. </w:t>
      </w:r>
    </w:p>
    <w:p w14:paraId="58FF7C39" w14:textId="576510EE" w:rsidR="0080547C" w:rsidRPr="00BD1B6F" w:rsidRDefault="004C10F6" w:rsidP="00C00FCF">
      <w:pPr>
        <w:spacing w:line="276" w:lineRule="auto"/>
        <w:jc w:val="both"/>
        <w:rPr>
          <w:color w:val="000000" w:themeColor="text1"/>
          <w:sz w:val="24"/>
          <w:szCs w:val="24"/>
        </w:rPr>
      </w:pPr>
      <w:r w:rsidRPr="00BD1B6F">
        <w:rPr>
          <w:color w:val="000000" w:themeColor="text1"/>
          <w:sz w:val="24"/>
          <w:szCs w:val="24"/>
        </w:rPr>
        <w:t xml:space="preserve"> </w:t>
      </w:r>
      <w:r w:rsidR="0080547C" w:rsidRPr="00BD1B6F">
        <w:rPr>
          <w:color w:val="000000" w:themeColor="text1"/>
          <w:sz w:val="24"/>
          <w:szCs w:val="24"/>
        </w:rPr>
        <w:br w:type="page"/>
      </w:r>
    </w:p>
    <w:p w14:paraId="27B316B4" w14:textId="22A17885" w:rsidR="00AF5F07" w:rsidRPr="00BD1B6F" w:rsidRDefault="00C00FCF" w:rsidP="1B8D604E">
      <w:pPr>
        <w:pStyle w:val="Heading2"/>
        <w:spacing w:line="360" w:lineRule="auto"/>
        <w:ind w:left="0" w:firstLine="0"/>
        <w:rPr>
          <w:color w:val="000000" w:themeColor="text1"/>
          <w:sz w:val="24"/>
          <w:szCs w:val="24"/>
        </w:rPr>
      </w:pPr>
      <w:bookmarkStart w:id="84" w:name="_Toc133420958"/>
      <w:bookmarkStart w:id="85" w:name="_Toc156819387"/>
      <w:r w:rsidRPr="00BD1B6F">
        <w:rPr>
          <w:color w:val="000000" w:themeColor="text1"/>
          <w:sz w:val="24"/>
          <w:szCs w:val="24"/>
        </w:rPr>
        <w:lastRenderedPageBreak/>
        <w:t xml:space="preserve">7. </w:t>
      </w:r>
      <w:r w:rsidR="000F13A1" w:rsidRPr="00BD1B6F">
        <w:rPr>
          <w:color w:val="000000" w:themeColor="text1"/>
          <w:sz w:val="24"/>
          <w:szCs w:val="24"/>
        </w:rPr>
        <w:t>Sigurnost za stabilan razvoj</w:t>
      </w:r>
      <w:bookmarkEnd w:id="84"/>
      <w:bookmarkEnd w:id="85"/>
    </w:p>
    <w:p w14:paraId="2A024C6D" w14:textId="12CC7E32" w:rsidR="008B7182" w:rsidRPr="00BD1B6F" w:rsidRDefault="00FD1BD7" w:rsidP="006035B5">
      <w:pPr>
        <w:pStyle w:val="Heading3"/>
        <w:spacing w:before="120" w:after="120"/>
        <w:ind w:left="0" w:firstLine="720"/>
        <w:jc w:val="both"/>
        <w:rPr>
          <w:color w:val="000000" w:themeColor="text1"/>
          <w:sz w:val="24"/>
          <w:szCs w:val="24"/>
        </w:rPr>
      </w:pPr>
      <w:bookmarkStart w:id="86" w:name="_Toc99551536"/>
      <w:bookmarkStart w:id="87" w:name="_Toc130784374"/>
      <w:bookmarkStart w:id="88" w:name="_Toc133420959"/>
      <w:bookmarkStart w:id="89" w:name="_Toc156819388"/>
      <w:r w:rsidRPr="00BD1B6F">
        <w:rPr>
          <w:color w:val="000000" w:themeColor="text1"/>
          <w:sz w:val="24"/>
          <w:szCs w:val="24"/>
        </w:rPr>
        <w:t xml:space="preserve">7.1. </w:t>
      </w:r>
      <w:r w:rsidR="008B7182" w:rsidRPr="00BD1B6F">
        <w:rPr>
          <w:color w:val="000000" w:themeColor="text1"/>
          <w:sz w:val="24"/>
          <w:szCs w:val="24"/>
        </w:rPr>
        <w:t>Ostvarene vrijednosti pokazatelja uspješnosti</w:t>
      </w:r>
      <w:bookmarkEnd w:id="86"/>
      <w:bookmarkEnd w:id="87"/>
      <w:bookmarkEnd w:id="88"/>
      <w:bookmarkEnd w:id="89"/>
      <w:r w:rsidR="008B7182" w:rsidRPr="00BD1B6F">
        <w:rPr>
          <w:color w:val="000000" w:themeColor="text1"/>
          <w:sz w:val="24"/>
          <w:szCs w:val="24"/>
        </w:rPr>
        <w:t xml:space="preserve"> </w:t>
      </w:r>
    </w:p>
    <w:tbl>
      <w:tblPr>
        <w:tblStyle w:val="TableGrid"/>
        <w:tblW w:w="0" w:type="auto"/>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86"/>
        <w:gridCol w:w="2366"/>
        <w:gridCol w:w="1942"/>
        <w:gridCol w:w="2372"/>
      </w:tblGrid>
      <w:tr w:rsidR="00F42391" w:rsidRPr="008115FB" w14:paraId="076D2624" w14:textId="77777777" w:rsidTr="00FD2238">
        <w:trPr>
          <w:trHeight w:val="759"/>
          <w:jc w:val="center"/>
        </w:trPr>
        <w:tc>
          <w:tcPr>
            <w:tcW w:w="2691" w:type="dxa"/>
            <w:tcBorders>
              <w:top w:val="dotted" w:sz="4" w:space="0" w:color="auto"/>
              <w:bottom w:val="dotted" w:sz="4" w:space="0" w:color="auto"/>
              <w:right w:val="dotted" w:sz="4" w:space="0" w:color="auto"/>
            </w:tcBorders>
            <w:shd w:val="clear" w:color="auto" w:fill="B6DDE8" w:themeFill="accent5" w:themeFillTint="66"/>
            <w:vAlign w:val="center"/>
          </w:tcPr>
          <w:p w14:paraId="353AA91F" w14:textId="77777777" w:rsidR="00681247" w:rsidRPr="00BD1B6F" w:rsidRDefault="00681247" w:rsidP="00A710B5">
            <w:pPr>
              <w:pStyle w:val="BodyText"/>
              <w:jc w:val="center"/>
              <w:rPr>
                <w:b/>
                <w:bCs/>
                <w:color w:val="000000" w:themeColor="text1"/>
              </w:rPr>
            </w:pPr>
            <w:r w:rsidRPr="00BD1B6F">
              <w:rPr>
                <w:b/>
                <w:bCs/>
                <w:color w:val="000000" w:themeColor="text1"/>
              </w:rPr>
              <w:t>Pokazatelj uspješnosti</w:t>
            </w:r>
          </w:p>
        </w:tc>
        <w:tc>
          <w:tcPr>
            <w:tcW w:w="212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57C0F45" w14:textId="2B006547" w:rsidR="00F42391" w:rsidRPr="00BD1B6F" w:rsidRDefault="00681247" w:rsidP="00A710B5">
            <w:pPr>
              <w:pStyle w:val="BodyText"/>
              <w:jc w:val="center"/>
              <w:rPr>
                <w:b/>
                <w:bCs/>
                <w:color w:val="000000" w:themeColor="text1"/>
              </w:rPr>
            </w:pPr>
            <w:r w:rsidRPr="00BD1B6F">
              <w:rPr>
                <w:b/>
                <w:bCs/>
                <w:color w:val="000000" w:themeColor="text1"/>
              </w:rPr>
              <w:t xml:space="preserve">Početna </w:t>
            </w:r>
          </w:p>
          <w:p w14:paraId="2676D498" w14:textId="2B006547" w:rsidR="00681247" w:rsidRPr="00BD1B6F" w:rsidRDefault="00681247" w:rsidP="00A710B5">
            <w:pPr>
              <w:pStyle w:val="BodyText"/>
              <w:jc w:val="center"/>
              <w:rPr>
                <w:b/>
                <w:bCs/>
                <w:color w:val="000000" w:themeColor="text1"/>
              </w:rPr>
            </w:pPr>
            <w:r w:rsidRPr="00BD1B6F">
              <w:rPr>
                <w:b/>
                <w:bCs/>
                <w:color w:val="000000" w:themeColor="text1"/>
              </w:rPr>
              <w:t>vrijednost</w:t>
            </w:r>
          </w:p>
        </w:tc>
        <w:tc>
          <w:tcPr>
            <w:tcW w:w="212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F04B64A" w14:textId="2B006547" w:rsidR="00F42391" w:rsidRPr="00BD1B6F" w:rsidRDefault="00681247" w:rsidP="00A710B5">
            <w:pPr>
              <w:pStyle w:val="BodyText"/>
              <w:jc w:val="center"/>
              <w:rPr>
                <w:b/>
                <w:bCs/>
                <w:color w:val="000000" w:themeColor="text1"/>
              </w:rPr>
            </w:pPr>
            <w:r w:rsidRPr="00BD1B6F">
              <w:rPr>
                <w:b/>
                <w:bCs/>
                <w:color w:val="000000" w:themeColor="text1"/>
              </w:rPr>
              <w:t xml:space="preserve">Ciljna </w:t>
            </w:r>
          </w:p>
          <w:p w14:paraId="37C685E3" w14:textId="2B006547" w:rsidR="00681247" w:rsidRPr="00BD1B6F" w:rsidRDefault="00681247" w:rsidP="00A710B5">
            <w:pPr>
              <w:pStyle w:val="BodyText"/>
              <w:jc w:val="center"/>
              <w:rPr>
                <w:b/>
                <w:bCs/>
                <w:color w:val="000000" w:themeColor="text1"/>
              </w:rPr>
            </w:pPr>
            <w:r w:rsidRPr="00BD1B6F">
              <w:rPr>
                <w:b/>
                <w:bCs/>
                <w:color w:val="000000" w:themeColor="text1"/>
              </w:rPr>
              <w:t>vrijednost</w:t>
            </w:r>
          </w:p>
        </w:tc>
        <w:tc>
          <w:tcPr>
            <w:tcW w:w="2127" w:type="dxa"/>
            <w:tcBorders>
              <w:top w:val="dotted" w:sz="4" w:space="0" w:color="auto"/>
              <w:left w:val="dotted" w:sz="4" w:space="0" w:color="auto"/>
              <w:bottom w:val="dotted" w:sz="4" w:space="0" w:color="auto"/>
            </w:tcBorders>
            <w:shd w:val="clear" w:color="auto" w:fill="B6DDE8" w:themeFill="accent5" w:themeFillTint="66"/>
            <w:vAlign w:val="center"/>
          </w:tcPr>
          <w:p w14:paraId="2BDCD0CF" w14:textId="2B006547" w:rsidR="00F42391" w:rsidRPr="00BD1B6F" w:rsidRDefault="00681247" w:rsidP="00A710B5">
            <w:pPr>
              <w:pStyle w:val="BodyText"/>
              <w:jc w:val="center"/>
              <w:rPr>
                <w:b/>
                <w:bCs/>
                <w:color w:val="000000" w:themeColor="text1"/>
              </w:rPr>
            </w:pPr>
            <w:r w:rsidRPr="00BD1B6F">
              <w:rPr>
                <w:b/>
                <w:bCs/>
                <w:color w:val="000000" w:themeColor="text1"/>
              </w:rPr>
              <w:t xml:space="preserve">Ostvarena </w:t>
            </w:r>
          </w:p>
          <w:p w14:paraId="560B37EB" w14:textId="2B006547" w:rsidR="00681247" w:rsidRPr="00BD1B6F" w:rsidRDefault="00681247" w:rsidP="00A710B5">
            <w:pPr>
              <w:pStyle w:val="BodyText"/>
              <w:jc w:val="center"/>
              <w:rPr>
                <w:b/>
                <w:bCs/>
                <w:color w:val="000000" w:themeColor="text1"/>
              </w:rPr>
            </w:pPr>
            <w:r w:rsidRPr="00BD1B6F">
              <w:rPr>
                <w:b/>
                <w:bCs/>
                <w:color w:val="000000" w:themeColor="text1"/>
              </w:rPr>
              <w:t>vrijednost</w:t>
            </w:r>
          </w:p>
        </w:tc>
      </w:tr>
      <w:tr w:rsidR="00F42391" w:rsidRPr="008115FB" w14:paraId="30EA24D7" w14:textId="77777777" w:rsidTr="00FD2238">
        <w:trPr>
          <w:trHeight w:val="859"/>
          <w:jc w:val="center"/>
        </w:trPr>
        <w:tc>
          <w:tcPr>
            <w:tcW w:w="2691" w:type="dxa"/>
            <w:tcBorders>
              <w:top w:val="dotted" w:sz="4" w:space="0" w:color="auto"/>
              <w:bottom w:val="dotted" w:sz="4" w:space="0" w:color="auto"/>
            </w:tcBorders>
            <w:shd w:val="clear" w:color="auto" w:fill="FFFFFF" w:themeFill="background1"/>
            <w:vAlign w:val="center"/>
          </w:tcPr>
          <w:p w14:paraId="015CD88C" w14:textId="77777777" w:rsidR="00681247" w:rsidRPr="00BD1B6F" w:rsidRDefault="00681247" w:rsidP="00FD2238">
            <w:pPr>
              <w:pStyle w:val="BodyText"/>
              <w:spacing w:line="276" w:lineRule="auto"/>
              <w:rPr>
                <w:color w:val="000000" w:themeColor="text1"/>
              </w:rPr>
            </w:pPr>
            <w:r w:rsidRPr="00BD1B6F">
              <w:rPr>
                <w:color w:val="000000" w:themeColor="text1"/>
              </w:rPr>
              <w:t>BDP po stanovniku prema paritetu kupovne moći, u % prosjeka EU-a</w:t>
            </w:r>
          </w:p>
        </w:tc>
        <w:tc>
          <w:tcPr>
            <w:tcW w:w="2126" w:type="dxa"/>
            <w:tcBorders>
              <w:top w:val="dotted" w:sz="4" w:space="0" w:color="auto"/>
              <w:bottom w:val="dotted" w:sz="4" w:space="0" w:color="auto"/>
            </w:tcBorders>
            <w:shd w:val="clear" w:color="auto" w:fill="DAEEF3" w:themeFill="accent5" w:themeFillTint="33"/>
            <w:vAlign w:val="center"/>
          </w:tcPr>
          <w:p w14:paraId="61EC1F71" w14:textId="77777777" w:rsidR="00681247" w:rsidRPr="00BD1B6F" w:rsidRDefault="00681247" w:rsidP="00343B4E">
            <w:pPr>
              <w:pStyle w:val="BodyText"/>
              <w:spacing w:line="276" w:lineRule="auto"/>
              <w:jc w:val="center"/>
              <w:rPr>
                <w:color w:val="000000" w:themeColor="text1"/>
              </w:rPr>
            </w:pPr>
            <w:r w:rsidRPr="00BD1B6F">
              <w:rPr>
                <w:color w:val="000000" w:themeColor="text1"/>
              </w:rPr>
              <w:t>65% (2019.)</w:t>
            </w:r>
          </w:p>
        </w:tc>
        <w:tc>
          <w:tcPr>
            <w:tcW w:w="2126" w:type="dxa"/>
            <w:tcBorders>
              <w:top w:val="dotted" w:sz="4" w:space="0" w:color="auto"/>
              <w:bottom w:val="dotted" w:sz="4" w:space="0" w:color="auto"/>
            </w:tcBorders>
            <w:shd w:val="clear" w:color="auto" w:fill="FFFFFF" w:themeFill="background1"/>
            <w:vAlign w:val="center"/>
          </w:tcPr>
          <w:p w14:paraId="3A7F0ED0" w14:textId="77777777" w:rsidR="00681247" w:rsidRPr="00BD1B6F" w:rsidRDefault="00681247" w:rsidP="00343B4E">
            <w:pPr>
              <w:pStyle w:val="BodyText"/>
              <w:spacing w:line="276" w:lineRule="auto"/>
              <w:jc w:val="center"/>
              <w:rPr>
                <w:color w:val="000000" w:themeColor="text1"/>
              </w:rPr>
            </w:pPr>
            <w:r w:rsidRPr="00BD1B6F">
              <w:rPr>
                <w:color w:val="000000" w:themeColor="text1"/>
              </w:rPr>
              <w:t>75%</w:t>
            </w:r>
          </w:p>
        </w:tc>
        <w:tc>
          <w:tcPr>
            <w:tcW w:w="2127" w:type="dxa"/>
            <w:tcBorders>
              <w:top w:val="dotted" w:sz="4" w:space="0" w:color="auto"/>
              <w:bottom w:val="dotted" w:sz="4" w:space="0" w:color="auto"/>
            </w:tcBorders>
            <w:shd w:val="clear" w:color="auto" w:fill="DAEEF3" w:themeFill="accent5" w:themeFillTint="33"/>
            <w:vAlign w:val="center"/>
          </w:tcPr>
          <w:p w14:paraId="376821EC" w14:textId="0C0FF61D" w:rsidR="00681247" w:rsidRPr="00BD1B6F" w:rsidRDefault="00D74B05" w:rsidP="00343B4E">
            <w:pPr>
              <w:pStyle w:val="BodyText"/>
              <w:spacing w:line="276" w:lineRule="auto"/>
              <w:jc w:val="center"/>
              <w:rPr>
                <w:color w:val="000000" w:themeColor="text1"/>
              </w:rPr>
            </w:pPr>
            <w:r w:rsidRPr="00BD1B6F">
              <w:rPr>
                <w:color w:val="000000" w:themeColor="text1"/>
              </w:rPr>
              <w:t>73%</w:t>
            </w:r>
            <w:r w:rsidR="00B92688" w:rsidRPr="00BD1B6F">
              <w:rPr>
                <w:color w:val="000000" w:themeColor="text1"/>
              </w:rPr>
              <w:t xml:space="preserve"> (2022.)</w:t>
            </w:r>
          </w:p>
        </w:tc>
      </w:tr>
      <w:tr w:rsidR="00F42391" w:rsidRPr="008115FB" w14:paraId="4FD1B2BE" w14:textId="77777777" w:rsidTr="00FD2238">
        <w:trPr>
          <w:trHeight w:val="887"/>
          <w:jc w:val="center"/>
        </w:trPr>
        <w:tc>
          <w:tcPr>
            <w:tcW w:w="2691" w:type="dxa"/>
            <w:tcBorders>
              <w:top w:val="dotted" w:sz="4" w:space="0" w:color="auto"/>
            </w:tcBorders>
            <w:shd w:val="clear" w:color="auto" w:fill="auto"/>
            <w:vAlign w:val="center"/>
          </w:tcPr>
          <w:p w14:paraId="2194183C" w14:textId="6A952E96" w:rsidR="00681247" w:rsidRPr="00BD1B6F" w:rsidRDefault="00681247" w:rsidP="00CE77C8">
            <w:pPr>
              <w:pStyle w:val="BodyText"/>
              <w:spacing w:line="276" w:lineRule="auto"/>
              <w:rPr>
                <w:color w:val="000000" w:themeColor="text1"/>
              </w:rPr>
            </w:pPr>
            <w:r w:rsidRPr="00BD1B6F">
              <w:rPr>
                <w:color w:val="000000" w:themeColor="text1"/>
              </w:rPr>
              <w:t>Pojava kriminala, nasilja ili vandalizma po postotku prijava</w:t>
            </w:r>
          </w:p>
        </w:tc>
        <w:tc>
          <w:tcPr>
            <w:tcW w:w="2691" w:type="dxa"/>
            <w:tcBorders>
              <w:top w:val="dotted" w:sz="4" w:space="0" w:color="auto"/>
            </w:tcBorders>
            <w:shd w:val="clear" w:color="auto" w:fill="DAEEF3" w:themeFill="accent5" w:themeFillTint="33"/>
            <w:vAlign w:val="center"/>
          </w:tcPr>
          <w:p w14:paraId="49727E41" w14:textId="332CC7A3" w:rsidR="00681247" w:rsidRPr="00BD1B6F" w:rsidRDefault="00681247" w:rsidP="00343B4E">
            <w:pPr>
              <w:pStyle w:val="BodyText"/>
              <w:spacing w:line="276" w:lineRule="auto"/>
              <w:jc w:val="center"/>
              <w:rPr>
                <w:color w:val="000000" w:themeColor="text1"/>
              </w:rPr>
            </w:pPr>
            <w:r w:rsidRPr="00BD1B6F">
              <w:rPr>
                <w:color w:val="000000" w:themeColor="text1"/>
              </w:rPr>
              <w:t>2% (2019.)</w:t>
            </w:r>
          </w:p>
        </w:tc>
        <w:tc>
          <w:tcPr>
            <w:tcW w:w="0" w:type="auto"/>
            <w:tcBorders>
              <w:top w:val="dotted" w:sz="4" w:space="0" w:color="auto"/>
            </w:tcBorders>
            <w:vAlign w:val="center"/>
          </w:tcPr>
          <w:p w14:paraId="48624FE4" w14:textId="37066B42" w:rsidR="00681247" w:rsidRPr="00BD1B6F" w:rsidRDefault="00681247" w:rsidP="00343B4E">
            <w:pPr>
              <w:pStyle w:val="BodyText"/>
              <w:spacing w:line="276" w:lineRule="auto"/>
              <w:jc w:val="center"/>
              <w:rPr>
                <w:color w:val="000000" w:themeColor="text1"/>
              </w:rPr>
            </w:pPr>
            <w:r w:rsidRPr="00BD1B6F">
              <w:rPr>
                <w:color w:val="000000" w:themeColor="text1"/>
              </w:rPr>
              <w:t>Ostati najbolji u EU</w:t>
            </w:r>
            <w:r w:rsidR="00E85BD3" w:rsidRPr="00BD1B6F">
              <w:rPr>
                <w:color w:val="000000" w:themeColor="text1"/>
              </w:rPr>
              <w:t xml:space="preserve"> </w:t>
            </w:r>
          </w:p>
        </w:tc>
        <w:tc>
          <w:tcPr>
            <w:tcW w:w="2691" w:type="dxa"/>
            <w:tcBorders>
              <w:top w:val="dotted" w:sz="4" w:space="0" w:color="auto"/>
            </w:tcBorders>
            <w:shd w:val="clear" w:color="auto" w:fill="DAEEF3" w:themeFill="accent5" w:themeFillTint="33"/>
            <w:vAlign w:val="center"/>
          </w:tcPr>
          <w:p w14:paraId="7E9FB438" w14:textId="551B3211" w:rsidR="00681247" w:rsidRPr="00BD1B6F" w:rsidRDefault="00B92688" w:rsidP="00343B4E">
            <w:pPr>
              <w:pStyle w:val="BodyText"/>
              <w:spacing w:line="276" w:lineRule="auto"/>
              <w:jc w:val="center"/>
              <w:rPr>
                <w:color w:val="000000" w:themeColor="text1"/>
              </w:rPr>
            </w:pPr>
            <w:r w:rsidRPr="00BD1B6F">
              <w:rPr>
                <w:color w:val="000000" w:themeColor="text1"/>
              </w:rPr>
              <w:t>2,4%</w:t>
            </w:r>
            <w:r w:rsidR="00343A67" w:rsidRPr="00BD1B6F">
              <w:rPr>
                <w:color w:val="000000" w:themeColor="text1"/>
              </w:rPr>
              <w:t xml:space="preserve"> (2020.</w:t>
            </w:r>
            <w:r w:rsidR="0018496B" w:rsidRPr="00BD1B6F">
              <w:rPr>
                <w:color w:val="000000" w:themeColor="text1"/>
              </w:rPr>
              <w:t>)</w:t>
            </w:r>
          </w:p>
        </w:tc>
      </w:tr>
    </w:tbl>
    <w:p w14:paraId="151613AF" w14:textId="77777777" w:rsidR="00540139" w:rsidRPr="00BD1B6F" w:rsidRDefault="00540139" w:rsidP="00540139">
      <w:pPr>
        <w:rPr>
          <w:sz w:val="10"/>
          <w:szCs w:val="10"/>
        </w:rPr>
      </w:pPr>
    </w:p>
    <w:p w14:paraId="58C5CCC8" w14:textId="65620F6D" w:rsidR="001B6CD0" w:rsidRPr="00BD1B6F" w:rsidRDefault="001B6CD0" w:rsidP="004C1D5B">
      <w:pPr>
        <w:rPr>
          <w:color w:val="000000" w:themeColor="text1"/>
        </w:rPr>
      </w:pPr>
    </w:p>
    <w:p w14:paraId="21F3FD9E" w14:textId="3603787D" w:rsidR="008B7182" w:rsidRPr="00BD1B6F" w:rsidRDefault="00606E3F" w:rsidP="004B59BF">
      <w:pPr>
        <w:pStyle w:val="Heading3"/>
        <w:spacing w:before="120" w:after="120" w:line="259" w:lineRule="auto"/>
        <w:ind w:left="0" w:firstLine="720"/>
        <w:jc w:val="both"/>
        <w:rPr>
          <w:color w:val="000000" w:themeColor="text1"/>
          <w:sz w:val="24"/>
          <w:szCs w:val="24"/>
        </w:rPr>
      </w:pPr>
      <w:bookmarkStart w:id="90" w:name="_Toc156819389"/>
      <w:r>
        <w:rPr>
          <w:color w:val="000000" w:themeColor="text1"/>
          <w:sz w:val="24"/>
          <w:szCs w:val="24"/>
        </w:rPr>
        <w:t>7</w:t>
      </w:r>
      <w:r w:rsidR="4E891D9B" w:rsidRPr="00BD1B6F">
        <w:rPr>
          <w:color w:val="000000" w:themeColor="text1"/>
          <w:sz w:val="24"/>
          <w:szCs w:val="24"/>
        </w:rPr>
        <w:t>.</w:t>
      </w:r>
      <w:r>
        <w:rPr>
          <w:color w:val="000000" w:themeColor="text1"/>
          <w:sz w:val="24"/>
          <w:szCs w:val="24"/>
        </w:rPr>
        <w:t>2</w:t>
      </w:r>
      <w:r w:rsidR="4E891D9B" w:rsidRPr="00BD1B6F">
        <w:rPr>
          <w:color w:val="000000" w:themeColor="text1"/>
          <w:sz w:val="24"/>
          <w:szCs w:val="24"/>
        </w:rPr>
        <w:t>. Opis napretka u provedbi strateškog cilja</w:t>
      </w:r>
      <w:r w:rsidR="00280456" w:rsidRPr="00BD1B6F">
        <w:t xml:space="preserve"> </w:t>
      </w:r>
      <w:r w:rsidR="00280456" w:rsidRPr="00BD1B6F">
        <w:rPr>
          <w:color w:val="000000" w:themeColor="text1"/>
          <w:sz w:val="24"/>
          <w:szCs w:val="24"/>
        </w:rPr>
        <w:t>Sigurnost za stabilan razvoj</w:t>
      </w:r>
      <w:bookmarkEnd w:id="90"/>
    </w:p>
    <w:p w14:paraId="622CCF0D" w14:textId="77777777" w:rsidR="0057577E" w:rsidRPr="00BD1B6F" w:rsidRDefault="0057577E" w:rsidP="0057577E">
      <w:pPr>
        <w:pStyle w:val="Heading4"/>
        <w:spacing w:before="120" w:after="120" w:line="360" w:lineRule="auto"/>
        <w:ind w:left="0" w:firstLine="720"/>
        <w:rPr>
          <w:color w:val="000000" w:themeColor="text1"/>
        </w:rPr>
      </w:pPr>
      <w:r w:rsidRPr="00BD1B6F">
        <w:rPr>
          <w:color w:val="000000" w:themeColor="text1"/>
        </w:rPr>
        <w:t xml:space="preserve">Jačanje obrambene sposobnosti Hrvatske vojske </w:t>
      </w:r>
    </w:p>
    <w:p w14:paraId="6C101583" w14:textId="77777777" w:rsidR="0057577E" w:rsidRPr="008115FB" w:rsidRDefault="0057577E" w:rsidP="0057577E">
      <w:pPr>
        <w:spacing w:before="240" w:after="240" w:line="276" w:lineRule="auto"/>
        <w:ind w:right="124"/>
        <w:jc w:val="both"/>
        <w:rPr>
          <w:sz w:val="24"/>
          <w:szCs w:val="24"/>
        </w:rPr>
      </w:pPr>
      <w:r w:rsidRPr="00BD1B6F">
        <w:rPr>
          <w:color w:val="131313"/>
          <w:sz w:val="24"/>
          <w:szCs w:val="24"/>
        </w:rPr>
        <w:t>Nastav</w:t>
      </w:r>
      <w:r w:rsidRPr="008115FB">
        <w:rPr>
          <w:color w:val="131313"/>
          <w:sz w:val="24"/>
          <w:szCs w:val="24"/>
        </w:rPr>
        <w:t xml:space="preserve">ljeni su napori na razvijanju učinkovite, djelotvorne i visoko profesionalizirane obrambene sposobnosti Hrvatske vojske. U 2022. ostvaren </w:t>
      </w:r>
      <w:r>
        <w:rPr>
          <w:color w:val="131313"/>
          <w:sz w:val="24"/>
          <w:szCs w:val="24"/>
        </w:rPr>
        <w:t xml:space="preserve">je </w:t>
      </w:r>
      <w:r w:rsidRPr="008115FB">
        <w:rPr>
          <w:color w:val="131313"/>
          <w:sz w:val="24"/>
          <w:szCs w:val="24"/>
        </w:rPr>
        <w:t>daljnji napredak u opremanju i modernizaciji Hrvatske vojske, poticanju međunarodnog mira,</w:t>
      </w:r>
      <w:r>
        <w:rPr>
          <w:color w:val="131313"/>
          <w:spacing w:val="80"/>
          <w:sz w:val="24"/>
          <w:szCs w:val="24"/>
        </w:rPr>
        <w:t xml:space="preserve"> </w:t>
      </w:r>
      <w:r w:rsidRPr="008115FB">
        <w:rPr>
          <w:color w:val="131313"/>
          <w:sz w:val="24"/>
          <w:szCs w:val="24"/>
        </w:rPr>
        <w:t>sigurnosti i povjerenja te</w:t>
      </w:r>
      <w:r w:rsidRPr="008115FB">
        <w:rPr>
          <w:color w:val="131313"/>
          <w:spacing w:val="-1"/>
          <w:sz w:val="24"/>
          <w:szCs w:val="24"/>
        </w:rPr>
        <w:t xml:space="preserve"> </w:t>
      </w:r>
      <w:r w:rsidRPr="008115FB">
        <w:rPr>
          <w:color w:val="131313"/>
          <w:sz w:val="24"/>
          <w:szCs w:val="24"/>
        </w:rPr>
        <w:t>pružanju potpore civilnim institucijama i stanovništvu.</w:t>
      </w:r>
    </w:p>
    <w:p w14:paraId="40164318" w14:textId="77777777" w:rsidR="0057577E" w:rsidRPr="008115FB" w:rsidRDefault="0057577E" w:rsidP="0057577E">
      <w:pPr>
        <w:spacing w:line="276" w:lineRule="auto"/>
        <w:jc w:val="both"/>
        <w:rPr>
          <w:color w:val="000000" w:themeColor="text1"/>
          <w:sz w:val="24"/>
          <w:szCs w:val="24"/>
        </w:rPr>
      </w:pPr>
      <w:r w:rsidRPr="008115FB">
        <w:rPr>
          <w:color w:val="000000" w:themeColor="text1"/>
          <w:sz w:val="24"/>
          <w:szCs w:val="24"/>
        </w:rPr>
        <w:t xml:space="preserve">Nastavljena je provedba započetih projekata opremanja i modernizacije, s naglaskom na višenamjenski borbeni avion (VBA) </w:t>
      </w:r>
      <w:r w:rsidRPr="0068437B">
        <w:rPr>
          <w:i/>
          <w:iCs/>
          <w:color w:val="000000" w:themeColor="text1"/>
          <w:sz w:val="24"/>
          <w:szCs w:val="24"/>
        </w:rPr>
        <w:t>Rafale</w:t>
      </w:r>
      <w:r w:rsidRPr="008115FB">
        <w:rPr>
          <w:color w:val="000000" w:themeColor="text1"/>
          <w:sz w:val="24"/>
          <w:szCs w:val="24"/>
        </w:rPr>
        <w:t xml:space="preserve">, borbeno vozilo pješaštva </w:t>
      </w:r>
      <w:r w:rsidRPr="004C1D5B">
        <w:rPr>
          <w:i/>
          <w:color w:val="000000" w:themeColor="text1"/>
          <w:sz w:val="24"/>
          <w:szCs w:val="24"/>
        </w:rPr>
        <w:t>Bradley</w:t>
      </w:r>
      <w:r w:rsidRPr="008115FB">
        <w:rPr>
          <w:color w:val="000000" w:themeColor="text1"/>
          <w:sz w:val="24"/>
          <w:szCs w:val="24"/>
        </w:rPr>
        <w:t xml:space="preserve">, višenamjenski helikopter </w:t>
      </w:r>
      <w:r w:rsidRPr="004C1D5B">
        <w:rPr>
          <w:i/>
          <w:color w:val="000000" w:themeColor="text1"/>
          <w:sz w:val="24"/>
          <w:szCs w:val="24"/>
        </w:rPr>
        <w:t>Black Hawk,</w:t>
      </w:r>
      <w:r w:rsidRPr="008115FB">
        <w:rPr>
          <w:color w:val="000000" w:themeColor="text1"/>
          <w:sz w:val="24"/>
          <w:szCs w:val="24"/>
        </w:rPr>
        <w:t xml:space="preserve"> vojnu terensku bolnicu ROLE 2B</w:t>
      </w:r>
      <w:r>
        <w:rPr>
          <w:color w:val="000000" w:themeColor="text1"/>
          <w:sz w:val="24"/>
          <w:szCs w:val="24"/>
        </w:rPr>
        <w:t>,</w:t>
      </w:r>
      <w:r w:rsidRPr="008115FB">
        <w:rPr>
          <w:color w:val="000000" w:themeColor="text1"/>
          <w:sz w:val="24"/>
          <w:szCs w:val="24"/>
        </w:rPr>
        <w:t xml:space="preserve"> i druge sposobnosti u potpori nacionalnih prioriteta te prioriteta NATO-a i Europske unije.</w:t>
      </w:r>
    </w:p>
    <w:p w14:paraId="3118B6FA" w14:textId="77777777" w:rsidR="0057577E" w:rsidRPr="008115FB" w:rsidRDefault="0057577E" w:rsidP="0057577E">
      <w:pPr>
        <w:spacing w:before="240" w:after="240" w:line="276" w:lineRule="auto"/>
        <w:ind w:right="114"/>
        <w:jc w:val="both"/>
        <w:rPr>
          <w:color w:val="131313"/>
          <w:sz w:val="24"/>
          <w:szCs w:val="24"/>
        </w:rPr>
      </w:pPr>
      <w:r w:rsidRPr="008115FB">
        <w:rPr>
          <w:sz w:val="24"/>
          <w:szCs w:val="24"/>
        </w:rPr>
        <w:t xml:space="preserve">Nabavom </w:t>
      </w:r>
      <w:r>
        <w:rPr>
          <w:sz w:val="24"/>
          <w:szCs w:val="24"/>
        </w:rPr>
        <w:t>12</w:t>
      </w:r>
      <w:r w:rsidRPr="008115FB">
        <w:rPr>
          <w:sz w:val="24"/>
          <w:szCs w:val="24"/>
        </w:rPr>
        <w:t xml:space="preserve"> višenamjenskih borbenih aviona </w:t>
      </w:r>
      <w:r w:rsidRPr="0068437B">
        <w:rPr>
          <w:i/>
          <w:iCs/>
          <w:sz w:val="24"/>
          <w:szCs w:val="24"/>
        </w:rPr>
        <w:t>Rafale</w:t>
      </w:r>
      <w:r w:rsidRPr="008115FB">
        <w:rPr>
          <w:sz w:val="24"/>
          <w:szCs w:val="24"/>
        </w:rPr>
        <w:t xml:space="preserve"> značajno se unaprjeđuju nacionalne obrambene sposobnosti, zadržava tradicija lovačkog borbenog zrakoplovstva te jača položaj Hrvatske u okviru NATO-a i E</w:t>
      </w:r>
      <w:r>
        <w:rPr>
          <w:sz w:val="24"/>
          <w:szCs w:val="24"/>
        </w:rPr>
        <w:t>U-a</w:t>
      </w:r>
      <w:r w:rsidRPr="008115FB">
        <w:rPr>
          <w:sz w:val="24"/>
          <w:szCs w:val="24"/>
        </w:rPr>
        <w:t xml:space="preserve">. Daljnje jačanje Hrvatskog ratnog zrakoplovstva provedeno je i nabavom </w:t>
      </w:r>
      <w:r>
        <w:rPr>
          <w:sz w:val="24"/>
          <w:szCs w:val="24"/>
        </w:rPr>
        <w:t>4</w:t>
      </w:r>
      <w:r w:rsidRPr="008115FB">
        <w:rPr>
          <w:sz w:val="24"/>
          <w:szCs w:val="24"/>
        </w:rPr>
        <w:t xml:space="preserve"> višenamjenska helikoptera </w:t>
      </w:r>
      <w:r w:rsidRPr="008115FB">
        <w:rPr>
          <w:i/>
          <w:sz w:val="24"/>
          <w:szCs w:val="24"/>
        </w:rPr>
        <w:t>Black Hawk</w:t>
      </w:r>
      <w:r w:rsidRPr="008115FB">
        <w:rPr>
          <w:sz w:val="24"/>
          <w:szCs w:val="24"/>
        </w:rPr>
        <w:t xml:space="preserve">, od kojih su </w:t>
      </w:r>
      <w:r>
        <w:rPr>
          <w:sz w:val="24"/>
          <w:szCs w:val="24"/>
        </w:rPr>
        <w:t>2</w:t>
      </w:r>
      <w:r w:rsidRPr="008115FB">
        <w:rPr>
          <w:sz w:val="24"/>
          <w:szCs w:val="24"/>
        </w:rPr>
        <w:t xml:space="preserve"> isporučena u sklopu donacije Sjedinjenih Američkih Država.</w:t>
      </w:r>
    </w:p>
    <w:p w14:paraId="1C3064B2" w14:textId="77777777" w:rsidR="0057577E" w:rsidRPr="008115FB" w:rsidRDefault="0057577E" w:rsidP="0057577E">
      <w:pPr>
        <w:spacing w:line="276" w:lineRule="auto"/>
        <w:jc w:val="both"/>
        <w:rPr>
          <w:color w:val="161616"/>
          <w:sz w:val="20"/>
          <w:szCs w:val="20"/>
        </w:rPr>
      </w:pPr>
      <w:r w:rsidRPr="008115FB">
        <w:rPr>
          <w:sz w:val="24"/>
          <w:szCs w:val="24"/>
        </w:rPr>
        <w:t xml:space="preserve">Tijekom 2022. nastavljen je i projekt opremanja borbenim vozilima pješaštva </w:t>
      </w:r>
      <w:r w:rsidRPr="008115FB">
        <w:rPr>
          <w:i/>
          <w:sz w:val="24"/>
          <w:szCs w:val="24"/>
        </w:rPr>
        <w:t>Bradley</w:t>
      </w:r>
      <w:r w:rsidRPr="008115FB">
        <w:rPr>
          <w:sz w:val="24"/>
          <w:szCs w:val="24"/>
        </w:rPr>
        <w:t xml:space="preserve">, gdje je prihvaćena ponuda Vlade Sjedinjenih Američkih Država o donaciji 89 borbenih vozila te obnovi i dovođenju u operativno stanje 62 borbena vozila. Projektom će se značajno unaprijediti obrambene sposobnosti </w:t>
      </w:r>
      <w:r>
        <w:rPr>
          <w:sz w:val="24"/>
          <w:szCs w:val="24"/>
        </w:rPr>
        <w:t>H</w:t>
      </w:r>
      <w:r w:rsidRPr="008115FB">
        <w:rPr>
          <w:sz w:val="24"/>
          <w:szCs w:val="24"/>
        </w:rPr>
        <w:t xml:space="preserve">rvatske vojske na kopnu te će se ujedno pružiti potpora hrvatskoj industriji uključivanjem hrvatskih tvrtki u aktivnosti modernizacije i održavanja borbenih vozila </w:t>
      </w:r>
      <w:r w:rsidRPr="004C1D5B">
        <w:rPr>
          <w:i/>
          <w:sz w:val="24"/>
          <w:szCs w:val="24"/>
        </w:rPr>
        <w:t>Bradley.</w:t>
      </w:r>
      <w:r w:rsidRPr="008115FB">
        <w:rPr>
          <w:color w:val="161616"/>
          <w:sz w:val="20"/>
          <w:szCs w:val="20"/>
        </w:rPr>
        <w:t xml:space="preserve"> </w:t>
      </w:r>
    </w:p>
    <w:p w14:paraId="0793CC45" w14:textId="77777777" w:rsidR="0057577E" w:rsidRPr="008115FB" w:rsidRDefault="0057577E" w:rsidP="0057577E">
      <w:pPr>
        <w:spacing w:line="276" w:lineRule="auto"/>
        <w:jc w:val="both"/>
        <w:rPr>
          <w:sz w:val="20"/>
          <w:szCs w:val="20"/>
        </w:rPr>
      </w:pPr>
    </w:p>
    <w:p w14:paraId="4C10311B" w14:textId="77777777" w:rsidR="0057577E" w:rsidRPr="008115FB" w:rsidRDefault="0057577E" w:rsidP="0057577E">
      <w:pPr>
        <w:spacing w:line="276" w:lineRule="auto"/>
        <w:jc w:val="both"/>
        <w:rPr>
          <w:sz w:val="24"/>
          <w:szCs w:val="24"/>
        </w:rPr>
      </w:pPr>
      <w:r w:rsidRPr="008115FB">
        <w:rPr>
          <w:sz w:val="24"/>
          <w:szCs w:val="24"/>
        </w:rPr>
        <w:t xml:space="preserve">Na području pomorskih sposobnosti provedena je nabava plovila za nadzor morskog ribarstva čime su ostvarena dva cilja - ojačane su nacionalne sposobnosti za nadzor morskog ribarstva, kao i sposobnosti Obalne straže Republike Hrvatske za provedbu </w:t>
      </w:r>
      <w:r w:rsidRPr="008115FB">
        <w:rPr>
          <w:sz w:val="24"/>
          <w:szCs w:val="24"/>
        </w:rPr>
        <w:lastRenderedPageBreak/>
        <w:t xml:space="preserve">ove i drugih zadaća, kao što su traganje i spašavanje na moru. Prioritet je i nastavak projekta gradnje </w:t>
      </w:r>
      <w:r>
        <w:rPr>
          <w:sz w:val="24"/>
          <w:szCs w:val="24"/>
        </w:rPr>
        <w:t>4</w:t>
      </w:r>
      <w:r w:rsidRPr="008115FB">
        <w:rPr>
          <w:sz w:val="24"/>
          <w:szCs w:val="24"/>
        </w:rPr>
        <w:t xml:space="preserve"> obalna ophodna broda. </w:t>
      </w:r>
    </w:p>
    <w:p w14:paraId="2438C1EF" w14:textId="77777777" w:rsidR="0057577E" w:rsidRPr="008115FB" w:rsidRDefault="0057577E" w:rsidP="0057577E">
      <w:pPr>
        <w:spacing w:before="240" w:after="240" w:line="276" w:lineRule="auto"/>
        <w:ind w:right="131"/>
        <w:jc w:val="both"/>
        <w:rPr>
          <w:color w:val="161616"/>
          <w:sz w:val="24"/>
          <w:szCs w:val="24"/>
        </w:rPr>
      </w:pPr>
      <w:r w:rsidRPr="008115FB">
        <w:rPr>
          <w:color w:val="161616"/>
          <w:sz w:val="24"/>
          <w:szCs w:val="24"/>
        </w:rPr>
        <w:t>Nastavljeno je aktivno sudjelovanje u operacijama potpore miru, misijama i aktivnostima u</w:t>
      </w:r>
      <w:r w:rsidRPr="008115FB">
        <w:rPr>
          <w:color w:val="161616"/>
          <w:spacing w:val="-10"/>
          <w:sz w:val="24"/>
          <w:szCs w:val="24"/>
        </w:rPr>
        <w:t xml:space="preserve"> </w:t>
      </w:r>
      <w:r w:rsidRPr="008115FB">
        <w:rPr>
          <w:color w:val="161616"/>
          <w:sz w:val="24"/>
          <w:szCs w:val="24"/>
        </w:rPr>
        <w:t>okviru NATO-a, EU-a</w:t>
      </w:r>
      <w:r w:rsidRPr="008115FB">
        <w:rPr>
          <w:color w:val="161616"/>
          <w:spacing w:val="-2"/>
          <w:sz w:val="24"/>
          <w:szCs w:val="24"/>
        </w:rPr>
        <w:t xml:space="preserve"> </w:t>
      </w:r>
      <w:r w:rsidRPr="008115FB">
        <w:rPr>
          <w:color w:val="161616"/>
          <w:sz w:val="24"/>
          <w:szCs w:val="24"/>
        </w:rPr>
        <w:t xml:space="preserve">i </w:t>
      </w:r>
      <w:r>
        <w:rPr>
          <w:color w:val="161616"/>
          <w:sz w:val="24"/>
          <w:szCs w:val="24"/>
        </w:rPr>
        <w:t>UN-a</w:t>
      </w:r>
      <w:r w:rsidRPr="008115FB">
        <w:rPr>
          <w:color w:val="161616"/>
          <w:sz w:val="24"/>
          <w:szCs w:val="24"/>
        </w:rPr>
        <w:t xml:space="preserve">. Tijekom 2022. u međunarodnim operacijama, misijama i drugim aktivnostima bilo je angažirano ukupno 734 pripadnika Hrvatske vojske. Uslijed pogoršanja sigurnosne situacije na istoku Europe, Hrvatska je sudjelovala u daljnjem jačanju savezničkog postava odvraćanja i obrane. </w:t>
      </w:r>
    </w:p>
    <w:p w14:paraId="3074C198" w14:textId="77777777" w:rsidR="0057577E" w:rsidRPr="008115FB" w:rsidRDefault="0057577E" w:rsidP="0057577E">
      <w:pPr>
        <w:spacing w:before="240" w:after="240" w:line="276" w:lineRule="auto"/>
        <w:ind w:right="130"/>
        <w:jc w:val="both"/>
        <w:rPr>
          <w:sz w:val="24"/>
          <w:szCs w:val="24"/>
        </w:rPr>
      </w:pPr>
      <w:r w:rsidRPr="008115FB">
        <w:rPr>
          <w:sz w:val="24"/>
          <w:szCs w:val="24"/>
        </w:rPr>
        <w:t>Hrvatska vojska, kao jedna od ključnih sastavnica sustava domovinske sigurnosti, nastavila je unaprjeđivati svoje sposobnosti za pružanje potpore stanovništvu i civilnim institucijama u slučaju katastrofa i velikih nesreća. Uz izniman doprinos u protupožarnim aktivnostima na nacionalnoj i međunarodnoj razini, Hrvatska vojska je i tijekom 2022. nastavila pružati pomoć stanovništvu i lokalnoj zajednici u otklanjanju posljedica prirodnih katastrofa u pogođenim područjima, traganju i spašavanju na kopnu i moru, medicinskom prevoženju, kao i u drugim situacijama u kojima civilne sposobnosti nisu bile dostatne.</w:t>
      </w:r>
    </w:p>
    <w:p w14:paraId="0A33C0E9" w14:textId="77777777" w:rsidR="0057577E" w:rsidRPr="008115FB" w:rsidRDefault="0057577E" w:rsidP="0057577E">
      <w:pPr>
        <w:spacing w:before="240" w:after="240" w:line="276" w:lineRule="auto"/>
        <w:ind w:right="114"/>
        <w:jc w:val="both"/>
        <w:rPr>
          <w:color w:val="161616"/>
          <w:sz w:val="24"/>
          <w:szCs w:val="24"/>
        </w:rPr>
      </w:pPr>
      <w:r w:rsidRPr="008115FB">
        <w:rPr>
          <w:color w:val="161616"/>
          <w:sz w:val="24"/>
          <w:szCs w:val="24"/>
        </w:rPr>
        <w:t>S ciljem jačanja obrambenih sposobnosti Oružanih snaga, ali i poticanja rasta i razvoja gospodarstva,</w:t>
      </w:r>
      <w:r w:rsidRPr="008115FB" w:rsidDel="00F52AE0">
        <w:rPr>
          <w:color w:val="161616"/>
          <w:sz w:val="24"/>
          <w:szCs w:val="24"/>
        </w:rPr>
        <w:t xml:space="preserve"> </w:t>
      </w:r>
      <w:r w:rsidRPr="008115FB">
        <w:rPr>
          <w:color w:val="161616"/>
          <w:sz w:val="24"/>
          <w:szCs w:val="24"/>
        </w:rPr>
        <w:t>nastavljena je suradnja s hrvatskom obrambenom industrijom. Za potrebe opremanja Hrvatske vojske potpisano je s hrvatskim proizvođačima 56 ugovora i okvirnih sporazuma o opremanju obrambenih snaga, ukupne vrijednosti 10,96 milijuna eura, a nastavljeno je i snažno poticanje uključivanja hrvatskih tvrtki u provedbu suradničkih projekata koje Europska komisija financira kroz Europski fond za obranu. S tim ciljem je potpisano i Pismo podrške kojim</w:t>
      </w:r>
      <w:r w:rsidRPr="008115FB">
        <w:rPr>
          <w:sz w:val="24"/>
          <w:szCs w:val="24"/>
        </w:rPr>
        <w:t xml:space="preserve"> se </w:t>
      </w:r>
      <w:r w:rsidRPr="008115FB">
        <w:rPr>
          <w:color w:val="161616"/>
          <w:sz w:val="24"/>
          <w:szCs w:val="24"/>
        </w:rPr>
        <w:t>u okviru Europskog fonda za obranu podržava provedba dvaju projekata hrvatskih tvrtki i institucija,</w:t>
      </w:r>
      <w:r w:rsidRPr="008115FB">
        <w:rPr>
          <w:sz w:val="24"/>
          <w:szCs w:val="24"/>
        </w:rPr>
        <w:t xml:space="preserve"> u području </w:t>
      </w:r>
      <w:r w:rsidRPr="008115FB">
        <w:rPr>
          <w:color w:val="161616"/>
          <w:sz w:val="24"/>
          <w:szCs w:val="24"/>
        </w:rPr>
        <w:t xml:space="preserve">istraživanja i razvoja najsuvremenijih obrambenih tehnologija i opreme. </w:t>
      </w:r>
    </w:p>
    <w:p w14:paraId="7E7C5234" w14:textId="77777777" w:rsidR="0057577E" w:rsidRPr="008115FB" w:rsidRDefault="0057577E" w:rsidP="0057577E">
      <w:pPr>
        <w:spacing w:before="240" w:after="240" w:line="276" w:lineRule="auto"/>
        <w:ind w:right="114"/>
        <w:jc w:val="both"/>
        <w:rPr>
          <w:color w:val="161616"/>
          <w:sz w:val="24"/>
          <w:szCs w:val="24"/>
        </w:rPr>
      </w:pPr>
      <w:r w:rsidRPr="008115FB">
        <w:rPr>
          <w:color w:val="151515"/>
          <w:w w:val="105"/>
          <w:sz w:val="24"/>
          <w:szCs w:val="24"/>
        </w:rPr>
        <w:t>R</w:t>
      </w:r>
      <w:r w:rsidRPr="008115FB">
        <w:rPr>
          <w:color w:val="161616"/>
          <w:sz w:val="24"/>
          <w:szCs w:val="24"/>
        </w:rPr>
        <w:t>adi poticanja međusobne suradnje na pripremi zajedničkih projekata istraživanja, razvoja i obrazovanja te jačanja konkurentnosti hrvatskog gospodarstva, a posebno sektora obrambene industrije</w:t>
      </w:r>
      <w:r>
        <w:rPr>
          <w:color w:val="161616"/>
          <w:sz w:val="24"/>
          <w:szCs w:val="24"/>
        </w:rPr>
        <w:t>,</w:t>
      </w:r>
      <w:r w:rsidRPr="008115FB">
        <w:rPr>
          <w:color w:val="151515"/>
          <w:w w:val="105"/>
          <w:sz w:val="24"/>
          <w:szCs w:val="24"/>
        </w:rPr>
        <w:t xml:space="preserve"> </w:t>
      </w:r>
      <w:r w:rsidRPr="008115FB">
        <w:rPr>
          <w:color w:val="161616"/>
          <w:sz w:val="24"/>
          <w:szCs w:val="24"/>
        </w:rPr>
        <w:t>nastavljena je provedba Sporazuma o međusobnoj suradnji Ministarstva obrane i Hrvatskog klastera konkurentnosti obrambene industrije. Sporazumom se definiraju načela i područja dugoročne suradnje na pripremi zajedničkih projekata istraživanja, razvoja i obrazovanja radi jačanja konkurentnosti hrvatske obrambene industrije.</w:t>
      </w:r>
      <w:r w:rsidRPr="008115FB" w:rsidDel="00CB4348">
        <w:rPr>
          <w:color w:val="161616"/>
          <w:sz w:val="24"/>
          <w:szCs w:val="24"/>
        </w:rPr>
        <w:t xml:space="preserve"> </w:t>
      </w:r>
    </w:p>
    <w:p w14:paraId="026A9180" w14:textId="77777777" w:rsidR="0057577E" w:rsidRPr="008115FB" w:rsidRDefault="0057577E" w:rsidP="0057577E">
      <w:pPr>
        <w:spacing w:before="240" w:after="240" w:line="276" w:lineRule="auto"/>
        <w:ind w:right="117"/>
        <w:jc w:val="both"/>
        <w:rPr>
          <w:iCs/>
          <w:color w:val="161616"/>
          <w:spacing w:val="-2"/>
          <w:sz w:val="24"/>
          <w:szCs w:val="24"/>
        </w:rPr>
      </w:pPr>
      <w:r w:rsidRPr="008115FB">
        <w:rPr>
          <w:color w:val="161616"/>
          <w:sz w:val="24"/>
          <w:szCs w:val="24"/>
        </w:rPr>
        <w:t>U skladu sa Zakonom o osnivanju Sveučilišta obrane i sigurnosti, tijekom</w:t>
      </w:r>
      <w:r w:rsidRPr="008115FB">
        <w:rPr>
          <w:color w:val="161616"/>
          <w:spacing w:val="40"/>
          <w:sz w:val="24"/>
          <w:szCs w:val="24"/>
        </w:rPr>
        <w:t xml:space="preserve"> </w:t>
      </w:r>
      <w:r w:rsidRPr="008115FB">
        <w:rPr>
          <w:color w:val="161616"/>
          <w:sz w:val="24"/>
          <w:szCs w:val="24"/>
        </w:rPr>
        <w:t xml:space="preserve">2022. nastavljeni </w:t>
      </w:r>
      <w:r>
        <w:rPr>
          <w:color w:val="161616"/>
          <w:sz w:val="24"/>
          <w:szCs w:val="24"/>
        </w:rPr>
        <w:t xml:space="preserve">su </w:t>
      </w:r>
      <w:r w:rsidRPr="008115FB">
        <w:rPr>
          <w:color w:val="161616"/>
          <w:sz w:val="24"/>
          <w:szCs w:val="24"/>
        </w:rPr>
        <w:t>napori</w:t>
      </w:r>
      <w:r w:rsidRPr="008115FB">
        <w:rPr>
          <w:color w:val="161616"/>
          <w:spacing w:val="40"/>
          <w:sz w:val="24"/>
          <w:szCs w:val="24"/>
        </w:rPr>
        <w:t xml:space="preserve"> </w:t>
      </w:r>
      <w:r w:rsidRPr="008115FB">
        <w:rPr>
          <w:color w:val="161616"/>
          <w:sz w:val="24"/>
          <w:szCs w:val="24"/>
        </w:rPr>
        <w:t>na pokretanju</w:t>
      </w:r>
      <w:r w:rsidRPr="008115FB">
        <w:rPr>
          <w:color w:val="161616"/>
          <w:spacing w:val="-8"/>
          <w:sz w:val="24"/>
          <w:szCs w:val="24"/>
        </w:rPr>
        <w:t xml:space="preserve"> </w:t>
      </w:r>
      <w:r w:rsidRPr="008115FB">
        <w:rPr>
          <w:color w:val="161616"/>
          <w:sz w:val="24"/>
          <w:szCs w:val="24"/>
        </w:rPr>
        <w:t>Sveučilišta</w:t>
      </w:r>
      <w:r w:rsidRPr="008115FB">
        <w:rPr>
          <w:sz w:val="24"/>
          <w:szCs w:val="24"/>
        </w:rPr>
        <w:t xml:space="preserve"> </w:t>
      </w:r>
      <w:r w:rsidRPr="008115FB">
        <w:rPr>
          <w:color w:val="161616"/>
          <w:sz w:val="24"/>
          <w:szCs w:val="24"/>
        </w:rPr>
        <w:t>obrane i sigurnosti „Dr. Franjo Tuđman“</w:t>
      </w:r>
      <w:r w:rsidRPr="008115FB">
        <w:rPr>
          <w:color w:val="161616"/>
          <w:spacing w:val="-2"/>
          <w:sz w:val="24"/>
          <w:szCs w:val="24"/>
        </w:rPr>
        <w:t xml:space="preserve">. Osnivanjem Sveučilišta, </w:t>
      </w:r>
      <w:r w:rsidRPr="00D86710">
        <w:rPr>
          <w:color w:val="161616"/>
          <w:spacing w:val="-2"/>
          <w:sz w:val="24"/>
          <w:szCs w:val="24"/>
        </w:rPr>
        <w:t>postavit</w:t>
      </w:r>
      <w:r w:rsidRPr="008115FB">
        <w:rPr>
          <w:color w:val="161616"/>
          <w:spacing w:val="-2"/>
          <w:sz w:val="24"/>
          <w:szCs w:val="24"/>
        </w:rPr>
        <w:t xml:space="preserve"> će se trajni okvir za obrazovanje budućih časnika Hrvatske vojske, kao i zaposlenika drugih tijela čiji su poslovi i nadležnosti </w:t>
      </w:r>
      <w:r w:rsidRPr="008115FB">
        <w:rPr>
          <w:color w:val="161616"/>
          <w:spacing w:val="-2"/>
          <w:sz w:val="24"/>
          <w:szCs w:val="24"/>
        </w:rPr>
        <w:lastRenderedPageBreak/>
        <w:t xml:space="preserve">povezani sa sustavom domovinske sigurnosti. </w:t>
      </w:r>
      <w:r w:rsidRPr="008115FB">
        <w:rPr>
          <w:color w:val="000000"/>
          <w:sz w:val="24"/>
          <w:szCs w:val="24"/>
        </w:rPr>
        <w:t xml:space="preserve">U 2022. intenzivno se radilo na ispunjenju svih zakonskih preduvjeta za početak rada Sveučilišta čije je otvaranje planirano u </w:t>
      </w:r>
      <w:r>
        <w:rPr>
          <w:color w:val="000000"/>
          <w:sz w:val="24"/>
          <w:szCs w:val="24"/>
        </w:rPr>
        <w:t>narednom razdoblju</w:t>
      </w:r>
      <w:r w:rsidRPr="008115FB">
        <w:rPr>
          <w:color w:val="000000"/>
          <w:sz w:val="24"/>
          <w:szCs w:val="24"/>
        </w:rPr>
        <w:t>.</w:t>
      </w:r>
      <w:r w:rsidRPr="008115FB">
        <w:rPr>
          <w:i/>
          <w:sz w:val="24"/>
          <w:szCs w:val="24"/>
        </w:rPr>
        <w:t xml:space="preserve"> </w:t>
      </w:r>
    </w:p>
    <w:p w14:paraId="4D5C91AC" w14:textId="77777777" w:rsidR="0057577E" w:rsidRPr="008115FB" w:rsidRDefault="0057577E" w:rsidP="0057577E">
      <w:pPr>
        <w:spacing w:before="240" w:after="240" w:line="276" w:lineRule="auto"/>
        <w:ind w:right="117"/>
        <w:jc w:val="both"/>
        <w:rPr>
          <w:color w:val="161616"/>
          <w:spacing w:val="-2"/>
          <w:sz w:val="24"/>
          <w:szCs w:val="24"/>
        </w:rPr>
      </w:pPr>
      <w:r w:rsidRPr="008115FB">
        <w:rPr>
          <w:color w:val="161616"/>
          <w:spacing w:val="-2"/>
          <w:sz w:val="24"/>
          <w:szCs w:val="24"/>
        </w:rPr>
        <w:t xml:space="preserve">Nastavljena je provedba aktivnosti vojnog osposobljavanja te su u okviru dragovoljnog vojnog osposobljavanja, tijekom 2022. bila </w:t>
      </w:r>
      <w:r w:rsidRPr="0068437B">
        <w:rPr>
          <w:color w:val="161616"/>
          <w:spacing w:val="-2"/>
          <w:sz w:val="24"/>
          <w:szCs w:val="24"/>
        </w:rPr>
        <w:t>provedena 4 uputa</w:t>
      </w:r>
      <w:r w:rsidRPr="008115FB">
        <w:rPr>
          <w:color w:val="161616"/>
          <w:spacing w:val="-2"/>
          <w:sz w:val="24"/>
          <w:szCs w:val="24"/>
        </w:rPr>
        <w:t xml:space="preserve"> po redovnom programu te 6 uputa po skraćenom programu, za vrhunske sportaše i zdravstveno osoblje. Također je nastavljena </w:t>
      </w:r>
      <w:r w:rsidRPr="00D86710">
        <w:rPr>
          <w:color w:val="161616"/>
          <w:spacing w:val="-2"/>
          <w:sz w:val="24"/>
          <w:szCs w:val="24"/>
        </w:rPr>
        <w:t>provedba</w:t>
      </w:r>
      <w:r w:rsidRPr="008115FB">
        <w:rPr>
          <w:color w:val="161616"/>
          <w:spacing w:val="-2"/>
          <w:sz w:val="24"/>
          <w:szCs w:val="24"/>
        </w:rPr>
        <w:t xml:space="preserve"> promidžbenih aktivnosti i stimulativnih mjera, radi povećanja broja zainteresiranih kandidata koji se odazivaju na dragovoljno vojno osposobljavanje i poticanje na uključivanje mladih u vojnu službu. </w:t>
      </w:r>
    </w:p>
    <w:p w14:paraId="734D59D6" w14:textId="77777777" w:rsidR="0057577E" w:rsidRPr="008115FB" w:rsidRDefault="0057577E" w:rsidP="0057577E">
      <w:pPr>
        <w:spacing w:before="240" w:after="240" w:line="276" w:lineRule="auto"/>
        <w:ind w:right="117"/>
        <w:jc w:val="both"/>
        <w:rPr>
          <w:color w:val="161616"/>
          <w:spacing w:val="-2"/>
          <w:sz w:val="24"/>
          <w:szCs w:val="24"/>
        </w:rPr>
      </w:pPr>
      <w:r w:rsidRPr="008115FB">
        <w:rPr>
          <w:sz w:val="24"/>
          <w:szCs w:val="24"/>
        </w:rPr>
        <w:t xml:space="preserve">U okviru ispunjavanja međunarodnih obveza, Hrvatska </w:t>
      </w:r>
      <w:r>
        <w:rPr>
          <w:sz w:val="24"/>
          <w:szCs w:val="24"/>
        </w:rPr>
        <w:t xml:space="preserve">je </w:t>
      </w:r>
      <w:r w:rsidRPr="008115FB">
        <w:rPr>
          <w:sz w:val="24"/>
          <w:szCs w:val="24"/>
        </w:rPr>
        <w:t>dosegnula NATO smjernicu o obrambenim izdvajanjima od 20% za modernizaciju i opremanje te ostaje predana Zavjetu za obrambena izdvajanja i dostizanju smjernica o izdvajanjima za obranu od 2% BDP-a.</w:t>
      </w:r>
    </w:p>
    <w:p w14:paraId="797C5C3A" w14:textId="77777777" w:rsidR="0057577E" w:rsidRPr="00BD1B6F" w:rsidRDefault="0057577E" w:rsidP="0057577E">
      <w:pPr>
        <w:pStyle w:val="Heading4"/>
        <w:spacing w:before="240" w:after="240" w:line="276" w:lineRule="auto"/>
        <w:ind w:left="0"/>
        <w:rPr>
          <w:color w:val="000000" w:themeColor="text1"/>
        </w:rPr>
      </w:pPr>
      <w:r>
        <w:rPr>
          <w:color w:val="131313"/>
        </w:rPr>
        <w:tab/>
      </w:r>
      <w:r w:rsidRPr="00BD1B6F">
        <w:rPr>
          <w:color w:val="000000" w:themeColor="text1"/>
        </w:rPr>
        <w:t xml:space="preserve">Jačanje unutarnje sigurnosti </w:t>
      </w:r>
    </w:p>
    <w:p w14:paraId="32EB1615" w14:textId="77777777" w:rsidR="0057577E" w:rsidRPr="00BD1B6F" w:rsidRDefault="0057577E" w:rsidP="0057577E">
      <w:pPr>
        <w:widowControl/>
        <w:autoSpaceDE/>
        <w:autoSpaceDN/>
        <w:spacing w:before="240" w:after="240" w:line="276" w:lineRule="auto"/>
        <w:jc w:val="both"/>
        <w:rPr>
          <w:rFonts w:eastAsia="Calibri"/>
          <w:sz w:val="24"/>
          <w:szCs w:val="24"/>
        </w:rPr>
      </w:pPr>
      <w:bookmarkStart w:id="91" w:name="_Hlk140236964"/>
      <w:r w:rsidRPr="00BD1B6F">
        <w:rPr>
          <w:rFonts w:eastAsia="Calibri"/>
          <w:sz w:val="24"/>
          <w:szCs w:val="24"/>
        </w:rPr>
        <w:t xml:space="preserve">Radi osiguravanja spremnosti za ulazak u </w:t>
      </w:r>
      <w:r>
        <w:rPr>
          <w:rFonts w:eastAsia="Calibri"/>
          <w:sz w:val="24"/>
          <w:szCs w:val="24"/>
        </w:rPr>
        <w:t>S</w:t>
      </w:r>
      <w:r w:rsidRPr="00BD1B6F">
        <w:rPr>
          <w:rFonts w:eastAsia="Calibri"/>
          <w:sz w:val="24"/>
          <w:szCs w:val="24"/>
        </w:rPr>
        <w:t xml:space="preserve">chengenski prostor, tijekom 2022. nastavljeni </w:t>
      </w:r>
      <w:r>
        <w:rPr>
          <w:rFonts w:eastAsia="Calibri"/>
          <w:sz w:val="24"/>
          <w:szCs w:val="24"/>
        </w:rPr>
        <w:t xml:space="preserve">su </w:t>
      </w:r>
      <w:r w:rsidRPr="00BD1B6F">
        <w:rPr>
          <w:rFonts w:eastAsia="Calibri"/>
          <w:sz w:val="24"/>
          <w:szCs w:val="24"/>
        </w:rPr>
        <w:t xml:space="preserve">napori na učinkovitoj provedbi </w:t>
      </w:r>
      <w:r>
        <w:rPr>
          <w:rFonts w:eastAsia="Calibri"/>
          <w:sz w:val="24"/>
          <w:szCs w:val="24"/>
        </w:rPr>
        <w:t>S</w:t>
      </w:r>
      <w:r w:rsidRPr="00BD1B6F">
        <w:rPr>
          <w:rFonts w:eastAsia="Calibri"/>
          <w:sz w:val="24"/>
          <w:szCs w:val="24"/>
        </w:rPr>
        <w:t xml:space="preserve">chengenske pravne stečevine te izgradnji odgovarajućih institucionalnih i infrastrukturnih kapaciteta za njenu primjenu. Hrvatska je Odlukom Vijeća EU 2022/2451 od 8. prosinca 2022. o punoj primjeni odredaba </w:t>
      </w:r>
      <w:r>
        <w:rPr>
          <w:rFonts w:eastAsia="Calibri"/>
          <w:sz w:val="24"/>
          <w:szCs w:val="24"/>
        </w:rPr>
        <w:t>S</w:t>
      </w:r>
      <w:r w:rsidRPr="00BD1B6F">
        <w:rPr>
          <w:rFonts w:eastAsia="Calibri"/>
          <w:sz w:val="24"/>
          <w:szCs w:val="24"/>
        </w:rPr>
        <w:t xml:space="preserve">chengenske pravne stečevine u Republici Hrvatskoj, od 1. siječnja 2023. postala punopravna članica Schengenskog područja. </w:t>
      </w:r>
      <w:r>
        <w:rPr>
          <w:rFonts w:eastAsia="Calibri"/>
          <w:sz w:val="24"/>
          <w:szCs w:val="24"/>
        </w:rPr>
        <w:t>Budući</w:t>
      </w:r>
      <w:r w:rsidRPr="00BD1B6F">
        <w:rPr>
          <w:rFonts w:eastAsia="Calibri"/>
          <w:sz w:val="24"/>
          <w:szCs w:val="24"/>
        </w:rPr>
        <w:t xml:space="preserve"> da Hrvatska nadzire najdužu kopnenu vanjsku granicu EU</w:t>
      </w:r>
      <w:r>
        <w:rPr>
          <w:rFonts w:eastAsia="Calibri"/>
          <w:sz w:val="24"/>
          <w:szCs w:val="24"/>
        </w:rPr>
        <w:t>-a</w:t>
      </w:r>
      <w:r w:rsidRPr="00BD1B6F">
        <w:rPr>
          <w:rFonts w:eastAsia="Calibri"/>
          <w:sz w:val="24"/>
          <w:szCs w:val="24"/>
        </w:rPr>
        <w:t>, provedeni su značajni napori na uspostavljanju učinkovitog integriranog upravljanja granicom, odnosno osiguravanju odgovarajuće razine kontrole ulaska osoba i roba na područje EU</w:t>
      </w:r>
      <w:r>
        <w:rPr>
          <w:rFonts w:eastAsia="Calibri"/>
          <w:sz w:val="24"/>
          <w:szCs w:val="24"/>
        </w:rPr>
        <w:t>-a</w:t>
      </w:r>
      <w:r w:rsidRPr="00BD1B6F">
        <w:rPr>
          <w:rFonts w:eastAsia="Calibri"/>
          <w:sz w:val="24"/>
          <w:szCs w:val="24"/>
        </w:rPr>
        <w:t xml:space="preserve"> i Schengenski prostor. </w:t>
      </w:r>
    </w:p>
    <w:p w14:paraId="7FBAE497" w14:textId="77777777" w:rsidR="0057577E" w:rsidRPr="00BD1B6F" w:rsidRDefault="0057577E" w:rsidP="0057577E">
      <w:pPr>
        <w:widowControl/>
        <w:autoSpaceDE/>
        <w:autoSpaceDN/>
        <w:spacing w:before="240" w:after="240" w:line="276" w:lineRule="auto"/>
        <w:jc w:val="both"/>
        <w:rPr>
          <w:rFonts w:eastAsia="Calibri"/>
          <w:sz w:val="24"/>
          <w:szCs w:val="24"/>
        </w:rPr>
      </w:pPr>
      <w:r w:rsidRPr="00BD1B6F">
        <w:rPr>
          <w:rFonts w:eastAsia="Calibri"/>
          <w:sz w:val="24"/>
          <w:szCs w:val="24"/>
        </w:rPr>
        <w:t>Tijekom 2022.</w:t>
      </w:r>
      <w:r>
        <w:rPr>
          <w:rFonts w:eastAsia="Calibri"/>
          <w:sz w:val="24"/>
          <w:szCs w:val="24"/>
        </w:rPr>
        <w:t>,</w:t>
      </w:r>
      <w:r w:rsidRPr="00BD1B6F">
        <w:rPr>
          <w:rFonts w:eastAsia="Calibri"/>
          <w:sz w:val="24"/>
          <w:szCs w:val="24"/>
        </w:rPr>
        <w:t xml:space="preserve"> uz potporu Agencije za europsku graničnu i obalnu stražu (</w:t>
      </w:r>
      <w:r w:rsidRPr="00BD1B6F">
        <w:rPr>
          <w:color w:val="000000" w:themeColor="text1"/>
          <w:sz w:val="24"/>
          <w:szCs w:val="24"/>
        </w:rPr>
        <w:t>u daljnjem tekstu</w:t>
      </w:r>
      <w:r w:rsidRPr="008115FB">
        <w:rPr>
          <w:rFonts w:eastAsia="Calibri"/>
          <w:sz w:val="24"/>
          <w:szCs w:val="24"/>
        </w:rPr>
        <w:t xml:space="preserve">: </w:t>
      </w:r>
      <w:r w:rsidRPr="00BD1B6F">
        <w:rPr>
          <w:rFonts w:eastAsia="Calibri"/>
          <w:sz w:val="24"/>
          <w:szCs w:val="24"/>
        </w:rPr>
        <w:t>FRONTEX)</w:t>
      </w:r>
      <w:r>
        <w:rPr>
          <w:rFonts w:eastAsia="Calibri"/>
          <w:sz w:val="24"/>
          <w:szCs w:val="24"/>
        </w:rPr>
        <w:t>,</w:t>
      </w:r>
      <w:r w:rsidRPr="00BD1B6F">
        <w:rPr>
          <w:rFonts w:eastAsia="Calibri"/>
          <w:sz w:val="24"/>
          <w:szCs w:val="24"/>
        </w:rPr>
        <w:t xml:space="preserve"> pokrenuta je provedba Programa za potpomognuti dobrovoljni povratak državljana trećih zemalja, ukupne vrijednosti 682 tisuće eura. Također, uz potporu FRONTEX-a nastavljeni su napori na jačanju spremnosti policijskih snaga za provedbu aktivnosti na suzbijanju nezakonitih migracija u državama članicama i zaštite vanjskih granica EU</w:t>
      </w:r>
      <w:r>
        <w:rPr>
          <w:rFonts w:eastAsia="Calibri"/>
          <w:sz w:val="24"/>
          <w:szCs w:val="24"/>
        </w:rPr>
        <w:t>-a</w:t>
      </w:r>
      <w:r w:rsidRPr="00BD1B6F">
        <w:rPr>
          <w:rFonts w:eastAsia="Calibri"/>
          <w:sz w:val="24"/>
          <w:szCs w:val="24"/>
        </w:rPr>
        <w:t xml:space="preserve">. Tijekom 2022. ukupno je 135 policijskih službenika granične policije sudjelovalo u zajedničkim akcijama FRONTEX-a te je ukupno provedeno </w:t>
      </w:r>
      <w:r w:rsidRPr="00EB07D8">
        <w:rPr>
          <w:rFonts w:eastAsia="Calibri"/>
          <w:sz w:val="24"/>
          <w:szCs w:val="24"/>
        </w:rPr>
        <w:t>1</w:t>
      </w:r>
      <w:r>
        <w:rPr>
          <w:rFonts w:eastAsia="Calibri"/>
          <w:sz w:val="24"/>
          <w:szCs w:val="24"/>
        </w:rPr>
        <w:t>.</w:t>
      </w:r>
      <w:r w:rsidRPr="00EB07D8">
        <w:rPr>
          <w:rFonts w:eastAsia="Calibri"/>
          <w:sz w:val="24"/>
          <w:szCs w:val="24"/>
        </w:rPr>
        <w:t>480</w:t>
      </w:r>
      <w:r w:rsidRPr="00BD1B6F">
        <w:rPr>
          <w:rFonts w:eastAsia="Calibri"/>
          <w:sz w:val="24"/>
          <w:szCs w:val="24"/>
        </w:rPr>
        <w:t xml:space="preserve"> zajedničkih mješovitih ophodnji i drugih aktivnosti na zaštiti granice.</w:t>
      </w:r>
    </w:p>
    <w:p w14:paraId="3FE06134" w14:textId="77777777" w:rsidR="0057577E" w:rsidRPr="00BD1B6F" w:rsidRDefault="0057577E" w:rsidP="0057577E">
      <w:pPr>
        <w:widowControl/>
        <w:autoSpaceDE/>
        <w:autoSpaceDN/>
        <w:spacing w:before="240" w:after="240" w:line="276" w:lineRule="auto"/>
        <w:jc w:val="both"/>
        <w:rPr>
          <w:rFonts w:eastAsia="Calibri"/>
          <w:sz w:val="24"/>
          <w:szCs w:val="24"/>
        </w:rPr>
      </w:pPr>
      <w:r>
        <w:rPr>
          <w:rFonts w:eastAsia="Calibri"/>
          <w:sz w:val="24"/>
          <w:szCs w:val="24"/>
        </w:rPr>
        <w:t>S o</w:t>
      </w:r>
      <w:r w:rsidRPr="00BD1B6F">
        <w:rPr>
          <w:rFonts w:eastAsia="Calibri"/>
          <w:sz w:val="24"/>
          <w:szCs w:val="24"/>
        </w:rPr>
        <w:t>bzirom na neznatno povećanje ukupnog broja prijavljenih kaznenih dijela od 1% (ukupno 42.295 prijavljenih kaznenih djela) u odnosu na prethodnu godinu, uz zadržan visok postotak razriješenosti svih kaznenih djela od 71,9% (73,1% u 2021.)</w:t>
      </w:r>
      <w:r>
        <w:rPr>
          <w:rFonts w:eastAsia="Calibri"/>
          <w:sz w:val="24"/>
          <w:szCs w:val="24"/>
        </w:rPr>
        <w:t>,</w:t>
      </w:r>
      <w:r w:rsidRPr="00BD1B6F">
        <w:rPr>
          <w:rFonts w:eastAsia="Calibri"/>
          <w:sz w:val="24"/>
          <w:szCs w:val="24"/>
        </w:rPr>
        <w:t xml:space="preserve"> može </w:t>
      </w:r>
      <w:r w:rsidRPr="00BD1B6F">
        <w:rPr>
          <w:rFonts w:eastAsia="Calibri"/>
          <w:sz w:val="24"/>
          <w:szCs w:val="24"/>
        </w:rPr>
        <w:lastRenderedPageBreak/>
        <w:t xml:space="preserve">se zaključiti da je stanje sigurnosti u Hrvatskoj u 2022. bilo na visokoj razini kao i tijekom 2021. </w:t>
      </w:r>
    </w:p>
    <w:p w14:paraId="1DFDD465" w14:textId="77777777" w:rsidR="0057577E" w:rsidRPr="00BD1B6F" w:rsidRDefault="0057577E" w:rsidP="0057577E">
      <w:pPr>
        <w:widowControl/>
        <w:autoSpaceDE/>
        <w:autoSpaceDN/>
        <w:spacing w:before="240" w:after="240" w:line="276" w:lineRule="auto"/>
        <w:jc w:val="both"/>
        <w:rPr>
          <w:rFonts w:eastAsia="Calibri"/>
          <w:sz w:val="24"/>
          <w:szCs w:val="24"/>
        </w:rPr>
      </w:pPr>
      <w:r w:rsidRPr="00BD1B6F">
        <w:rPr>
          <w:rFonts w:eastAsia="Calibri"/>
          <w:sz w:val="24"/>
          <w:szCs w:val="24"/>
        </w:rPr>
        <w:t xml:space="preserve">S ciljem daljnjeg jačanja kapaciteta policije za provedbu aktivnosti evakuacije, traganja i spašavanja, potpisan je Ugovor o nabavi višenamjenskih helikoptera, ukupne vrijednosti 36,3 milijuna eura, od čega 30,8 milijuna financira EU. Isporuka helikoptera planirana </w:t>
      </w:r>
      <w:r>
        <w:rPr>
          <w:rFonts w:eastAsia="Calibri"/>
          <w:sz w:val="24"/>
          <w:szCs w:val="24"/>
        </w:rPr>
        <w:t xml:space="preserve">je </w:t>
      </w:r>
      <w:r w:rsidRPr="0068437B">
        <w:rPr>
          <w:rFonts w:eastAsia="Calibri"/>
          <w:sz w:val="24"/>
          <w:szCs w:val="24"/>
        </w:rPr>
        <w:t>u narednom razdoblju,</w:t>
      </w:r>
      <w:r w:rsidRPr="00BD1B6F">
        <w:rPr>
          <w:rFonts w:eastAsia="Calibri"/>
          <w:sz w:val="24"/>
          <w:szCs w:val="24"/>
        </w:rPr>
        <w:t xml:space="preserve"> a nabavom će se ojačati spremnost policijskih snaga za osiguravanje visoke razine sigurnosti u zemlji te osnažiti sposobnosti granične policije za suzbijanje nezakonitih migracija i zaštite vanjskih granica EU-a.</w:t>
      </w:r>
    </w:p>
    <w:p w14:paraId="2DC9EBA0" w14:textId="77777777" w:rsidR="0057577E" w:rsidRPr="00BD1B6F" w:rsidRDefault="0057577E" w:rsidP="0057577E">
      <w:pPr>
        <w:widowControl/>
        <w:autoSpaceDE/>
        <w:autoSpaceDN/>
        <w:spacing w:before="240" w:after="240" w:line="276" w:lineRule="auto"/>
        <w:jc w:val="both"/>
        <w:rPr>
          <w:sz w:val="24"/>
          <w:szCs w:val="24"/>
        </w:rPr>
      </w:pPr>
      <w:r w:rsidRPr="00BD1B6F">
        <w:rPr>
          <w:rFonts w:eastAsia="Calibri"/>
          <w:sz w:val="24"/>
          <w:szCs w:val="24"/>
        </w:rPr>
        <w:t>Tijekom 2022. osim kontinuiranih napora na provedbi mjera nadzora i unaprjeđenja sigurnosti prometa na cestama, poticana su</w:t>
      </w:r>
      <w:r>
        <w:rPr>
          <w:rFonts w:eastAsia="Calibri"/>
          <w:sz w:val="24"/>
          <w:szCs w:val="24"/>
        </w:rPr>
        <w:t>,</w:t>
      </w:r>
      <w:r w:rsidRPr="00BD1B6F">
        <w:rPr>
          <w:rFonts w:eastAsia="Calibri"/>
          <w:sz w:val="24"/>
          <w:szCs w:val="24"/>
        </w:rPr>
        <w:t xml:space="preserve"> na aktivno uključivanje u jačanje sigurnosti prometa i druga </w:t>
      </w:r>
      <w:r w:rsidRPr="006748D5">
        <w:rPr>
          <w:rFonts w:eastAsia="Calibri"/>
          <w:sz w:val="24"/>
          <w:szCs w:val="24"/>
        </w:rPr>
        <w:t>državn</w:t>
      </w:r>
      <w:r>
        <w:rPr>
          <w:rFonts w:eastAsia="Calibri"/>
          <w:sz w:val="24"/>
          <w:szCs w:val="24"/>
        </w:rPr>
        <w:t>a</w:t>
      </w:r>
      <w:r w:rsidRPr="00BD1B6F">
        <w:rPr>
          <w:rFonts w:eastAsia="Calibri"/>
          <w:sz w:val="24"/>
          <w:szCs w:val="24"/>
        </w:rPr>
        <w:t xml:space="preserve"> tijela, znanstvena i sveučilišna zajednica, gospodarski subjekti, organizacije civilnog društva te lokalna i regionalna samouprava, kako bi u suradnji s MUP-om doprinijeli smanjenju smrtnosti i teškog stradavanja na hrvatskim cestama. </w:t>
      </w:r>
      <w:r>
        <w:rPr>
          <w:rFonts w:eastAsia="Calibri"/>
          <w:sz w:val="24"/>
          <w:szCs w:val="24"/>
        </w:rPr>
        <w:t>S o</w:t>
      </w:r>
      <w:r w:rsidRPr="00BD1B6F">
        <w:rPr>
          <w:rFonts w:eastAsia="Calibri"/>
          <w:sz w:val="24"/>
          <w:szCs w:val="24"/>
        </w:rPr>
        <w:t xml:space="preserve">bzirom </w:t>
      </w:r>
      <w:r>
        <w:rPr>
          <w:rFonts w:eastAsia="Calibri"/>
          <w:sz w:val="24"/>
          <w:szCs w:val="24"/>
        </w:rPr>
        <w:t xml:space="preserve">na to </w:t>
      </w:r>
      <w:r w:rsidRPr="00BD1B6F">
        <w:rPr>
          <w:rFonts w:eastAsia="Calibri"/>
          <w:sz w:val="24"/>
          <w:szCs w:val="24"/>
        </w:rPr>
        <w:t>da se p</w:t>
      </w:r>
      <w:r w:rsidRPr="00BD1B6F">
        <w:rPr>
          <w:sz w:val="24"/>
          <w:szCs w:val="24"/>
        </w:rPr>
        <w:t>ovećanje prometa na cestama u Hrvatskoj nastavilo i u 2022</w:t>
      </w:r>
      <w:r w:rsidRPr="00956AE0">
        <w:rPr>
          <w:sz w:val="24"/>
          <w:szCs w:val="24"/>
        </w:rPr>
        <w:t>.</w:t>
      </w:r>
      <w:r>
        <w:rPr>
          <w:sz w:val="24"/>
          <w:szCs w:val="24"/>
        </w:rPr>
        <w:t>,</w:t>
      </w:r>
      <w:r w:rsidRPr="00BD1B6F">
        <w:rPr>
          <w:sz w:val="24"/>
          <w:szCs w:val="24"/>
        </w:rPr>
        <w:t xml:space="preserve"> zabilježeno je povećanje ukupnog broja prometnih nesreća od 3,5%, kao i broja teško ozlijeđenih osoba (11,5%) i lakše ozlijeđenih osoba (11,9%)</w:t>
      </w:r>
      <w:r>
        <w:rPr>
          <w:sz w:val="24"/>
          <w:szCs w:val="24"/>
        </w:rPr>
        <w:t xml:space="preserve"> </w:t>
      </w:r>
      <w:r w:rsidRPr="00BD1B6F">
        <w:rPr>
          <w:sz w:val="24"/>
          <w:szCs w:val="24"/>
        </w:rPr>
        <w:t xml:space="preserve">u odnosu na 2021. Usprkos povećanju ukupnog broja prometnih nesreća, broj poginulih osoba u prometu na cestama u 2022. bio </w:t>
      </w:r>
      <w:r>
        <w:rPr>
          <w:sz w:val="24"/>
          <w:szCs w:val="24"/>
        </w:rPr>
        <w:t xml:space="preserve">je </w:t>
      </w:r>
      <w:r w:rsidRPr="00BD1B6F">
        <w:rPr>
          <w:sz w:val="24"/>
          <w:szCs w:val="24"/>
        </w:rPr>
        <w:t>manji za 5,8% u odnosu na 2021</w:t>
      </w:r>
      <w:r w:rsidRPr="008115FB">
        <w:rPr>
          <w:sz w:val="24"/>
          <w:szCs w:val="24"/>
        </w:rPr>
        <w:t>.</w:t>
      </w:r>
      <w:r w:rsidRPr="00BD1B6F">
        <w:rPr>
          <w:sz w:val="24"/>
          <w:szCs w:val="24"/>
        </w:rPr>
        <w:t xml:space="preserve">, a ukupno je poginulo 275 osoba. </w:t>
      </w:r>
    </w:p>
    <w:p w14:paraId="36613729" w14:textId="77777777" w:rsidR="0057577E" w:rsidRPr="00BD1B6F" w:rsidRDefault="0057577E" w:rsidP="0057577E">
      <w:pPr>
        <w:widowControl/>
        <w:autoSpaceDE/>
        <w:autoSpaceDN/>
        <w:spacing w:before="240" w:after="240" w:line="276" w:lineRule="auto"/>
        <w:jc w:val="both"/>
        <w:rPr>
          <w:sz w:val="24"/>
          <w:szCs w:val="24"/>
        </w:rPr>
      </w:pPr>
      <w:r w:rsidRPr="00BD1B6F">
        <w:rPr>
          <w:sz w:val="24"/>
          <w:szCs w:val="24"/>
        </w:rPr>
        <w:t>U skladu s Nacionalnim planom sigurnosti cestovnog prometa Republike Hrvatske 2021.-2030., osim unaprjeđenja uvjeta prometovanja i saniranja opasnih mjesta, nastavljena je provedba aktivnosti nadzora poštivanja Zakona o sigurnosti prometa na cestama. Prema podacima za 2022.</w:t>
      </w:r>
      <w:r>
        <w:rPr>
          <w:sz w:val="24"/>
          <w:szCs w:val="24"/>
        </w:rPr>
        <w:t>,</w:t>
      </w:r>
      <w:r w:rsidRPr="00BD1B6F">
        <w:rPr>
          <w:sz w:val="24"/>
          <w:szCs w:val="24"/>
        </w:rPr>
        <w:t xml:space="preserve"> usprkos značajnom povećanju prometa zabilježeno je 5,4% manje prometnih prekršaja u odnosu na 2021., a najveća poboljšanja zabilježena </w:t>
      </w:r>
      <w:r>
        <w:rPr>
          <w:sz w:val="24"/>
          <w:szCs w:val="24"/>
        </w:rPr>
        <w:t xml:space="preserve">su </w:t>
      </w:r>
      <w:r w:rsidRPr="00BD1B6F">
        <w:rPr>
          <w:sz w:val="24"/>
          <w:szCs w:val="24"/>
        </w:rPr>
        <w:t xml:space="preserve">u području poštivanja najviših dopuštenih brzina, gdje je broj prekršaja smanjen za 10,8%. </w:t>
      </w:r>
    </w:p>
    <w:p w14:paraId="4A8DF829" w14:textId="77777777" w:rsidR="0057577E" w:rsidRPr="00BD1B6F" w:rsidRDefault="0057577E" w:rsidP="0057577E">
      <w:pPr>
        <w:widowControl/>
        <w:autoSpaceDE/>
        <w:autoSpaceDN/>
        <w:spacing w:before="240" w:after="240" w:line="276" w:lineRule="auto"/>
        <w:jc w:val="both"/>
        <w:rPr>
          <w:sz w:val="24"/>
          <w:szCs w:val="24"/>
        </w:rPr>
      </w:pPr>
      <w:r w:rsidRPr="00BD1B6F">
        <w:rPr>
          <w:sz w:val="24"/>
          <w:szCs w:val="24"/>
        </w:rPr>
        <w:t xml:space="preserve">Radi unaprjeđenja kvalitete i učinkovitosti postupanja policijskih službenika pri evidenciji i obradi prekršaja, u okviru Nacionalnog plana nastavljena </w:t>
      </w:r>
      <w:r>
        <w:rPr>
          <w:sz w:val="24"/>
          <w:szCs w:val="24"/>
        </w:rPr>
        <w:t xml:space="preserve">je </w:t>
      </w:r>
      <w:r w:rsidRPr="00BD1B6F">
        <w:rPr>
          <w:sz w:val="24"/>
          <w:szCs w:val="24"/>
        </w:rPr>
        <w:t xml:space="preserve">provedba </w:t>
      </w:r>
      <w:r>
        <w:rPr>
          <w:sz w:val="24"/>
          <w:szCs w:val="24"/>
        </w:rPr>
        <w:t>p</w:t>
      </w:r>
      <w:r w:rsidRPr="00BD1B6F">
        <w:rPr>
          <w:sz w:val="24"/>
          <w:szCs w:val="24"/>
        </w:rPr>
        <w:t>rojekta „Unaprjeđenje i modernizacija rada prometne policije“ ukupne vrijednosti 10 milijuna eura. Projektom se provodi modernizacija opreme i digitalizacija poslovnih procesa prometne policije, čime će se značajno povećati učinkovitost obrade prekršaja</w:t>
      </w:r>
      <w:r>
        <w:rPr>
          <w:sz w:val="24"/>
          <w:szCs w:val="24"/>
        </w:rPr>
        <w:t>,</w:t>
      </w:r>
      <w:r w:rsidRPr="00BD1B6F">
        <w:rPr>
          <w:sz w:val="24"/>
          <w:szCs w:val="24"/>
        </w:rPr>
        <w:t xml:space="preserve"> a transparentnost postupanja po pojedinom prekršaju podići na najvišu razinu. </w:t>
      </w:r>
    </w:p>
    <w:p w14:paraId="437615AF" w14:textId="77777777" w:rsidR="0057577E" w:rsidRPr="00BD1B6F" w:rsidRDefault="0057577E" w:rsidP="0057577E">
      <w:pPr>
        <w:widowControl/>
        <w:autoSpaceDE/>
        <w:autoSpaceDN/>
        <w:spacing w:before="240" w:after="240" w:line="276" w:lineRule="auto"/>
        <w:jc w:val="both"/>
        <w:rPr>
          <w:sz w:val="24"/>
          <w:szCs w:val="24"/>
        </w:rPr>
      </w:pPr>
      <w:r w:rsidRPr="00BD1B6F">
        <w:rPr>
          <w:sz w:val="24"/>
          <w:szCs w:val="24"/>
        </w:rPr>
        <w:t xml:space="preserve">Nadalje, s ciljem povećanja sigurnosti te smanjenja broja stradale djece u prometu, nastavljena je provedba </w:t>
      </w:r>
      <w:r>
        <w:rPr>
          <w:sz w:val="24"/>
          <w:szCs w:val="24"/>
        </w:rPr>
        <w:t>p</w:t>
      </w:r>
      <w:r w:rsidRPr="00BD1B6F">
        <w:rPr>
          <w:sz w:val="24"/>
          <w:szCs w:val="24"/>
        </w:rPr>
        <w:t xml:space="preserve">rojekta „Prometna Učilica“. </w:t>
      </w:r>
      <w:r>
        <w:rPr>
          <w:sz w:val="24"/>
          <w:szCs w:val="24"/>
        </w:rPr>
        <w:t xml:space="preserve">Radi se o </w:t>
      </w:r>
      <w:r w:rsidRPr="00BD1B6F">
        <w:rPr>
          <w:sz w:val="24"/>
          <w:szCs w:val="24"/>
        </w:rPr>
        <w:t xml:space="preserve">web </w:t>
      </w:r>
      <w:r>
        <w:rPr>
          <w:sz w:val="24"/>
          <w:szCs w:val="24"/>
        </w:rPr>
        <w:t>aplikaciji</w:t>
      </w:r>
      <w:r w:rsidRPr="00BD1B6F">
        <w:rPr>
          <w:sz w:val="24"/>
          <w:szCs w:val="24"/>
        </w:rPr>
        <w:t xml:space="preserve"> za djecu koja pruža poučne sadržaje i vježbe za</w:t>
      </w:r>
      <w:r w:rsidRPr="00BD1B6F">
        <w:t xml:space="preserve"> </w:t>
      </w:r>
      <w:r w:rsidRPr="00BD1B6F">
        <w:rPr>
          <w:sz w:val="24"/>
          <w:szCs w:val="24"/>
        </w:rPr>
        <w:t xml:space="preserve">upoznavanje s prometnim propisima i </w:t>
      </w:r>
      <w:r w:rsidRPr="00BD1B6F">
        <w:rPr>
          <w:sz w:val="24"/>
          <w:szCs w:val="24"/>
        </w:rPr>
        <w:lastRenderedPageBreak/>
        <w:t xml:space="preserve">pravilima te osnovama prometne kulture i poželjnog ponašanja u prometu. Osim primarne namjene, </w:t>
      </w:r>
      <w:r>
        <w:rPr>
          <w:sz w:val="24"/>
          <w:szCs w:val="24"/>
        </w:rPr>
        <w:t>aplikacija je</w:t>
      </w:r>
      <w:r w:rsidRPr="00BD1B6F">
        <w:rPr>
          <w:sz w:val="24"/>
          <w:szCs w:val="24"/>
        </w:rPr>
        <w:t xml:space="preserve"> dostupna i roditeljima i učiteljima kao </w:t>
      </w:r>
      <w:r>
        <w:rPr>
          <w:sz w:val="24"/>
          <w:szCs w:val="24"/>
        </w:rPr>
        <w:t>e-učenje</w:t>
      </w:r>
      <w:r w:rsidRPr="00BD1B6F">
        <w:rPr>
          <w:sz w:val="24"/>
          <w:szCs w:val="24"/>
        </w:rPr>
        <w:t xml:space="preserve"> platforma za poduku, pomoću koje se može pratiti napredak djece i potaknuti ih da o prometu uče na sveobuhvatan način. Tijekom 2022. platforma je dopunjena sadržajem za poučavanje i provjeru znanja sadržaja prometne kulture i prometnih propisa kod srednjoškolaca i mladih vozača. S ciljem poticanja većeg broja djece na korištenje i učenje putem </w:t>
      </w:r>
      <w:r>
        <w:rPr>
          <w:sz w:val="24"/>
          <w:szCs w:val="24"/>
        </w:rPr>
        <w:t>aplikacije</w:t>
      </w:r>
      <w:r w:rsidRPr="00BD1B6F">
        <w:rPr>
          <w:sz w:val="24"/>
          <w:szCs w:val="24"/>
        </w:rPr>
        <w:t>, svake se godine tijekom listopada i studenog provodi državno natjecanje osnovnoškolaca u poznavanju prometnih propisa.</w:t>
      </w:r>
    </w:p>
    <w:p w14:paraId="242ABDC8" w14:textId="77777777" w:rsidR="0057577E" w:rsidRPr="00BD1B6F" w:rsidRDefault="0057577E" w:rsidP="0057577E">
      <w:pPr>
        <w:widowControl/>
        <w:autoSpaceDE/>
        <w:autoSpaceDN/>
        <w:spacing w:before="240" w:after="240" w:line="276" w:lineRule="auto"/>
        <w:jc w:val="both"/>
        <w:rPr>
          <w:sz w:val="24"/>
          <w:szCs w:val="24"/>
        </w:rPr>
      </w:pPr>
      <w:r w:rsidRPr="00BD1B6F">
        <w:rPr>
          <w:sz w:val="24"/>
          <w:szCs w:val="24"/>
        </w:rPr>
        <w:t xml:space="preserve">Radi jačanja kibernetičke sigurnosti hrvatskih građana, nastavljeni su napori hrvatske policije na suzbijanju i otkrivanju počinitelja kaznenih djela kibernetičkog kriminaliteta te na provedbi EU preventivnih kampanja s ciljem osvještavanja građana na </w:t>
      </w:r>
      <w:r w:rsidRPr="005F4F49">
        <w:rPr>
          <w:sz w:val="24"/>
          <w:szCs w:val="24"/>
        </w:rPr>
        <w:t>opasnost</w:t>
      </w:r>
      <w:r w:rsidRPr="00BD1B6F">
        <w:rPr>
          <w:sz w:val="24"/>
          <w:szCs w:val="24"/>
        </w:rPr>
        <w:t xml:space="preserve"> od kibernetičkog kriminaliteta. Kibernetički kriminalitet je i 2022. bio u porastu, napadi su bili sofisticiraniji nego ikada, a dolazili su iz različitih izvora unutar i izvan EU-a. Prijavljeno je ukupno 1.864 kaznenih djela u području kibernetičkog kriminaliteta, odnosno 19,3% više u odnosu na 2021</w:t>
      </w:r>
      <w:r>
        <w:rPr>
          <w:sz w:val="24"/>
          <w:szCs w:val="24"/>
        </w:rPr>
        <w:t>.,</w:t>
      </w:r>
      <w:r w:rsidRPr="00BD1B6F">
        <w:rPr>
          <w:sz w:val="24"/>
          <w:szCs w:val="24"/>
        </w:rPr>
        <w:t xml:space="preserve"> uz nešto niži koeficijent razriješenosti od 62,3% (63,7% u 2021.). U području kibernetičkog kriminala</w:t>
      </w:r>
      <w:r>
        <w:rPr>
          <w:sz w:val="24"/>
          <w:szCs w:val="24"/>
        </w:rPr>
        <w:t>,</w:t>
      </w:r>
      <w:r w:rsidRPr="00BD1B6F">
        <w:rPr>
          <w:sz w:val="24"/>
          <w:szCs w:val="24"/>
        </w:rPr>
        <w:t xml:space="preserve"> najveći porast zabilježen </w:t>
      </w:r>
      <w:r>
        <w:rPr>
          <w:sz w:val="24"/>
          <w:szCs w:val="24"/>
        </w:rPr>
        <w:t xml:space="preserve">je </w:t>
      </w:r>
      <w:r w:rsidRPr="00BD1B6F">
        <w:rPr>
          <w:sz w:val="24"/>
          <w:szCs w:val="24"/>
        </w:rPr>
        <w:t xml:space="preserve">u kaznenim djelima neovlaštenog presretanja računalnih podataka, povrede autorskih prava te računalnih prijevara. </w:t>
      </w:r>
    </w:p>
    <w:p w14:paraId="16BF6804" w14:textId="77777777" w:rsidR="0057577E" w:rsidRPr="00BD1B6F" w:rsidRDefault="0057577E" w:rsidP="0057577E">
      <w:pPr>
        <w:widowControl/>
        <w:autoSpaceDE/>
        <w:autoSpaceDN/>
        <w:spacing w:before="240" w:after="240" w:line="276" w:lineRule="auto"/>
        <w:jc w:val="both"/>
        <w:rPr>
          <w:sz w:val="24"/>
          <w:szCs w:val="24"/>
        </w:rPr>
      </w:pPr>
      <w:r w:rsidRPr="00BD1B6F">
        <w:rPr>
          <w:sz w:val="24"/>
          <w:szCs w:val="24"/>
        </w:rPr>
        <w:t>U području kriminaliteta droga</w:t>
      </w:r>
      <w:r>
        <w:rPr>
          <w:sz w:val="24"/>
          <w:szCs w:val="24"/>
        </w:rPr>
        <w:t>,</w:t>
      </w:r>
      <w:r w:rsidRPr="00BD1B6F">
        <w:rPr>
          <w:sz w:val="24"/>
          <w:szCs w:val="24"/>
        </w:rPr>
        <w:t xml:space="preserve"> u 2022. uz porast od 2,9% u odnosu na 2021., prijavljena su ukupno 2.402 kaznena djela zlouporabe opojnih droga. Temeljem provedenih napora policijskih službenika, kako na domaćem tako i na međunarodnom planu, povećano je prijavljivanje organizatora i članova zločinačkih udruženja kriminaliteta droga (</w:t>
      </w:r>
      <w:r>
        <w:rPr>
          <w:sz w:val="24"/>
          <w:szCs w:val="24"/>
        </w:rPr>
        <w:t xml:space="preserve">rast od </w:t>
      </w:r>
      <w:r w:rsidRPr="00BD1B6F">
        <w:rPr>
          <w:sz w:val="24"/>
          <w:szCs w:val="24"/>
        </w:rPr>
        <w:t>3,4%), što je rezultiralo rastom zapljena od 9% u odnosu na 2021.</w:t>
      </w:r>
      <w:r>
        <w:rPr>
          <w:sz w:val="24"/>
          <w:szCs w:val="24"/>
        </w:rPr>
        <w:t>,</w:t>
      </w:r>
      <w:r w:rsidRPr="00BD1B6F">
        <w:rPr>
          <w:sz w:val="24"/>
          <w:szCs w:val="24"/>
        </w:rPr>
        <w:t xml:space="preserve"> te je u 9.748 provedenih zapljena, svih vrsta droga zaplijenjeno u ukupnoj količini od 1.644 kilograma.</w:t>
      </w:r>
    </w:p>
    <w:p w14:paraId="48062A6F" w14:textId="77777777" w:rsidR="0057577E" w:rsidRPr="00BD1B6F" w:rsidRDefault="0057577E" w:rsidP="0057577E">
      <w:pPr>
        <w:widowControl/>
        <w:autoSpaceDE/>
        <w:autoSpaceDN/>
        <w:spacing w:before="240" w:after="240" w:line="276" w:lineRule="auto"/>
        <w:jc w:val="both"/>
        <w:rPr>
          <w:sz w:val="24"/>
          <w:szCs w:val="24"/>
        </w:rPr>
      </w:pPr>
      <w:r w:rsidRPr="00BD1B6F">
        <w:rPr>
          <w:sz w:val="24"/>
          <w:szCs w:val="24"/>
        </w:rPr>
        <w:t>Tijekom 2022</w:t>
      </w:r>
      <w:r>
        <w:rPr>
          <w:sz w:val="24"/>
          <w:szCs w:val="24"/>
        </w:rPr>
        <w:t>.,</w:t>
      </w:r>
      <w:r w:rsidRPr="00BD1B6F">
        <w:rPr>
          <w:sz w:val="24"/>
          <w:szCs w:val="24"/>
        </w:rPr>
        <w:t xml:space="preserve"> napori u području razminiranja provodili </w:t>
      </w:r>
      <w:r>
        <w:rPr>
          <w:sz w:val="24"/>
          <w:szCs w:val="24"/>
        </w:rPr>
        <w:t xml:space="preserve">su se </w:t>
      </w:r>
      <w:r w:rsidRPr="00BD1B6F">
        <w:rPr>
          <w:sz w:val="24"/>
          <w:szCs w:val="24"/>
        </w:rPr>
        <w:t xml:space="preserve">u skladu s planiranom dinamikom. Osim razminiranja, provedene su aktivnosti izvida te kontrole stanja obilježenosti i ponovnog obilježavanja područja i građevina iz minski sumnjivog prostora. U 2022. dovršene su aktivnosti razminiranja za cjelokupno područje Požeško-slavonske županije koje je u cijelosti očišćeno od minskih eksplozivnih sredstava, dok se nastavlja čišćenje minski sumnjivog područja na području Osječko-baranjske i Šibensko-kninske županije koje se planira dovršiti tijekom 2023. </w:t>
      </w:r>
    </w:p>
    <w:p w14:paraId="2F96BB05" w14:textId="77777777" w:rsidR="0057577E" w:rsidRPr="00BD1B6F" w:rsidRDefault="0057577E" w:rsidP="0057577E">
      <w:pPr>
        <w:spacing w:line="276" w:lineRule="auto"/>
        <w:jc w:val="both"/>
        <w:rPr>
          <w:sz w:val="24"/>
          <w:szCs w:val="24"/>
        </w:rPr>
      </w:pPr>
      <w:r w:rsidRPr="00BD1B6F">
        <w:rPr>
          <w:sz w:val="24"/>
          <w:szCs w:val="24"/>
        </w:rPr>
        <w:t xml:space="preserve">S ciljem daljnjeg jačanja ljudskih, tehničkih i operativnih kapaciteta hrvatske policije, u 2022.  nastavljena </w:t>
      </w:r>
      <w:r>
        <w:rPr>
          <w:sz w:val="24"/>
          <w:szCs w:val="24"/>
        </w:rPr>
        <w:t xml:space="preserve">je </w:t>
      </w:r>
      <w:r w:rsidRPr="00BD1B6F">
        <w:rPr>
          <w:sz w:val="24"/>
          <w:szCs w:val="24"/>
        </w:rPr>
        <w:t xml:space="preserve">provedba projekata u okviru Nacionalnog programa Fonda za unutarnju sigurnost, Instrumenta za financijsku potporu u području policijske suradnje, sprečavanja i suzbijanja kriminala i upravljanja krizama te Instrumenta za financijsku potporu u području vanjskih granica i viza. Kako bi se unaprijedila kvaliteta </w:t>
      </w:r>
      <w:r w:rsidRPr="00BD1B6F">
        <w:rPr>
          <w:sz w:val="24"/>
          <w:szCs w:val="24"/>
        </w:rPr>
        <w:lastRenderedPageBreak/>
        <w:t xml:space="preserve">razmjene informacija na nacionalnoj i EU razini, uspostavom Nacionalnog biometrijskog sustava za povezivanje s EU sustavima (NABIS), u svibnju 2022. pokrenuta </w:t>
      </w:r>
      <w:r>
        <w:rPr>
          <w:sz w:val="24"/>
          <w:szCs w:val="24"/>
        </w:rPr>
        <w:t xml:space="preserve">je </w:t>
      </w:r>
      <w:r w:rsidRPr="00BD1B6F">
        <w:rPr>
          <w:sz w:val="24"/>
          <w:szCs w:val="24"/>
        </w:rPr>
        <w:t>provedba 2 projekta, ukupne vrijednosti 700 tisuća eura, od čega se 90% financira sredstvima Fonda za unutarnju sigurnost, kojima će se omogućiti svi preduvjeti za uspostavu jedinstvenog Nacionalnog biometrijskog sustava za povezivanje s EU sustavima.</w:t>
      </w:r>
      <w:r>
        <w:rPr>
          <w:sz w:val="24"/>
          <w:szCs w:val="24"/>
        </w:rPr>
        <w:t xml:space="preserve"> </w:t>
      </w:r>
    </w:p>
    <w:bookmarkEnd w:id="91"/>
    <w:p w14:paraId="4491685D" w14:textId="77777777" w:rsidR="0057577E" w:rsidRDefault="0057577E" w:rsidP="0057577E">
      <w:pPr>
        <w:spacing w:line="276" w:lineRule="auto"/>
        <w:jc w:val="both"/>
        <w:rPr>
          <w:sz w:val="24"/>
          <w:szCs w:val="24"/>
        </w:rPr>
      </w:pPr>
    </w:p>
    <w:p w14:paraId="195D7E72" w14:textId="77777777" w:rsidR="0057577E" w:rsidRPr="001B30D3" w:rsidRDefault="0057577E" w:rsidP="0057577E">
      <w:pPr>
        <w:spacing w:line="276" w:lineRule="auto"/>
        <w:jc w:val="both"/>
        <w:rPr>
          <w:b/>
          <w:color w:val="000000" w:themeColor="text1"/>
          <w:sz w:val="24"/>
          <w:szCs w:val="24"/>
        </w:rPr>
      </w:pPr>
      <w:r>
        <w:rPr>
          <w:b/>
          <w:bCs/>
          <w:sz w:val="24"/>
          <w:szCs w:val="24"/>
        </w:rPr>
        <w:tab/>
      </w:r>
      <w:r w:rsidRPr="001B30D3">
        <w:rPr>
          <w:b/>
          <w:color w:val="000000" w:themeColor="text1"/>
          <w:sz w:val="24"/>
          <w:szCs w:val="24"/>
        </w:rPr>
        <w:t>Borba protiv radikalizma, ekstremizma i terorizma</w:t>
      </w:r>
    </w:p>
    <w:p w14:paraId="32C899E8" w14:textId="77777777" w:rsidR="0057577E" w:rsidRPr="00BD1B6F" w:rsidRDefault="0057577E" w:rsidP="0057577E">
      <w:pPr>
        <w:widowControl/>
        <w:autoSpaceDE/>
        <w:autoSpaceDN/>
        <w:spacing w:before="240" w:after="240" w:line="276" w:lineRule="auto"/>
        <w:jc w:val="both"/>
        <w:rPr>
          <w:sz w:val="24"/>
          <w:szCs w:val="24"/>
        </w:rPr>
      </w:pPr>
      <w:r w:rsidRPr="00BD1B6F">
        <w:rPr>
          <w:sz w:val="24"/>
          <w:szCs w:val="24"/>
        </w:rPr>
        <w:t>Terorizam i u 2022. ostaje najopasnija prijetnja međunarodnom miru i sigurnosti te i dalje ima značajnu razinu prisutnosti na području Europe. Zbog toga se nastavljaju provoditi napori na sprječavanju pojave te širenj</w:t>
      </w:r>
      <w:r>
        <w:rPr>
          <w:sz w:val="24"/>
          <w:szCs w:val="24"/>
        </w:rPr>
        <w:t>u</w:t>
      </w:r>
      <w:r w:rsidRPr="00BD1B6F">
        <w:rPr>
          <w:sz w:val="24"/>
          <w:szCs w:val="24"/>
        </w:rPr>
        <w:t xml:space="preserve"> radikalizma i ekstremizma kojima se predlaže nasilje i terorizam za postizanje identitetskih ciljeva. Tijekom 2022. na području Europe zamijećeno </w:t>
      </w:r>
      <w:r>
        <w:rPr>
          <w:sz w:val="24"/>
          <w:szCs w:val="24"/>
        </w:rPr>
        <w:t xml:space="preserve">je </w:t>
      </w:r>
      <w:r w:rsidRPr="00BD1B6F">
        <w:rPr>
          <w:sz w:val="24"/>
          <w:szCs w:val="24"/>
        </w:rPr>
        <w:t xml:space="preserve">smanjeno djelovanje terorističkih organizacija u pripremi i organizaciji terorističkih napada te povećanje individualno izvedenih napada motiviranih ideologijama terorističkih organizacija, koje su počinile osobe koje se dotad nisu dovodile u vezu s terorizmom. </w:t>
      </w:r>
      <w:r>
        <w:rPr>
          <w:sz w:val="24"/>
          <w:szCs w:val="24"/>
        </w:rPr>
        <w:t xml:space="preserve">U </w:t>
      </w:r>
      <w:r w:rsidRPr="00BD1B6F">
        <w:rPr>
          <w:sz w:val="24"/>
          <w:szCs w:val="24"/>
        </w:rPr>
        <w:t>Hrvatskoj je tijekom 2022. prijavljeno ukupno 26 kaznenih djela terorizma i ekstremnog nasilja (21%</w:t>
      </w:r>
      <w:r>
        <w:rPr>
          <w:sz w:val="24"/>
          <w:szCs w:val="24"/>
        </w:rPr>
        <w:t xml:space="preserve"> manje u odnosu na 2021.</w:t>
      </w:r>
      <w:r w:rsidRPr="00BD1B6F">
        <w:rPr>
          <w:sz w:val="24"/>
          <w:szCs w:val="24"/>
        </w:rPr>
        <w:t xml:space="preserve">), od kojih su sva kaznena djela razriješena. </w:t>
      </w:r>
    </w:p>
    <w:p w14:paraId="54C51F7D" w14:textId="77777777" w:rsidR="0057577E" w:rsidRPr="00BD1B6F" w:rsidRDefault="0057577E" w:rsidP="0057577E">
      <w:pPr>
        <w:widowControl/>
        <w:autoSpaceDE/>
        <w:autoSpaceDN/>
        <w:spacing w:before="240" w:after="240" w:line="276" w:lineRule="auto"/>
        <w:jc w:val="both"/>
        <w:rPr>
          <w:sz w:val="24"/>
          <w:szCs w:val="24"/>
        </w:rPr>
      </w:pPr>
      <w:r>
        <w:rPr>
          <w:sz w:val="24"/>
          <w:szCs w:val="24"/>
        </w:rPr>
        <w:t>Budući</w:t>
      </w:r>
      <w:r w:rsidRPr="00BD1B6F">
        <w:rPr>
          <w:sz w:val="24"/>
          <w:szCs w:val="24"/>
        </w:rPr>
        <w:t xml:space="preserve"> da današnji desni ekstremizam</w:t>
      </w:r>
      <w:r w:rsidRPr="00BD1B6F">
        <w:t xml:space="preserve"> </w:t>
      </w:r>
      <w:r w:rsidRPr="00BD1B6F">
        <w:rPr>
          <w:sz w:val="24"/>
          <w:szCs w:val="24"/>
        </w:rPr>
        <w:t xml:space="preserve">u potpunosti slijedi terorističke okvire djelovanja u području pripreme i izvršenja incidenata, ali i u području radikalizacije te širenja svojih ideoloških usmjerenja, nužno </w:t>
      </w:r>
      <w:r>
        <w:rPr>
          <w:sz w:val="24"/>
          <w:szCs w:val="24"/>
        </w:rPr>
        <w:t>ga je</w:t>
      </w:r>
      <w:r w:rsidRPr="00BD1B6F">
        <w:rPr>
          <w:sz w:val="24"/>
          <w:szCs w:val="24"/>
        </w:rPr>
        <w:t xml:space="preserve"> promatrati kao novi izazov</w:t>
      </w:r>
      <w:r>
        <w:rPr>
          <w:sz w:val="24"/>
          <w:szCs w:val="24"/>
        </w:rPr>
        <w:t>,</w:t>
      </w:r>
      <w:r w:rsidRPr="00BD1B6F">
        <w:rPr>
          <w:sz w:val="24"/>
          <w:szCs w:val="24"/>
        </w:rPr>
        <w:t xml:space="preserve"> ne samo u nacionalnim nego i u međunarodnim okvirima. U</w:t>
      </w:r>
      <w:r>
        <w:rPr>
          <w:sz w:val="24"/>
          <w:szCs w:val="24"/>
        </w:rPr>
        <w:t xml:space="preserve"> </w:t>
      </w:r>
      <w:r w:rsidRPr="00BD1B6F">
        <w:rPr>
          <w:sz w:val="24"/>
          <w:szCs w:val="24"/>
        </w:rPr>
        <w:t xml:space="preserve">Hrvatskoj je posljednjih godina zabilježen trend rasta radikalizacije u društvu, što može dovesti do širenja pojave izoliranih radikaliziranih pojedinaca, međutim </w:t>
      </w:r>
      <w:r>
        <w:rPr>
          <w:sz w:val="24"/>
          <w:szCs w:val="24"/>
        </w:rPr>
        <w:t>H</w:t>
      </w:r>
      <w:r w:rsidRPr="00BD1B6F">
        <w:rPr>
          <w:sz w:val="24"/>
          <w:szCs w:val="24"/>
        </w:rPr>
        <w:t xml:space="preserve">rvatska policija je osigurala odgovarajuće operativne kapacitete te je u potpunosti posvećena praćenju takvih pojava. Također, provodi se kontinuirana operativna suradnja i razmjena informacija s drugim članicama EU-a te susjednim zemljama, posebno onima gdje se bilježi značajniji broj povratnika boraca sa stranih ratišta. </w:t>
      </w:r>
    </w:p>
    <w:p w14:paraId="2955DFD2" w14:textId="77777777" w:rsidR="0057577E" w:rsidRPr="00BD1B6F" w:rsidRDefault="0057577E" w:rsidP="0057577E">
      <w:pPr>
        <w:pStyle w:val="Heading4"/>
        <w:spacing w:before="240" w:after="240" w:line="276" w:lineRule="auto"/>
        <w:ind w:left="0" w:firstLine="720"/>
        <w:rPr>
          <w:color w:val="000000" w:themeColor="text1"/>
        </w:rPr>
      </w:pPr>
      <w:r w:rsidRPr="00BD1B6F">
        <w:rPr>
          <w:color w:val="000000" w:themeColor="text1"/>
        </w:rPr>
        <w:t>Jačanje otpornosti na rizike od katastrofa i unaprjeđenje sustava civilne zaštite</w:t>
      </w:r>
    </w:p>
    <w:p w14:paraId="5E7833DC" w14:textId="77777777" w:rsidR="0057577E" w:rsidRPr="00BD1B6F" w:rsidRDefault="0057577E" w:rsidP="0057577E">
      <w:pPr>
        <w:widowControl/>
        <w:autoSpaceDE/>
        <w:autoSpaceDN/>
        <w:spacing w:before="240" w:after="240" w:line="276" w:lineRule="auto"/>
        <w:jc w:val="both"/>
        <w:rPr>
          <w:rFonts w:eastAsia="Calibri"/>
          <w:sz w:val="24"/>
          <w:szCs w:val="24"/>
        </w:rPr>
      </w:pPr>
      <w:r w:rsidRPr="00BD1B6F">
        <w:rPr>
          <w:rFonts w:eastAsia="Calibri"/>
          <w:sz w:val="24"/>
          <w:szCs w:val="24"/>
        </w:rPr>
        <w:t xml:space="preserve">Učinkovito upravljanje rizikom od katastrofa, s ciljem sprječavanja nastanka novih ili smanjenja postojećih rizika od katastrofa, ključno je za jačanje otpornosti i sigurnosti društva, uključujući i otpornost kritične infrastrukture od nacionalnog značaja te </w:t>
      </w:r>
      <w:r w:rsidRPr="008115FB">
        <w:rPr>
          <w:rFonts w:eastAsia="Calibri"/>
          <w:sz w:val="24"/>
          <w:szCs w:val="24"/>
        </w:rPr>
        <w:t xml:space="preserve">za </w:t>
      </w:r>
      <w:r w:rsidRPr="00BD1B6F">
        <w:rPr>
          <w:rFonts w:eastAsia="Calibri"/>
          <w:sz w:val="24"/>
          <w:szCs w:val="24"/>
        </w:rPr>
        <w:t xml:space="preserve">daljnji </w:t>
      </w:r>
      <w:r w:rsidRPr="008115FB">
        <w:rPr>
          <w:rFonts w:eastAsia="Calibri"/>
          <w:sz w:val="24"/>
          <w:szCs w:val="24"/>
        </w:rPr>
        <w:t xml:space="preserve">održivi </w:t>
      </w:r>
      <w:r w:rsidRPr="00BD1B6F">
        <w:rPr>
          <w:rFonts w:eastAsia="Calibri"/>
          <w:sz w:val="24"/>
          <w:szCs w:val="24"/>
        </w:rPr>
        <w:t xml:space="preserve">razvoj </w:t>
      </w:r>
      <w:r w:rsidRPr="008115FB">
        <w:rPr>
          <w:rFonts w:eastAsia="Calibri"/>
          <w:sz w:val="24"/>
          <w:szCs w:val="24"/>
        </w:rPr>
        <w:t xml:space="preserve"> Hrvatske</w:t>
      </w:r>
      <w:r w:rsidRPr="00BD1B6F">
        <w:rPr>
          <w:rFonts w:eastAsia="Calibri"/>
          <w:sz w:val="24"/>
          <w:szCs w:val="24"/>
        </w:rPr>
        <w:t xml:space="preserve">. </w:t>
      </w:r>
    </w:p>
    <w:p w14:paraId="446A5E15" w14:textId="77777777" w:rsidR="0057577E" w:rsidRPr="00BD1B6F" w:rsidRDefault="0057577E" w:rsidP="0057577E">
      <w:pPr>
        <w:widowControl/>
        <w:autoSpaceDE/>
        <w:autoSpaceDN/>
        <w:spacing w:before="240" w:after="240" w:line="276" w:lineRule="auto"/>
        <w:jc w:val="both"/>
        <w:rPr>
          <w:rFonts w:eastAsia="Calibri"/>
          <w:sz w:val="24"/>
          <w:szCs w:val="24"/>
        </w:rPr>
      </w:pPr>
      <w:r w:rsidRPr="00BD1B6F">
        <w:rPr>
          <w:rFonts w:eastAsia="Calibri"/>
          <w:sz w:val="24"/>
          <w:szCs w:val="24"/>
        </w:rPr>
        <w:lastRenderedPageBreak/>
        <w:t xml:space="preserve">Radi postizanja sveobuhvatnog, održivog i dugoročno opravdanog upravljanja rizicima od katastrofa u Hrvatskoj, donesena je Strategija upravljanja rizicima od katastrofa do 2030. godine, s Akcijskim planom za razdoblje od 2022. do 2024. </w:t>
      </w:r>
      <w:r w:rsidRPr="008115FB">
        <w:rPr>
          <w:rFonts w:eastAsia="Calibri"/>
          <w:sz w:val="24"/>
          <w:szCs w:val="24"/>
        </w:rPr>
        <w:t xml:space="preserve">Strategijom i Akcijskim planom prvi </w:t>
      </w:r>
      <w:r>
        <w:rPr>
          <w:rFonts w:eastAsia="Calibri"/>
          <w:sz w:val="24"/>
          <w:szCs w:val="24"/>
        </w:rPr>
        <w:t xml:space="preserve">su </w:t>
      </w:r>
      <w:r w:rsidRPr="008115FB">
        <w:rPr>
          <w:rFonts w:eastAsia="Calibri"/>
          <w:sz w:val="24"/>
          <w:szCs w:val="24"/>
        </w:rPr>
        <w:t xml:space="preserve">put u Hrvatskoj, na području upravljanja rizicima, definirana prioritetna ulaganja u smanjenje rizika, mogući izvori za </w:t>
      </w:r>
      <w:r>
        <w:rPr>
          <w:rFonts w:eastAsia="Calibri"/>
          <w:sz w:val="24"/>
          <w:szCs w:val="24"/>
        </w:rPr>
        <w:t>financiranje</w:t>
      </w:r>
      <w:r w:rsidRPr="008115FB">
        <w:rPr>
          <w:rFonts w:eastAsia="Calibri"/>
          <w:sz w:val="24"/>
          <w:szCs w:val="24"/>
        </w:rPr>
        <w:t xml:space="preserve"> </w:t>
      </w:r>
      <w:r>
        <w:rPr>
          <w:rFonts w:eastAsia="Calibri"/>
          <w:sz w:val="24"/>
          <w:szCs w:val="24"/>
        </w:rPr>
        <w:t>te je</w:t>
      </w:r>
      <w:r w:rsidRPr="008115FB">
        <w:rPr>
          <w:rFonts w:eastAsia="Calibri"/>
          <w:sz w:val="24"/>
          <w:szCs w:val="24"/>
        </w:rPr>
        <w:t xml:space="preserve"> postavljen okvir za praćenje njihovog učinka. </w:t>
      </w:r>
      <w:r w:rsidRPr="00BD1B6F">
        <w:rPr>
          <w:rFonts w:eastAsia="Calibri"/>
          <w:sz w:val="24"/>
          <w:szCs w:val="24"/>
        </w:rPr>
        <w:t xml:space="preserve">Strategijom </w:t>
      </w:r>
      <w:r w:rsidRPr="008115FB">
        <w:rPr>
          <w:rFonts w:eastAsia="Calibri"/>
          <w:sz w:val="24"/>
          <w:szCs w:val="24"/>
        </w:rPr>
        <w:t xml:space="preserve">je </w:t>
      </w:r>
      <w:r w:rsidRPr="00BD1B6F">
        <w:rPr>
          <w:rFonts w:eastAsia="Calibri"/>
          <w:sz w:val="24"/>
          <w:szCs w:val="24"/>
        </w:rPr>
        <w:t>p</w:t>
      </w:r>
      <w:r w:rsidRPr="008115FB">
        <w:rPr>
          <w:rFonts w:eastAsia="Calibri"/>
          <w:sz w:val="24"/>
          <w:szCs w:val="24"/>
        </w:rPr>
        <w:t xml:space="preserve">redviđena </w:t>
      </w:r>
      <w:r w:rsidRPr="00BD1B6F">
        <w:rPr>
          <w:rFonts w:eastAsia="Calibri"/>
          <w:sz w:val="24"/>
          <w:szCs w:val="24"/>
        </w:rPr>
        <w:t xml:space="preserve">provedba 82 projekta ukupne procijenjene vrijednosti 1,8 milijardi eura, </w:t>
      </w:r>
      <w:r w:rsidRPr="008115FB">
        <w:rPr>
          <w:rFonts w:eastAsia="Calibri"/>
          <w:sz w:val="24"/>
          <w:szCs w:val="24"/>
        </w:rPr>
        <w:t>čime se potvrđuje da Hrvatska poduzima potrebne korake u cilju povećanja spremnosti i otpornosti na katastrofe</w:t>
      </w:r>
      <w:r w:rsidRPr="00BD1B6F">
        <w:rPr>
          <w:rFonts w:eastAsia="Calibri"/>
          <w:sz w:val="24"/>
          <w:szCs w:val="24"/>
        </w:rPr>
        <w:t xml:space="preserve">. </w:t>
      </w:r>
    </w:p>
    <w:p w14:paraId="3FA81954" w14:textId="77777777" w:rsidR="0057577E" w:rsidRPr="008115FB" w:rsidRDefault="0057577E" w:rsidP="0057577E">
      <w:pPr>
        <w:widowControl/>
        <w:autoSpaceDE/>
        <w:autoSpaceDN/>
        <w:spacing w:before="240" w:after="240" w:line="276" w:lineRule="auto"/>
        <w:jc w:val="both"/>
        <w:rPr>
          <w:rFonts w:eastAsia="Calibri"/>
          <w:sz w:val="24"/>
          <w:szCs w:val="24"/>
        </w:rPr>
      </w:pPr>
      <w:r w:rsidRPr="00BD1B6F">
        <w:rPr>
          <w:rFonts w:eastAsia="Calibri"/>
          <w:sz w:val="24"/>
          <w:szCs w:val="24"/>
        </w:rPr>
        <w:t>Kako bi dodatno poboljšala</w:t>
      </w:r>
      <w:r w:rsidRPr="008115FB">
        <w:rPr>
          <w:rFonts w:eastAsia="Calibri"/>
          <w:sz w:val="24"/>
          <w:szCs w:val="24"/>
        </w:rPr>
        <w:t xml:space="preserve"> spremnost EU-a za potencijalne prijetnje te kako bi se dodatno ojačali kapaciteti za odgovor na izvanredne događaje, Europska komisija je u suradnji s državama članicama pokrenula razvoj vlastitih pričuva. </w:t>
      </w:r>
      <w:r w:rsidRPr="00156445">
        <w:rPr>
          <w:rFonts w:eastAsia="Calibri"/>
          <w:sz w:val="24"/>
          <w:szCs w:val="24"/>
        </w:rPr>
        <w:t>Za</w:t>
      </w:r>
      <w:r w:rsidRPr="008115FB">
        <w:rPr>
          <w:rFonts w:eastAsia="Calibri"/>
          <w:sz w:val="24"/>
          <w:szCs w:val="24"/>
        </w:rPr>
        <w:t xml:space="preserve"> razvoj strateških pričuva materijala i opreme koji se mogu rasporediti u slučaju izvanrednih događaja, ozbiljnih prijetnji zdravlju i sigurnosti ljudi, Hrvatskoj je </w:t>
      </w:r>
      <w:r w:rsidRPr="00156445">
        <w:rPr>
          <w:rFonts w:eastAsia="Calibri"/>
          <w:sz w:val="24"/>
          <w:szCs w:val="24"/>
        </w:rPr>
        <w:t>iz</w:t>
      </w:r>
      <w:r w:rsidRPr="008115FB">
        <w:rPr>
          <w:rFonts w:eastAsia="Calibri"/>
          <w:sz w:val="24"/>
          <w:szCs w:val="24"/>
        </w:rPr>
        <w:t xml:space="preserve"> </w:t>
      </w:r>
      <w:r w:rsidRPr="008115FB">
        <w:rPr>
          <w:rFonts w:eastAsia="Calibri"/>
          <w:i/>
          <w:iCs/>
          <w:sz w:val="24"/>
          <w:szCs w:val="24"/>
        </w:rPr>
        <w:t>resc</w:t>
      </w:r>
      <w:r w:rsidRPr="008115FB">
        <w:rPr>
          <w:rFonts w:eastAsia="Calibri"/>
          <w:sz w:val="24"/>
          <w:szCs w:val="24"/>
        </w:rPr>
        <w:t>EU kapaciteta Mehanizma civilne zaštite EU-a dodijeljeno 10,5 milijuna eura</w:t>
      </w:r>
      <w:r w:rsidRPr="008115FB">
        <w:t xml:space="preserve"> </w:t>
      </w:r>
      <w:r w:rsidRPr="008115FB">
        <w:rPr>
          <w:rFonts w:eastAsia="Calibri"/>
          <w:sz w:val="24"/>
          <w:szCs w:val="24"/>
        </w:rPr>
        <w:t xml:space="preserve">za projekt TRUST te 21 milijun eura za projekt ROSDEC. Projektom TRUST planirana je nabava i smještaj medicinskog materijala i osobne zaštitne opreme za borbu protiv ozbiljnih prekograničnih prijetnji za zdravlje ljudi, koje će biti smještene u skladištima Ravnateljstva civilne zaštite. </w:t>
      </w:r>
    </w:p>
    <w:p w14:paraId="2EE09338" w14:textId="77777777" w:rsidR="0057577E" w:rsidRPr="00BD1B6F" w:rsidRDefault="0057577E" w:rsidP="0057577E">
      <w:pPr>
        <w:widowControl/>
        <w:autoSpaceDE/>
        <w:autoSpaceDN/>
        <w:spacing w:before="240" w:after="240" w:line="276" w:lineRule="auto"/>
        <w:jc w:val="both"/>
        <w:rPr>
          <w:rFonts w:eastAsia="Calibri"/>
          <w:sz w:val="24"/>
          <w:szCs w:val="24"/>
        </w:rPr>
      </w:pPr>
      <w:r w:rsidRPr="008115FB">
        <w:rPr>
          <w:rFonts w:eastAsia="Calibri"/>
          <w:sz w:val="24"/>
          <w:szCs w:val="24"/>
        </w:rPr>
        <w:t xml:space="preserve">Projektom ROSDEC planiran je razvoj modula za dekontaminaciju kako bi se poboljšala pripravnost i odgovor EU-a na kemijske, biološke, radiološke i nuklearne (KBRN) prijetnje. Nakon uspostave distributivnog središta te modula za dekontaminaciju, države članice moći </w:t>
      </w:r>
      <w:r>
        <w:rPr>
          <w:rFonts w:eastAsia="Calibri"/>
          <w:sz w:val="24"/>
          <w:szCs w:val="24"/>
        </w:rPr>
        <w:t xml:space="preserve">će </w:t>
      </w:r>
      <w:r w:rsidRPr="008115FB">
        <w:rPr>
          <w:rFonts w:eastAsia="Calibri"/>
          <w:sz w:val="24"/>
          <w:szCs w:val="24"/>
        </w:rPr>
        <w:t xml:space="preserve">zatražiti mobilizaciju zaliha i modula putem Europskog centra za koordinaciju odgovora u hitnim slučajevima (ERCC). </w:t>
      </w:r>
      <w:r w:rsidRPr="00BD1B6F">
        <w:rPr>
          <w:rFonts w:eastAsia="Calibri"/>
          <w:sz w:val="24"/>
          <w:szCs w:val="24"/>
        </w:rPr>
        <w:t xml:space="preserve">Radi podizanja sveukupne sposobnosti reakcije u kriznim situacijama u Hrvatskoj i povećanju kapaciteta nacionalnog sustava upravljanja kriznim situacijama, nastavljena je provedba </w:t>
      </w:r>
      <w:r>
        <w:rPr>
          <w:rFonts w:eastAsia="Calibri"/>
          <w:sz w:val="24"/>
          <w:szCs w:val="24"/>
        </w:rPr>
        <w:t>p</w:t>
      </w:r>
      <w:r w:rsidRPr="00BD1B6F">
        <w:rPr>
          <w:rFonts w:eastAsia="Calibri"/>
          <w:sz w:val="24"/>
          <w:szCs w:val="24"/>
        </w:rPr>
        <w:t>rojekta „Sustav za rano upozoravanje i upravljanje krizama</w:t>
      </w:r>
      <w:r>
        <w:rPr>
          <w:rFonts w:eastAsia="Calibri"/>
          <w:sz w:val="24"/>
          <w:szCs w:val="24"/>
        </w:rPr>
        <w:t>“</w:t>
      </w:r>
      <w:r w:rsidRPr="00D33A21">
        <w:rPr>
          <w:rFonts w:eastAsia="Calibri"/>
          <w:sz w:val="24"/>
          <w:szCs w:val="24"/>
        </w:rPr>
        <w:t xml:space="preserve"> (</w:t>
      </w:r>
      <w:r>
        <w:rPr>
          <w:rFonts w:eastAsia="Calibri"/>
          <w:sz w:val="24"/>
          <w:szCs w:val="24"/>
        </w:rPr>
        <w:t xml:space="preserve">u daljnjem tekstu: </w:t>
      </w:r>
      <w:r w:rsidRPr="00BD1B6F">
        <w:rPr>
          <w:rFonts w:eastAsia="Calibri"/>
          <w:sz w:val="24"/>
          <w:szCs w:val="24"/>
        </w:rPr>
        <w:t>SRUUK</w:t>
      </w:r>
      <w:r w:rsidRPr="00D33A21">
        <w:rPr>
          <w:rFonts w:eastAsia="Calibri"/>
          <w:sz w:val="24"/>
          <w:szCs w:val="24"/>
        </w:rPr>
        <w:t>)</w:t>
      </w:r>
      <w:r>
        <w:rPr>
          <w:rFonts w:eastAsia="Calibri"/>
          <w:sz w:val="24"/>
          <w:szCs w:val="24"/>
        </w:rPr>
        <w:t>,</w:t>
      </w:r>
      <w:r w:rsidRPr="00BD1B6F">
        <w:rPr>
          <w:rFonts w:eastAsia="Calibri"/>
          <w:sz w:val="24"/>
          <w:szCs w:val="24"/>
        </w:rPr>
        <w:t xml:space="preserve"> koji je sufinanciran sredstvima OPKK 2014.</w:t>
      </w:r>
      <w:r>
        <w:rPr>
          <w:rFonts w:eastAsia="Calibri"/>
          <w:sz w:val="24"/>
          <w:szCs w:val="24"/>
        </w:rPr>
        <w:t xml:space="preserve"> </w:t>
      </w:r>
      <w:r w:rsidRPr="00BD1B6F">
        <w:rPr>
          <w:rFonts w:eastAsia="Calibri"/>
          <w:sz w:val="24"/>
          <w:szCs w:val="24"/>
        </w:rPr>
        <w:t>-</w:t>
      </w:r>
      <w:r>
        <w:rPr>
          <w:rFonts w:eastAsia="Calibri"/>
          <w:sz w:val="24"/>
          <w:szCs w:val="24"/>
        </w:rPr>
        <w:t xml:space="preserve"> </w:t>
      </w:r>
      <w:r w:rsidRPr="00BD1B6F">
        <w:rPr>
          <w:rFonts w:eastAsia="Calibri"/>
          <w:sz w:val="24"/>
          <w:szCs w:val="24"/>
        </w:rPr>
        <w:t xml:space="preserve">2020. ukupne vrijednosti ulaganja 8,36 milijuna eura. </w:t>
      </w:r>
      <w:r w:rsidRPr="00142207">
        <w:rPr>
          <w:rFonts w:eastAsia="Calibri"/>
          <w:sz w:val="24"/>
          <w:szCs w:val="24"/>
        </w:rPr>
        <w:t>S</w:t>
      </w:r>
      <w:r>
        <w:rPr>
          <w:rFonts w:eastAsia="Calibri"/>
          <w:sz w:val="24"/>
          <w:szCs w:val="24"/>
        </w:rPr>
        <w:t>RUUK</w:t>
      </w:r>
      <w:r w:rsidRPr="00BD1B6F">
        <w:rPr>
          <w:rFonts w:eastAsia="Calibri"/>
          <w:sz w:val="24"/>
          <w:szCs w:val="24"/>
        </w:rPr>
        <w:t xml:space="preserve"> je informacijski sustav implementiran na razini </w:t>
      </w:r>
      <w:r>
        <w:rPr>
          <w:rFonts w:eastAsia="Calibri"/>
          <w:sz w:val="24"/>
          <w:szCs w:val="24"/>
        </w:rPr>
        <w:t>države</w:t>
      </w:r>
      <w:r w:rsidRPr="00BD1B6F">
        <w:rPr>
          <w:rFonts w:eastAsia="Calibri"/>
          <w:sz w:val="24"/>
          <w:szCs w:val="24"/>
        </w:rPr>
        <w:t xml:space="preserve"> s ciljem pravovremenog obavješćivanja građanstva o nastanku krizne situacije te dijeljenja uputa za postupanje u ugroženom području, putem mobilnih telefona i drugih modernih tehnologija. Poruke upozorenja moći će primati svi korisnici mobilnih telefona na ugroženom području Hrvatske te strani korisnici u </w:t>
      </w:r>
      <w:r w:rsidRPr="0068437B">
        <w:rPr>
          <w:rFonts w:eastAsia="Calibri"/>
          <w:i/>
          <w:iCs/>
          <w:sz w:val="24"/>
          <w:szCs w:val="24"/>
        </w:rPr>
        <w:t>roamingu</w:t>
      </w:r>
      <w:r w:rsidRPr="00BD1B6F">
        <w:rPr>
          <w:rFonts w:eastAsia="Calibri"/>
          <w:sz w:val="24"/>
          <w:szCs w:val="24"/>
        </w:rPr>
        <w:t>. Tijekom 2022. osigurani su svi tehnički preduvjeti za uspostavu SRUUK-a na nacionalnoj razini. Nakon prilagodbe mobilnih mreža traženim funkcionalnosti</w:t>
      </w:r>
      <w:r>
        <w:rPr>
          <w:rFonts w:eastAsia="Calibri"/>
          <w:sz w:val="24"/>
          <w:szCs w:val="24"/>
        </w:rPr>
        <w:t>ma</w:t>
      </w:r>
      <w:r w:rsidRPr="00BD1B6F">
        <w:rPr>
          <w:rFonts w:eastAsia="Calibri"/>
          <w:sz w:val="24"/>
          <w:szCs w:val="24"/>
        </w:rPr>
        <w:t xml:space="preserve"> i testiranja sustava, očekuje se njegova puna primjena u </w:t>
      </w:r>
      <w:r w:rsidRPr="0068437B">
        <w:rPr>
          <w:rFonts w:eastAsia="Calibri"/>
          <w:sz w:val="24"/>
          <w:szCs w:val="24"/>
        </w:rPr>
        <w:t>3. kvartalu 2023. godine.</w:t>
      </w:r>
      <w:r w:rsidRPr="00BD1B6F">
        <w:rPr>
          <w:rFonts w:eastAsia="Calibri"/>
          <w:sz w:val="24"/>
          <w:szCs w:val="24"/>
        </w:rPr>
        <w:t xml:space="preserve">   </w:t>
      </w:r>
    </w:p>
    <w:p w14:paraId="787C8DCD" w14:textId="77777777" w:rsidR="0057577E" w:rsidRPr="00BD1B6F" w:rsidRDefault="0057577E" w:rsidP="0057577E">
      <w:pPr>
        <w:widowControl/>
        <w:autoSpaceDE/>
        <w:autoSpaceDN/>
        <w:spacing w:before="240" w:after="240" w:line="276" w:lineRule="auto"/>
        <w:jc w:val="both"/>
        <w:rPr>
          <w:rFonts w:eastAsia="Calibri"/>
          <w:sz w:val="24"/>
          <w:szCs w:val="24"/>
        </w:rPr>
      </w:pPr>
      <w:r w:rsidRPr="00BD1B6F">
        <w:rPr>
          <w:rFonts w:eastAsia="Calibri"/>
          <w:sz w:val="24"/>
          <w:szCs w:val="24"/>
        </w:rPr>
        <w:lastRenderedPageBreak/>
        <w:t>Kao jedna od ključnih sastavnica sustava domovinske sigurnosti, Hrvatska vojska je tijekom 2022. nastavila napore u jačanju sposobnosti za pružanje potpore stanovništvu i civilnim institucijama u slučaju katastrofa i velikih nesreća. Osim značajnog doprinosa u protupožarnim aktivnostima na nacionalnoj i međunarodnoj razini, Hrvatska vojska je osigurala pružanje pomoći stanovništvu i lokalnoj zajednici u otklanjanju posljedica prirodnih katastrofa u pogođenim područjima, traganju i spašavanju na kopnu i moru, medicinskom prevoženju, kao i u drugim situacijama u kojima civilne sposobnosti nisu bile dostatne.</w:t>
      </w:r>
    </w:p>
    <w:p w14:paraId="5D58F618" w14:textId="77777777" w:rsidR="0057577E" w:rsidRPr="00BD1B6F" w:rsidRDefault="0057577E" w:rsidP="0057577E">
      <w:pPr>
        <w:pStyle w:val="Heading4"/>
        <w:spacing w:before="240" w:after="240" w:line="276" w:lineRule="auto"/>
        <w:ind w:left="0" w:firstLine="720"/>
        <w:rPr>
          <w:color w:val="000000" w:themeColor="text1"/>
        </w:rPr>
      </w:pPr>
      <w:r w:rsidRPr="00BD1B6F">
        <w:rPr>
          <w:color w:val="000000" w:themeColor="text1"/>
        </w:rPr>
        <w:t>Unaprjeđenje sustava vatrogastva</w:t>
      </w:r>
    </w:p>
    <w:p w14:paraId="38E5E3E4" w14:textId="77777777" w:rsidR="0057577E" w:rsidRPr="00BD1B6F" w:rsidRDefault="0057577E" w:rsidP="0057577E">
      <w:pPr>
        <w:spacing w:before="240" w:after="240" w:line="271" w:lineRule="auto"/>
        <w:jc w:val="both"/>
        <w:rPr>
          <w:rFonts w:eastAsia="Calibri"/>
          <w:sz w:val="24"/>
          <w:szCs w:val="24"/>
        </w:rPr>
      </w:pPr>
      <w:r w:rsidRPr="00BD1B6F">
        <w:rPr>
          <w:rFonts w:eastAsia="Calibri"/>
          <w:sz w:val="24"/>
          <w:szCs w:val="24"/>
        </w:rPr>
        <w:t xml:space="preserve">Uz </w:t>
      </w:r>
      <w:r>
        <w:rPr>
          <w:rFonts w:eastAsia="Calibri"/>
          <w:sz w:val="24"/>
          <w:szCs w:val="24"/>
        </w:rPr>
        <w:t>H</w:t>
      </w:r>
      <w:r w:rsidRPr="00BD1B6F">
        <w:rPr>
          <w:rFonts w:eastAsia="Calibri"/>
          <w:sz w:val="24"/>
          <w:szCs w:val="24"/>
        </w:rPr>
        <w:t>rvatsku policiju i Oružane snage, vatrogastvo predstavlja stup domovinske sigurnosti te se ubraja u temeljne operativne snage u sustavu civilne zaštite. Bez dobro ustrojenih, motiviranih i osposobljenih vatrogasaca</w:t>
      </w:r>
      <w:r>
        <w:rPr>
          <w:rFonts w:eastAsia="Calibri"/>
          <w:sz w:val="24"/>
          <w:szCs w:val="24"/>
        </w:rPr>
        <w:t>,</w:t>
      </w:r>
      <w:r w:rsidRPr="00BD1B6F">
        <w:rPr>
          <w:rFonts w:eastAsia="Calibri"/>
          <w:sz w:val="24"/>
          <w:szCs w:val="24"/>
        </w:rPr>
        <w:t xml:space="preserve"> koji na cijelom </w:t>
      </w:r>
      <w:r>
        <w:rPr>
          <w:rFonts w:eastAsia="Calibri"/>
          <w:sz w:val="24"/>
          <w:szCs w:val="24"/>
        </w:rPr>
        <w:t>državnom teritoriju</w:t>
      </w:r>
      <w:r w:rsidRPr="00BD1B6F">
        <w:rPr>
          <w:rFonts w:eastAsia="Calibri"/>
          <w:sz w:val="24"/>
          <w:szCs w:val="24"/>
        </w:rPr>
        <w:t xml:space="preserve"> osiguravaju ujednačenu zaštitu od požara, nije moguće osigurati siguran i stabilan razvoj Hrvatske. Unatoč sve ozbiljnijim posljedicama globalnog zatopljenja, sustav vatrogastva u Hrvatskoj je i tijekom iznimno teške protupožarne sezone</w:t>
      </w:r>
      <w:r>
        <w:rPr>
          <w:rFonts w:eastAsia="Calibri"/>
          <w:sz w:val="24"/>
          <w:szCs w:val="24"/>
        </w:rPr>
        <w:t xml:space="preserve"> 2022. </w:t>
      </w:r>
      <w:r w:rsidRPr="00BD1B6F">
        <w:rPr>
          <w:rFonts w:eastAsia="Calibri"/>
          <w:sz w:val="24"/>
          <w:szCs w:val="24"/>
        </w:rPr>
        <w:t xml:space="preserve">pokazao svoju otpornost i prilagodljivost. </w:t>
      </w:r>
    </w:p>
    <w:p w14:paraId="66646E41" w14:textId="77777777" w:rsidR="0057577E" w:rsidRPr="00BD1B6F" w:rsidRDefault="0057577E" w:rsidP="0057577E">
      <w:pPr>
        <w:spacing w:before="240" w:after="240" w:line="271" w:lineRule="auto"/>
        <w:jc w:val="both"/>
        <w:rPr>
          <w:rFonts w:eastAsia="Calibri"/>
          <w:sz w:val="24"/>
          <w:szCs w:val="24"/>
        </w:rPr>
      </w:pPr>
      <w:r w:rsidRPr="00BD1B6F">
        <w:rPr>
          <w:rFonts w:eastAsia="Calibri"/>
          <w:sz w:val="24"/>
          <w:szCs w:val="24"/>
        </w:rPr>
        <w:t xml:space="preserve">Radi daljnjeg unaprjeđenja učinkovitosti hrvatskog vatrogastva, nastavljeni su napori na jačanju interventne sposobnosti vatrogasnih postrojbi, osuvremenjivanju vatrogasne tehnike i opreme te razvoju i primjeni naprednih informacijsko-komunikacijskih rješenja u vatrogastvu. Pokrenuta je provedba postupaka javne nabave </w:t>
      </w:r>
      <w:r w:rsidRPr="008115FB">
        <w:rPr>
          <w:rFonts w:eastAsia="Calibri"/>
          <w:sz w:val="24"/>
          <w:szCs w:val="24"/>
        </w:rPr>
        <w:t>6</w:t>
      </w:r>
      <w:r w:rsidRPr="00BD1B6F">
        <w:rPr>
          <w:rFonts w:eastAsia="Calibri"/>
          <w:sz w:val="24"/>
          <w:szCs w:val="24"/>
        </w:rPr>
        <w:t xml:space="preserve">0 vatrogasnih vozila za gašenje šumskih požara vrijednih više od 20,5 milijuna eura te </w:t>
      </w:r>
      <w:r w:rsidRPr="008115FB">
        <w:rPr>
          <w:rFonts w:eastAsia="Calibri"/>
          <w:sz w:val="24"/>
          <w:szCs w:val="24"/>
        </w:rPr>
        <w:t xml:space="preserve">je raspisana nabava za </w:t>
      </w:r>
      <w:r w:rsidRPr="00BD1B6F">
        <w:rPr>
          <w:rFonts w:eastAsia="Calibri"/>
          <w:sz w:val="24"/>
          <w:szCs w:val="24"/>
        </w:rPr>
        <w:t>skupn</w:t>
      </w:r>
      <w:r w:rsidRPr="008115FB">
        <w:rPr>
          <w:rFonts w:eastAsia="Calibri"/>
          <w:sz w:val="24"/>
          <w:szCs w:val="24"/>
        </w:rPr>
        <w:t>u</w:t>
      </w:r>
      <w:r w:rsidRPr="00BD1B6F">
        <w:rPr>
          <w:rFonts w:eastAsia="Calibri"/>
          <w:sz w:val="24"/>
          <w:szCs w:val="24"/>
        </w:rPr>
        <w:t xml:space="preserve"> zaštitn</w:t>
      </w:r>
      <w:r w:rsidRPr="008115FB">
        <w:rPr>
          <w:rFonts w:eastAsia="Calibri"/>
          <w:sz w:val="24"/>
          <w:szCs w:val="24"/>
        </w:rPr>
        <w:t>u</w:t>
      </w:r>
      <w:r w:rsidRPr="00BD1B6F">
        <w:rPr>
          <w:rFonts w:eastAsia="Calibri"/>
          <w:sz w:val="24"/>
          <w:szCs w:val="24"/>
        </w:rPr>
        <w:t xml:space="preserve"> oprem</w:t>
      </w:r>
      <w:r w:rsidRPr="008115FB">
        <w:rPr>
          <w:rFonts w:eastAsia="Calibri"/>
          <w:sz w:val="24"/>
          <w:szCs w:val="24"/>
        </w:rPr>
        <w:t>u</w:t>
      </w:r>
      <w:r w:rsidRPr="00BD1B6F">
        <w:rPr>
          <w:rFonts w:eastAsia="Calibri"/>
          <w:sz w:val="24"/>
          <w:szCs w:val="24"/>
        </w:rPr>
        <w:t xml:space="preserve"> u vrijednosti većoj od </w:t>
      </w:r>
      <w:r w:rsidRPr="008115FB">
        <w:rPr>
          <w:rFonts w:eastAsia="Calibri"/>
          <w:sz w:val="24"/>
          <w:szCs w:val="24"/>
        </w:rPr>
        <w:t>750 tisuća</w:t>
      </w:r>
      <w:r w:rsidRPr="00BD1B6F">
        <w:rPr>
          <w:rFonts w:eastAsia="Calibri"/>
          <w:sz w:val="24"/>
          <w:szCs w:val="24"/>
        </w:rPr>
        <w:t xml:space="preserve"> eura.</w:t>
      </w:r>
    </w:p>
    <w:p w14:paraId="35E697F1" w14:textId="77777777" w:rsidR="0057577E" w:rsidRDefault="0057577E" w:rsidP="0057577E">
      <w:pPr>
        <w:widowControl/>
        <w:autoSpaceDE/>
        <w:autoSpaceDN/>
        <w:spacing w:before="240" w:after="240" w:line="271" w:lineRule="auto"/>
        <w:jc w:val="both"/>
        <w:rPr>
          <w:sz w:val="24"/>
          <w:szCs w:val="24"/>
        </w:rPr>
      </w:pPr>
      <w:r w:rsidRPr="4EA18699">
        <w:rPr>
          <w:color w:val="000000" w:themeColor="text1"/>
          <w:sz w:val="24"/>
          <w:szCs w:val="24"/>
        </w:rPr>
        <w:t xml:space="preserve">Radi daljnjeg unaprjeđenja vatrogasne struke i djelatnosti, nastavljena je provedba redovnog osposobljavanja, usavršavanja i obuke vatrogasaca. Aktivnosti osposobljavanja HVZ  provodi u Vatrogasnom vježbalištu u Stubičkoj Slatini </w:t>
      </w:r>
      <w:r>
        <w:rPr>
          <w:color w:val="000000" w:themeColor="text1"/>
          <w:sz w:val="24"/>
          <w:szCs w:val="24"/>
        </w:rPr>
        <w:t>i</w:t>
      </w:r>
      <w:r w:rsidRPr="4EA18699">
        <w:rPr>
          <w:color w:val="000000" w:themeColor="text1"/>
          <w:sz w:val="24"/>
          <w:szCs w:val="24"/>
        </w:rPr>
        <w:t xml:space="preserve"> Centru za obuku vatrogasne mladeži u Fažani, te na lokacijama po dogovoru s vatrogasnim zajednicama. Obuku u Centru za obuku vatrogasne mladeži u Fažani</w:t>
      </w:r>
      <w:r>
        <w:rPr>
          <w:color w:val="000000" w:themeColor="text1"/>
          <w:sz w:val="24"/>
          <w:szCs w:val="24"/>
        </w:rPr>
        <w:t>,</w:t>
      </w:r>
      <w:r w:rsidRPr="4EA18699">
        <w:rPr>
          <w:color w:val="000000" w:themeColor="text1"/>
          <w:sz w:val="24"/>
          <w:szCs w:val="24"/>
        </w:rPr>
        <w:t xml:space="preserve"> u 2022.</w:t>
      </w:r>
      <w:r>
        <w:rPr>
          <w:color w:val="000000" w:themeColor="text1"/>
          <w:sz w:val="24"/>
          <w:szCs w:val="24"/>
        </w:rPr>
        <w:t xml:space="preserve"> je</w:t>
      </w:r>
      <w:r w:rsidRPr="4EA18699">
        <w:rPr>
          <w:color w:val="000000" w:themeColor="text1"/>
          <w:sz w:val="24"/>
          <w:szCs w:val="24"/>
        </w:rPr>
        <w:t xml:space="preserve"> završilo 1.016 pripadnika vatrogasne mladeži i 224 njihov</w:t>
      </w:r>
      <w:r>
        <w:rPr>
          <w:color w:val="000000" w:themeColor="text1"/>
          <w:sz w:val="24"/>
          <w:szCs w:val="24"/>
        </w:rPr>
        <w:t>a</w:t>
      </w:r>
      <w:r w:rsidRPr="4EA18699">
        <w:rPr>
          <w:color w:val="000000" w:themeColor="text1"/>
          <w:sz w:val="24"/>
          <w:szCs w:val="24"/>
        </w:rPr>
        <w:t xml:space="preserve"> voditelja. Nadalje, u okviru Državne vatrogasne škole pripremljeni su novi programi školovanja, osposobljavanja i usavršavanja vatrogasaca, koje je tijekom 2022. uspješno završilo 1.866 kandidata, dok je putem HVZ i vatrogasnih organizacija osposobljeno za vatrogasna zvanja i specijalnosti 4.364 kandidata. Također, dodijeljene su subvencije Hrvatske vatrogasne zajednice za financiranje nabave vatrogasne opreme i tehnike za 312 vatrogasnih organizacija diljem Hrvatske, za što je izdvojeno ukupno milijun eura. </w:t>
      </w:r>
    </w:p>
    <w:p w14:paraId="6A5FDAB4" w14:textId="77777777" w:rsidR="0057577E" w:rsidRPr="00BD1B6F" w:rsidRDefault="0057577E" w:rsidP="0057577E">
      <w:pPr>
        <w:widowControl/>
        <w:autoSpaceDE/>
        <w:autoSpaceDN/>
        <w:spacing w:before="240" w:after="240" w:line="271" w:lineRule="auto"/>
        <w:jc w:val="both"/>
        <w:rPr>
          <w:bCs/>
          <w:color w:val="231F20"/>
          <w:sz w:val="24"/>
          <w:szCs w:val="24"/>
          <w:bdr w:val="none" w:sz="0" w:space="0" w:color="auto" w:frame="1"/>
          <w:lang w:eastAsia="hr-HR"/>
        </w:rPr>
      </w:pPr>
      <w:r>
        <w:rPr>
          <w:sz w:val="24"/>
          <w:szCs w:val="24"/>
        </w:rPr>
        <w:t xml:space="preserve">Budući da je tijekom ljeta, zbog povećane opasnosti od nastanka šumskih požara, nužno osigurati znatnije materijalne, tehničke i kadrovske potencijale iz cijele države, </w:t>
      </w:r>
      <w:r>
        <w:rPr>
          <w:sz w:val="24"/>
          <w:szCs w:val="24"/>
        </w:rPr>
        <w:lastRenderedPageBreak/>
        <w:t>Vlada je d</w:t>
      </w:r>
      <w:r w:rsidRPr="00BD1B6F">
        <w:rPr>
          <w:sz w:val="24"/>
          <w:szCs w:val="24"/>
        </w:rPr>
        <w:t>on</w:t>
      </w:r>
      <w:r>
        <w:rPr>
          <w:sz w:val="24"/>
          <w:szCs w:val="24"/>
        </w:rPr>
        <w:t>ijela</w:t>
      </w:r>
      <w:r w:rsidRPr="00BD1B6F">
        <w:rPr>
          <w:sz w:val="24"/>
          <w:szCs w:val="24"/>
        </w:rPr>
        <w:t xml:space="preserve"> godišnji </w:t>
      </w:r>
      <w:r w:rsidRPr="00BD1B6F">
        <w:rPr>
          <w:bCs/>
          <w:color w:val="231F20"/>
          <w:sz w:val="24"/>
          <w:szCs w:val="24"/>
          <w:bdr w:val="none" w:sz="0" w:space="0" w:color="auto" w:frame="1"/>
          <w:lang w:eastAsia="hr-HR"/>
        </w:rPr>
        <w:t xml:space="preserve">Program aktivnosti u provedbi posebnih mjera zaštite od požara od interesa za Republiku Hrvatsku za 2022. </w:t>
      </w:r>
      <w:r>
        <w:rPr>
          <w:bCs/>
          <w:color w:val="231F20"/>
          <w:sz w:val="24"/>
          <w:szCs w:val="24"/>
          <w:bdr w:val="none" w:sz="0" w:space="0" w:color="auto" w:frame="1"/>
          <w:lang w:eastAsia="hr-HR"/>
        </w:rPr>
        <w:t>U</w:t>
      </w:r>
      <w:r w:rsidRPr="00BD1B6F">
        <w:rPr>
          <w:bCs/>
          <w:color w:val="231F20"/>
          <w:sz w:val="24"/>
          <w:szCs w:val="24"/>
          <w:bdr w:val="none" w:sz="0" w:space="0" w:color="auto" w:frame="1"/>
          <w:lang w:eastAsia="hr-HR"/>
        </w:rPr>
        <w:t xml:space="preserve"> skladu s </w:t>
      </w:r>
      <w:r>
        <w:rPr>
          <w:bCs/>
          <w:color w:val="231F20"/>
          <w:sz w:val="24"/>
          <w:szCs w:val="24"/>
          <w:bdr w:val="none" w:sz="0" w:space="0" w:color="auto" w:frame="1"/>
          <w:lang w:eastAsia="hr-HR"/>
        </w:rPr>
        <w:t xml:space="preserve">Programom, </w:t>
      </w:r>
      <w:r w:rsidRPr="00BD1B6F">
        <w:rPr>
          <w:bCs/>
          <w:color w:val="231F20"/>
          <w:sz w:val="24"/>
          <w:szCs w:val="24"/>
          <w:bdr w:val="none" w:sz="0" w:space="0" w:color="auto" w:frame="1"/>
          <w:lang w:eastAsia="hr-HR"/>
        </w:rPr>
        <w:t xml:space="preserve">za požarnu sezonu 2022. uspostavljeno </w:t>
      </w:r>
      <w:r>
        <w:rPr>
          <w:bCs/>
          <w:color w:val="231F20"/>
          <w:sz w:val="24"/>
          <w:szCs w:val="24"/>
          <w:bdr w:val="none" w:sz="0" w:space="0" w:color="auto" w:frame="1"/>
          <w:lang w:eastAsia="hr-HR"/>
        </w:rPr>
        <w:t xml:space="preserve">je </w:t>
      </w:r>
      <w:r w:rsidRPr="00BD1B6F">
        <w:rPr>
          <w:bCs/>
          <w:color w:val="231F20"/>
          <w:sz w:val="24"/>
          <w:szCs w:val="24"/>
          <w:bdr w:val="none" w:sz="0" w:space="0" w:color="auto" w:frame="1"/>
          <w:lang w:eastAsia="hr-HR"/>
        </w:rPr>
        <w:t>integrirano državno vatrogasno zapovjedništvo u Divuljama, angažirano 1.000 sezonskih vatrogasaca, preseljen</w:t>
      </w:r>
      <w:r>
        <w:rPr>
          <w:bCs/>
          <w:color w:val="231F20"/>
          <w:sz w:val="24"/>
          <w:szCs w:val="24"/>
          <w:bdr w:val="none" w:sz="0" w:space="0" w:color="auto" w:frame="1"/>
          <w:lang w:eastAsia="hr-HR"/>
        </w:rPr>
        <w:t xml:space="preserve"> </w:t>
      </w:r>
      <w:r w:rsidRPr="00BD1B6F">
        <w:rPr>
          <w:bCs/>
          <w:color w:val="231F20"/>
          <w:sz w:val="24"/>
          <w:szCs w:val="24"/>
          <w:bdr w:val="none" w:sz="0" w:space="0" w:color="auto" w:frame="1"/>
          <w:lang w:eastAsia="hr-HR"/>
        </w:rPr>
        <w:t>dio vatrogasnih snaga iz kontinentalne Hrvatske na posebno ugrožena područja u priobalju te je omogućena koordinacija ključnih dionika na lokalnoj i regionalnoj razini u provedbi vatrogasnih preventivnih aktivnosti i provedbi medijskih kampanja s ciljem osvješćivanja građana o važnosti odgovornog ponašanja tijekom požarne sezone.</w:t>
      </w:r>
      <w:r>
        <w:rPr>
          <w:bCs/>
          <w:color w:val="231F20"/>
          <w:sz w:val="24"/>
          <w:szCs w:val="24"/>
          <w:bdr w:val="none" w:sz="0" w:space="0" w:color="auto" w:frame="1"/>
          <w:lang w:eastAsia="hr-HR"/>
        </w:rPr>
        <w:t xml:space="preserve"> </w:t>
      </w:r>
    </w:p>
    <w:p w14:paraId="6166B023" w14:textId="7A5629A4" w:rsidR="00681247" w:rsidRPr="00BD1B6F" w:rsidRDefault="0057577E" w:rsidP="0057577E">
      <w:pPr>
        <w:spacing w:line="271" w:lineRule="auto"/>
        <w:jc w:val="both"/>
        <w:rPr>
          <w:sz w:val="24"/>
          <w:szCs w:val="24"/>
          <w:lang w:eastAsia="hr-HR"/>
        </w:rPr>
      </w:pPr>
      <w:r>
        <w:rPr>
          <w:bCs/>
          <w:color w:val="231F20"/>
          <w:sz w:val="24"/>
          <w:szCs w:val="24"/>
          <w:bdr w:val="none" w:sz="0" w:space="0" w:color="auto" w:frame="1"/>
          <w:lang w:eastAsia="hr-HR"/>
        </w:rPr>
        <w:t>Radi</w:t>
      </w:r>
      <w:r w:rsidRPr="00BD1B6F">
        <w:rPr>
          <w:bCs/>
          <w:color w:val="231F20"/>
          <w:sz w:val="24"/>
          <w:szCs w:val="24"/>
          <w:bdr w:val="none" w:sz="0" w:space="0" w:color="auto" w:frame="1"/>
          <w:lang w:eastAsia="hr-HR"/>
        </w:rPr>
        <w:t xml:space="preserve"> </w:t>
      </w:r>
      <w:r>
        <w:rPr>
          <w:bCs/>
          <w:color w:val="231F20"/>
          <w:sz w:val="24"/>
          <w:szCs w:val="24"/>
          <w:bdr w:val="none" w:sz="0" w:space="0" w:color="auto" w:frame="1"/>
          <w:lang w:eastAsia="hr-HR"/>
        </w:rPr>
        <w:t>daljnjeg</w:t>
      </w:r>
      <w:r w:rsidRPr="00BD1B6F">
        <w:rPr>
          <w:bCs/>
          <w:color w:val="231F20"/>
          <w:sz w:val="24"/>
          <w:szCs w:val="24"/>
          <w:bdr w:val="none" w:sz="0" w:space="0" w:color="auto" w:frame="1"/>
          <w:lang w:eastAsia="hr-HR"/>
        </w:rPr>
        <w:t xml:space="preserve"> usavršavanja vatrogasaca te unaprjeđenja njihov</w:t>
      </w:r>
      <w:r>
        <w:rPr>
          <w:bCs/>
          <w:color w:val="231F20"/>
          <w:sz w:val="24"/>
          <w:szCs w:val="24"/>
          <w:bdr w:val="none" w:sz="0" w:space="0" w:color="auto" w:frame="1"/>
          <w:lang w:eastAsia="hr-HR"/>
        </w:rPr>
        <w:t xml:space="preserve">a </w:t>
      </w:r>
      <w:r w:rsidRPr="00BD1B6F">
        <w:rPr>
          <w:bCs/>
          <w:color w:val="231F20"/>
          <w:sz w:val="24"/>
          <w:szCs w:val="24"/>
          <w:bdr w:val="none" w:sz="0" w:space="0" w:color="auto" w:frame="1"/>
          <w:lang w:eastAsia="hr-HR"/>
        </w:rPr>
        <w:t xml:space="preserve"> znanja u radu s operativnim modulima Hrvatske vatrogasne zajednice, nastavljena je provedba </w:t>
      </w:r>
      <w:r>
        <w:rPr>
          <w:bCs/>
          <w:color w:val="231F20"/>
          <w:sz w:val="24"/>
          <w:szCs w:val="24"/>
          <w:bdr w:val="none" w:sz="0" w:space="0" w:color="auto" w:frame="1"/>
          <w:lang w:eastAsia="hr-HR"/>
        </w:rPr>
        <w:t>p</w:t>
      </w:r>
      <w:r w:rsidRPr="00BD1B6F">
        <w:rPr>
          <w:bCs/>
          <w:color w:val="231F20"/>
          <w:sz w:val="24"/>
          <w:szCs w:val="24"/>
          <w:bdr w:val="none" w:sz="0" w:space="0" w:color="auto" w:frame="1"/>
          <w:lang w:eastAsia="hr-HR"/>
        </w:rPr>
        <w:t>rojekta „e-HVZ“, sufinanciranog sredstvima ESF 2014.</w:t>
      </w:r>
      <w:r>
        <w:rPr>
          <w:bCs/>
          <w:color w:val="231F20"/>
          <w:sz w:val="24"/>
          <w:szCs w:val="24"/>
          <w:bdr w:val="none" w:sz="0" w:space="0" w:color="auto" w:frame="1"/>
          <w:lang w:eastAsia="hr-HR"/>
        </w:rPr>
        <w:t xml:space="preserve"> </w:t>
      </w:r>
      <w:r w:rsidRPr="00BD1B6F">
        <w:rPr>
          <w:bCs/>
          <w:color w:val="231F20"/>
          <w:sz w:val="24"/>
          <w:szCs w:val="24"/>
          <w:bdr w:val="none" w:sz="0" w:space="0" w:color="auto" w:frame="1"/>
          <w:lang w:eastAsia="hr-HR"/>
        </w:rPr>
        <w:t>-</w:t>
      </w:r>
      <w:r>
        <w:rPr>
          <w:bCs/>
          <w:color w:val="231F20"/>
          <w:sz w:val="24"/>
          <w:szCs w:val="24"/>
          <w:bdr w:val="none" w:sz="0" w:space="0" w:color="auto" w:frame="1"/>
          <w:lang w:eastAsia="hr-HR"/>
        </w:rPr>
        <w:t xml:space="preserve"> </w:t>
      </w:r>
      <w:r w:rsidRPr="00BD1B6F">
        <w:rPr>
          <w:bCs/>
          <w:color w:val="231F20"/>
          <w:sz w:val="24"/>
          <w:szCs w:val="24"/>
          <w:bdr w:val="none" w:sz="0" w:space="0" w:color="auto" w:frame="1"/>
          <w:lang w:eastAsia="hr-HR"/>
        </w:rPr>
        <w:t xml:space="preserve">2020. </w:t>
      </w:r>
      <w:r>
        <w:rPr>
          <w:sz w:val="24"/>
          <w:szCs w:val="24"/>
        </w:rPr>
        <w:t>U</w:t>
      </w:r>
      <w:r w:rsidRPr="00BD1B6F">
        <w:rPr>
          <w:sz w:val="24"/>
          <w:szCs w:val="24"/>
        </w:rPr>
        <w:t xml:space="preserve"> okviru Projekta</w:t>
      </w:r>
      <w:r>
        <w:rPr>
          <w:sz w:val="24"/>
          <w:szCs w:val="24"/>
        </w:rPr>
        <w:t>, tijekom 2022.</w:t>
      </w:r>
      <w:r w:rsidRPr="00BD1B6F">
        <w:rPr>
          <w:sz w:val="24"/>
          <w:szCs w:val="24"/>
        </w:rPr>
        <w:t xml:space="preserve"> provedeno je 112 izobrazbi u području jačanja informatičke pismenosti i rada na operativnim modulima koje je uspješno završilo ukupno 2.239 vatrogasaca.</w:t>
      </w:r>
      <w:r w:rsidR="00681247" w:rsidRPr="00BD1B6F">
        <w:rPr>
          <w:sz w:val="24"/>
          <w:szCs w:val="24"/>
          <w:lang w:eastAsia="hr-HR"/>
        </w:rPr>
        <w:br w:type="page"/>
      </w:r>
    </w:p>
    <w:p w14:paraId="0BDADFF6" w14:textId="36423B8F" w:rsidR="00AF5F07" w:rsidRPr="00BD1B6F" w:rsidRDefault="00C00FCF" w:rsidP="00C00FCF">
      <w:pPr>
        <w:pStyle w:val="Heading2"/>
        <w:spacing w:before="120" w:after="120" w:line="360" w:lineRule="auto"/>
        <w:ind w:left="360" w:firstLine="0"/>
        <w:jc w:val="both"/>
        <w:rPr>
          <w:color w:val="000000" w:themeColor="text1"/>
          <w:sz w:val="24"/>
          <w:szCs w:val="24"/>
        </w:rPr>
      </w:pPr>
      <w:bookmarkStart w:id="92" w:name="_Toc133420962"/>
      <w:bookmarkStart w:id="93" w:name="_Toc156819390"/>
      <w:r w:rsidRPr="00BD1B6F">
        <w:rPr>
          <w:color w:val="000000" w:themeColor="text1"/>
          <w:sz w:val="24"/>
          <w:szCs w:val="24"/>
        </w:rPr>
        <w:lastRenderedPageBreak/>
        <w:t xml:space="preserve">8. </w:t>
      </w:r>
      <w:r w:rsidR="000F13A1" w:rsidRPr="00BD1B6F">
        <w:rPr>
          <w:color w:val="000000" w:themeColor="text1"/>
          <w:sz w:val="24"/>
          <w:szCs w:val="24"/>
        </w:rPr>
        <w:t>Ekološka i energetska tranzicija za klimatsku neutralnost</w:t>
      </w:r>
      <w:bookmarkEnd w:id="92"/>
      <w:bookmarkEnd w:id="93"/>
    </w:p>
    <w:p w14:paraId="4DB1E0A3" w14:textId="0B2D0D1E" w:rsidR="0059533A" w:rsidRPr="00BD1B6F" w:rsidRDefault="00594952" w:rsidP="00BE1F57">
      <w:pPr>
        <w:pStyle w:val="Heading3"/>
        <w:spacing w:before="120" w:after="120" w:line="276" w:lineRule="auto"/>
        <w:rPr>
          <w:color w:val="000000" w:themeColor="text1"/>
          <w:sz w:val="24"/>
          <w:szCs w:val="24"/>
        </w:rPr>
      </w:pPr>
      <w:bookmarkStart w:id="94" w:name="_Toc130784378"/>
      <w:bookmarkStart w:id="95" w:name="_Toc133420963"/>
      <w:bookmarkStart w:id="96" w:name="_Toc156819391"/>
      <w:r w:rsidRPr="00BD1B6F">
        <w:rPr>
          <w:color w:val="000000" w:themeColor="text1"/>
          <w:sz w:val="24"/>
          <w:szCs w:val="24"/>
        </w:rPr>
        <w:t>8.1.</w:t>
      </w:r>
      <w:r w:rsidR="00C766DC" w:rsidRPr="00BD1B6F">
        <w:rPr>
          <w:color w:val="000000" w:themeColor="text1"/>
          <w:sz w:val="24"/>
          <w:szCs w:val="24"/>
        </w:rPr>
        <w:t xml:space="preserve"> </w:t>
      </w:r>
      <w:r w:rsidR="00152A10" w:rsidRPr="00BD1B6F">
        <w:rPr>
          <w:color w:val="000000" w:themeColor="text1"/>
          <w:sz w:val="24"/>
          <w:szCs w:val="24"/>
        </w:rPr>
        <w:t>Ostvarene vrijednosti pokazatelja uspješnosti</w:t>
      </w:r>
      <w:bookmarkEnd w:id="94"/>
      <w:bookmarkEnd w:id="95"/>
      <w:r w:rsidR="00152A10" w:rsidRPr="00BD1B6F">
        <w:rPr>
          <w:color w:val="000000" w:themeColor="text1"/>
          <w:sz w:val="24"/>
          <w:szCs w:val="24"/>
        </w:rPr>
        <w:t xml:space="preserve"> </w:t>
      </w:r>
      <w:r w:rsidR="003F629C">
        <w:rPr>
          <w:color w:val="000000" w:themeColor="text1"/>
          <w:sz w:val="24"/>
          <w:szCs w:val="24"/>
        </w:rPr>
        <w:t xml:space="preserve">strateškog cilja </w:t>
      </w:r>
      <w:r w:rsidR="003F629C" w:rsidRPr="003F629C">
        <w:rPr>
          <w:color w:val="000000" w:themeColor="text1"/>
          <w:sz w:val="24"/>
          <w:szCs w:val="24"/>
        </w:rPr>
        <w:t>Ekološka i energetska tranzicija za klimatsku neutralnost</w:t>
      </w:r>
      <w:bookmarkEnd w:id="96"/>
    </w:p>
    <w:p w14:paraId="1B4B5AE4" w14:textId="77777777" w:rsidR="00FA7571" w:rsidRPr="00BD1B6F" w:rsidRDefault="00FA7571" w:rsidP="009E6612">
      <w:pPr>
        <w:pStyle w:val="BodyText"/>
      </w:pPr>
    </w:p>
    <w:tbl>
      <w:tblPr>
        <w:tblStyle w:val="TableGrid"/>
        <w:tblW w:w="9214" w:type="dxa"/>
        <w:jc w:val="center"/>
        <w:tblBorders>
          <w:top w:val="dotted" w:sz="2" w:space="0" w:color="auto"/>
          <w:left w:val="dotted" w:sz="2" w:space="0" w:color="auto"/>
          <w:bottom w:val="dotted" w:sz="2" w:space="0" w:color="auto"/>
          <w:right w:val="dotted" w:sz="2" w:space="0" w:color="auto"/>
          <w:insideH w:val="dotted" w:sz="2" w:space="0" w:color="auto"/>
          <w:insideV w:val="none" w:sz="0" w:space="0" w:color="auto"/>
        </w:tblBorders>
        <w:shd w:val="clear" w:color="auto" w:fill="FFFFFF" w:themeFill="background1"/>
        <w:tblLayout w:type="fixed"/>
        <w:tblLook w:val="04A0" w:firstRow="1" w:lastRow="0" w:firstColumn="1" w:lastColumn="0" w:noHBand="0" w:noVBand="1"/>
      </w:tblPr>
      <w:tblGrid>
        <w:gridCol w:w="2836"/>
        <w:gridCol w:w="2127"/>
        <w:gridCol w:w="1842"/>
        <w:gridCol w:w="2409"/>
      </w:tblGrid>
      <w:tr w:rsidR="00816A57" w:rsidRPr="008115FB" w14:paraId="78D04654" w14:textId="77777777" w:rsidTr="00FD2238">
        <w:trPr>
          <w:trHeight w:val="789"/>
          <w:jc w:val="center"/>
        </w:trPr>
        <w:tc>
          <w:tcPr>
            <w:tcW w:w="283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551F1357" w14:textId="77777777" w:rsidR="00816A57" w:rsidRPr="00BD1B6F" w:rsidRDefault="00816A57">
            <w:pPr>
              <w:pStyle w:val="BodyText"/>
              <w:tabs>
                <w:tab w:val="right" w:pos="2473"/>
              </w:tabs>
              <w:spacing w:line="276" w:lineRule="auto"/>
              <w:jc w:val="center"/>
              <w:rPr>
                <w:b/>
                <w:bCs/>
                <w:color w:val="000000" w:themeColor="text1"/>
              </w:rPr>
            </w:pPr>
            <w:r w:rsidRPr="00BD1B6F">
              <w:rPr>
                <w:b/>
                <w:bCs/>
                <w:color w:val="000000" w:themeColor="text1"/>
              </w:rPr>
              <w:t>Pokazatelj uspješnosti</w:t>
            </w:r>
          </w:p>
        </w:tc>
        <w:tc>
          <w:tcPr>
            <w:tcW w:w="2127"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2435D83C" w14:textId="77777777" w:rsidR="00816A57" w:rsidRPr="00BD1B6F" w:rsidRDefault="00816A57">
            <w:pPr>
              <w:pStyle w:val="BodyText"/>
              <w:spacing w:line="276" w:lineRule="auto"/>
              <w:jc w:val="center"/>
              <w:rPr>
                <w:b/>
                <w:bCs/>
                <w:color w:val="000000" w:themeColor="text1"/>
              </w:rPr>
            </w:pPr>
            <w:r w:rsidRPr="00BD1B6F">
              <w:rPr>
                <w:b/>
                <w:bCs/>
                <w:color w:val="000000" w:themeColor="text1"/>
              </w:rPr>
              <w:t xml:space="preserve">Početna </w:t>
            </w:r>
          </w:p>
          <w:p w14:paraId="40B5314A" w14:textId="77777777" w:rsidR="00816A57" w:rsidRPr="00BD1B6F" w:rsidRDefault="00816A57">
            <w:pPr>
              <w:pStyle w:val="BodyText"/>
              <w:spacing w:line="276" w:lineRule="auto"/>
              <w:jc w:val="center"/>
              <w:rPr>
                <w:b/>
                <w:bCs/>
                <w:color w:val="000000" w:themeColor="text1"/>
              </w:rPr>
            </w:pPr>
            <w:r w:rsidRPr="00BD1B6F">
              <w:rPr>
                <w:b/>
                <w:bCs/>
                <w:color w:val="000000" w:themeColor="text1"/>
              </w:rPr>
              <w:t>vrijednost</w:t>
            </w:r>
          </w:p>
        </w:tc>
        <w:tc>
          <w:tcPr>
            <w:tcW w:w="1842"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230C645" w14:textId="77777777" w:rsidR="00816A57" w:rsidRPr="00BD1B6F" w:rsidRDefault="00816A57">
            <w:pPr>
              <w:pStyle w:val="BodyText"/>
              <w:spacing w:line="276" w:lineRule="auto"/>
              <w:jc w:val="center"/>
              <w:rPr>
                <w:b/>
                <w:bCs/>
                <w:color w:val="000000" w:themeColor="text1"/>
              </w:rPr>
            </w:pPr>
            <w:r w:rsidRPr="00BD1B6F">
              <w:rPr>
                <w:b/>
                <w:bCs/>
                <w:color w:val="000000" w:themeColor="text1"/>
              </w:rPr>
              <w:t>Ciljna vrijednost</w:t>
            </w:r>
          </w:p>
        </w:tc>
        <w:tc>
          <w:tcPr>
            <w:tcW w:w="2409" w:type="dxa"/>
            <w:tcBorders>
              <w:top w:val="dotted" w:sz="4" w:space="0" w:color="auto"/>
              <w:left w:val="dotted" w:sz="4" w:space="0" w:color="auto"/>
              <w:bottom w:val="nil"/>
              <w:right w:val="dotted" w:sz="4" w:space="0" w:color="auto"/>
            </w:tcBorders>
            <w:shd w:val="clear" w:color="auto" w:fill="B6DDE8" w:themeFill="accent5" w:themeFillTint="66"/>
            <w:vAlign w:val="center"/>
          </w:tcPr>
          <w:p w14:paraId="2432E523" w14:textId="77777777" w:rsidR="00816A57" w:rsidRPr="00BD1B6F" w:rsidRDefault="00816A57">
            <w:pPr>
              <w:pStyle w:val="BodyText"/>
              <w:spacing w:line="276" w:lineRule="auto"/>
              <w:jc w:val="center"/>
              <w:rPr>
                <w:b/>
                <w:bCs/>
                <w:color w:val="000000" w:themeColor="text1"/>
              </w:rPr>
            </w:pPr>
            <w:r w:rsidRPr="00BD1B6F">
              <w:rPr>
                <w:b/>
                <w:bCs/>
                <w:color w:val="000000" w:themeColor="text1"/>
              </w:rPr>
              <w:t xml:space="preserve">Ostvarena </w:t>
            </w:r>
          </w:p>
          <w:p w14:paraId="4F8D3FAA" w14:textId="77777777" w:rsidR="00816A57" w:rsidRPr="00BD1B6F" w:rsidRDefault="00816A57">
            <w:pPr>
              <w:pStyle w:val="BodyText"/>
              <w:spacing w:line="276" w:lineRule="auto"/>
              <w:jc w:val="center"/>
              <w:rPr>
                <w:b/>
                <w:bCs/>
                <w:color w:val="000000" w:themeColor="text1"/>
              </w:rPr>
            </w:pPr>
            <w:r w:rsidRPr="00BD1B6F">
              <w:rPr>
                <w:b/>
                <w:bCs/>
                <w:color w:val="000000" w:themeColor="text1"/>
              </w:rPr>
              <w:t>vrijednost</w:t>
            </w:r>
          </w:p>
        </w:tc>
      </w:tr>
      <w:tr w:rsidR="00816A57" w:rsidRPr="008115FB" w14:paraId="65074D9F" w14:textId="77777777" w:rsidTr="00FD2238">
        <w:trPr>
          <w:trHeight w:val="995"/>
          <w:jc w:val="center"/>
        </w:trPr>
        <w:tc>
          <w:tcPr>
            <w:tcW w:w="2836" w:type="dxa"/>
            <w:tcBorders>
              <w:top w:val="dotted" w:sz="4" w:space="0" w:color="auto"/>
              <w:left w:val="dotted" w:sz="4" w:space="0" w:color="auto"/>
            </w:tcBorders>
            <w:shd w:val="clear" w:color="auto" w:fill="FFFFFF" w:themeFill="background1"/>
            <w:vAlign w:val="center"/>
          </w:tcPr>
          <w:p w14:paraId="69270218" w14:textId="34382FE7" w:rsidR="00816A57" w:rsidRPr="00BD1B6F" w:rsidRDefault="00816A57" w:rsidP="004C1D5B">
            <w:pPr>
              <w:pStyle w:val="BodyText"/>
              <w:spacing w:line="276" w:lineRule="auto"/>
              <w:rPr>
                <w:color w:val="000000" w:themeColor="text1"/>
              </w:rPr>
            </w:pPr>
            <w:r w:rsidRPr="00BD1B6F">
              <w:rPr>
                <w:color w:val="000000" w:themeColor="text1"/>
              </w:rPr>
              <w:t xml:space="preserve">Emisije stakleničkih plinova (bazna godina </w:t>
            </w:r>
            <w:r w:rsidR="00A5631D" w:rsidRPr="00BD1B6F">
              <w:rPr>
                <w:color w:val="000000" w:themeColor="text1"/>
              </w:rPr>
              <w:t>-</w:t>
            </w:r>
            <w:r w:rsidRPr="00BD1B6F">
              <w:rPr>
                <w:color w:val="000000" w:themeColor="text1"/>
              </w:rPr>
              <w:t xml:space="preserve"> 1990.)</w:t>
            </w:r>
          </w:p>
        </w:tc>
        <w:tc>
          <w:tcPr>
            <w:tcW w:w="2127" w:type="dxa"/>
            <w:tcBorders>
              <w:top w:val="dotted" w:sz="4" w:space="0" w:color="auto"/>
            </w:tcBorders>
            <w:shd w:val="clear" w:color="auto" w:fill="DAEEF3" w:themeFill="accent5" w:themeFillTint="33"/>
            <w:vAlign w:val="center"/>
          </w:tcPr>
          <w:p w14:paraId="18883D0B" w14:textId="0B34ADCC" w:rsidR="00816A57" w:rsidRPr="00BD1B6F" w:rsidRDefault="00816A57" w:rsidP="004C1D5B">
            <w:pPr>
              <w:pStyle w:val="BodyText"/>
              <w:spacing w:line="276" w:lineRule="auto"/>
              <w:jc w:val="center"/>
              <w:rPr>
                <w:color w:val="000000" w:themeColor="text1"/>
              </w:rPr>
            </w:pPr>
            <w:r w:rsidRPr="00BD1B6F">
              <w:rPr>
                <w:color w:val="000000" w:themeColor="text1"/>
              </w:rPr>
              <w:t>75,23%</w:t>
            </w:r>
          </w:p>
          <w:p w14:paraId="3D9A9F2B" w14:textId="77777777" w:rsidR="00816A57" w:rsidRPr="00BD1B6F" w:rsidRDefault="00816A57" w:rsidP="004C1D5B">
            <w:pPr>
              <w:pStyle w:val="BodyText"/>
              <w:spacing w:line="276" w:lineRule="auto"/>
              <w:jc w:val="center"/>
              <w:rPr>
                <w:color w:val="000000" w:themeColor="text1"/>
              </w:rPr>
            </w:pPr>
            <w:r w:rsidRPr="00BD1B6F">
              <w:rPr>
                <w:color w:val="000000" w:themeColor="text1"/>
              </w:rPr>
              <w:t>(2018.)</w:t>
            </w:r>
          </w:p>
        </w:tc>
        <w:tc>
          <w:tcPr>
            <w:tcW w:w="1842" w:type="dxa"/>
            <w:tcBorders>
              <w:top w:val="dotted" w:sz="4" w:space="0" w:color="auto"/>
              <w:right w:val="nil"/>
            </w:tcBorders>
            <w:shd w:val="clear" w:color="auto" w:fill="FFFFFF" w:themeFill="background1"/>
            <w:vAlign w:val="center"/>
          </w:tcPr>
          <w:p w14:paraId="6FD91C18" w14:textId="77777777" w:rsidR="00816A57" w:rsidRPr="00BD1B6F" w:rsidRDefault="00816A57" w:rsidP="004C1D5B">
            <w:pPr>
              <w:pStyle w:val="BodyText"/>
              <w:spacing w:line="276" w:lineRule="auto"/>
              <w:jc w:val="center"/>
              <w:rPr>
                <w:color w:val="000000" w:themeColor="text1"/>
              </w:rPr>
            </w:pPr>
            <w:r w:rsidRPr="00BD1B6F">
              <w:rPr>
                <w:color w:val="000000" w:themeColor="text1"/>
              </w:rPr>
              <w:t>65%</w:t>
            </w:r>
          </w:p>
        </w:tc>
        <w:tc>
          <w:tcPr>
            <w:tcW w:w="2409" w:type="dxa"/>
            <w:tcBorders>
              <w:top w:val="nil"/>
              <w:left w:val="nil"/>
              <w:bottom w:val="dotted" w:sz="4" w:space="0" w:color="auto"/>
              <w:right w:val="dotted" w:sz="4" w:space="0" w:color="auto"/>
            </w:tcBorders>
            <w:shd w:val="clear" w:color="auto" w:fill="DAEEF3" w:themeFill="accent5" w:themeFillTint="33"/>
            <w:vAlign w:val="center"/>
          </w:tcPr>
          <w:p w14:paraId="5AC26A1F" w14:textId="25728A6A" w:rsidR="006A0F9E" w:rsidRPr="00BD1B6F" w:rsidRDefault="00816A57" w:rsidP="004C1D5B">
            <w:pPr>
              <w:pStyle w:val="BodyText"/>
              <w:spacing w:line="276" w:lineRule="auto"/>
              <w:jc w:val="center"/>
              <w:rPr>
                <w:rStyle w:val="normaltextrun"/>
              </w:rPr>
            </w:pPr>
            <w:r w:rsidRPr="00BD1B6F">
              <w:rPr>
                <w:rStyle w:val="normaltextrun"/>
              </w:rPr>
              <w:t>7</w:t>
            </w:r>
            <w:r w:rsidR="0076285C">
              <w:rPr>
                <w:rStyle w:val="normaltextrun"/>
              </w:rPr>
              <w:t>3,9</w:t>
            </w:r>
            <w:r w:rsidRPr="00BD1B6F">
              <w:rPr>
                <w:rStyle w:val="normaltextrun"/>
              </w:rPr>
              <w:t>%</w:t>
            </w:r>
          </w:p>
          <w:p w14:paraId="7717BF00" w14:textId="6F6E06CB" w:rsidR="00816A57" w:rsidRPr="00BD1B6F" w:rsidRDefault="00816A57" w:rsidP="004C1D5B">
            <w:pPr>
              <w:pStyle w:val="BodyText"/>
              <w:spacing w:line="276" w:lineRule="auto"/>
              <w:jc w:val="center"/>
              <w:rPr>
                <w:color w:val="000000" w:themeColor="text1"/>
              </w:rPr>
            </w:pPr>
            <w:r w:rsidRPr="00BD1B6F">
              <w:rPr>
                <w:rStyle w:val="eop"/>
              </w:rPr>
              <w:t>(2021.)</w:t>
            </w:r>
          </w:p>
        </w:tc>
      </w:tr>
      <w:tr w:rsidR="00816A57" w:rsidRPr="008115FB" w14:paraId="55381A3F" w14:textId="77777777" w:rsidTr="00FD2238">
        <w:trPr>
          <w:trHeight w:val="761"/>
          <w:jc w:val="center"/>
        </w:trPr>
        <w:tc>
          <w:tcPr>
            <w:tcW w:w="2836" w:type="dxa"/>
            <w:tcBorders>
              <w:left w:val="dotted" w:sz="4" w:space="0" w:color="auto"/>
            </w:tcBorders>
            <w:shd w:val="clear" w:color="auto" w:fill="FFFFFF" w:themeFill="background1"/>
            <w:vAlign w:val="center"/>
          </w:tcPr>
          <w:p w14:paraId="6439B8E2" w14:textId="77777777" w:rsidR="00816A57" w:rsidRPr="00BD1B6F" w:rsidRDefault="00816A57" w:rsidP="004C1D5B">
            <w:pPr>
              <w:pStyle w:val="BodyText"/>
              <w:spacing w:line="276" w:lineRule="auto"/>
              <w:rPr>
                <w:color w:val="000000" w:themeColor="text1"/>
              </w:rPr>
            </w:pPr>
            <w:r w:rsidRPr="009E7BF7">
              <w:rPr>
                <w:color w:val="000000" w:themeColor="text1"/>
              </w:rPr>
              <w:t>Stopa recikliranja</w:t>
            </w:r>
            <w:r w:rsidRPr="00BD1B6F">
              <w:rPr>
                <w:color w:val="000000" w:themeColor="text1"/>
              </w:rPr>
              <w:t xml:space="preserve"> komunalnog otpada</w:t>
            </w:r>
          </w:p>
        </w:tc>
        <w:tc>
          <w:tcPr>
            <w:tcW w:w="2127" w:type="dxa"/>
            <w:shd w:val="clear" w:color="auto" w:fill="DAEEF3" w:themeFill="accent5" w:themeFillTint="33"/>
            <w:vAlign w:val="center"/>
          </w:tcPr>
          <w:p w14:paraId="15769411" w14:textId="77777777" w:rsidR="00816A57" w:rsidRPr="00BD1B6F" w:rsidRDefault="00816A57" w:rsidP="004C1D5B">
            <w:pPr>
              <w:pStyle w:val="BodyText"/>
              <w:spacing w:line="276" w:lineRule="auto"/>
              <w:jc w:val="center"/>
              <w:rPr>
                <w:color w:val="000000" w:themeColor="text1"/>
              </w:rPr>
            </w:pPr>
            <w:r w:rsidRPr="00BD1B6F">
              <w:rPr>
                <w:color w:val="000000" w:themeColor="text1"/>
              </w:rPr>
              <w:t>25,30%</w:t>
            </w:r>
          </w:p>
          <w:p w14:paraId="011AFB1D" w14:textId="77777777" w:rsidR="00816A57" w:rsidRPr="00BD1B6F" w:rsidRDefault="00816A57" w:rsidP="004C1D5B">
            <w:pPr>
              <w:pStyle w:val="BodyText"/>
              <w:spacing w:line="276" w:lineRule="auto"/>
              <w:jc w:val="center"/>
              <w:rPr>
                <w:color w:val="000000" w:themeColor="text1"/>
              </w:rPr>
            </w:pPr>
            <w:r w:rsidRPr="00BD1B6F">
              <w:rPr>
                <w:color w:val="000000" w:themeColor="text1"/>
              </w:rPr>
              <w:t>(2018.)</w:t>
            </w:r>
          </w:p>
        </w:tc>
        <w:tc>
          <w:tcPr>
            <w:tcW w:w="1842" w:type="dxa"/>
            <w:tcBorders>
              <w:right w:val="nil"/>
            </w:tcBorders>
            <w:shd w:val="clear" w:color="auto" w:fill="FFFFFF" w:themeFill="background1"/>
            <w:vAlign w:val="center"/>
          </w:tcPr>
          <w:p w14:paraId="03203E16" w14:textId="77777777" w:rsidR="00816A57" w:rsidRPr="00BD1B6F" w:rsidRDefault="00816A57" w:rsidP="004C1D5B">
            <w:pPr>
              <w:pStyle w:val="BodyText"/>
              <w:spacing w:line="276" w:lineRule="auto"/>
              <w:jc w:val="center"/>
              <w:rPr>
                <w:color w:val="000000" w:themeColor="text1"/>
              </w:rPr>
            </w:pPr>
            <w:r w:rsidRPr="00BD1B6F">
              <w:rPr>
                <w:color w:val="000000" w:themeColor="text1"/>
              </w:rPr>
              <w:t>55%</w:t>
            </w:r>
          </w:p>
        </w:tc>
        <w:tc>
          <w:tcPr>
            <w:tcW w:w="2409" w:type="dxa"/>
            <w:tcBorders>
              <w:top w:val="dotted" w:sz="4" w:space="0" w:color="auto"/>
              <w:left w:val="nil"/>
              <w:bottom w:val="dotted" w:sz="4" w:space="0" w:color="auto"/>
              <w:right w:val="dotted" w:sz="4" w:space="0" w:color="auto"/>
            </w:tcBorders>
            <w:shd w:val="clear" w:color="auto" w:fill="DAEEF3" w:themeFill="accent5" w:themeFillTint="33"/>
            <w:vAlign w:val="center"/>
          </w:tcPr>
          <w:p w14:paraId="1B510C21" w14:textId="77777777" w:rsidR="006A0F9E" w:rsidRPr="00BD1B6F" w:rsidRDefault="00816A57" w:rsidP="004C1D5B">
            <w:pPr>
              <w:pStyle w:val="BodyText"/>
              <w:spacing w:line="276" w:lineRule="auto"/>
              <w:jc w:val="center"/>
              <w:rPr>
                <w:rStyle w:val="normaltextrun"/>
              </w:rPr>
            </w:pPr>
            <w:r w:rsidRPr="00BD1B6F">
              <w:rPr>
                <w:rStyle w:val="normaltextrun"/>
              </w:rPr>
              <w:t>34%</w:t>
            </w:r>
          </w:p>
          <w:p w14:paraId="06FA8E77" w14:textId="0F4B2056" w:rsidR="00816A57" w:rsidRPr="00BD1B6F" w:rsidRDefault="00816A57" w:rsidP="004C1D5B">
            <w:pPr>
              <w:pStyle w:val="BodyText"/>
              <w:spacing w:line="276" w:lineRule="auto"/>
              <w:jc w:val="center"/>
              <w:rPr>
                <w:color w:val="000000" w:themeColor="text1"/>
              </w:rPr>
            </w:pPr>
            <w:r w:rsidRPr="00BD1B6F">
              <w:rPr>
                <w:rStyle w:val="eop"/>
              </w:rPr>
              <w:t>(2022.)</w:t>
            </w:r>
          </w:p>
        </w:tc>
      </w:tr>
      <w:tr w:rsidR="00816A57" w:rsidRPr="008115FB" w14:paraId="0FD729A9" w14:textId="77777777" w:rsidTr="00FD2238">
        <w:trPr>
          <w:trHeight w:val="913"/>
          <w:jc w:val="center"/>
        </w:trPr>
        <w:tc>
          <w:tcPr>
            <w:tcW w:w="2836" w:type="dxa"/>
            <w:tcBorders>
              <w:left w:val="dotted" w:sz="4" w:space="0" w:color="auto"/>
              <w:bottom w:val="dotted" w:sz="4" w:space="0" w:color="auto"/>
            </w:tcBorders>
            <w:shd w:val="clear" w:color="auto" w:fill="FFFFFF" w:themeFill="background1"/>
            <w:vAlign w:val="center"/>
          </w:tcPr>
          <w:p w14:paraId="6453B820" w14:textId="77777777" w:rsidR="00816A57" w:rsidRPr="00BD1B6F" w:rsidRDefault="00816A57" w:rsidP="004C1D5B">
            <w:pPr>
              <w:pStyle w:val="BodyText"/>
              <w:spacing w:line="276" w:lineRule="auto"/>
              <w:rPr>
                <w:color w:val="000000" w:themeColor="text1"/>
              </w:rPr>
            </w:pPr>
            <w:r w:rsidRPr="00BD1B6F">
              <w:rPr>
                <w:color w:val="000000" w:themeColor="text1"/>
              </w:rPr>
              <w:t>Udio obnovljivih izvora energije u bruto ukupnoj potrošnji energije</w:t>
            </w:r>
          </w:p>
        </w:tc>
        <w:tc>
          <w:tcPr>
            <w:tcW w:w="2127" w:type="dxa"/>
            <w:tcBorders>
              <w:bottom w:val="dotted" w:sz="4" w:space="0" w:color="auto"/>
            </w:tcBorders>
            <w:shd w:val="clear" w:color="auto" w:fill="DAEEF3" w:themeFill="accent5" w:themeFillTint="33"/>
            <w:vAlign w:val="center"/>
          </w:tcPr>
          <w:p w14:paraId="7ACB912B" w14:textId="77777777" w:rsidR="00816A57" w:rsidRPr="00BD1B6F" w:rsidRDefault="00816A57" w:rsidP="004C1D5B">
            <w:pPr>
              <w:pStyle w:val="BodyText"/>
              <w:spacing w:line="276" w:lineRule="auto"/>
              <w:jc w:val="center"/>
              <w:rPr>
                <w:color w:val="000000" w:themeColor="text1"/>
              </w:rPr>
            </w:pPr>
            <w:r w:rsidRPr="00BD1B6F">
              <w:rPr>
                <w:color w:val="000000" w:themeColor="text1"/>
              </w:rPr>
              <w:t>28,02%</w:t>
            </w:r>
          </w:p>
          <w:p w14:paraId="6E8D0DE3" w14:textId="77777777" w:rsidR="00816A57" w:rsidRPr="00BD1B6F" w:rsidRDefault="00816A57" w:rsidP="004C1D5B">
            <w:pPr>
              <w:pStyle w:val="BodyText"/>
              <w:spacing w:line="276" w:lineRule="auto"/>
              <w:jc w:val="center"/>
              <w:rPr>
                <w:color w:val="000000" w:themeColor="text1"/>
              </w:rPr>
            </w:pPr>
            <w:r w:rsidRPr="00BD1B6F">
              <w:rPr>
                <w:color w:val="000000" w:themeColor="text1"/>
              </w:rPr>
              <w:t>(2018.)</w:t>
            </w:r>
          </w:p>
        </w:tc>
        <w:tc>
          <w:tcPr>
            <w:tcW w:w="1842" w:type="dxa"/>
            <w:tcBorders>
              <w:bottom w:val="dotted" w:sz="4" w:space="0" w:color="auto"/>
              <w:right w:val="nil"/>
            </w:tcBorders>
            <w:shd w:val="clear" w:color="auto" w:fill="FFFFFF" w:themeFill="background1"/>
            <w:vAlign w:val="center"/>
          </w:tcPr>
          <w:p w14:paraId="345AB3A1" w14:textId="77777777" w:rsidR="00816A57" w:rsidRPr="00BD1B6F" w:rsidRDefault="00816A57" w:rsidP="004C1D5B">
            <w:pPr>
              <w:pStyle w:val="BodyText"/>
              <w:spacing w:line="276" w:lineRule="auto"/>
              <w:jc w:val="center"/>
              <w:rPr>
                <w:color w:val="000000" w:themeColor="text1"/>
              </w:rPr>
            </w:pPr>
            <w:r w:rsidRPr="00BD1B6F">
              <w:rPr>
                <w:color w:val="000000" w:themeColor="text1"/>
              </w:rPr>
              <w:t>36,4%</w:t>
            </w:r>
          </w:p>
        </w:tc>
        <w:tc>
          <w:tcPr>
            <w:tcW w:w="2409" w:type="dxa"/>
            <w:tcBorders>
              <w:top w:val="dotted" w:sz="4" w:space="0" w:color="auto"/>
              <w:left w:val="nil"/>
              <w:bottom w:val="dotted" w:sz="4" w:space="0" w:color="auto"/>
              <w:right w:val="dotted" w:sz="4" w:space="0" w:color="auto"/>
            </w:tcBorders>
            <w:shd w:val="clear" w:color="auto" w:fill="DAEEF3" w:themeFill="accent5" w:themeFillTint="33"/>
            <w:vAlign w:val="center"/>
          </w:tcPr>
          <w:p w14:paraId="1BE8F943" w14:textId="77777777" w:rsidR="006A0F9E" w:rsidRPr="00BD1B6F" w:rsidRDefault="00816A57" w:rsidP="004C1D5B">
            <w:pPr>
              <w:pStyle w:val="BodyText"/>
              <w:spacing w:line="276" w:lineRule="auto"/>
              <w:jc w:val="center"/>
              <w:rPr>
                <w:rStyle w:val="normaltextrun"/>
              </w:rPr>
            </w:pPr>
            <w:r w:rsidRPr="00BD1B6F">
              <w:rPr>
                <w:rStyle w:val="normaltextrun"/>
              </w:rPr>
              <w:t>31,33%</w:t>
            </w:r>
          </w:p>
          <w:p w14:paraId="16A9EC33" w14:textId="53AF4E77" w:rsidR="00816A57" w:rsidRPr="00BD1B6F" w:rsidRDefault="00816A57" w:rsidP="004C1D5B">
            <w:pPr>
              <w:pStyle w:val="BodyText"/>
              <w:spacing w:line="276" w:lineRule="auto"/>
              <w:jc w:val="center"/>
              <w:rPr>
                <w:color w:val="000000" w:themeColor="text1"/>
              </w:rPr>
            </w:pPr>
            <w:r w:rsidRPr="00BD1B6F">
              <w:rPr>
                <w:rStyle w:val="eop"/>
              </w:rPr>
              <w:t>(2021.)</w:t>
            </w:r>
          </w:p>
        </w:tc>
      </w:tr>
    </w:tbl>
    <w:p w14:paraId="7D9E7A78" w14:textId="77777777" w:rsidR="00FD2238" w:rsidRDefault="00FD2238" w:rsidP="00BE1F57">
      <w:pPr>
        <w:rPr>
          <w:rFonts w:eastAsia="Calibri"/>
        </w:rPr>
      </w:pPr>
    </w:p>
    <w:p w14:paraId="58519F5A" w14:textId="44FF9CDB" w:rsidR="00280456" w:rsidRPr="00BD1B6F" w:rsidRDefault="00C723DF" w:rsidP="00C723DF">
      <w:pPr>
        <w:pStyle w:val="Heading3"/>
        <w:rPr>
          <w:rFonts w:eastAsia="Calibri"/>
          <w:sz w:val="24"/>
          <w:szCs w:val="24"/>
        </w:rPr>
      </w:pPr>
      <w:bookmarkStart w:id="97" w:name="_Toc156819392"/>
      <w:r w:rsidRPr="00BD1B6F">
        <w:rPr>
          <w:rFonts w:eastAsia="Calibri"/>
          <w:sz w:val="24"/>
          <w:szCs w:val="24"/>
        </w:rPr>
        <w:t>8.</w:t>
      </w:r>
      <w:r w:rsidR="00B218BE">
        <w:rPr>
          <w:rFonts w:eastAsia="Calibri"/>
          <w:sz w:val="24"/>
          <w:szCs w:val="24"/>
        </w:rPr>
        <w:t>2</w:t>
      </w:r>
      <w:r w:rsidRPr="00BD1B6F">
        <w:rPr>
          <w:rFonts w:eastAsia="Calibri"/>
          <w:sz w:val="24"/>
          <w:szCs w:val="24"/>
        </w:rPr>
        <w:t xml:space="preserve">. </w:t>
      </w:r>
      <w:r w:rsidR="00280456" w:rsidRPr="00BD1B6F">
        <w:rPr>
          <w:rFonts w:eastAsia="Calibri"/>
          <w:sz w:val="24"/>
          <w:szCs w:val="24"/>
        </w:rPr>
        <w:t xml:space="preserve">Opis napretka u provedbi strateškog cilja </w:t>
      </w:r>
      <w:r w:rsidRPr="00BD1B6F">
        <w:rPr>
          <w:rFonts w:eastAsia="Calibri"/>
          <w:sz w:val="24"/>
          <w:szCs w:val="24"/>
        </w:rPr>
        <w:t>Ekološka i energetska tranzicija za klimatsku neutralnost</w:t>
      </w:r>
      <w:bookmarkEnd w:id="97"/>
    </w:p>
    <w:p w14:paraId="02DDC9E1" w14:textId="77777777" w:rsidR="008F10E9" w:rsidRPr="00BD1B6F" w:rsidRDefault="008F10E9" w:rsidP="008F10E9">
      <w:pPr>
        <w:widowControl/>
        <w:autoSpaceDE/>
        <w:autoSpaceDN/>
        <w:spacing w:before="240" w:line="276" w:lineRule="auto"/>
        <w:ind w:left="207" w:firstLine="720"/>
        <w:jc w:val="both"/>
        <w:rPr>
          <w:rFonts w:eastAsia="Calibri"/>
          <w:b/>
          <w:bCs/>
          <w:kern w:val="2"/>
          <w:sz w:val="24"/>
          <w:szCs w:val="24"/>
        </w:rPr>
      </w:pPr>
      <w:r w:rsidRPr="00BD1B6F">
        <w:rPr>
          <w:rFonts w:eastAsia="Calibri"/>
          <w:b/>
          <w:bCs/>
          <w:kern w:val="2"/>
          <w:sz w:val="24"/>
          <w:szCs w:val="24"/>
        </w:rPr>
        <w:t>Zaštita prirodnih resursa i borba protiv klimatskih promjena</w:t>
      </w:r>
    </w:p>
    <w:p w14:paraId="11966FEB"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Tijekom izvještajnog razdoblja nastavljena je provedba značajnih napora usmjerenih na </w:t>
      </w:r>
      <w:r w:rsidRPr="008115FB">
        <w:rPr>
          <w:rFonts w:eastAsia="Calibri"/>
          <w:kern w:val="2"/>
          <w:sz w:val="24"/>
          <w:szCs w:val="24"/>
        </w:rPr>
        <w:t xml:space="preserve">ekološku i energetsku tranziciju društva u svrhu </w:t>
      </w:r>
      <w:r w:rsidRPr="00BD1B6F">
        <w:rPr>
          <w:rFonts w:eastAsia="Calibri"/>
          <w:kern w:val="2"/>
          <w:sz w:val="24"/>
          <w:szCs w:val="24"/>
        </w:rPr>
        <w:t>zaštit</w:t>
      </w:r>
      <w:r w:rsidRPr="008115FB">
        <w:rPr>
          <w:rFonts w:eastAsia="Calibri"/>
          <w:kern w:val="2"/>
          <w:sz w:val="24"/>
          <w:szCs w:val="24"/>
        </w:rPr>
        <w:t>e</w:t>
      </w:r>
      <w:r w:rsidRPr="00BD1B6F">
        <w:rPr>
          <w:rFonts w:eastAsia="Calibri"/>
          <w:kern w:val="2"/>
          <w:sz w:val="24"/>
          <w:szCs w:val="24"/>
        </w:rPr>
        <w:t xml:space="preserve"> prirodnih resursa i </w:t>
      </w:r>
      <w:r w:rsidRPr="008115FB">
        <w:rPr>
          <w:rFonts w:eastAsia="Calibri"/>
          <w:kern w:val="2"/>
          <w:sz w:val="24"/>
          <w:szCs w:val="24"/>
        </w:rPr>
        <w:t>prilagodbe</w:t>
      </w:r>
      <w:r w:rsidRPr="00BD1B6F">
        <w:rPr>
          <w:rFonts w:eastAsia="Calibri"/>
          <w:kern w:val="2"/>
          <w:sz w:val="24"/>
          <w:szCs w:val="24"/>
        </w:rPr>
        <w:t xml:space="preserve"> klimatski</w:t>
      </w:r>
      <w:r w:rsidRPr="008115FB">
        <w:rPr>
          <w:rFonts w:eastAsia="Calibri"/>
          <w:kern w:val="2"/>
          <w:sz w:val="24"/>
          <w:szCs w:val="24"/>
        </w:rPr>
        <w:t>m</w:t>
      </w:r>
      <w:r w:rsidRPr="00BD1B6F">
        <w:rPr>
          <w:rFonts w:eastAsia="Calibri"/>
          <w:kern w:val="2"/>
          <w:sz w:val="24"/>
          <w:szCs w:val="24"/>
        </w:rPr>
        <w:t xml:space="preserve"> promjena</w:t>
      </w:r>
      <w:r w:rsidRPr="008115FB">
        <w:rPr>
          <w:rFonts w:eastAsia="Calibri"/>
          <w:kern w:val="2"/>
          <w:sz w:val="24"/>
          <w:szCs w:val="24"/>
        </w:rPr>
        <w:t>ma te</w:t>
      </w:r>
      <w:r w:rsidRPr="00BD1B6F">
        <w:rPr>
          <w:rFonts w:eastAsia="Calibri"/>
          <w:kern w:val="2"/>
          <w:sz w:val="24"/>
          <w:szCs w:val="24"/>
        </w:rPr>
        <w:t xml:space="preserve"> s ciljem postizanja klimatsk</w:t>
      </w:r>
      <w:r w:rsidRPr="008115FB">
        <w:rPr>
          <w:rFonts w:eastAsia="Calibri"/>
          <w:kern w:val="2"/>
          <w:sz w:val="24"/>
          <w:szCs w:val="24"/>
        </w:rPr>
        <w:t>e</w:t>
      </w:r>
      <w:r w:rsidRPr="00BD1B6F">
        <w:rPr>
          <w:rFonts w:eastAsia="Calibri"/>
          <w:kern w:val="2"/>
          <w:sz w:val="24"/>
          <w:szCs w:val="24"/>
        </w:rPr>
        <w:t xml:space="preserve"> neutralnost</w:t>
      </w:r>
      <w:r w:rsidRPr="008115FB">
        <w:rPr>
          <w:rFonts w:eastAsia="Calibri"/>
          <w:kern w:val="2"/>
          <w:sz w:val="24"/>
          <w:szCs w:val="24"/>
        </w:rPr>
        <w:t>i</w:t>
      </w:r>
      <w:r w:rsidRPr="00BD1B6F">
        <w:rPr>
          <w:rFonts w:eastAsia="Calibri"/>
          <w:kern w:val="2"/>
          <w:sz w:val="24"/>
          <w:szCs w:val="24"/>
        </w:rPr>
        <w:t xml:space="preserve">. Prema izvješćima o emisijama stakleničkih plinova </w:t>
      </w:r>
      <w:r w:rsidRPr="00672866">
        <w:rPr>
          <w:rFonts w:eastAsia="Calibri"/>
          <w:kern w:val="2"/>
          <w:sz w:val="24"/>
          <w:szCs w:val="24"/>
        </w:rPr>
        <w:t>koj</w:t>
      </w:r>
      <w:r>
        <w:rPr>
          <w:rFonts w:eastAsia="Calibri"/>
          <w:kern w:val="2"/>
          <w:sz w:val="24"/>
          <w:szCs w:val="24"/>
        </w:rPr>
        <w:t>a</w:t>
      </w:r>
      <w:r w:rsidRPr="00BD1B6F">
        <w:rPr>
          <w:rFonts w:eastAsia="Calibri"/>
          <w:kern w:val="2"/>
          <w:sz w:val="24"/>
          <w:szCs w:val="24"/>
        </w:rPr>
        <w:t xml:space="preserve"> se izrađuju sukladno različitim međunarodnim obvezama, emisije stakleničkih plinova su u Hrvatskoj do 2020. smanjene za ukupno 24% u odnosu na razinu emisija iz 1990. U skladu s navedenim</w:t>
      </w:r>
      <w:r>
        <w:rPr>
          <w:rFonts w:eastAsia="Calibri"/>
          <w:kern w:val="2"/>
          <w:sz w:val="24"/>
          <w:szCs w:val="24"/>
        </w:rPr>
        <w:t>,</w:t>
      </w:r>
      <w:r w:rsidRPr="00BD1B6F">
        <w:rPr>
          <w:rFonts w:eastAsia="Calibri"/>
          <w:kern w:val="2"/>
          <w:sz w:val="24"/>
          <w:szCs w:val="24"/>
        </w:rPr>
        <w:t xml:space="preserve"> Hrvatska je postigla svoj cilj smanjenja emisija stakleničkih plinova i doprinijela ispunjenju zajedničkog cilja EU</w:t>
      </w:r>
      <w:r>
        <w:rPr>
          <w:rFonts w:eastAsia="Calibri"/>
          <w:kern w:val="2"/>
          <w:sz w:val="24"/>
          <w:szCs w:val="24"/>
        </w:rPr>
        <w:t>-a</w:t>
      </w:r>
      <w:r w:rsidRPr="00BD1B6F">
        <w:rPr>
          <w:rFonts w:eastAsia="Calibri"/>
          <w:kern w:val="2"/>
          <w:sz w:val="24"/>
          <w:szCs w:val="24"/>
        </w:rPr>
        <w:t xml:space="preserve"> do 2020. Za prilagodbu na klimatske promjene potrebni su značajni napori. </w:t>
      </w:r>
      <w:r w:rsidRPr="008115FB">
        <w:rPr>
          <w:rFonts w:eastAsia="Calibri"/>
          <w:kern w:val="2"/>
          <w:sz w:val="24"/>
          <w:szCs w:val="24"/>
        </w:rPr>
        <w:t xml:space="preserve">Iako se ubrzano radi na prilagodbi na opažene i očekivane klimatske promjene i jačanju otpornosti, </w:t>
      </w:r>
      <w:r w:rsidRPr="00C8492E">
        <w:rPr>
          <w:rFonts w:eastAsia="Calibri"/>
          <w:kern w:val="2"/>
          <w:sz w:val="24"/>
          <w:szCs w:val="24"/>
        </w:rPr>
        <w:t xml:space="preserve">upravljanje i smanjenje posljedičnih rizika </w:t>
      </w:r>
      <w:r>
        <w:rPr>
          <w:rFonts w:eastAsia="Calibri"/>
          <w:kern w:val="2"/>
          <w:sz w:val="24"/>
          <w:szCs w:val="24"/>
        </w:rPr>
        <w:t xml:space="preserve">potrebno </w:t>
      </w:r>
      <w:r w:rsidRPr="00C8492E">
        <w:rPr>
          <w:rFonts w:eastAsia="Calibri"/>
          <w:kern w:val="2"/>
          <w:sz w:val="24"/>
          <w:szCs w:val="24"/>
        </w:rPr>
        <w:t xml:space="preserve">je </w:t>
      </w:r>
      <w:r>
        <w:rPr>
          <w:rFonts w:eastAsia="Calibri"/>
          <w:kern w:val="2"/>
          <w:sz w:val="24"/>
          <w:szCs w:val="24"/>
        </w:rPr>
        <w:t>dodatno ubrzati i intenzivirati</w:t>
      </w:r>
      <w:r w:rsidRPr="00C8492E">
        <w:rPr>
          <w:rFonts w:eastAsia="Calibri"/>
          <w:kern w:val="2"/>
          <w:sz w:val="24"/>
          <w:szCs w:val="24"/>
        </w:rPr>
        <w:t>.</w:t>
      </w:r>
    </w:p>
    <w:p w14:paraId="5350402C" w14:textId="77777777" w:rsidR="008F10E9"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Kako bi se nastavilo jačanje otpornosti na klimatske promjene u ranjivim sektorima, nastavljeni su napori na provedbi mjera utvrđenih Strategijom prilagodbe klimatskim promjenama za razdoblje do 2040. godine. Kako bi se mogli pratiti učinci prilagodbe klimatskim promjenama na društvo, jedan od prioriteta u nadolazećem razdoblju je uspostav</w:t>
      </w:r>
      <w:r>
        <w:rPr>
          <w:rFonts w:eastAsia="Calibri"/>
          <w:kern w:val="2"/>
          <w:sz w:val="24"/>
          <w:szCs w:val="24"/>
        </w:rPr>
        <w:t>lj</w:t>
      </w:r>
      <w:r w:rsidRPr="00BD1B6F">
        <w:rPr>
          <w:rFonts w:eastAsia="Calibri"/>
          <w:kern w:val="2"/>
          <w:sz w:val="24"/>
          <w:szCs w:val="24"/>
        </w:rPr>
        <w:t>a</w:t>
      </w:r>
      <w:r>
        <w:rPr>
          <w:rFonts w:eastAsia="Calibri"/>
          <w:kern w:val="2"/>
          <w:sz w:val="24"/>
          <w:szCs w:val="24"/>
        </w:rPr>
        <w:t>nje</w:t>
      </w:r>
      <w:r w:rsidRPr="00BD1B6F">
        <w:rPr>
          <w:rFonts w:eastAsia="Calibri"/>
          <w:kern w:val="2"/>
          <w:sz w:val="24"/>
          <w:szCs w:val="24"/>
        </w:rPr>
        <w:t xml:space="preserve"> sustava praćenja provedbe mjera prilagodbe za dugoročno razdoblje. </w:t>
      </w:r>
    </w:p>
    <w:p w14:paraId="48BAB27F" w14:textId="77777777" w:rsidR="008F10E9" w:rsidRPr="00BD1B6F" w:rsidRDefault="008F10E9" w:rsidP="008F10E9">
      <w:pPr>
        <w:widowControl/>
        <w:autoSpaceDE/>
        <w:autoSpaceDN/>
        <w:spacing w:before="240" w:line="276" w:lineRule="auto"/>
        <w:jc w:val="both"/>
        <w:rPr>
          <w:rFonts w:eastAsia="Calibri"/>
          <w:kern w:val="2"/>
          <w:sz w:val="24"/>
          <w:szCs w:val="24"/>
        </w:rPr>
      </w:pPr>
      <w:r>
        <w:rPr>
          <w:rFonts w:eastAsia="Calibri"/>
          <w:kern w:val="2"/>
          <w:sz w:val="24"/>
          <w:szCs w:val="24"/>
        </w:rPr>
        <w:t>Nastavljeni su</w:t>
      </w:r>
      <w:r w:rsidRPr="002F4174">
        <w:rPr>
          <w:rFonts w:eastAsia="Calibri"/>
          <w:kern w:val="2"/>
          <w:sz w:val="24"/>
          <w:szCs w:val="24"/>
        </w:rPr>
        <w:t xml:space="preserve"> </w:t>
      </w:r>
      <w:r>
        <w:rPr>
          <w:rFonts w:eastAsia="Calibri"/>
          <w:kern w:val="2"/>
          <w:sz w:val="24"/>
          <w:szCs w:val="24"/>
        </w:rPr>
        <w:t>napori</w:t>
      </w:r>
      <w:r w:rsidRPr="002F4174">
        <w:rPr>
          <w:rFonts w:eastAsia="Calibri"/>
          <w:kern w:val="2"/>
          <w:sz w:val="24"/>
          <w:szCs w:val="24"/>
        </w:rPr>
        <w:t xml:space="preserve"> u ostvar</w:t>
      </w:r>
      <w:r>
        <w:rPr>
          <w:rFonts w:eastAsia="Calibri"/>
          <w:kern w:val="2"/>
          <w:sz w:val="24"/>
          <w:szCs w:val="24"/>
        </w:rPr>
        <w:t>ivanju</w:t>
      </w:r>
      <w:r w:rsidRPr="002F4174">
        <w:rPr>
          <w:rFonts w:eastAsia="Calibri"/>
          <w:kern w:val="2"/>
          <w:sz w:val="24"/>
          <w:szCs w:val="24"/>
        </w:rPr>
        <w:t xml:space="preserve"> ciljeva zaštite prirode kroz provedbu strateških projekata,  financira</w:t>
      </w:r>
      <w:r>
        <w:rPr>
          <w:rFonts w:eastAsia="Calibri"/>
          <w:kern w:val="2"/>
          <w:sz w:val="24"/>
          <w:szCs w:val="24"/>
        </w:rPr>
        <w:t>nih</w:t>
      </w:r>
      <w:r w:rsidRPr="002F4174">
        <w:rPr>
          <w:rFonts w:eastAsia="Calibri"/>
          <w:kern w:val="2"/>
          <w:sz w:val="24"/>
          <w:szCs w:val="24"/>
        </w:rPr>
        <w:t xml:space="preserve"> iz O</w:t>
      </w:r>
      <w:r>
        <w:rPr>
          <w:rFonts w:eastAsia="Calibri"/>
          <w:kern w:val="2"/>
          <w:sz w:val="24"/>
          <w:szCs w:val="24"/>
        </w:rPr>
        <w:t>PKK</w:t>
      </w:r>
      <w:r w:rsidRPr="002F4174">
        <w:rPr>
          <w:rFonts w:eastAsia="Calibri"/>
          <w:kern w:val="2"/>
          <w:sz w:val="24"/>
          <w:szCs w:val="24"/>
        </w:rPr>
        <w:t xml:space="preserve"> 2014.</w:t>
      </w:r>
      <w:r>
        <w:rPr>
          <w:rFonts w:eastAsia="Calibri"/>
          <w:kern w:val="2"/>
          <w:sz w:val="24"/>
          <w:szCs w:val="24"/>
        </w:rPr>
        <w:t xml:space="preserve"> </w:t>
      </w:r>
      <w:r w:rsidRPr="002F4174">
        <w:rPr>
          <w:rFonts w:eastAsia="Calibri"/>
          <w:kern w:val="2"/>
          <w:sz w:val="24"/>
          <w:szCs w:val="24"/>
        </w:rPr>
        <w:t>-</w:t>
      </w:r>
      <w:r>
        <w:rPr>
          <w:rFonts w:eastAsia="Calibri"/>
          <w:kern w:val="2"/>
          <w:sz w:val="24"/>
          <w:szCs w:val="24"/>
        </w:rPr>
        <w:t xml:space="preserve"> </w:t>
      </w:r>
      <w:r w:rsidRPr="002F4174">
        <w:rPr>
          <w:rFonts w:eastAsia="Calibri"/>
          <w:kern w:val="2"/>
          <w:sz w:val="24"/>
          <w:szCs w:val="24"/>
        </w:rPr>
        <w:t>2020. Radi se o</w:t>
      </w:r>
      <w:r>
        <w:rPr>
          <w:rFonts w:eastAsia="Calibri"/>
          <w:kern w:val="2"/>
          <w:sz w:val="24"/>
          <w:szCs w:val="24"/>
        </w:rPr>
        <w:t xml:space="preserve"> sljedećim</w:t>
      </w:r>
      <w:r w:rsidRPr="002F4174">
        <w:rPr>
          <w:rFonts w:eastAsia="Calibri"/>
          <w:kern w:val="2"/>
          <w:sz w:val="24"/>
          <w:szCs w:val="24"/>
        </w:rPr>
        <w:t xml:space="preserve"> projektima: </w:t>
      </w:r>
      <w:r>
        <w:rPr>
          <w:rFonts w:eastAsia="Calibri"/>
          <w:kern w:val="2"/>
          <w:sz w:val="24"/>
          <w:szCs w:val="24"/>
        </w:rPr>
        <w:t>„</w:t>
      </w:r>
      <w:r w:rsidRPr="002F4174">
        <w:rPr>
          <w:rFonts w:eastAsia="Calibri"/>
          <w:kern w:val="2"/>
          <w:sz w:val="24"/>
          <w:szCs w:val="24"/>
        </w:rPr>
        <w:t>Razvoj okvira za upravljanje ekološkom mrežom Natura 2000</w:t>
      </w:r>
      <w:r>
        <w:rPr>
          <w:rFonts w:eastAsia="Calibri"/>
          <w:kern w:val="2"/>
          <w:sz w:val="24"/>
          <w:szCs w:val="24"/>
        </w:rPr>
        <w:t>“</w:t>
      </w:r>
      <w:r w:rsidRPr="002F4174">
        <w:rPr>
          <w:rFonts w:eastAsia="Calibri"/>
          <w:kern w:val="2"/>
          <w:sz w:val="24"/>
          <w:szCs w:val="24"/>
        </w:rPr>
        <w:t xml:space="preserve">, </w:t>
      </w:r>
      <w:r>
        <w:rPr>
          <w:rFonts w:eastAsia="Calibri"/>
          <w:kern w:val="2"/>
          <w:sz w:val="24"/>
          <w:szCs w:val="24"/>
        </w:rPr>
        <w:t>„</w:t>
      </w:r>
      <w:r w:rsidRPr="002F4174">
        <w:rPr>
          <w:rFonts w:eastAsia="Calibri"/>
          <w:kern w:val="2"/>
          <w:sz w:val="24"/>
          <w:szCs w:val="24"/>
        </w:rPr>
        <w:t>Razvijanje sustava upravljanja i kontrole invazivnih stranih vrsta</w:t>
      </w:r>
      <w:r>
        <w:rPr>
          <w:rFonts w:eastAsia="Calibri"/>
          <w:kern w:val="2"/>
          <w:sz w:val="24"/>
          <w:szCs w:val="24"/>
        </w:rPr>
        <w:t>“</w:t>
      </w:r>
      <w:r w:rsidRPr="002F4174">
        <w:rPr>
          <w:rFonts w:eastAsia="Calibri"/>
          <w:kern w:val="2"/>
          <w:sz w:val="24"/>
          <w:szCs w:val="24"/>
        </w:rPr>
        <w:t xml:space="preserve">, </w:t>
      </w:r>
      <w:r>
        <w:rPr>
          <w:rFonts w:eastAsia="Calibri"/>
          <w:kern w:val="2"/>
          <w:sz w:val="24"/>
          <w:szCs w:val="24"/>
        </w:rPr>
        <w:t>„</w:t>
      </w:r>
      <w:r w:rsidRPr="002F4174">
        <w:rPr>
          <w:rFonts w:eastAsia="Calibri"/>
          <w:kern w:val="2"/>
          <w:sz w:val="24"/>
          <w:szCs w:val="24"/>
        </w:rPr>
        <w:t>Kartiranje obalnih i pridnenih morskih staništa na području Jadranskog mora pod nacionalnom jurisdikcijom</w:t>
      </w:r>
      <w:r>
        <w:rPr>
          <w:rFonts w:eastAsia="Calibri"/>
          <w:kern w:val="2"/>
          <w:sz w:val="24"/>
          <w:szCs w:val="24"/>
        </w:rPr>
        <w:t>“</w:t>
      </w:r>
      <w:r w:rsidRPr="002F4174">
        <w:rPr>
          <w:rFonts w:eastAsia="Calibri"/>
          <w:kern w:val="2"/>
          <w:sz w:val="24"/>
          <w:szCs w:val="24"/>
        </w:rPr>
        <w:t xml:space="preserve"> i </w:t>
      </w:r>
      <w:r>
        <w:rPr>
          <w:rFonts w:eastAsia="Calibri"/>
          <w:kern w:val="2"/>
          <w:sz w:val="24"/>
          <w:szCs w:val="24"/>
        </w:rPr>
        <w:t>„</w:t>
      </w:r>
      <w:r w:rsidRPr="002F4174">
        <w:rPr>
          <w:rFonts w:eastAsia="Calibri"/>
          <w:kern w:val="2"/>
          <w:sz w:val="24"/>
          <w:szCs w:val="24"/>
        </w:rPr>
        <w:t xml:space="preserve">Razvoj </w:t>
      </w:r>
      <w:r w:rsidRPr="002F4174">
        <w:rPr>
          <w:rFonts w:eastAsia="Calibri"/>
          <w:kern w:val="2"/>
          <w:sz w:val="24"/>
          <w:szCs w:val="24"/>
        </w:rPr>
        <w:lastRenderedPageBreak/>
        <w:t>sustava praćenja očuvanosti vrsta i stanišnih tipova</w:t>
      </w:r>
      <w:r>
        <w:rPr>
          <w:rFonts w:eastAsia="Calibri"/>
          <w:kern w:val="2"/>
          <w:sz w:val="24"/>
          <w:szCs w:val="24"/>
        </w:rPr>
        <w:t>“</w:t>
      </w:r>
      <w:r w:rsidRPr="002F4174">
        <w:rPr>
          <w:rFonts w:eastAsia="Calibri"/>
          <w:kern w:val="2"/>
          <w:sz w:val="24"/>
          <w:szCs w:val="24"/>
        </w:rPr>
        <w:t>.</w:t>
      </w:r>
      <w:r>
        <w:rPr>
          <w:rFonts w:eastAsia="Calibri"/>
          <w:kern w:val="2"/>
          <w:sz w:val="24"/>
          <w:szCs w:val="24"/>
        </w:rPr>
        <w:t xml:space="preserve"> </w:t>
      </w:r>
      <w:r w:rsidRPr="00D001D2">
        <w:rPr>
          <w:rFonts w:eastAsia="Calibri"/>
          <w:kern w:val="2"/>
          <w:sz w:val="24"/>
          <w:szCs w:val="24"/>
        </w:rPr>
        <w:t xml:space="preserve">Provedbom </w:t>
      </w:r>
      <w:r>
        <w:rPr>
          <w:rFonts w:eastAsia="Calibri"/>
          <w:kern w:val="2"/>
          <w:sz w:val="24"/>
          <w:szCs w:val="24"/>
        </w:rPr>
        <w:t xml:space="preserve">navedenih </w:t>
      </w:r>
      <w:r w:rsidRPr="00D001D2">
        <w:rPr>
          <w:rFonts w:eastAsia="Calibri"/>
          <w:kern w:val="2"/>
          <w:sz w:val="24"/>
          <w:szCs w:val="24"/>
        </w:rPr>
        <w:t xml:space="preserve">strateških projekata </w:t>
      </w:r>
      <w:r>
        <w:rPr>
          <w:rFonts w:eastAsia="Calibri"/>
          <w:kern w:val="2"/>
          <w:sz w:val="24"/>
          <w:szCs w:val="24"/>
        </w:rPr>
        <w:t xml:space="preserve">izravno se </w:t>
      </w:r>
      <w:r w:rsidRPr="00D001D2">
        <w:rPr>
          <w:rFonts w:eastAsia="Calibri"/>
          <w:kern w:val="2"/>
          <w:sz w:val="24"/>
          <w:szCs w:val="24"/>
        </w:rPr>
        <w:t xml:space="preserve">doprinosi </w:t>
      </w:r>
      <w:r w:rsidRPr="00E2159F">
        <w:rPr>
          <w:rFonts w:eastAsia="Calibri"/>
          <w:kern w:val="2"/>
          <w:sz w:val="24"/>
          <w:szCs w:val="24"/>
        </w:rPr>
        <w:t>provedbi prioritetn</w:t>
      </w:r>
      <w:r>
        <w:rPr>
          <w:rFonts w:eastAsia="Calibri"/>
          <w:kern w:val="2"/>
          <w:sz w:val="24"/>
          <w:szCs w:val="24"/>
        </w:rPr>
        <w:t>ih</w:t>
      </w:r>
      <w:r w:rsidRPr="00E2159F">
        <w:rPr>
          <w:rFonts w:eastAsia="Calibri"/>
          <w:kern w:val="2"/>
          <w:sz w:val="24"/>
          <w:szCs w:val="24"/>
        </w:rPr>
        <w:t xml:space="preserve"> javnih politika</w:t>
      </w:r>
      <w:r>
        <w:rPr>
          <w:rFonts w:eastAsia="Calibri"/>
          <w:kern w:val="2"/>
          <w:sz w:val="24"/>
          <w:szCs w:val="24"/>
        </w:rPr>
        <w:t xml:space="preserve"> z</w:t>
      </w:r>
      <w:r w:rsidRPr="004E5C40">
        <w:rPr>
          <w:rFonts w:eastAsia="Calibri"/>
          <w:kern w:val="2"/>
          <w:sz w:val="24"/>
          <w:szCs w:val="24"/>
        </w:rPr>
        <w:t>aštit</w:t>
      </w:r>
      <w:r>
        <w:rPr>
          <w:rFonts w:eastAsia="Calibri"/>
          <w:kern w:val="2"/>
          <w:sz w:val="24"/>
          <w:szCs w:val="24"/>
        </w:rPr>
        <w:t>e</w:t>
      </w:r>
      <w:r w:rsidRPr="004E5C40">
        <w:rPr>
          <w:rFonts w:eastAsia="Calibri"/>
          <w:kern w:val="2"/>
          <w:sz w:val="24"/>
          <w:szCs w:val="24"/>
        </w:rPr>
        <w:t xml:space="preserve"> prirodnih resursa i borb</w:t>
      </w:r>
      <w:r>
        <w:rPr>
          <w:rFonts w:eastAsia="Calibri"/>
          <w:kern w:val="2"/>
          <w:sz w:val="24"/>
          <w:szCs w:val="24"/>
        </w:rPr>
        <w:t>e</w:t>
      </w:r>
      <w:r w:rsidRPr="004E5C40">
        <w:rPr>
          <w:rFonts w:eastAsia="Calibri"/>
          <w:kern w:val="2"/>
          <w:sz w:val="24"/>
          <w:szCs w:val="24"/>
        </w:rPr>
        <w:t xml:space="preserve"> protiv klimatskih promjena</w:t>
      </w:r>
      <w:r>
        <w:rPr>
          <w:rFonts w:eastAsia="Calibri"/>
          <w:kern w:val="2"/>
          <w:sz w:val="24"/>
          <w:szCs w:val="24"/>
        </w:rPr>
        <w:t xml:space="preserve"> utvrđenih u okviru ovog strateškog cilja,</w:t>
      </w:r>
      <w:r w:rsidRPr="00E2159F">
        <w:rPr>
          <w:rFonts w:eastAsia="Calibri"/>
          <w:kern w:val="2"/>
          <w:sz w:val="24"/>
          <w:szCs w:val="24"/>
        </w:rPr>
        <w:t xml:space="preserve"> </w:t>
      </w:r>
      <w:r>
        <w:rPr>
          <w:rFonts w:eastAsia="Calibri"/>
          <w:kern w:val="2"/>
          <w:sz w:val="24"/>
          <w:szCs w:val="24"/>
        </w:rPr>
        <w:t>kao i</w:t>
      </w:r>
      <w:r w:rsidRPr="00D001D2">
        <w:rPr>
          <w:rFonts w:eastAsia="Calibri"/>
          <w:kern w:val="2"/>
          <w:sz w:val="24"/>
          <w:szCs w:val="24"/>
        </w:rPr>
        <w:t xml:space="preserve"> postizanju ciljeva Strategije i akcijskog plana zaštite prirode Republike Hrvatske za razdoblje od 2017. do 2025. godine</w:t>
      </w:r>
      <w:r w:rsidRPr="002F4174">
        <w:rPr>
          <w:rFonts w:eastAsia="Calibri"/>
          <w:kern w:val="2"/>
          <w:sz w:val="24"/>
          <w:szCs w:val="24"/>
        </w:rPr>
        <w:t>.</w:t>
      </w:r>
    </w:p>
    <w:p w14:paraId="3D5E9C29"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Integriranim nacionalnim energetskim i klimatskim planom za razdoblje od 2021. do 2030. godine (</w:t>
      </w:r>
      <w:r>
        <w:rPr>
          <w:rFonts w:eastAsia="Calibri"/>
          <w:kern w:val="2"/>
          <w:sz w:val="24"/>
          <w:szCs w:val="24"/>
        </w:rPr>
        <w:t>u daljnjem</w:t>
      </w:r>
      <w:r w:rsidRPr="008115FB">
        <w:rPr>
          <w:rFonts w:eastAsia="Calibri"/>
          <w:kern w:val="2"/>
          <w:sz w:val="24"/>
          <w:szCs w:val="24"/>
        </w:rPr>
        <w:t xml:space="preserve"> tekstu: </w:t>
      </w:r>
      <w:r w:rsidRPr="00BD1B6F">
        <w:rPr>
          <w:rFonts w:eastAsia="Calibri"/>
          <w:kern w:val="2"/>
          <w:sz w:val="24"/>
          <w:szCs w:val="24"/>
        </w:rPr>
        <w:t>NECP)</w:t>
      </w:r>
      <w:r>
        <w:rPr>
          <w:rFonts w:eastAsia="Calibri"/>
          <w:kern w:val="2"/>
          <w:sz w:val="24"/>
          <w:szCs w:val="24"/>
        </w:rPr>
        <w:t>,</w:t>
      </w:r>
      <w:r w:rsidRPr="00BD1B6F">
        <w:rPr>
          <w:rFonts w:eastAsia="Calibri"/>
          <w:kern w:val="2"/>
          <w:sz w:val="24"/>
          <w:szCs w:val="24"/>
        </w:rPr>
        <w:t xml:space="preserve"> Hrvatsk</w:t>
      </w:r>
      <w:r>
        <w:rPr>
          <w:rFonts w:eastAsia="Calibri"/>
          <w:kern w:val="2"/>
          <w:sz w:val="24"/>
          <w:szCs w:val="24"/>
        </w:rPr>
        <w:t>a</w:t>
      </w:r>
      <w:r w:rsidRPr="00BD1B6F">
        <w:rPr>
          <w:rFonts w:eastAsia="Calibri"/>
          <w:kern w:val="2"/>
          <w:sz w:val="24"/>
          <w:szCs w:val="24"/>
        </w:rPr>
        <w:t xml:space="preserve"> postavlja nacionalne ciljeve za smanjenje emisija stakleničkih plinova do 2030. Temeljem Uredbe EU</w:t>
      </w:r>
      <w:r>
        <w:rPr>
          <w:rFonts w:eastAsia="Calibri"/>
          <w:kern w:val="2"/>
          <w:sz w:val="24"/>
          <w:szCs w:val="24"/>
        </w:rPr>
        <w:t>-a</w:t>
      </w:r>
      <w:r w:rsidRPr="00BD1B6F">
        <w:rPr>
          <w:rFonts w:eastAsia="Calibri"/>
          <w:kern w:val="2"/>
          <w:sz w:val="24"/>
          <w:szCs w:val="24"/>
        </w:rPr>
        <w:t xml:space="preserve"> o upravljanju energetskom unijom i djelovanjem u području klime (Uredba (EU) 2018/1999), pokrenut je postupak ažuriranja NECP-a, kako bi se nacionalni ciljevi uskladili </w:t>
      </w:r>
      <w:r w:rsidRPr="00672866">
        <w:rPr>
          <w:rFonts w:eastAsia="Calibri"/>
          <w:kern w:val="2"/>
          <w:sz w:val="24"/>
          <w:szCs w:val="24"/>
        </w:rPr>
        <w:t>s</w:t>
      </w:r>
      <w:r w:rsidRPr="00BD1B6F">
        <w:rPr>
          <w:rFonts w:eastAsia="Calibri"/>
          <w:kern w:val="2"/>
          <w:sz w:val="24"/>
          <w:szCs w:val="24"/>
        </w:rPr>
        <w:t xml:space="preserve"> novim</w:t>
      </w:r>
      <w:r>
        <w:rPr>
          <w:rFonts w:eastAsia="Calibri"/>
          <w:kern w:val="2"/>
          <w:sz w:val="24"/>
          <w:szCs w:val="24"/>
        </w:rPr>
        <w:t>,</w:t>
      </w:r>
      <w:r w:rsidRPr="00BD1B6F">
        <w:rPr>
          <w:rFonts w:eastAsia="Calibri"/>
          <w:kern w:val="2"/>
          <w:sz w:val="24"/>
          <w:szCs w:val="24"/>
        </w:rPr>
        <w:t xml:space="preserve"> </w:t>
      </w:r>
      <w:r>
        <w:rPr>
          <w:rFonts w:eastAsia="Calibri"/>
          <w:kern w:val="2"/>
          <w:sz w:val="24"/>
          <w:szCs w:val="24"/>
        </w:rPr>
        <w:t>ambicioznijim</w:t>
      </w:r>
      <w:r w:rsidRPr="00BD1B6F">
        <w:rPr>
          <w:rFonts w:eastAsia="Calibri"/>
          <w:kern w:val="2"/>
          <w:sz w:val="24"/>
          <w:szCs w:val="24"/>
        </w:rPr>
        <w:t xml:space="preserve"> ciljevima EU</w:t>
      </w:r>
      <w:r>
        <w:rPr>
          <w:rFonts w:eastAsia="Calibri"/>
          <w:kern w:val="2"/>
          <w:sz w:val="24"/>
          <w:szCs w:val="24"/>
        </w:rPr>
        <w:t>-a</w:t>
      </w:r>
      <w:r w:rsidRPr="00BD1B6F">
        <w:rPr>
          <w:rFonts w:eastAsia="Calibri"/>
          <w:kern w:val="2"/>
          <w:sz w:val="24"/>
          <w:szCs w:val="24"/>
        </w:rPr>
        <w:t xml:space="preserve"> te kako bi se odabrale odgovarajuće mjere i aktivnosti koje će Hrvatsku snažnije usmjeriti prema niskougljičnom razvoju i klimatskoj neutralnosti. </w:t>
      </w:r>
      <w:r w:rsidRPr="008115FB">
        <w:rPr>
          <w:rFonts w:eastAsia="Calibri"/>
          <w:kern w:val="2"/>
          <w:sz w:val="24"/>
          <w:szCs w:val="24"/>
        </w:rPr>
        <w:t>P</w:t>
      </w:r>
      <w:r w:rsidRPr="00BD1B6F">
        <w:rPr>
          <w:rFonts w:eastAsia="Calibri"/>
          <w:kern w:val="2"/>
          <w:sz w:val="24"/>
          <w:szCs w:val="24"/>
        </w:rPr>
        <w:t xml:space="preserve">rimjenom procesa višerazinskog dijaloga, pripremljen je Nacrt ažuriranog NECP-a i dostavljen Europskoj </w:t>
      </w:r>
      <w:r>
        <w:rPr>
          <w:rFonts w:eastAsia="Calibri"/>
          <w:kern w:val="2"/>
          <w:sz w:val="24"/>
          <w:szCs w:val="24"/>
        </w:rPr>
        <w:t>k</w:t>
      </w:r>
      <w:r w:rsidRPr="00BD1B6F">
        <w:rPr>
          <w:rFonts w:eastAsia="Calibri"/>
          <w:kern w:val="2"/>
          <w:sz w:val="24"/>
          <w:szCs w:val="24"/>
        </w:rPr>
        <w:t>omisiji u lipnju 2023. Nacrtom su postavljeni revidirani ciljevi do 2030</w:t>
      </w:r>
      <w:r w:rsidRPr="00672866">
        <w:rPr>
          <w:rFonts w:eastAsia="Calibri"/>
          <w:kern w:val="2"/>
          <w:sz w:val="24"/>
          <w:szCs w:val="24"/>
        </w:rPr>
        <w:t>.,</w:t>
      </w:r>
      <w:r w:rsidRPr="00BD1B6F">
        <w:rPr>
          <w:rFonts w:eastAsia="Calibri"/>
          <w:kern w:val="2"/>
          <w:sz w:val="24"/>
          <w:szCs w:val="24"/>
        </w:rPr>
        <w:t xml:space="preserve"> kojima će Hrvatska doprinijeti novim ciljevima EU-a o smanjenju emisija stakleničkih plinova za najmanje 55% do 2030. u odnosu na razine emisija iz 2005., odnosno postizanja klimatske neutralnosti do 2050. U okviru tog zajedničkog cilja</w:t>
      </w:r>
      <w:r>
        <w:rPr>
          <w:rFonts w:eastAsia="Calibri"/>
          <w:kern w:val="2"/>
          <w:sz w:val="24"/>
          <w:szCs w:val="24"/>
        </w:rPr>
        <w:t>,</w:t>
      </w:r>
      <w:r w:rsidRPr="00BD1B6F">
        <w:rPr>
          <w:rFonts w:eastAsia="Calibri"/>
          <w:kern w:val="2"/>
          <w:sz w:val="24"/>
          <w:szCs w:val="24"/>
        </w:rPr>
        <w:t xml:space="preserve"> svaka država članica ima i svoj pojedinačni cilj smanjenja </w:t>
      </w:r>
      <w:r w:rsidRPr="008115FB">
        <w:rPr>
          <w:rFonts w:eastAsia="Calibri"/>
          <w:kern w:val="2"/>
          <w:sz w:val="24"/>
          <w:szCs w:val="24"/>
        </w:rPr>
        <w:t>emisija stakleničkih plinova</w:t>
      </w:r>
      <w:r>
        <w:rPr>
          <w:rFonts w:eastAsia="Calibri"/>
          <w:kern w:val="2"/>
          <w:sz w:val="24"/>
          <w:szCs w:val="24"/>
        </w:rPr>
        <w:t>, a</w:t>
      </w:r>
      <w:r w:rsidRPr="008115FB">
        <w:rPr>
          <w:rFonts w:eastAsia="Calibri"/>
          <w:kern w:val="2"/>
          <w:sz w:val="24"/>
          <w:szCs w:val="24"/>
        </w:rPr>
        <w:t xml:space="preserve"> za Hrvatsku </w:t>
      </w:r>
      <w:r>
        <w:rPr>
          <w:rFonts w:eastAsia="Calibri"/>
          <w:kern w:val="2"/>
          <w:sz w:val="24"/>
          <w:szCs w:val="24"/>
        </w:rPr>
        <w:t xml:space="preserve">je predviđeno smanjenje od </w:t>
      </w:r>
      <w:r w:rsidRPr="003F01EE">
        <w:rPr>
          <w:rFonts w:eastAsia="Calibri"/>
          <w:kern w:val="2"/>
          <w:sz w:val="24"/>
          <w:szCs w:val="24"/>
        </w:rPr>
        <w:t>16,7%.</w:t>
      </w:r>
      <w:r w:rsidRPr="008115FB" w:rsidDel="009A0A9E">
        <w:rPr>
          <w:rFonts w:eastAsia="Calibri"/>
          <w:kern w:val="2"/>
          <w:sz w:val="24"/>
          <w:szCs w:val="24"/>
        </w:rPr>
        <w:t xml:space="preserve"> </w:t>
      </w:r>
      <w:r w:rsidRPr="008115FB">
        <w:rPr>
          <w:rFonts w:eastAsia="Calibri"/>
          <w:kern w:val="2"/>
          <w:sz w:val="24"/>
          <w:szCs w:val="24"/>
        </w:rPr>
        <w:t>Stoga su</w:t>
      </w:r>
      <w:r w:rsidRPr="00BD1B6F">
        <w:rPr>
          <w:rFonts w:eastAsia="Calibri"/>
          <w:kern w:val="2"/>
          <w:sz w:val="24"/>
          <w:szCs w:val="24"/>
        </w:rPr>
        <w:t xml:space="preserve"> Nacrtom </w:t>
      </w:r>
      <w:r w:rsidRPr="008115FB">
        <w:rPr>
          <w:rFonts w:eastAsia="Calibri"/>
          <w:kern w:val="2"/>
          <w:sz w:val="24"/>
          <w:szCs w:val="24"/>
        </w:rPr>
        <w:t>ažuriranog NECP-a</w:t>
      </w:r>
      <w:r w:rsidRPr="00BD1B6F">
        <w:rPr>
          <w:rFonts w:eastAsia="Calibri"/>
          <w:kern w:val="2"/>
          <w:sz w:val="24"/>
          <w:szCs w:val="24"/>
        </w:rPr>
        <w:t xml:space="preserve"> postavljeni novi ciljevi u korištenju obnovljivih izvora energije (OIE) te se predviđa povećanje udjela OIE u bruto neposrednoj potrošnji energije na 42,5% (31,7% u 2021.)</w:t>
      </w:r>
      <w:r>
        <w:rPr>
          <w:rFonts w:eastAsia="Calibri"/>
          <w:kern w:val="2"/>
          <w:sz w:val="24"/>
          <w:szCs w:val="24"/>
        </w:rPr>
        <w:t>,</w:t>
      </w:r>
      <w:r w:rsidRPr="00BD1B6F">
        <w:rPr>
          <w:rFonts w:eastAsia="Calibri"/>
          <w:kern w:val="2"/>
          <w:sz w:val="24"/>
          <w:szCs w:val="24"/>
        </w:rPr>
        <w:t xml:space="preserve"> kao i povećanje udjela OIE u neposrednoj potrošnji energije u prometu na 21,6% (7% u 2021.). </w:t>
      </w:r>
    </w:p>
    <w:p w14:paraId="7199AB8E"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Usvajanjem Uredbe (Uredba EU 2021/1119) o uspostavi okvira za postizanje klimatske neutralnosti i o izmjeni uredbi EZ 401/2009 i EU 2018/1999, političke ambicije Zelenog plana EU</w:t>
      </w:r>
      <w:r>
        <w:rPr>
          <w:rFonts w:eastAsia="Calibri"/>
          <w:kern w:val="2"/>
          <w:sz w:val="24"/>
          <w:szCs w:val="24"/>
        </w:rPr>
        <w:t>-a</w:t>
      </w:r>
      <w:r w:rsidRPr="00BD1B6F">
        <w:rPr>
          <w:rFonts w:eastAsia="Calibri"/>
          <w:kern w:val="2"/>
          <w:sz w:val="24"/>
          <w:szCs w:val="24"/>
        </w:rPr>
        <w:t xml:space="preserve"> da </w:t>
      </w:r>
      <w:r>
        <w:rPr>
          <w:rFonts w:eastAsia="Calibri"/>
          <w:kern w:val="2"/>
          <w:sz w:val="24"/>
          <w:szCs w:val="24"/>
        </w:rPr>
        <w:t xml:space="preserve">se </w:t>
      </w:r>
      <w:r w:rsidRPr="00BD1B6F">
        <w:rPr>
          <w:rFonts w:eastAsia="Calibri"/>
          <w:kern w:val="2"/>
          <w:sz w:val="24"/>
          <w:szCs w:val="24"/>
        </w:rPr>
        <w:t xml:space="preserve">postigne </w:t>
      </w:r>
      <w:r w:rsidRPr="00672866">
        <w:rPr>
          <w:rFonts w:eastAsia="Calibri"/>
          <w:kern w:val="2"/>
          <w:sz w:val="24"/>
          <w:szCs w:val="24"/>
        </w:rPr>
        <w:t>klimatsk</w:t>
      </w:r>
      <w:r>
        <w:rPr>
          <w:rFonts w:eastAsia="Calibri"/>
          <w:kern w:val="2"/>
          <w:sz w:val="24"/>
          <w:szCs w:val="24"/>
        </w:rPr>
        <w:t>a</w:t>
      </w:r>
      <w:r w:rsidRPr="00BD1B6F">
        <w:rPr>
          <w:rFonts w:eastAsia="Calibri"/>
          <w:kern w:val="2"/>
          <w:sz w:val="24"/>
          <w:szCs w:val="24"/>
        </w:rPr>
        <w:t xml:space="preserve"> neutralnost do 2050. postale su pravna obveza svih država članica. Stoga će, osim strateške osnove, trebati nastaviti napore kako bi se osigurali preduvjeti i </w:t>
      </w:r>
      <w:r w:rsidRPr="00672866">
        <w:rPr>
          <w:rFonts w:eastAsia="Calibri"/>
          <w:kern w:val="2"/>
          <w:sz w:val="24"/>
          <w:szCs w:val="24"/>
        </w:rPr>
        <w:t>pokretač</w:t>
      </w:r>
      <w:r>
        <w:rPr>
          <w:rFonts w:eastAsia="Calibri"/>
          <w:kern w:val="2"/>
          <w:sz w:val="24"/>
          <w:szCs w:val="24"/>
        </w:rPr>
        <w:t>i</w:t>
      </w:r>
      <w:r w:rsidRPr="00BD1B6F">
        <w:rPr>
          <w:rFonts w:eastAsia="Calibri"/>
          <w:kern w:val="2"/>
          <w:sz w:val="24"/>
          <w:szCs w:val="24"/>
        </w:rPr>
        <w:t xml:space="preserve"> promjena za postizanje ciljeva klimatske neutralnosti, zbog čega se kontinuirano uređuje zakonodavni okvir u svim državama članicama EU</w:t>
      </w:r>
      <w:r>
        <w:rPr>
          <w:rFonts w:eastAsia="Calibri"/>
          <w:kern w:val="2"/>
          <w:sz w:val="24"/>
          <w:szCs w:val="24"/>
        </w:rPr>
        <w:t>-a</w:t>
      </w:r>
      <w:r w:rsidRPr="00BD1B6F">
        <w:rPr>
          <w:rFonts w:eastAsia="Calibri"/>
          <w:kern w:val="2"/>
          <w:sz w:val="24"/>
          <w:szCs w:val="24"/>
        </w:rPr>
        <w:t xml:space="preserve">. Zakonodavnim paketom „Spremni za 55”, političke ambicije prenose se u europsko zakonodavstvo kroz prijedloge za reviziju zakonodavstva u području klime, energetike i prometa te novih zakonodavnih inicijativa, kako bi se propisi EU-a uskladili s njegovim klimatskim ciljevima. Mjere u okviru zakonodavnog paketa EU „Spremni za 55“ pokrivaju sve sektore, a uvođenje zgradarstva i prometa u sustav trgovanja emisijskim jedinicama dodatno </w:t>
      </w:r>
      <w:r>
        <w:rPr>
          <w:rFonts w:eastAsia="Calibri"/>
          <w:kern w:val="2"/>
          <w:sz w:val="24"/>
          <w:szCs w:val="24"/>
        </w:rPr>
        <w:t xml:space="preserve">će </w:t>
      </w:r>
      <w:r w:rsidRPr="00BD1B6F">
        <w:rPr>
          <w:rFonts w:eastAsia="Calibri"/>
          <w:kern w:val="2"/>
          <w:sz w:val="24"/>
          <w:szCs w:val="24"/>
        </w:rPr>
        <w:t xml:space="preserve">potaknuti investiranje u energetsku obnovu zgrada kao i promjenu voznog parka. S obzirom </w:t>
      </w:r>
      <w:r>
        <w:rPr>
          <w:rFonts w:eastAsia="Calibri"/>
          <w:kern w:val="2"/>
          <w:sz w:val="24"/>
          <w:szCs w:val="24"/>
        </w:rPr>
        <w:t xml:space="preserve">na to </w:t>
      </w:r>
      <w:r w:rsidRPr="00BD1B6F">
        <w:rPr>
          <w:rFonts w:eastAsia="Calibri"/>
          <w:kern w:val="2"/>
          <w:sz w:val="24"/>
          <w:szCs w:val="24"/>
        </w:rPr>
        <w:t>da emisije u sektor</w:t>
      </w:r>
      <w:r>
        <w:rPr>
          <w:rFonts w:eastAsia="Calibri"/>
          <w:kern w:val="2"/>
          <w:sz w:val="24"/>
          <w:szCs w:val="24"/>
        </w:rPr>
        <w:t>ima</w:t>
      </w:r>
      <w:r w:rsidRPr="00BD1B6F">
        <w:rPr>
          <w:rFonts w:eastAsia="Calibri"/>
          <w:kern w:val="2"/>
          <w:sz w:val="24"/>
          <w:szCs w:val="24"/>
        </w:rPr>
        <w:t xml:space="preserve"> prometa </w:t>
      </w:r>
      <w:r>
        <w:rPr>
          <w:rFonts w:eastAsia="Calibri"/>
          <w:kern w:val="2"/>
          <w:sz w:val="24"/>
          <w:szCs w:val="24"/>
        </w:rPr>
        <w:t xml:space="preserve">i zgradarstva </w:t>
      </w:r>
      <w:r w:rsidRPr="00BD1B6F">
        <w:rPr>
          <w:rFonts w:eastAsia="Calibri"/>
          <w:kern w:val="2"/>
          <w:sz w:val="24"/>
          <w:szCs w:val="24"/>
        </w:rPr>
        <w:t>još uvijek rastu</w:t>
      </w:r>
      <w:r w:rsidRPr="008115FB">
        <w:rPr>
          <w:rFonts w:eastAsia="Calibri"/>
          <w:kern w:val="2"/>
          <w:sz w:val="24"/>
          <w:szCs w:val="24"/>
        </w:rPr>
        <w:t>,</w:t>
      </w:r>
      <w:r w:rsidRPr="00BD1B6F">
        <w:rPr>
          <w:rFonts w:eastAsia="Calibri"/>
          <w:kern w:val="2"/>
          <w:sz w:val="24"/>
          <w:szCs w:val="24"/>
        </w:rPr>
        <w:t xml:space="preserve"> </w:t>
      </w:r>
      <w:r w:rsidRPr="008115FB">
        <w:rPr>
          <w:rFonts w:eastAsia="Calibri"/>
          <w:kern w:val="2"/>
          <w:sz w:val="24"/>
          <w:szCs w:val="24"/>
        </w:rPr>
        <w:t>p</w:t>
      </w:r>
      <w:r w:rsidRPr="00BD1B6F">
        <w:rPr>
          <w:rFonts w:eastAsia="Calibri"/>
          <w:kern w:val="2"/>
          <w:sz w:val="24"/>
          <w:szCs w:val="24"/>
        </w:rPr>
        <w:t xml:space="preserve">rocjenjuje se kako će u razdoblju do 2030. za dekarbonizaciju u sektoru prometa biti potrebno uložiti 1,26 milijardi eura, </w:t>
      </w:r>
      <w:r w:rsidRPr="00BD1B6F">
        <w:rPr>
          <w:rFonts w:eastAsia="Calibri"/>
          <w:kern w:val="2"/>
          <w:sz w:val="24"/>
          <w:szCs w:val="24"/>
        </w:rPr>
        <w:lastRenderedPageBreak/>
        <w:t>odnosno u sektoru zgradarstva gotovo 22 milijarde eura. Ukupan iznos ulaganja koje će u Hrvatskoj biti potrebno provesti kako bi se dostigli novi ciljevi</w:t>
      </w:r>
      <w:r>
        <w:rPr>
          <w:rFonts w:eastAsia="Calibri"/>
          <w:kern w:val="2"/>
          <w:sz w:val="24"/>
          <w:szCs w:val="24"/>
        </w:rPr>
        <w:t>,</w:t>
      </w:r>
      <w:r w:rsidRPr="00BD1B6F">
        <w:rPr>
          <w:rFonts w:eastAsia="Calibri"/>
          <w:kern w:val="2"/>
          <w:sz w:val="24"/>
          <w:szCs w:val="24"/>
        </w:rPr>
        <w:t xml:space="preserve"> procijenjen je </w:t>
      </w:r>
      <w:r>
        <w:rPr>
          <w:rFonts w:eastAsia="Calibri"/>
          <w:kern w:val="2"/>
          <w:sz w:val="24"/>
          <w:szCs w:val="24"/>
        </w:rPr>
        <w:t xml:space="preserve">na </w:t>
      </w:r>
      <w:r w:rsidRPr="00BD1B6F">
        <w:rPr>
          <w:rFonts w:eastAsia="Calibri"/>
          <w:kern w:val="2"/>
          <w:sz w:val="24"/>
          <w:szCs w:val="24"/>
        </w:rPr>
        <w:t>115 milijardi eura, od čega u razdoblju od 2024. do 2030</w:t>
      </w:r>
      <w:r w:rsidRPr="00672866">
        <w:rPr>
          <w:rFonts w:eastAsia="Calibri"/>
          <w:kern w:val="2"/>
          <w:sz w:val="24"/>
          <w:szCs w:val="24"/>
        </w:rPr>
        <w:t>.</w:t>
      </w:r>
      <w:r w:rsidRPr="00BD1B6F">
        <w:rPr>
          <w:rFonts w:eastAsia="Calibri"/>
          <w:kern w:val="2"/>
          <w:sz w:val="24"/>
          <w:szCs w:val="24"/>
        </w:rPr>
        <w:t xml:space="preserve"> 36,5 milijardi eura, a </w:t>
      </w:r>
      <w:r w:rsidRPr="00E80F3E">
        <w:rPr>
          <w:rFonts w:eastAsia="Calibri"/>
          <w:kern w:val="2"/>
          <w:sz w:val="24"/>
          <w:szCs w:val="24"/>
        </w:rPr>
        <w:t xml:space="preserve">78,5 milijardi eura </w:t>
      </w:r>
      <w:r w:rsidRPr="00BD1B6F">
        <w:rPr>
          <w:rFonts w:eastAsia="Calibri"/>
          <w:kern w:val="2"/>
          <w:sz w:val="24"/>
          <w:szCs w:val="24"/>
        </w:rPr>
        <w:t>u razdoblju od 2031. do 2050.</w:t>
      </w:r>
    </w:p>
    <w:p w14:paraId="2F575E8C"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S ciljem poboljšanja praćenja, predviđanja i planiranja mjera prilagodbe klimatskim promjenama </w:t>
      </w:r>
      <w:r w:rsidRPr="008115FB">
        <w:rPr>
          <w:rFonts w:eastAsia="Calibri"/>
          <w:kern w:val="2"/>
          <w:sz w:val="24"/>
          <w:szCs w:val="24"/>
        </w:rPr>
        <w:t>p</w:t>
      </w:r>
      <w:r w:rsidRPr="00BD1B6F">
        <w:rPr>
          <w:rFonts w:eastAsia="Calibri"/>
          <w:kern w:val="2"/>
          <w:sz w:val="24"/>
          <w:szCs w:val="24"/>
        </w:rPr>
        <w:t xml:space="preserve">roveden je javni poziv „Shema za jačanje primijenjenih istraživanja za mjere prilagodbe klimatskim promjenama“ u okviru kojeg je ugovorena dodjela potpora u vrijednosti od 2,87 milijuna eura za provedbu 25 znanstvenih projekata fakulteta, znanstvenih institucija i udruga. </w:t>
      </w:r>
      <w:r w:rsidRPr="008115FB">
        <w:rPr>
          <w:rFonts w:eastAsia="Calibri"/>
          <w:kern w:val="2"/>
          <w:sz w:val="24"/>
          <w:szCs w:val="24"/>
        </w:rPr>
        <w:t>Nastavljen je rad na modernizaciji nacionalne meteorološke i hidrološke mreže</w:t>
      </w:r>
      <w:r>
        <w:rPr>
          <w:rFonts w:eastAsia="Calibri"/>
          <w:kern w:val="2"/>
          <w:sz w:val="24"/>
          <w:szCs w:val="24"/>
        </w:rPr>
        <w:t>,</w:t>
      </w:r>
      <w:r w:rsidRPr="008115FB">
        <w:rPr>
          <w:rFonts w:eastAsia="Calibri"/>
          <w:kern w:val="2"/>
          <w:sz w:val="24"/>
          <w:szCs w:val="24"/>
        </w:rPr>
        <w:t xml:space="preserve"> mreže za kvalitetu zraka te jačanju kapaciteta institucija nadležnih za praćenje i procjenu klimatskih promjena, kako bi se stvorili preduvjeti za brže i pametnije ulaganje u prilagodbu na klimatske promjene i jačanje otpornosti</w:t>
      </w:r>
      <w:r>
        <w:rPr>
          <w:rFonts w:eastAsia="Calibri"/>
          <w:kern w:val="2"/>
          <w:sz w:val="24"/>
          <w:szCs w:val="24"/>
        </w:rPr>
        <w:t>. P</w:t>
      </w:r>
      <w:r w:rsidRPr="00BB4164">
        <w:rPr>
          <w:rFonts w:eastAsia="Calibri"/>
          <w:kern w:val="2"/>
          <w:sz w:val="24"/>
          <w:szCs w:val="24"/>
        </w:rPr>
        <w:t xml:space="preserve">okrenute </w:t>
      </w:r>
      <w:r>
        <w:rPr>
          <w:rFonts w:eastAsia="Calibri"/>
          <w:kern w:val="2"/>
          <w:sz w:val="24"/>
          <w:szCs w:val="24"/>
        </w:rPr>
        <w:t>su</w:t>
      </w:r>
      <w:r w:rsidRPr="008115FB">
        <w:rPr>
          <w:rFonts w:eastAsia="Calibri"/>
          <w:kern w:val="2"/>
          <w:sz w:val="24"/>
          <w:szCs w:val="24"/>
        </w:rPr>
        <w:t xml:space="preserve"> aktivnosti na jačanju stručnih i tehničkih kapaciteta za klimatsko modeliranje, klimatske servise i razvoj tehnologija vezanih za upozorenja na opasne vremenske i hidrološke događaje.</w:t>
      </w:r>
      <w:r w:rsidRPr="00BD1B6F">
        <w:rPr>
          <w:rFonts w:eastAsia="Calibri"/>
          <w:kern w:val="2"/>
          <w:sz w:val="24"/>
          <w:szCs w:val="24"/>
        </w:rPr>
        <w:t xml:space="preserve"> Također, kako bi se potaknulo lokalnu i regionalnu samoupravu na uključivanje u provedbu mjera prilagodbe klimatskim promjenama, provedeni su javni pozivi za sufinanciranje izrade radnih podloga za pripremu Programa ublažavanja i prilagodbe klimatskim promjenama i radnih podloga za pripremu </w:t>
      </w:r>
      <w:r>
        <w:rPr>
          <w:rFonts w:eastAsia="Calibri"/>
          <w:kern w:val="2"/>
          <w:sz w:val="24"/>
          <w:szCs w:val="24"/>
        </w:rPr>
        <w:t>a</w:t>
      </w:r>
      <w:r w:rsidRPr="00BD1B6F">
        <w:rPr>
          <w:rFonts w:eastAsia="Calibri"/>
          <w:kern w:val="2"/>
          <w:sz w:val="24"/>
          <w:szCs w:val="24"/>
        </w:rPr>
        <w:t>kcijskih planova energetski održivog razvoja. Podlogama se ocjenjuju ranjivost i rizici od klimatskih promjena</w:t>
      </w:r>
      <w:r w:rsidRPr="00BD1B6F">
        <w:t xml:space="preserve"> </w:t>
      </w:r>
      <w:r w:rsidRPr="00BD1B6F">
        <w:rPr>
          <w:rFonts w:eastAsia="Calibri"/>
          <w:kern w:val="2"/>
          <w:sz w:val="24"/>
          <w:szCs w:val="24"/>
        </w:rPr>
        <w:t>na lokalnoj i regionalnoj razini</w:t>
      </w:r>
      <w:r>
        <w:rPr>
          <w:rFonts w:eastAsia="Calibri"/>
          <w:kern w:val="2"/>
          <w:sz w:val="24"/>
          <w:szCs w:val="24"/>
        </w:rPr>
        <w:t>,</w:t>
      </w:r>
      <w:r w:rsidRPr="00BD1B6F">
        <w:rPr>
          <w:rFonts w:eastAsia="Calibri"/>
          <w:kern w:val="2"/>
          <w:sz w:val="24"/>
          <w:szCs w:val="24"/>
        </w:rPr>
        <w:t xml:space="preserve"> utvrđuju </w:t>
      </w:r>
      <w:r>
        <w:rPr>
          <w:rFonts w:eastAsia="Calibri"/>
          <w:kern w:val="2"/>
          <w:sz w:val="24"/>
          <w:szCs w:val="24"/>
        </w:rPr>
        <w:t xml:space="preserve">se </w:t>
      </w:r>
      <w:r w:rsidRPr="00BD1B6F">
        <w:rPr>
          <w:rFonts w:eastAsia="Calibri"/>
          <w:kern w:val="2"/>
          <w:sz w:val="24"/>
          <w:szCs w:val="24"/>
        </w:rPr>
        <w:t xml:space="preserve">mjerljivi ciljevi jedinica lokalne samouprave vezani za smanjenje potrošnje energije i </w:t>
      </w:r>
      <w:r w:rsidRPr="00672866">
        <w:rPr>
          <w:rFonts w:eastAsia="Calibri"/>
          <w:kern w:val="2"/>
          <w:sz w:val="24"/>
          <w:szCs w:val="24"/>
        </w:rPr>
        <w:t>emisij</w:t>
      </w:r>
      <w:r>
        <w:rPr>
          <w:rFonts w:eastAsia="Calibri"/>
          <w:kern w:val="2"/>
          <w:sz w:val="24"/>
          <w:szCs w:val="24"/>
        </w:rPr>
        <w:t>e</w:t>
      </w:r>
      <w:r w:rsidRPr="00BD1B6F">
        <w:rPr>
          <w:rFonts w:eastAsia="Calibri"/>
          <w:kern w:val="2"/>
          <w:sz w:val="24"/>
          <w:szCs w:val="24"/>
        </w:rPr>
        <w:t xml:space="preserve"> stakleničkih plinova, kao i prioritetne mjere za ublažavanje klimatskih promjena.</w:t>
      </w:r>
    </w:p>
    <w:p w14:paraId="45D2F35B"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Hrvatska ostvaruje određeni napredak u prelasku na kružno gospodarstvo. Prema podacima za 2022. nije došlo do značajnijeg odstupanja od pozitivnog trenda smanjenja količina nastalog komunalnog otpada u odnosu na 2021. </w:t>
      </w:r>
      <w:r>
        <w:rPr>
          <w:rFonts w:eastAsia="Calibri"/>
          <w:kern w:val="2"/>
          <w:sz w:val="24"/>
          <w:szCs w:val="24"/>
        </w:rPr>
        <w:t>koji je</w:t>
      </w:r>
      <w:r w:rsidRPr="00BD1B6F">
        <w:rPr>
          <w:rFonts w:eastAsia="Calibri"/>
          <w:kern w:val="2"/>
          <w:sz w:val="24"/>
          <w:szCs w:val="24"/>
        </w:rPr>
        <w:t xml:space="preserve"> iznosi</w:t>
      </w:r>
      <w:r>
        <w:rPr>
          <w:rFonts w:eastAsia="Calibri"/>
          <w:kern w:val="2"/>
          <w:sz w:val="24"/>
          <w:szCs w:val="24"/>
        </w:rPr>
        <w:t>o</w:t>
      </w:r>
      <w:r w:rsidRPr="00BD1B6F">
        <w:rPr>
          <w:rFonts w:eastAsia="Calibri"/>
          <w:kern w:val="2"/>
          <w:sz w:val="24"/>
          <w:szCs w:val="24"/>
        </w:rPr>
        <w:t xml:space="preserve"> 455 kg po stanovniku. Tijekom 2022. zabilježen je porast stope odvojenog sakupljanja komunalnog otpada za 1% (s 43% na 44%), te pad stope odlaganja otpada za 2% (s 58% na 56%). U 2022. nastavljeni </w:t>
      </w:r>
      <w:r>
        <w:rPr>
          <w:rFonts w:eastAsia="Calibri"/>
          <w:kern w:val="2"/>
          <w:sz w:val="24"/>
          <w:szCs w:val="24"/>
        </w:rPr>
        <w:t xml:space="preserve">su </w:t>
      </w:r>
      <w:r w:rsidRPr="00BD1B6F">
        <w:rPr>
          <w:rFonts w:eastAsia="Calibri"/>
          <w:kern w:val="2"/>
          <w:sz w:val="24"/>
          <w:szCs w:val="24"/>
        </w:rPr>
        <w:t xml:space="preserve">napori na provedbi ukupno 193 projekta ulaganja u infrastrukturu za odvojeno prikupljanje, sortiranje i biološku obradu komunalnog otpada, kao i za provedbu aktivnosti podizanja svijesti građana o njihovoj ulozi u stvaranju, sprječavanju nastanka i odvajanju otpada. Također, nastavljena je provedba 8 projekata sanacije odlagališta neopasnog otpada i projekt sanacije crne točke Sovjak, za koje je tijekom 2022. izdvojeno ukupno 12,1 milijun eura. </w:t>
      </w:r>
    </w:p>
    <w:p w14:paraId="48CEC35F"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Dosadašnja ulaganja u infrastrukturu za odvojeno prikupljanje komunalnog otpada</w:t>
      </w:r>
      <w:r>
        <w:rPr>
          <w:rFonts w:eastAsia="Calibri"/>
          <w:kern w:val="2"/>
          <w:sz w:val="24"/>
          <w:szCs w:val="24"/>
        </w:rPr>
        <w:t>,</w:t>
      </w:r>
      <w:r w:rsidRPr="00BD1B6F">
        <w:rPr>
          <w:rFonts w:eastAsia="Calibri"/>
          <w:kern w:val="2"/>
          <w:sz w:val="24"/>
          <w:szCs w:val="24"/>
        </w:rPr>
        <w:t xml:space="preserve"> u okviru Plana gospodarenja otpadom 2017.</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2021., doprinijela su povećanju stope recikliranja otpada s 24% na 3</w:t>
      </w:r>
      <w:r>
        <w:rPr>
          <w:rFonts w:eastAsia="Calibri"/>
          <w:kern w:val="2"/>
          <w:sz w:val="24"/>
          <w:szCs w:val="24"/>
        </w:rPr>
        <w:t>4</w:t>
      </w:r>
      <w:r w:rsidRPr="00BD1B6F">
        <w:rPr>
          <w:rFonts w:eastAsia="Calibri"/>
          <w:kern w:val="2"/>
          <w:sz w:val="24"/>
          <w:szCs w:val="24"/>
        </w:rPr>
        <w:t xml:space="preserve">% te </w:t>
      </w:r>
      <w:r w:rsidRPr="00672866">
        <w:rPr>
          <w:rFonts w:eastAsia="Calibri"/>
          <w:kern w:val="2"/>
          <w:sz w:val="24"/>
          <w:szCs w:val="24"/>
        </w:rPr>
        <w:t>smanjenj</w:t>
      </w:r>
      <w:r>
        <w:rPr>
          <w:rFonts w:eastAsia="Calibri"/>
          <w:kern w:val="2"/>
          <w:sz w:val="24"/>
          <w:szCs w:val="24"/>
        </w:rPr>
        <w:t>u</w:t>
      </w:r>
      <w:r w:rsidRPr="00BD1B6F">
        <w:rPr>
          <w:rFonts w:eastAsia="Calibri"/>
          <w:kern w:val="2"/>
          <w:sz w:val="24"/>
          <w:szCs w:val="24"/>
        </w:rPr>
        <w:t xml:space="preserve"> odlaganja otpada sa 72% na 58%. U </w:t>
      </w:r>
      <w:r w:rsidRPr="00BD1B6F">
        <w:rPr>
          <w:rFonts w:eastAsia="Calibri"/>
          <w:kern w:val="2"/>
          <w:sz w:val="24"/>
          <w:szCs w:val="24"/>
        </w:rPr>
        <w:lastRenderedPageBreak/>
        <w:t>2022. izrađen je Nacrt Plana gospodarenja otpadom Republike Hrvatske za razdoblje 2023.</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2028.</w:t>
      </w:r>
      <w:r>
        <w:rPr>
          <w:rFonts w:eastAsia="Calibri"/>
          <w:kern w:val="2"/>
          <w:sz w:val="24"/>
          <w:szCs w:val="24"/>
        </w:rPr>
        <w:t>,</w:t>
      </w:r>
      <w:r w:rsidRPr="00BD1B6F">
        <w:rPr>
          <w:rFonts w:eastAsia="Calibri"/>
          <w:kern w:val="2"/>
          <w:sz w:val="24"/>
          <w:szCs w:val="24"/>
        </w:rPr>
        <w:t xml:space="preserve"> zajedno s </w:t>
      </w:r>
      <w:r>
        <w:rPr>
          <w:rFonts w:eastAsia="Calibri"/>
          <w:kern w:val="2"/>
          <w:sz w:val="24"/>
          <w:szCs w:val="24"/>
        </w:rPr>
        <w:t xml:space="preserve">pripadajućim </w:t>
      </w:r>
      <w:r w:rsidRPr="00BD1B6F">
        <w:rPr>
          <w:rFonts w:eastAsia="Calibri"/>
          <w:kern w:val="2"/>
          <w:sz w:val="24"/>
          <w:szCs w:val="24"/>
        </w:rPr>
        <w:t>Programom sprječavanja nastanka otpada za razdoblje 2023.</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2028. Plan</w:t>
      </w:r>
      <w:r w:rsidRPr="008115FB">
        <w:rPr>
          <w:rFonts w:eastAsia="Calibri"/>
          <w:kern w:val="2"/>
          <w:sz w:val="24"/>
          <w:szCs w:val="24"/>
        </w:rPr>
        <w:t xml:space="preserve"> je</w:t>
      </w:r>
      <w:r w:rsidRPr="00BD1B6F">
        <w:rPr>
          <w:rFonts w:eastAsia="Calibri"/>
          <w:kern w:val="2"/>
          <w:sz w:val="24"/>
          <w:szCs w:val="24"/>
        </w:rPr>
        <w:t xml:space="preserve"> </w:t>
      </w:r>
      <w:r w:rsidRPr="008115FB">
        <w:rPr>
          <w:rFonts w:eastAsia="Calibri"/>
          <w:kern w:val="2"/>
          <w:sz w:val="24"/>
          <w:szCs w:val="24"/>
        </w:rPr>
        <w:t>donesen u srpnju</w:t>
      </w:r>
      <w:r w:rsidRPr="00BD1B6F">
        <w:rPr>
          <w:rFonts w:eastAsia="Calibri"/>
          <w:kern w:val="2"/>
          <w:sz w:val="24"/>
          <w:szCs w:val="24"/>
        </w:rPr>
        <w:t xml:space="preserve"> 2023.</w:t>
      </w:r>
      <w:r w:rsidRPr="008115FB">
        <w:rPr>
          <w:rFonts w:eastAsia="Calibri"/>
          <w:kern w:val="2"/>
          <w:sz w:val="24"/>
          <w:szCs w:val="24"/>
        </w:rPr>
        <w:t>,</w:t>
      </w:r>
      <w:r w:rsidRPr="00BD1B6F">
        <w:rPr>
          <w:rFonts w:eastAsia="Calibri"/>
          <w:kern w:val="2"/>
          <w:sz w:val="24"/>
          <w:szCs w:val="24"/>
        </w:rPr>
        <w:t xml:space="preserve"> a njime s</w:t>
      </w:r>
      <w:r w:rsidRPr="008115FB">
        <w:rPr>
          <w:rFonts w:eastAsia="Calibri"/>
          <w:kern w:val="2"/>
          <w:sz w:val="24"/>
          <w:szCs w:val="24"/>
        </w:rPr>
        <w:t>u utvrđene</w:t>
      </w:r>
      <w:r w:rsidRPr="00BD1B6F">
        <w:rPr>
          <w:rFonts w:eastAsia="Calibri"/>
          <w:kern w:val="2"/>
          <w:sz w:val="24"/>
          <w:szCs w:val="24"/>
        </w:rPr>
        <w:t xml:space="preserve"> mjere i aktivnosti nužne za ostvarenje ciljeva u gospodarenju otpadom u okviru prelaska na kružno gospodarstvo u Hrvatskoj. Donošenje Plana </w:t>
      </w:r>
      <w:r>
        <w:rPr>
          <w:rFonts w:eastAsia="Calibri"/>
          <w:kern w:val="2"/>
          <w:sz w:val="24"/>
          <w:szCs w:val="24"/>
        </w:rPr>
        <w:t>predstavlja</w:t>
      </w:r>
      <w:r w:rsidRPr="00BD1B6F">
        <w:rPr>
          <w:rFonts w:eastAsia="Calibri"/>
          <w:kern w:val="2"/>
          <w:sz w:val="24"/>
          <w:szCs w:val="24"/>
        </w:rPr>
        <w:t xml:space="preserve"> preduvjet za korištenje financijskih sredstava iz </w:t>
      </w:r>
      <w:r w:rsidRPr="00672866">
        <w:rPr>
          <w:rFonts w:eastAsia="Calibri"/>
          <w:kern w:val="2"/>
          <w:sz w:val="24"/>
          <w:szCs w:val="24"/>
        </w:rPr>
        <w:t>N</w:t>
      </w:r>
      <w:r>
        <w:rPr>
          <w:rFonts w:eastAsia="Calibri"/>
          <w:kern w:val="2"/>
          <w:sz w:val="24"/>
          <w:szCs w:val="24"/>
        </w:rPr>
        <w:t>POO-a</w:t>
      </w:r>
      <w:r w:rsidRPr="00672866">
        <w:rPr>
          <w:rFonts w:eastAsia="Calibri"/>
          <w:kern w:val="2"/>
          <w:sz w:val="24"/>
          <w:szCs w:val="24"/>
        </w:rPr>
        <w:t xml:space="preserve"> </w:t>
      </w:r>
      <w:r w:rsidRPr="00BD1B6F">
        <w:rPr>
          <w:rFonts w:eastAsia="Calibri"/>
          <w:kern w:val="2"/>
          <w:sz w:val="24"/>
          <w:szCs w:val="24"/>
        </w:rPr>
        <w:t xml:space="preserve">i </w:t>
      </w:r>
      <w:r w:rsidRPr="008115FB">
        <w:rPr>
          <w:rFonts w:eastAsia="Calibri"/>
          <w:kern w:val="2"/>
          <w:sz w:val="24"/>
          <w:szCs w:val="24"/>
        </w:rPr>
        <w:t>PKK</w:t>
      </w:r>
      <w:r w:rsidRPr="00BD1B6F">
        <w:rPr>
          <w:rFonts w:eastAsia="Calibri"/>
          <w:kern w:val="2"/>
          <w:sz w:val="24"/>
          <w:szCs w:val="24"/>
        </w:rPr>
        <w:t xml:space="preserve"> 2021.</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2027.</w:t>
      </w:r>
    </w:p>
    <w:p w14:paraId="3F2A0122"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Pokrenuta je provedba NPOO reforme „Provedba projekata za održivo gospodarenje otpadom“ (</w:t>
      </w:r>
      <w:r w:rsidRPr="00672866">
        <w:rPr>
          <w:rFonts w:eastAsia="Calibri"/>
          <w:kern w:val="2"/>
          <w:sz w:val="24"/>
          <w:szCs w:val="24"/>
        </w:rPr>
        <w:t>C1.3.</w:t>
      </w:r>
      <w:r w:rsidRPr="00BD1B6F">
        <w:rPr>
          <w:rFonts w:eastAsia="Calibri"/>
          <w:kern w:val="2"/>
          <w:sz w:val="24"/>
          <w:szCs w:val="24"/>
        </w:rPr>
        <w:t xml:space="preserve"> R2) kojom je omogućeno korištenje bespovratnih sredstava za provedbu ulaganja u projekte gospodarenja otpadom u ukupnom iznosu od 166 milijuna eura. Reformom je planirana provedba „Programa smanjenja odlaganja otpada“, ukupne vrijednosti 146 milijuna eura, i provedba „Programa sanacije zatvorenih odlagališta i lokacija onečišćenih opasnim otpadom“, ukupne vrijednosti 20 milijuna eura. Provedbom poziva u okviru navedenih Programa, u razdoblju do 2026. doprinijet će se smanjenju udjela komunalnog otpada upućenog na odlaganje na 30% te će se provesti projekti sanacije na najmanje 10 zatvorenih odlagališta otpada i lokacija onečišćenih opasnim otpadom. </w:t>
      </w:r>
    </w:p>
    <w:p w14:paraId="497A453A"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Također, u okviru NPOO-a pokrenuta je provedba reforme „Provedba programa vodnog gospodarstva provedbom investicija“ (C1.3. R1</w:t>
      </w:r>
      <w:r w:rsidRPr="00672866">
        <w:rPr>
          <w:rFonts w:eastAsia="Calibri"/>
          <w:kern w:val="2"/>
          <w:sz w:val="24"/>
          <w:szCs w:val="24"/>
        </w:rPr>
        <w:t>).</w:t>
      </w:r>
      <w:r w:rsidRPr="00BD1B6F">
        <w:rPr>
          <w:rFonts w:eastAsia="Calibri"/>
          <w:kern w:val="2"/>
          <w:sz w:val="24"/>
          <w:szCs w:val="24"/>
        </w:rPr>
        <w:t xml:space="preserve"> U okviru reforme izrađen je i usvojen „Višegodišnji program gradnje komunalnih vodnih građevina za razdoblje do 2030. godine“. Usvajanje Višegodišnjeg programa preduvjet</w:t>
      </w:r>
      <w:r>
        <w:rPr>
          <w:rFonts w:eastAsia="Calibri"/>
          <w:kern w:val="2"/>
          <w:sz w:val="24"/>
          <w:szCs w:val="24"/>
        </w:rPr>
        <w:t xml:space="preserve"> je</w:t>
      </w:r>
      <w:r w:rsidRPr="00BD1B6F">
        <w:rPr>
          <w:rFonts w:eastAsia="Calibri"/>
          <w:kern w:val="2"/>
          <w:sz w:val="24"/>
          <w:szCs w:val="24"/>
        </w:rPr>
        <w:t xml:space="preserve"> kojim se omogućuje provedba ulaganja sredstvima EU fondova u financijskom razdoblju 2021.</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2027. za rekonstrukciju, izgradnju i nadogradnju vodnokomunalne infrastrukture te za izgradnju, obnovu i nadogradnju javnih sustava odvodnje i uređaja za pročišćavanje otpadnih voda. U novom financijskom razdoblju EU-a, u okviru PKK 2021.</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2027. predviđena je provedba ulaganja u vodno gospodarstvo u ukupnom iznosu od 695 milijuna eura. </w:t>
      </w:r>
    </w:p>
    <w:p w14:paraId="72BE8DAC"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Za provedbu ulaganja u vodno gospodarstvo u Hrvatskoj je dosad</w:t>
      </w:r>
      <w:r>
        <w:rPr>
          <w:rFonts w:eastAsia="Calibri"/>
          <w:kern w:val="2"/>
          <w:sz w:val="24"/>
          <w:szCs w:val="24"/>
        </w:rPr>
        <w:t>,</w:t>
      </w:r>
      <w:r w:rsidRPr="00BD1B6F">
        <w:rPr>
          <w:rFonts w:eastAsia="Calibri"/>
          <w:kern w:val="2"/>
          <w:sz w:val="24"/>
          <w:szCs w:val="24"/>
        </w:rPr>
        <w:t xml:space="preserve"> kroz različite programe financiranja, ukupno osigurano bespovratnih sredstava u iznosu od 3,6 milijardi eura, od čega se 80% ukupne vrijednosti ulaganja odnosi na projekte financirane u okviru OPKK 2014.</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2020. U provedbi je do </w:t>
      </w:r>
      <w:r>
        <w:rPr>
          <w:rFonts w:eastAsia="Calibri"/>
          <w:kern w:val="2"/>
          <w:sz w:val="24"/>
          <w:szCs w:val="24"/>
        </w:rPr>
        <w:t xml:space="preserve">kraja </w:t>
      </w:r>
      <w:r w:rsidRPr="00BD1B6F">
        <w:rPr>
          <w:rFonts w:eastAsia="Calibri"/>
          <w:kern w:val="2"/>
          <w:sz w:val="24"/>
          <w:szCs w:val="24"/>
        </w:rPr>
        <w:t xml:space="preserve">2022. realizirano oko 1,7 milijardi eura (46%). </w:t>
      </w:r>
    </w:p>
    <w:p w14:paraId="134DE3E4"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U okviru NPOO investicije “Program razvoja javne odvodnje otpadnih voda“ (</w:t>
      </w:r>
      <w:r w:rsidRPr="00672866">
        <w:rPr>
          <w:rFonts w:eastAsia="Calibri"/>
          <w:kern w:val="2"/>
          <w:sz w:val="24"/>
          <w:szCs w:val="24"/>
        </w:rPr>
        <w:t>C.1.3.</w:t>
      </w:r>
      <w:r w:rsidRPr="00BD1B6F">
        <w:rPr>
          <w:rFonts w:eastAsia="Calibri"/>
          <w:kern w:val="2"/>
          <w:sz w:val="24"/>
          <w:szCs w:val="24"/>
        </w:rPr>
        <w:t xml:space="preserve"> R1-I1) proveden je ograničeni Poziv za financiranje provedbe već započetih investicijskih projekata koji se odnose na izgradnju manjih dijelova sustava javne vodoopskrbe i odvodnje otpadnih voda, ukupne vrijednosti bespovratnih sredstava u iznosu od 106 milijuna eura. Tijekom izvještajnog razdoblja odobrena su ukupno 73 investicijska projekta te su potpisani ugovori o dodjeli bespovratnih sredstava. </w:t>
      </w:r>
    </w:p>
    <w:p w14:paraId="2E2C6497"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lastRenderedPageBreak/>
        <w:t>U travnju 2022. pokrenuta je provedba NPOO investicije „Program razvoja javne vodoopskrbe“</w:t>
      </w:r>
      <w:r w:rsidRPr="00BD1B6F">
        <w:t xml:space="preserve"> </w:t>
      </w:r>
      <w:r w:rsidRPr="00BD1B6F">
        <w:rPr>
          <w:rFonts w:eastAsia="Calibri"/>
          <w:kern w:val="2"/>
          <w:sz w:val="24"/>
          <w:szCs w:val="24"/>
        </w:rPr>
        <w:t>(</w:t>
      </w:r>
      <w:r w:rsidRPr="00672866">
        <w:rPr>
          <w:rFonts w:eastAsia="Calibri"/>
          <w:kern w:val="2"/>
          <w:sz w:val="24"/>
          <w:szCs w:val="24"/>
        </w:rPr>
        <w:t>C1.3.</w:t>
      </w:r>
      <w:r w:rsidRPr="00BD1B6F">
        <w:rPr>
          <w:rFonts w:eastAsia="Calibri"/>
          <w:kern w:val="2"/>
          <w:sz w:val="24"/>
          <w:szCs w:val="24"/>
        </w:rPr>
        <w:t xml:space="preserve"> R1-I2) putem ograničenog Poziva za provedbu investicijskih projekata izgradnje manjih sustava javne vodoopskrbe na području Hrvatske, s posebnim naglaskom na kvalitetnu i sigurnu vodoopskrbu na ruralnim, brdskim i demografski ugroženim područjima. Vrijednost bespovratnih sredstava u okviru Poziva je 132,7 milijuna eura, a tijekom 2022. potpisani </w:t>
      </w:r>
      <w:r>
        <w:rPr>
          <w:rFonts w:eastAsia="Calibri"/>
          <w:kern w:val="2"/>
          <w:sz w:val="24"/>
          <w:szCs w:val="24"/>
        </w:rPr>
        <w:t>su u</w:t>
      </w:r>
      <w:r w:rsidRPr="00BD1B6F">
        <w:rPr>
          <w:rFonts w:eastAsia="Calibri"/>
          <w:kern w:val="2"/>
          <w:sz w:val="24"/>
          <w:szCs w:val="24"/>
        </w:rPr>
        <w:t>govori o dodjeli</w:t>
      </w:r>
      <w:r w:rsidRPr="00BD1B6F" w:rsidDel="000F4A35">
        <w:rPr>
          <w:rFonts w:eastAsia="Calibri"/>
          <w:kern w:val="2"/>
          <w:sz w:val="24"/>
          <w:szCs w:val="24"/>
        </w:rPr>
        <w:t xml:space="preserve"> bespovratnih sredstava</w:t>
      </w:r>
      <w:r>
        <w:rPr>
          <w:rFonts w:eastAsia="Calibri"/>
          <w:kern w:val="2"/>
          <w:sz w:val="24"/>
          <w:szCs w:val="24"/>
        </w:rPr>
        <w:t xml:space="preserve"> za </w:t>
      </w:r>
      <w:r w:rsidRPr="00BD1B6F">
        <w:rPr>
          <w:rFonts w:eastAsia="Calibri"/>
          <w:kern w:val="2"/>
          <w:sz w:val="24"/>
          <w:szCs w:val="24"/>
        </w:rPr>
        <w:t xml:space="preserve">ukupno 26 </w:t>
      </w:r>
      <w:r>
        <w:rPr>
          <w:rFonts w:eastAsia="Calibri"/>
          <w:kern w:val="2"/>
          <w:sz w:val="24"/>
          <w:szCs w:val="24"/>
        </w:rPr>
        <w:t xml:space="preserve">odobrenih </w:t>
      </w:r>
      <w:r w:rsidRPr="00BD1B6F">
        <w:rPr>
          <w:rFonts w:eastAsia="Calibri"/>
          <w:kern w:val="2"/>
          <w:sz w:val="24"/>
          <w:szCs w:val="24"/>
        </w:rPr>
        <w:t>projeka</w:t>
      </w:r>
      <w:r>
        <w:rPr>
          <w:rFonts w:eastAsia="Calibri"/>
          <w:kern w:val="2"/>
          <w:sz w:val="24"/>
          <w:szCs w:val="24"/>
        </w:rPr>
        <w:t>ta</w:t>
      </w:r>
      <w:r w:rsidRPr="00BD1B6F" w:rsidDel="000F4A35">
        <w:rPr>
          <w:rFonts w:eastAsia="Calibri"/>
          <w:kern w:val="2"/>
          <w:sz w:val="24"/>
          <w:szCs w:val="24"/>
        </w:rPr>
        <w:t>.</w:t>
      </w:r>
    </w:p>
    <w:p w14:paraId="781BC89F" w14:textId="77777777" w:rsidR="008F10E9" w:rsidRPr="00B41494" w:rsidRDefault="008F10E9" w:rsidP="008F10E9">
      <w:pPr>
        <w:widowControl/>
        <w:autoSpaceDE/>
        <w:autoSpaceDN/>
        <w:spacing w:before="240" w:line="276" w:lineRule="auto"/>
        <w:jc w:val="both"/>
        <w:rPr>
          <w:rFonts w:eastAsia="Calibri"/>
          <w:kern w:val="2"/>
          <w:sz w:val="24"/>
          <w:szCs w:val="24"/>
        </w:rPr>
      </w:pPr>
      <w:r w:rsidRPr="000D74B4">
        <w:rPr>
          <w:rFonts w:eastAsia="Calibri"/>
          <w:kern w:val="2"/>
          <w:sz w:val="24"/>
          <w:szCs w:val="24"/>
        </w:rPr>
        <w:t xml:space="preserve">U okviru inicijative 6. NPOO-a „Obnova zgrada“ </w:t>
      </w:r>
      <w:r>
        <w:rPr>
          <w:rFonts w:eastAsia="Calibri"/>
          <w:kern w:val="2"/>
          <w:sz w:val="24"/>
          <w:szCs w:val="24"/>
        </w:rPr>
        <w:t>p</w:t>
      </w:r>
      <w:r w:rsidRPr="00BD1B6F">
        <w:rPr>
          <w:rFonts w:eastAsia="Calibri"/>
          <w:kern w:val="2"/>
          <w:sz w:val="24"/>
          <w:szCs w:val="24"/>
        </w:rPr>
        <w:t>okrenuta je provedba NPOO reforme „Uvođenje novog modela strategija zelene urbane obnove i provedba pilot projekta razvoja zelene infrastrukture i kružnog gospodarenja prostorom i zgradama“ (</w:t>
      </w:r>
      <w:r w:rsidRPr="00D05985">
        <w:rPr>
          <w:rFonts w:eastAsia="Calibri"/>
          <w:kern w:val="2"/>
          <w:sz w:val="24"/>
          <w:szCs w:val="24"/>
        </w:rPr>
        <w:t>C6.1.</w:t>
      </w:r>
      <w:r w:rsidRPr="00BD1B6F">
        <w:rPr>
          <w:rFonts w:eastAsia="Calibri"/>
          <w:kern w:val="2"/>
          <w:sz w:val="24"/>
          <w:szCs w:val="24"/>
        </w:rPr>
        <w:t xml:space="preserve"> R5). U</w:t>
      </w:r>
      <w:r w:rsidRPr="008115FB">
        <w:rPr>
          <w:rFonts w:eastAsia="Calibri"/>
          <w:kern w:val="2"/>
          <w:sz w:val="24"/>
          <w:szCs w:val="24"/>
        </w:rPr>
        <w:t xml:space="preserve"> 2022.</w:t>
      </w:r>
      <w:r w:rsidRPr="008115FB">
        <w:t xml:space="preserve"> </w:t>
      </w:r>
      <w:r w:rsidRPr="008115FB">
        <w:rPr>
          <w:rFonts w:eastAsia="Calibri"/>
          <w:kern w:val="2"/>
          <w:sz w:val="24"/>
          <w:szCs w:val="24"/>
        </w:rPr>
        <w:t xml:space="preserve"> objavljen </w:t>
      </w:r>
      <w:r>
        <w:rPr>
          <w:rFonts w:eastAsia="Calibri"/>
          <w:kern w:val="2"/>
          <w:sz w:val="24"/>
          <w:szCs w:val="24"/>
        </w:rPr>
        <w:t xml:space="preserve">je </w:t>
      </w:r>
      <w:r w:rsidRPr="008115FB">
        <w:rPr>
          <w:rFonts w:eastAsia="Calibri"/>
          <w:kern w:val="2"/>
          <w:sz w:val="24"/>
          <w:szCs w:val="24"/>
        </w:rPr>
        <w:t xml:space="preserve">javni </w:t>
      </w:r>
      <w:r>
        <w:rPr>
          <w:rFonts w:eastAsia="Calibri"/>
          <w:kern w:val="2"/>
          <w:sz w:val="24"/>
          <w:szCs w:val="24"/>
        </w:rPr>
        <w:t>p</w:t>
      </w:r>
      <w:r w:rsidRPr="008115FB">
        <w:rPr>
          <w:rFonts w:eastAsia="Calibri"/>
          <w:kern w:val="2"/>
          <w:sz w:val="24"/>
          <w:szCs w:val="24"/>
        </w:rPr>
        <w:t xml:space="preserve">oziv na dodjelu bespovratnih sredstava „Izrada strategija zelene urbane obnove“ </w:t>
      </w:r>
      <w:r>
        <w:rPr>
          <w:rFonts w:eastAsia="Calibri"/>
          <w:kern w:val="2"/>
          <w:sz w:val="24"/>
          <w:szCs w:val="24"/>
        </w:rPr>
        <w:t>za koji su p</w:t>
      </w:r>
      <w:r w:rsidRPr="00B41494">
        <w:rPr>
          <w:rFonts w:eastAsia="Calibri"/>
          <w:kern w:val="2"/>
          <w:sz w:val="24"/>
          <w:szCs w:val="24"/>
        </w:rPr>
        <w:t>rihvatljivi prijavitelji jedinice lokalne samouprave i Grad Zagreb. U sklopu Poziva, tijekom 2022</w:t>
      </w:r>
      <w:r>
        <w:rPr>
          <w:rFonts w:eastAsia="Calibri"/>
          <w:kern w:val="2"/>
          <w:sz w:val="24"/>
          <w:szCs w:val="24"/>
        </w:rPr>
        <w:t>.</w:t>
      </w:r>
      <w:r w:rsidRPr="00B41494">
        <w:rPr>
          <w:rFonts w:eastAsia="Calibri"/>
          <w:kern w:val="2"/>
          <w:sz w:val="24"/>
          <w:szCs w:val="24"/>
        </w:rPr>
        <w:t xml:space="preserve"> izrađene </w:t>
      </w:r>
      <w:r>
        <w:rPr>
          <w:rFonts w:eastAsia="Calibri"/>
          <w:kern w:val="2"/>
          <w:sz w:val="24"/>
          <w:szCs w:val="24"/>
        </w:rPr>
        <w:t xml:space="preserve">su </w:t>
      </w:r>
      <w:r w:rsidRPr="00B41494">
        <w:rPr>
          <w:rFonts w:eastAsia="Calibri"/>
          <w:kern w:val="2"/>
          <w:sz w:val="24"/>
          <w:szCs w:val="24"/>
        </w:rPr>
        <w:t xml:space="preserve">Smjernice za izradu Strategija zelene urbane obnove te su održane </w:t>
      </w:r>
      <w:r>
        <w:rPr>
          <w:rFonts w:eastAsia="Calibri"/>
          <w:kern w:val="2"/>
          <w:sz w:val="24"/>
          <w:szCs w:val="24"/>
        </w:rPr>
        <w:t>4</w:t>
      </w:r>
      <w:r w:rsidRPr="00B41494">
        <w:rPr>
          <w:rFonts w:eastAsia="Calibri"/>
          <w:kern w:val="2"/>
          <w:sz w:val="24"/>
          <w:szCs w:val="24"/>
        </w:rPr>
        <w:t xml:space="preserve"> informativne radionice na kojima je sudjelovalo </w:t>
      </w:r>
      <w:r>
        <w:rPr>
          <w:rFonts w:eastAsia="Calibri"/>
          <w:kern w:val="2"/>
          <w:sz w:val="24"/>
          <w:szCs w:val="24"/>
        </w:rPr>
        <w:t>više od</w:t>
      </w:r>
      <w:r w:rsidRPr="00B41494">
        <w:rPr>
          <w:rFonts w:eastAsia="Calibri"/>
          <w:kern w:val="2"/>
          <w:sz w:val="24"/>
          <w:szCs w:val="24"/>
        </w:rPr>
        <w:t xml:space="preserve"> 200 potencijalnih prijavitelja. Navedene strategije predstavljaju stratešku podlogu od značaja za jedinice lokalne samouprave i Grad Zagreb kojima se potiče ostvarenje ciljeva razvoja zelene infrastrukture, integracija NBS rješenja (rješenja temeljenih na prirodi), unaprjeđenje kružnog gospodarenja prostorom i zgradama, kao i ostvarenje ciljeva energetske učinkovitosti, prilagodbe klimatskim promjenama </w:t>
      </w:r>
      <w:r>
        <w:rPr>
          <w:rFonts w:eastAsia="Calibri"/>
          <w:kern w:val="2"/>
          <w:sz w:val="24"/>
          <w:szCs w:val="24"/>
        </w:rPr>
        <w:t>uz</w:t>
      </w:r>
      <w:r w:rsidRPr="00B41494">
        <w:rPr>
          <w:rFonts w:eastAsia="Calibri"/>
          <w:kern w:val="2"/>
          <w:sz w:val="24"/>
          <w:szCs w:val="24"/>
        </w:rPr>
        <w:t xml:space="preserve"> jačanje otpornosti na rizike.</w:t>
      </w:r>
      <w:r>
        <w:rPr>
          <w:rFonts w:eastAsia="Calibri"/>
          <w:kern w:val="2"/>
          <w:sz w:val="24"/>
          <w:szCs w:val="24"/>
        </w:rPr>
        <w:t xml:space="preserve"> </w:t>
      </w:r>
      <w:r w:rsidRPr="00B41494">
        <w:rPr>
          <w:rFonts w:eastAsia="Calibri"/>
          <w:kern w:val="2"/>
          <w:sz w:val="24"/>
          <w:szCs w:val="24"/>
        </w:rPr>
        <w:t>Za odabranih 19 projektnih prijedloga sklopljen</w:t>
      </w:r>
      <w:r>
        <w:rPr>
          <w:rFonts w:eastAsia="Calibri"/>
          <w:kern w:val="2"/>
          <w:sz w:val="24"/>
          <w:szCs w:val="24"/>
        </w:rPr>
        <w:t>i su ugovori</w:t>
      </w:r>
      <w:r w:rsidRPr="00B41494">
        <w:rPr>
          <w:rFonts w:eastAsia="Calibri"/>
          <w:kern w:val="2"/>
          <w:sz w:val="24"/>
          <w:szCs w:val="24"/>
        </w:rPr>
        <w:t xml:space="preserve"> o dodjeli bespovratnih sredstava u vrijednosti 507 tisuća eura. Na rezervnoj listi ostalo je 77 projekata, za koje je u okviru Dodatka </w:t>
      </w:r>
      <w:r>
        <w:rPr>
          <w:rFonts w:eastAsia="Calibri"/>
          <w:kern w:val="2"/>
          <w:sz w:val="24"/>
          <w:szCs w:val="24"/>
        </w:rPr>
        <w:t>NPOO-u</w:t>
      </w:r>
      <w:r w:rsidRPr="00B41494">
        <w:rPr>
          <w:rFonts w:eastAsia="Calibri"/>
          <w:kern w:val="2"/>
          <w:sz w:val="24"/>
          <w:szCs w:val="24"/>
        </w:rPr>
        <w:t xml:space="preserve"> osigurana dodatna alokacija u iznosu od 2,1 milijun eura</w:t>
      </w:r>
      <w:r>
        <w:rPr>
          <w:rFonts w:eastAsia="Calibri"/>
          <w:kern w:val="2"/>
          <w:sz w:val="24"/>
          <w:szCs w:val="24"/>
        </w:rPr>
        <w:t>, čime</w:t>
      </w:r>
      <w:r w:rsidRPr="00B41494">
        <w:rPr>
          <w:rFonts w:eastAsia="Calibri"/>
          <w:kern w:val="2"/>
          <w:sz w:val="24"/>
          <w:szCs w:val="24"/>
        </w:rPr>
        <w:t xml:space="preserve"> je ukupan raspoloživ</w:t>
      </w:r>
      <w:r>
        <w:rPr>
          <w:rFonts w:eastAsia="Calibri"/>
          <w:kern w:val="2"/>
          <w:sz w:val="24"/>
          <w:szCs w:val="24"/>
        </w:rPr>
        <w:t>i</w:t>
      </w:r>
      <w:r w:rsidRPr="00B41494">
        <w:rPr>
          <w:rFonts w:eastAsia="Calibri"/>
          <w:kern w:val="2"/>
          <w:sz w:val="24"/>
          <w:szCs w:val="24"/>
        </w:rPr>
        <w:t xml:space="preserve"> iznos bespovratnih sredstava za dodjelu u okviru ovog Poziva povećan na 2,6 milijuna eura. </w:t>
      </w:r>
    </w:p>
    <w:p w14:paraId="5CEC7ECF" w14:textId="77777777" w:rsidR="008F10E9" w:rsidRDefault="008F10E9" w:rsidP="008F10E9">
      <w:pPr>
        <w:widowControl/>
        <w:autoSpaceDE/>
        <w:autoSpaceDN/>
        <w:spacing w:before="240" w:line="276" w:lineRule="auto"/>
        <w:jc w:val="both"/>
        <w:rPr>
          <w:rFonts w:eastAsia="Calibri"/>
          <w:b/>
          <w:bCs/>
          <w:kern w:val="2"/>
          <w:sz w:val="24"/>
          <w:szCs w:val="24"/>
        </w:rPr>
      </w:pPr>
      <w:r w:rsidRPr="00B41494">
        <w:rPr>
          <w:rFonts w:eastAsia="Calibri"/>
          <w:kern w:val="2"/>
          <w:sz w:val="24"/>
          <w:szCs w:val="24"/>
        </w:rPr>
        <w:t xml:space="preserve">Također, pokrenute su aktivnosti </w:t>
      </w:r>
      <w:r>
        <w:rPr>
          <w:rFonts w:eastAsia="Calibri"/>
          <w:kern w:val="2"/>
          <w:sz w:val="24"/>
          <w:szCs w:val="24"/>
        </w:rPr>
        <w:t xml:space="preserve">na </w:t>
      </w:r>
      <w:r w:rsidRPr="00B41494">
        <w:rPr>
          <w:rFonts w:eastAsia="Calibri"/>
          <w:kern w:val="2"/>
          <w:sz w:val="24"/>
          <w:szCs w:val="24"/>
        </w:rPr>
        <w:t>priprem</w:t>
      </w:r>
      <w:r>
        <w:rPr>
          <w:rFonts w:eastAsia="Calibri"/>
          <w:kern w:val="2"/>
          <w:sz w:val="24"/>
          <w:szCs w:val="24"/>
        </w:rPr>
        <w:t>i</w:t>
      </w:r>
      <w:r w:rsidRPr="00B41494">
        <w:rPr>
          <w:rFonts w:eastAsia="Calibri"/>
          <w:kern w:val="2"/>
          <w:sz w:val="24"/>
          <w:szCs w:val="24"/>
        </w:rPr>
        <w:t xml:space="preserve"> </w:t>
      </w:r>
      <w:r>
        <w:rPr>
          <w:rFonts w:eastAsia="Calibri"/>
          <w:kern w:val="2"/>
          <w:sz w:val="24"/>
          <w:szCs w:val="24"/>
        </w:rPr>
        <w:t>p</w:t>
      </w:r>
      <w:r w:rsidRPr="00B41494">
        <w:rPr>
          <w:rFonts w:eastAsia="Calibri"/>
          <w:kern w:val="2"/>
          <w:sz w:val="24"/>
          <w:szCs w:val="24"/>
        </w:rPr>
        <w:t xml:space="preserve">oziva na dodjelu bespovratnih sredstava “Pilot projekt razvoja zelene infrastrukture i/ili kružnog gospodarenja prostorom i zgradama” kojim će se provoditi projekti identificirani u Strategijama zelene urbane obnove, s alokacijom u iznosu od 2,1 milijun eura. Objava </w:t>
      </w:r>
      <w:r>
        <w:rPr>
          <w:rFonts w:eastAsia="Calibri"/>
          <w:kern w:val="2"/>
          <w:sz w:val="24"/>
          <w:szCs w:val="24"/>
        </w:rPr>
        <w:t>p</w:t>
      </w:r>
      <w:r w:rsidRPr="00B41494">
        <w:rPr>
          <w:rFonts w:eastAsia="Calibri"/>
          <w:kern w:val="2"/>
          <w:sz w:val="24"/>
          <w:szCs w:val="24"/>
        </w:rPr>
        <w:t xml:space="preserve">oziva </w:t>
      </w:r>
      <w:r>
        <w:rPr>
          <w:rFonts w:eastAsia="Calibri"/>
          <w:kern w:val="2"/>
          <w:sz w:val="24"/>
          <w:szCs w:val="24"/>
        </w:rPr>
        <w:t>planirana</w:t>
      </w:r>
      <w:r w:rsidRPr="00B41494">
        <w:rPr>
          <w:rFonts w:eastAsia="Calibri"/>
          <w:kern w:val="2"/>
          <w:sz w:val="24"/>
          <w:szCs w:val="24"/>
        </w:rPr>
        <w:t xml:space="preserve"> je u II</w:t>
      </w:r>
      <w:r>
        <w:rPr>
          <w:rFonts w:eastAsia="Calibri"/>
          <w:kern w:val="2"/>
          <w:sz w:val="24"/>
          <w:szCs w:val="24"/>
        </w:rPr>
        <w:t>.</w:t>
      </w:r>
      <w:r w:rsidRPr="00B41494">
        <w:rPr>
          <w:rFonts w:eastAsia="Calibri"/>
          <w:kern w:val="2"/>
          <w:sz w:val="24"/>
          <w:szCs w:val="24"/>
        </w:rPr>
        <w:t xml:space="preserve"> kvartalu 2023. U okviru Dodatka </w:t>
      </w:r>
      <w:r>
        <w:rPr>
          <w:rFonts w:eastAsia="Calibri"/>
          <w:kern w:val="2"/>
          <w:sz w:val="24"/>
          <w:szCs w:val="24"/>
        </w:rPr>
        <w:t xml:space="preserve">NPOO-u za provedbu ovog poziva </w:t>
      </w:r>
      <w:r w:rsidRPr="00B41494">
        <w:rPr>
          <w:rFonts w:eastAsia="Calibri"/>
          <w:kern w:val="2"/>
          <w:sz w:val="24"/>
          <w:szCs w:val="24"/>
        </w:rPr>
        <w:t>osigurana je dodatna alokacija u iznosu od 20 milijuna eura</w:t>
      </w:r>
      <w:r>
        <w:rPr>
          <w:rFonts w:eastAsia="Calibri"/>
          <w:kern w:val="2"/>
          <w:sz w:val="24"/>
          <w:szCs w:val="24"/>
        </w:rPr>
        <w:t>,</w:t>
      </w:r>
      <w:r w:rsidRPr="00B41494">
        <w:rPr>
          <w:rFonts w:eastAsia="Calibri"/>
          <w:kern w:val="2"/>
          <w:sz w:val="24"/>
          <w:szCs w:val="24"/>
        </w:rPr>
        <w:t xml:space="preserve"> </w:t>
      </w:r>
      <w:r>
        <w:rPr>
          <w:rFonts w:eastAsia="Calibri"/>
          <w:kern w:val="2"/>
          <w:sz w:val="24"/>
          <w:szCs w:val="24"/>
        </w:rPr>
        <w:t>čim</w:t>
      </w:r>
      <w:r w:rsidRPr="00B41494">
        <w:rPr>
          <w:rFonts w:eastAsia="Calibri"/>
          <w:kern w:val="2"/>
          <w:sz w:val="24"/>
          <w:szCs w:val="24"/>
        </w:rPr>
        <w:t>e je ukupan raspoloživ iznos bespovratnih sredstava za dodjelu povećan na 22,1 milijun eura.</w:t>
      </w:r>
      <w:r w:rsidRPr="008115FB">
        <w:rPr>
          <w:rFonts w:eastAsia="Calibri"/>
          <w:kern w:val="2"/>
          <w:sz w:val="24"/>
          <w:szCs w:val="24"/>
        </w:rPr>
        <w:t xml:space="preserve"> </w:t>
      </w:r>
    </w:p>
    <w:p w14:paraId="77C9BF8F" w14:textId="77777777" w:rsidR="008F10E9" w:rsidRPr="00BD1B6F" w:rsidRDefault="008F10E9" w:rsidP="008F10E9">
      <w:pPr>
        <w:widowControl/>
        <w:autoSpaceDE/>
        <w:autoSpaceDN/>
        <w:spacing w:before="240" w:line="276" w:lineRule="auto"/>
        <w:ind w:firstLine="720"/>
        <w:jc w:val="both"/>
        <w:rPr>
          <w:rFonts w:eastAsia="Calibri"/>
          <w:b/>
          <w:bCs/>
          <w:kern w:val="2"/>
          <w:sz w:val="24"/>
          <w:szCs w:val="24"/>
        </w:rPr>
      </w:pPr>
      <w:r w:rsidRPr="00BD1B6F">
        <w:rPr>
          <w:rFonts w:eastAsia="Calibri"/>
          <w:b/>
          <w:bCs/>
          <w:kern w:val="2"/>
          <w:sz w:val="24"/>
          <w:szCs w:val="24"/>
        </w:rPr>
        <w:t>Energetska samodostatnost i tranzicija na čistu energiju</w:t>
      </w:r>
    </w:p>
    <w:p w14:paraId="11C6D487"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Nastavljena je provedba aktivnosti na dekarbonizaciji energetskog sektora s posebnim naglaskom na promicanje obnovljivih izvora energije te poboljšanje energetske učinkovitosti. Prema podacima za 2021. u Hrvatskoj je udio obnovljivih izvora energije u bruto neposrednoj potrošnji energije iznosio 31,7%, odnosno 53,5% u bruto </w:t>
      </w:r>
      <w:r w:rsidRPr="00BD1B6F">
        <w:rPr>
          <w:rFonts w:eastAsia="Calibri"/>
          <w:kern w:val="2"/>
          <w:sz w:val="24"/>
          <w:szCs w:val="24"/>
        </w:rPr>
        <w:lastRenderedPageBreak/>
        <w:t xml:space="preserve">neposrednoj potrošnji električne energije, dok je udio u neposrednoj potrošnji energije u prometu bio značajno manji te je iznosio 7,1%. </w:t>
      </w:r>
    </w:p>
    <w:p w14:paraId="13D3F106"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Europska komisija je u studenom 2022. odobrila </w:t>
      </w:r>
      <w:r w:rsidRPr="00672866">
        <w:rPr>
          <w:rFonts w:eastAsia="Calibri"/>
          <w:kern w:val="2"/>
          <w:sz w:val="24"/>
          <w:szCs w:val="24"/>
        </w:rPr>
        <w:t>P</w:t>
      </w:r>
      <w:r>
        <w:rPr>
          <w:rFonts w:eastAsia="Calibri"/>
          <w:kern w:val="2"/>
          <w:sz w:val="24"/>
          <w:szCs w:val="24"/>
        </w:rPr>
        <w:t xml:space="preserve">KK </w:t>
      </w:r>
      <w:r w:rsidRPr="00672866">
        <w:rPr>
          <w:rFonts w:eastAsia="Calibri"/>
          <w:kern w:val="2"/>
          <w:sz w:val="24"/>
          <w:szCs w:val="24"/>
        </w:rPr>
        <w:t>2021.</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2027. kojim je za područje energetike predviđeno 279 milijuna eura, za provedbu projekata poboljšanja energetske učinkovitosti u industriji, ugradnju mikrosolara i dizalica topline, iskorištavanje geotermalne energije, ugradnju infrastrukture za korištenje vodika i razvoj baterija. Također, pokrenute su aktivnosti na programiranju i pripremi projekata za provedbu </w:t>
      </w:r>
      <w:r>
        <w:rPr>
          <w:rFonts w:eastAsia="Calibri"/>
          <w:kern w:val="2"/>
          <w:sz w:val="24"/>
          <w:szCs w:val="24"/>
        </w:rPr>
        <w:t>p</w:t>
      </w:r>
      <w:r w:rsidRPr="00BD1B6F">
        <w:rPr>
          <w:rFonts w:eastAsia="Calibri"/>
          <w:kern w:val="2"/>
          <w:sz w:val="24"/>
          <w:szCs w:val="24"/>
        </w:rPr>
        <w:t xml:space="preserve">lana </w:t>
      </w:r>
      <w:r w:rsidRPr="00BD1B6F">
        <w:rPr>
          <w:rFonts w:eastAsia="Calibri"/>
          <w:i/>
          <w:iCs/>
          <w:kern w:val="2"/>
          <w:sz w:val="24"/>
          <w:szCs w:val="24"/>
        </w:rPr>
        <w:t>RepowerEU</w:t>
      </w:r>
      <w:r w:rsidRPr="00BD1B6F">
        <w:rPr>
          <w:rFonts w:eastAsia="Calibri"/>
          <w:kern w:val="2"/>
          <w:sz w:val="24"/>
          <w:szCs w:val="24"/>
        </w:rPr>
        <w:t xml:space="preserve">, koji u odnosu na </w:t>
      </w:r>
      <w:r>
        <w:rPr>
          <w:rFonts w:eastAsia="Calibri"/>
          <w:kern w:val="2"/>
          <w:sz w:val="24"/>
          <w:szCs w:val="24"/>
        </w:rPr>
        <w:t>E</w:t>
      </w:r>
      <w:r w:rsidRPr="00BD1B6F">
        <w:rPr>
          <w:rFonts w:eastAsia="Calibri"/>
          <w:kern w:val="2"/>
          <w:sz w:val="24"/>
          <w:szCs w:val="24"/>
        </w:rPr>
        <w:t xml:space="preserve">uropski </w:t>
      </w:r>
      <w:r>
        <w:rPr>
          <w:rFonts w:eastAsia="Calibri"/>
          <w:kern w:val="2"/>
          <w:sz w:val="24"/>
          <w:szCs w:val="24"/>
        </w:rPr>
        <w:t>z</w:t>
      </w:r>
      <w:r w:rsidRPr="00BD1B6F">
        <w:rPr>
          <w:rFonts w:eastAsia="Calibri"/>
          <w:kern w:val="2"/>
          <w:sz w:val="24"/>
          <w:szCs w:val="24"/>
        </w:rPr>
        <w:t>eleni plan značajno pojačava ambicije EU</w:t>
      </w:r>
      <w:r>
        <w:rPr>
          <w:rFonts w:eastAsia="Calibri"/>
          <w:kern w:val="2"/>
          <w:sz w:val="24"/>
          <w:szCs w:val="24"/>
        </w:rPr>
        <w:t>-a</w:t>
      </w:r>
      <w:r w:rsidRPr="00BD1B6F">
        <w:rPr>
          <w:rFonts w:eastAsia="Calibri"/>
          <w:kern w:val="2"/>
          <w:sz w:val="24"/>
          <w:szCs w:val="24"/>
        </w:rPr>
        <w:t xml:space="preserve"> u pogledu dekarbonizacije gospodarstva. </w:t>
      </w:r>
    </w:p>
    <w:p w14:paraId="44D22C93" w14:textId="77777777" w:rsidR="008F10E9" w:rsidRDefault="008F10E9" w:rsidP="008F10E9">
      <w:pPr>
        <w:widowControl/>
        <w:autoSpaceDE/>
        <w:autoSpaceDN/>
        <w:spacing w:before="240" w:line="276" w:lineRule="auto"/>
        <w:jc w:val="both"/>
        <w:rPr>
          <w:rFonts w:eastAsia="Calibri"/>
          <w:kern w:val="2"/>
          <w:sz w:val="24"/>
          <w:szCs w:val="24"/>
        </w:rPr>
      </w:pPr>
      <w:r w:rsidRPr="00292C5F">
        <w:rPr>
          <w:rFonts w:eastAsia="Calibri"/>
          <w:kern w:val="2"/>
          <w:sz w:val="24"/>
          <w:szCs w:val="24"/>
        </w:rPr>
        <w:t>Za provedbu projekata energetske i sveobuhvatne obnove zgrada</w:t>
      </w:r>
      <w:r>
        <w:rPr>
          <w:rFonts w:eastAsia="Calibri"/>
          <w:kern w:val="2"/>
          <w:sz w:val="24"/>
          <w:szCs w:val="24"/>
        </w:rPr>
        <w:t>,</w:t>
      </w:r>
      <w:r w:rsidRPr="00292C5F">
        <w:rPr>
          <w:rFonts w:eastAsia="Calibri"/>
          <w:kern w:val="2"/>
          <w:sz w:val="24"/>
          <w:szCs w:val="24"/>
        </w:rPr>
        <w:t xml:space="preserve"> u okviru PKK 2021.</w:t>
      </w:r>
      <w:r>
        <w:rPr>
          <w:rFonts w:eastAsia="Calibri"/>
          <w:kern w:val="2"/>
          <w:sz w:val="24"/>
          <w:szCs w:val="24"/>
        </w:rPr>
        <w:t xml:space="preserve"> </w:t>
      </w:r>
      <w:r w:rsidRPr="00292C5F">
        <w:rPr>
          <w:rFonts w:eastAsia="Calibri"/>
          <w:kern w:val="2"/>
          <w:sz w:val="24"/>
          <w:szCs w:val="24"/>
        </w:rPr>
        <w:t>-</w:t>
      </w:r>
      <w:r>
        <w:rPr>
          <w:rFonts w:eastAsia="Calibri"/>
          <w:kern w:val="2"/>
          <w:sz w:val="24"/>
          <w:szCs w:val="24"/>
        </w:rPr>
        <w:t xml:space="preserve"> </w:t>
      </w:r>
      <w:r w:rsidRPr="00292C5F">
        <w:rPr>
          <w:rFonts w:eastAsia="Calibri"/>
          <w:kern w:val="2"/>
          <w:sz w:val="24"/>
          <w:szCs w:val="24"/>
        </w:rPr>
        <w:t>2027. predviđeno je ukupno 274 milijuna eura</w:t>
      </w:r>
      <w:r>
        <w:rPr>
          <w:rFonts w:eastAsia="Calibri"/>
          <w:kern w:val="2"/>
          <w:sz w:val="24"/>
          <w:szCs w:val="24"/>
        </w:rPr>
        <w:t xml:space="preserve"> bespovratnih sredstava. Od navedenog iznosa z</w:t>
      </w:r>
      <w:r w:rsidRPr="00292C5F">
        <w:rPr>
          <w:rFonts w:eastAsia="Calibri"/>
          <w:kern w:val="2"/>
          <w:sz w:val="24"/>
          <w:szCs w:val="24"/>
        </w:rPr>
        <w:t>a energetsku, sveobuhvatnu i kružnu obnovu zgrada javnog sektora 106 milijuna eura, za sveobuhvatnu obnovu zgrada javnog sektora oštećenih u potresu 79 milijuna eura</w:t>
      </w:r>
      <w:r>
        <w:rPr>
          <w:rFonts w:eastAsia="Calibri"/>
          <w:kern w:val="2"/>
          <w:sz w:val="24"/>
          <w:szCs w:val="24"/>
        </w:rPr>
        <w:t>,</w:t>
      </w:r>
      <w:r w:rsidRPr="00292C5F">
        <w:rPr>
          <w:rFonts w:eastAsia="Calibri"/>
          <w:kern w:val="2"/>
          <w:sz w:val="24"/>
          <w:szCs w:val="24"/>
        </w:rPr>
        <w:t xml:space="preserve"> te za uspostavu financijskog instrumenta ESIF krediti za energetsku i sveobuhvatnu obnovu višestambenih zgrada 89 milijuna eura.</w:t>
      </w:r>
    </w:p>
    <w:p w14:paraId="4E04E27C"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Tijekom 2022. provedeni su značajni napori na razini EU-a</w:t>
      </w:r>
      <w:r>
        <w:rPr>
          <w:rFonts w:eastAsia="Calibri"/>
          <w:kern w:val="2"/>
          <w:sz w:val="24"/>
          <w:szCs w:val="24"/>
        </w:rPr>
        <w:t>,</w:t>
      </w:r>
      <w:r w:rsidRPr="00BD1B6F">
        <w:rPr>
          <w:rFonts w:eastAsia="Calibri"/>
          <w:kern w:val="2"/>
          <w:sz w:val="24"/>
          <w:szCs w:val="24"/>
        </w:rPr>
        <w:t xml:space="preserve"> s ciljem podizanja sigurnosti opskrbe i stabilizacije cijene energenata. Zajedničkim naporima i donošenjem koordiniranih mjera spriječeni su značajniji poremećaji i porast energetskog </w:t>
      </w:r>
      <w:r w:rsidRPr="00672866">
        <w:rPr>
          <w:rFonts w:eastAsia="Calibri"/>
          <w:kern w:val="2"/>
          <w:sz w:val="24"/>
          <w:szCs w:val="24"/>
        </w:rPr>
        <w:t>siromaštva</w:t>
      </w:r>
      <w:r>
        <w:rPr>
          <w:rFonts w:eastAsia="Calibri"/>
          <w:kern w:val="2"/>
          <w:sz w:val="24"/>
          <w:szCs w:val="24"/>
        </w:rPr>
        <w:t>,</w:t>
      </w:r>
      <w:r w:rsidRPr="00BD1B6F">
        <w:rPr>
          <w:rFonts w:eastAsia="Calibri"/>
          <w:kern w:val="2"/>
          <w:sz w:val="24"/>
          <w:szCs w:val="24"/>
        </w:rPr>
        <w:t xml:space="preserve"> osigurana stabilnost energetskog tržišta EU</w:t>
      </w:r>
      <w:r>
        <w:rPr>
          <w:rFonts w:eastAsia="Calibri"/>
          <w:kern w:val="2"/>
          <w:sz w:val="24"/>
          <w:szCs w:val="24"/>
        </w:rPr>
        <w:t>-a</w:t>
      </w:r>
      <w:r w:rsidRPr="00BD1B6F">
        <w:rPr>
          <w:rFonts w:eastAsia="Calibri"/>
          <w:kern w:val="2"/>
          <w:sz w:val="24"/>
          <w:szCs w:val="24"/>
        </w:rPr>
        <w:t>, kao i konkurentnost EU gospodarstva. Donošenjem Uredbe o otklanjanju poremećaja na domaćem tržištu energije, kućanstvima i poduzetništvu osigurane su stabilne cijene električne i toplinske energije tijekom 2022. Za provedbu Uredbe u razdoblju od listopada 2022. do kraja ožujka 2023. izdvojeno je ukupno 1,18 milijardi eura.</w:t>
      </w:r>
    </w:p>
    <w:p w14:paraId="2C719C25"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 xml:space="preserve">U okviru komponente NPOO-a C1.2. „Energetska tranzicija za održivo gospodarstvo“, tijekom 2022. izrađena </w:t>
      </w:r>
      <w:r>
        <w:rPr>
          <w:rFonts w:eastAsia="Calibri"/>
          <w:kern w:val="2"/>
          <w:sz w:val="24"/>
          <w:szCs w:val="24"/>
        </w:rPr>
        <w:t xml:space="preserve">je </w:t>
      </w:r>
      <w:r w:rsidRPr="00BD1B6F">
        <w:rPr>
          <w:rFonts w:eastAsia="Calibri"/>
          <w:kern w:val="2"/>
          <w:sz w:val="24"/>
          <w:szCs w:val="24"/>
        </w:rPr>
        <w:t xml:space="preserve">i objavljena „Procjena s preporukama za uklanjanje prepreka i rasterećenje administrativnih postupaka koji ograničavaju veće korištenje energije iz obnovljivih izvora“. Procjenom su utvrđena potencijalna uska grla u implementaciji projekata primjene obnovljivih izvora energije i predložene aktivnosti kojima će se ubrzati provedba projekata vezanih </w:t>
      </w:r>
      <w:r>
        <w:rPr>
          <w:rFonts w:eastAsia="Calibri"/>
          <w:kern w:val="2"/>
          <w:sz w:val="24"/>
          <w:szCs w:val="24"/>
        </w:rPr>
        <w:t>za</w:t>
      </w:r>
      <w:r w:rsidRPr="00BD1B6F">
        <w:rPr>
          <w:rFonts w:eastAsia="Calibri"/>
          <w:kern w:val="2"/>
          <w:sz w:val="24"/>
          <w:szCs w:val="24"/>
        </w:rPr>
        <w:t xml:space="preserve"> obnovljive izvore energije</w:t>
      </w:r>
      <w:r>
        <w:rPr>
          <w:rFonts w:eastAsia="Calibri"/>
          <w:kern w:val="2"/>
          <w:sz w:val="24"/>
          <w:szCs w:val="24"/>
        </w:rPr>
        <w:t>,</w:t>
      </w:r>
      <w:r w:rsidRPr="00BD1B6F">
        <w:rPr>
          <w:rFonts w:eastAsia="Calibri"/>
          <w:kern w:val="2"/>
          <w:sz w:val="24"/>
          <w:szCs w:val="24"/>
        </w:rPr>
        <w:t xml:space="preserve"> s posebnim naglaskom na samoopskrbu energijom i formiranje energetskih zajednica građana. </w:t>
      </w:r>
    </w:p>
    <w:p w14:paraId="1D7FFCE7"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Radi stvaranja preduvjeta za veće korištenje obnovljivih izvora energije u Hrvatskoj, pokrenuta je provedba investicije “Revitalizacija, izgradnja i digitalizacija energetskog sustava i prateće infrastrukture za dekarbonizaciju energetskog sektora“ (</w:t>
      </w:r>
      <w:r w:rsidRPr="00672866">
        <w:rPr>
          <w:rFonts w:eastAsia="Calibri"/>
          <w:kern w:val="2"/>
          <w:sz w:val="24"/>
          <w:szCs w:val="24"/>
        </w:rPr>
        <w:t>C1.2.</w:t>
      </w:r>
      <w:r w:rsidRPr="00BD1B6F">
        <w:rPr>
          <w:rFonts w:eastAsia="Calibri"/>
          <w:kern w:val="2"/>
          <w:sz w:val="24"/>
          <w:szCs w:val="24"/>
        </w:rPr>
        <w:t xml:space="preserve"> R1-I1), u okviru koje je s korisnikom Hrvatski</w:t>
      </w:r>
      <w:r>
        <w:rPr>
          <w:rFonts w:eastAsia="Calibri"/>
          <w:kern w:val="2"/>
          <w:sz w:val="24"/>
          <w:szCs w:val="24"/>
        </w:rPr>
        <w:t>m</w:t>
      </w:r>
      <w:r w:rsidRPr="00BD1B6F">
        <w:rPr>
          <w:rFonts w:eastAsia="Calibri"/>
          <w:kern w:val="2"/>
          <w:sz w:val="24"/>
          <w:szCs w:val="24"/>
        </w:rPr>
        <w:t xml:space="preserve"> operator</w:t>
      </w:r>
      <w:r>
        <w:rPr>
          <w:rFonts w:eastAsia="Calibri"/>
          <w:kern w:val="2"/>
          <w:sz w:val="24"/>
          <w:szCs w:val="24"/>
        </w:rPr>
        <w:t>om</w:t>
      </w:r>
      <w:r w:rsidRPr="00BD1B6F">
        <w:rPr>
          <w:rFonts w:eastAsia="Calibri"/>
          <w:kern w:val="2"/>
          <w:sz w:val="24"/>
          <w:szCs w:val="24"/>
        </w:rPr>
        <w:t xml:space="preserve"> prijenosnog</w:t>
      </w:r>
      <w:r>
        <w:rPr>
          <w:rFonts w:eastAsia="Calibri"/>
          <w:kern w:val="2"/>
          <w:sz w:val="24"/>
          <w:szCs w:val="24"/>
        </w:rPr>
        <w:t>og</w:t>
      </w:r>
      <w:r w:rsidRPr="00BD1B6F">
        <w:rPr>
          <w:rFonts w:eastAsia="Calibri"/>
          <w:kern w:val="2"/>
          <w:sz w:val="24"/>
          <w:szCs w:val="24"/>
        </w:rPr>
        <w:t xml:space="preserve"> sustava, </w:t>
      </w:r>
      <w:r w:rsidRPr="00BD1B6F">
        <w:rPr>
          <w:rFonts w:eastAsia="Calibri"/>
          <w:kern w:val="2"/>
          <w:sz w:val="24"/>
          <w:szCs w:val="24"/>
        </w:rPr>
        <w:lastRenderedPageBreak/>
        <w:t xml:space="preserve">ugovoren projekt revitalizacije, izgradnje i modernizacije hrvatske prijenosne elektroenergetske mreže, ukupne vrijednosti ulaganja 218,2 milijuna eura. Provedbom projekta </w:t>
      </w:r>
      <w:r w:rsidRPr="00672866">
        <w:rPr>
          <w:rFonts w:eastAsia="Calibri"/>
          <w:kern w:val="2"/>
          <w:sz w:val="24"/>
          <w:szCs w:val="24"/>
        </w:rPr>
        <w:t>osigurat</w:t>
      </w:r>
      <w:r w:rsidRPr="00BD1B6F">
        <w:rPr>
          <w:rFonts w:eastAsia="Calibri"/>
          <w:kern w:val="2"/>
          <w:sz w:val="24"/>
          <w:szCs w:val="24"/>
        </w:rPr>
        <w:t xml:space="preserve"> će se preduvjeti za prihvat većih količina električne energije iz obnovljivih izvora i potaknuti stvaranje novih kapaciteta za proizvodnju energije iz obnovljivih izvora. U okviru projekta pokrenute su aktivnosti na povezivanju </w:t>
      </w:r>
      <w:r>
        <w:rPr>
          <w:rFonts w:eastAsia="Calibri"/>
          <w:kern w:val="2"/>
          <w:sz w:val="24"/>
          <w:szCs w:val="24"/>
        </w:rPr>
        <w:t>6</w:t>
      </w:r>
      <w:r w:rsidRPr="00BD1B6F">
        <w:rPr>
          <w:rFonts w:eastAsia="Calibri"/>
          <w:kern w:val="2"/>
          <w:sz w:val="24"/>
          <w:szCs w:val="24"/>
        </w:rPr>
        <w:t xml:space="preserve"> jadranskih otoka s kopnenom mrežom, nadogradnjom podzemnih kabela kako bi se iskoristio potencijal za proizvodnju energije iz obnovljivih izvora na otocima. Od </w:t>
      </w:r>
      <w:r>
        <w:rPr>
          <w:rFonts w:eastAsia="Calibri"/>
          <w:kern w:val="2"/>
          <w:sz w:val="24"/>
          <w:szCs w:val="24"/>
        </w:rPr>
        <w:t>6</w:t>
      </w:r>
      <w:r w:rsidRPr="00BD1B6F">
        <w:rPr>
          <w:rFonts w:eastAsia="Calibri"/>
          <w:kern w:val="2"/>
          <w:sz w:val="24"/>
          <w:szCs w:val="24"/>
        </w:rPr>
        <w:t xml:space="preserve"> planiranih dionica podmorskih kabela, dvije su završene tijekom 2022. i trenutno su u funkciji, dok je jedna u probnom radu</w:t>
      </w:r>
      <w:r>
        <w:rPr>
          <w:rFonts w:eastAsia="Calibri"/>
          <w:kern w:val="2"/>
          <w:sz w:val="24"/>
          <w:szCs w:val="24"/>
        </w:rPr>
        <w:t>,</w:t>
      </w:r>
      <w:r w:rsidRPr="00BD1B6F">
        <w:rPr>
          <w:rFonts w:eastAsia="Calibri"/>
          <w:kern w:val="2"/>
          <w:sz w:val="24"/>
          <w:szCs w:val="24"/>
        </w:rPr>
        <w:t xml:space="preserve"> a na ostalim dionicama će se aktivnosti provoditi i tijekom 2023. i 2024. Pokrenuta je i provedba NPOO investicije „Povećanje energetske učinkovitosti i korištenja obnovljivih izvora energije u proizvodnim industrijama“ (</w:t>
      </w:r>
      <w:r w:rsidRPr="00672866">
        <w:rPr>
          <w:rFonts w:eastAsia="Calibri"/>
          <w:kern w:val="2"/>
          <w:sz w:val="24"/>
          <w:szCs w:val="24"/>
        </w:rPr>
        <w:t>C1.2.</w:t>
      </w:r>
      <w:r w:rsidRPr="00BD1B6F">
        <w:rPr>
          <w:rFonts w:eastAsia="Calibri"/>
          <w:kern w:val="2"/>
          <w:sz w:val="24"/>
          <w:szCs w:val="24"/>
        </w:rPr>
        <w:t xml:space="preserve"> R1-I2) u okviru koje je proveden javni </w:t>
      </w:r>
      <w:r>
        <w:rPr>
          <w:rFonts w:eastAsia="Calibri"/>
          <w:kern w:val="2"/>
          <w:sz w:val="24"/>
          <w:szCs w:val="24"/>
        </w:rPr>
        <w:t>p</w:t>
      </w:r>
      <w:r w:rsidRPr="00BD1B6F">
        <w:rPr>
          <w:rFonts w:eastAsia="Calibri"/>
          <w:kern w:val="2"/>
          <w:sz w:val="24"/>
          <w:szCs w:val="24"/>
        </w:rPr>
        <w:t xml:space="preserve">oziv za financiranje projekata povećanja učinkovitosti korištenja energije u proizvodnim pogonima kroz smanjenje udjela fosilnih goriva uvođenjem obnovljivih izvora energije. U okviru Poziva dodijeljeno je 75 </w:t>
      </w:r>
      <w:r>
        <w:rPr>
          <w:rFonts w:eastAsia="Calibri"/>
          <w:kern w:val="2"/>
          <w:sz w:val="24"/>
          <w:szCs w:val="24"/>
        </w:rPr>
        <w:t>u</w:t>
      </w:r>
      <w:r w:rsidRPr="00BD1B6F">
        <w:rPr>
          <w:rFonts w:eastAsia="Calibri"/>
          <w:kern w:val="2"/>
          <w:sz w:val="24"/>
          <w:szCs w:val="24"/>
        </w:rPr>
        <w:t>govora o dodjeli bespovratnih sredstava u iznosu od 16,5 milijuna eura.</w:t>
      </w:r>
    </w:p>
    <w:p w14:paraId="5215EC01"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S ciljem jačanja preduvjeta za provedbu energetske transformacije u proizvodnji električne energije, izrađen je Plan razvoja geotermalnog potencijala Republike Hrvatske do 2030. godine. Donošenje Plana očekuj</w:t>
      </w:r>
      <w:r w:rsidRPr="00C8492E">
        <w:rPr>
          <w:rFonts w:eastAsia="Calibri"/>
          <w:kern w:val="2"/>
          <w:sz w:val="24"/>
          <w:szCs w:val="24"/>
        </w:rPr>
        <w:t>e se u narednom razdoblju, a</w:t>
      </w:r>
      <w:r w:rsidRPr="00BD1B6F">
        <w:rPr>
          <w:rFonts w:eastAsia="Calibri"/>
          <w:kern w:val="2"/>
          <w:sz w:val="24"/>
          <w:szCs w:val="24"/>
        </w:rPr>
        <w:t xml:space="preserve"> njegovom provedbom </w:t>
      </w:r>
      <w:r w:rsidRPr="00672866">
        <w:rPr>
          <w:rFonts w:eastAsia="Calibri"/>
          <w:kern w:val="2"/>
          <w:sz w:val="24"/>
          <w:szCs w:val="24"/>
        </w:rPr>
        <w:t>osigurat</w:t>
      </w:r>
      <w:r w:rsidRPr="00BD1B6F">
        <w:rPr>
          <w:rFonts w:eastAsia="Calibri"/>
          <w:kern w:val="2"/>
          <w:sz w:val="24"/>
          <w:szCs w:val="24"/>
        </w:rPr>
        <w:t xml:space="preserve"> će se uvjeti za daljnji razvoj potencijala i veće korištenje geotermalne energije. </w:t>
      </w:r>
      <w:r w:rsidRPr="008115FB">
        <w:rPr>
          <w:rFonts w:eastAsia="Calibri"/>
          <w:kern w:val="2"/>
          <w:sz w:val="24"/>
          <w:szCs w:val="24"/>
        </w:rPr>
        <w:t>Također</w:t>
      </w:r>
      <w:r w:rsidRPr="00BD1B6F">
        <w:rPr>
          <w:rFonts w:eastAsia="Calibri"/>
          <w:kern w:val="2"/>
          <w:sz w:val="24"/>
          <w:szCs w:val="24"/>
        </w:rPr>
        <w:t>, radi poticanja uvjeta za razvoj i korištenje geotermalne energije, pokrenuta je provedba NPOO investicije „Poticanje energetske učinkovitosti, toplinarstva i obnovljivih izvora energije za dekarbonizaciju energetskog sektora“ (</w:t>
      </w:r>
      <w:r w:rsidRPr="00672866">
        <w:rPr>
          <w:rFonts w:eastAsia="Calibri"/>
          <w:kern w:val="2"/>
          <w:sz w:val="24"/>
          <w:szCs w:val="24"/>
        </w:rPr>
        <w:t>C1.2.</w:t>
      </w:r>
      <w:r w:rsidRPr="00BD1B6F">
        <w:rPr>
          <w:rFonts w:eastAsia="Calibri"/>
          <w:kern w:val="2"/>
          <w:sz w:val="24"/>
          <w:szCs w:val="24"/>
        </w:rPr>
        <w:t xml:space="preserve"> R1-I2). U okviru investicije, Agenciji za ugljikovodike dodijeljena su sredstva u iznosu od 30 milijuna eura za potvrđivanje geotermalnog potencijala</w:t>
      </w:r>
      <w:r w:rsidRPr="00BD1B6F">
        <w:t xml:space="preserve"> </w:t>
      </w:r>
      <w:r w:rsidRPr="00BD1B6F">
        <w:rPr>
          <w:rFonts w:eastAsia="Calibri"/>
          <w:kern w:val="2"/>
          <w:sz w:val="24"/>
          <w:szCs w:val="24"/>
        </w:rPr>
        <w:t>na područjima s ranije utvrđenim geotermalnim potencijalom. U okviru investicije</w:t>
      </w:r>
      <w:r>
        <w:rPr>
          <w:rFonts w:eastAsia="Calibri"/>
          <w:kern w:val="2"/>
          <w:sz w:val="24"/>
          <w:szCs w:val="24"/>
        </w:rPr>
        <w:t>,</w:t>
      </w:r>
      <w:r w:rsidRPr="00BD1B6F">
        <w:rPr>
          <w:rFonts w:eastAsia="Calibri"/>
          <w:kern w:val="2"/>
          <w:sz w:val="24"/>
          <w:szCs w:val="24"/>
        </w:rPr>
        <w:t xml:space="preserve"> na 6 odabranih preliminarnih istražnih prostora</w:t>
      </w:r>
      <w:r w:rsidRPr="00BD1B6F">
        <w:t xml:space="preserve"> </w:t>
      </w:r>
      <w:r w:rsidRPr="008115FB">
        <w:rPr>
          <w:rFonts w:eastAsia="Calibri"/>
          <w:kern w:val="2"/>
          <w:sz w:val="24"/>
          <w:szCs w:val="24"/>
        </w:rPr>
        <w:t>na području</w:t>
      </w:r>
      <w:r w:rsidRPr="00BD1B6F">
        <w:rPr>
          <w:rFonts w:eastAsia="Calibri"/>
          <w:kern w:val="2"/>
          <w:sz w:val="24"/>
          <w:szCs w:val="24"/>
        </w:rPr>
        <w:t xml:space="preserve"> </w:t>
      </w:r>
      <w:r w:rsidRPr="008115FB">
        <w:rPr>
          <w:rFonts w:eastAsia="Calibri"/>
          <w:kern w:val="2"/>
          <w:sz w:val="24"/>
          <w:szCs w:val="24"/>
        </w:rPr>
        <w:t>Osijeka, Siska, Velike Gorice, Vinkovaca, Vukovara i Zaprešića</w:t>
      </w:r>
      <w:r w:rsidRPr="00BD1B6F">
        <w:rPr>
          <w:rFonts w:eastAsia="Calibri"/>
          <w:kern w:val="2"/>
          <w:sz w:val="24"/>
          <w:szCs w:val="24"/>
        </w:rPr>
        <w:t xml:space="preserve"> obavljena su geofizička snimanja te će se u sklopu preliminarnih istražnih radova izraditi po jedna istražna bušotina. </w:t>
      </w:r>
      <w:r w:rsidRPr="008115FB">
        <w:rPr>
          <w:rFonts w:eastAsia="Calibri"/>
          <w:kern w:val="2"/>
          <w:sz w:val="24"/>
          <w:szCs w:val="24"/>
        </w:rPr>
        <w:t>Za i</w:t>
      </w:r>
      <w:r w:rsidRPr="00BD1B6F">
        <w:rPr>
          <w:rFonts w:eastAsia="Calibri"/>
          <w:kern w:val="2"/>
          <w:sz w:val="24"/>
          <w:szCs w:val="24"/>
        </w:rPr>
        <w:t xml:space="preserve">stražne </w:t>
      </w:r>
      <w:r w:rsidRPr="008115FB">
        <w:rPr>
          <w:rFonts w:eastAsia="Calibri"/>
          <w:kern w:val="2"/>
          <w:sz w:val="24"/>
          <w:szCs w:val="24"/>
        </w:rPr>
        <w:t>prostore na</w:t>
      </w:r>
      <w:r w:rsidRPr="00BD1B6F">
        <w:rPr>
          <w:rFonts w:eastAsia="Calibri"/>
          <w:kern w:val="2"/>
          <w:sz w:val="24"/>
          <w:szCs w:val="24"/>
        </w:rPr>
        <w:t xml:space="preserve"> kojima se </w:t>
      </w:r>
      <w:r w:rsidRPr="008115FB">
        <w:rPr>
          <w:rFonts w:eastAsia="Calibri"/>
          <w:kern w:val="2"/>
          <w:sz w:val="24"/>
          <w:szCs w:val="24"/>
        </w:rPr>
        <w:t xml:space="preserve">istražnim bušotinama </w:t>
      </w:r>
      <w:r w:rsidRPr="00BD1B6F">
        <w:rPr>
          <w:rFonts w:eastAsia="Calibri"/>
          <w:kern w:val="2"/>
          <w:sz w:val="24"/>
          <w:szCs w:val="24"/>
        </w:rPr>
        <w:t>potvrdi geotermalni potencijal</w:t>
      </w:r>
      <w:r w:rsidRPr="008115FB">
        <w:rPr>
          <w:rFonts w:eastAsia="Calibri"/>
          <w:kern w:val="2"/>
          <w:sz w:val="24"/>
          <w:szCs w:val="24"/>
        </w:rPr>
        <w:t xml:space="preserve">, </w:t>
      </w:r>
      <w:r>
        <w:rPr>
          <w:rFonts w:eastAsia="Calibri"/>
          <w:kern w:val="2"/>
          <w:sz w:val="24"/>
          <w:szCs w:val="24"/>
        </w:rPr>
        <w:t xml:space="preserve">provest </w:t>
      </w:r>
      <w:r w:rsidRPr="00672866">
        <w:rPr>
          <w:rFonts w:eastAsia="Calibri"/>
          <w:kern w:val="2"/>
          <w:sz w:val="24"/>
          <w:szCs w:val="24"/>
        </w:rPr>
        <w:t>će</w:t>
      </w:r>
      <w:r w:rsidRPr="00BD1B6F">
        <w:rPr>
          <w:rFonts w:eastAsia="Calibri"/>
          <w:kern w:val="2"/>
          <w:sz w:val="24"/>
          <w:szCs w:val="24"/>
        </w:rPr>
        <w:t xml:space="preserve"> se javno nadmetanje isključivo za potrebe projekata toplinarstva. Većim iskorištavanjem domaćih potencijala obnovljive energije</w:t>
      </w:r>
      <w:r w:rsidRPr="008115FB">
        <w:rPr>
          <w:rFonts w:eastAsia="Calibri"/>
          <w:kern w:val="2"/>
          <w:sz w:val="24"/>
          <w:szCs w:val="24"/>
        </w:rPr>
        <w:t>,</w:t>
      </w:r>
      <w:r w:rsidRPr="00BD1B6F">
        <w:rPr>
          <w:rFonts w:eastAsia="Calibri"/>
          <w:kern w:val="2"/>
          <w:sz w:val="24"/>
          <w:szCs w:val="24"/>
        </w:rPr>
        <w:t xml:space="preserve"> snažnije će se usmjeriti razvoj energetskog sustava u Hrvatskoj prema zelenoj energiji i postizanju klimatske neutralnosti.</w:t>
      </w:r>
      <w:r w:rsidRPr="008115FB">
        <w:rPr>
          <w:rFonts w:eastAsia="Calibri"/>
          <w:kern w:val="2"/>
          <w:sz w:val="24"/>
          <w:szCs w:val="24"/>
        </w:rPr>
        <w:t xml:space="preserve"> </w:t>
      </w:r>
    </w:p>
    <w:p w14:paraId="2E0BC425" w14:textId="77777777" w:rsidR="008F10E9" w:rsidRPr="00BD1B6F"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Nastavljeni su napori na provedbi Modernizacijsk</w:t>
      </w:r>
      <w:r>
        <w:rPr>
          <w:rFonts w:eastAsia="Calibri"/>
          <w:kern w:val="2"/>
          <w:sz w:val="24"/>
          <w:szCs w:val="24"/>
        </w:rPr>
        <w:t>og</w:t>
      </w:r>
      <w:r w:rsidRPr="00BD1B6F">
        <w:rPr>
          <w:rFonts w:eastAsia="Calibri"/>
          <w:kern w:val="2"/>
          <w:sz w:val="24"/>
          <w:szCs w:val="24"/>
        </w:rPr>
        <w:t xml:space="preserve"> fond</w:t>
      </w:r>
      <w:r>
        <w:rPr>
          <w:rFonts w:eastAsia="Calibri"/>
          <w:kern w:val="2"/>
          <w:sz w:val="24"/>
          <w:szCs w:val="24"/>
        </w:rPr>
        <w:t>a u Hrvatskoj.</w:t>
      </w:r>
      <w:r w:rsidRPr="00BD1B6F">
        <w:rPr>
          <w:rFonts w:eastAsia="Calibri"/>
          <w:kern w:val="2"/>
          <w:sz w:val="24"/>
          <w:szCs w:val="24"/>
        </w:rPr>
        <w:t xml:space="preserve"> Prvotno je </w:t>
      </w:r>
      <w:r w:rsidRPr="008115FB">
        <w:rPr>
          <w:rFonts w:eastAsia="Calibri"/>
          <w:kern w:val="2"/>
          <w:sz w:val="24"/>
          <w:szCs w:val="24"/>
        </w:rPr>
        <w:t xml:space="preserve"> Hrvatskoj</w:t>
      </w:r>
      <w:r>
        <w:rPr>
          <w:rFonts w:eastAsia="Calibri"/>
          <w:kern w:val="2"/>
          <w:sz w:val="24"/>
          <w:szCs w:val="24"/>
        </w:rPr>
        <w:t>,</w:t>
      </w:r>
      <w:r w:rsidRPr="008115FB">
        <w:rPr>
          <w:rFonts w:eastAsia="Calibri"/>
          <w:kern w:val="2"/>
          <w:sz w:val="24"/>
          <w:szCs w:val="24"/>
        </w:rPr>
        <w:t xml:space="preserve"> u okviru Modernizacijskog fonda</w:t>
      </w:r>
      <w:r>
        <w:rPr>
          <w:rFonts w:eastAsia="Calibri"/>
          <w:kern w:val="2"/>
          <w:sz w:val="24"/>
          <w:szCs w:val="24"/>
        </w:rPr>
        <w:t>,</w:t>
      </w:r>
      <w:r w:rsidRPr="008115FB">
        <w:rPr>
          <w:rFonts w:eastAsia="Calibri"/>
          <w:kern w:val="2"/>
          <w:sz w:val="24"/>
          <w:szCs w:val="24"/>
        </w:rPr>
        <w:t xml:space="preserve"> n</w:t>
      </w:r>
      <w:r w:rsidRPr="00BD1B6F">
        <w:rPr>
          <w:rFonts w:eastAsia="Calibri"/>
          <w:kern w:val="2"/>
          <w:sz w:val="24"/>
          <w:szCs w:val="24"/>
        </w:rPr>
        <w:t>a raspolaganj</w:t>
      </w:r>
      <w:r w:rsidRPr="008115FB">
        <w:rPr>
          <w:rFonts w:eastAsia="Calibri"/>
          <w:kern w:val="2"/>
          <w:sz w:val="24"/>
          <w:szCs w:val="24"/>
        </w:rPr>
        <w:t xml:space="preserve">u bilo </w:t>
      </w:r>
      <w:r w:rsidRPr="00BD1B6F">
        <w:rPr>
          <w:rFonts w:eastAsia="Calibri"/>
          <w:kern w:val="2"/>
          <w:sz w:val="24"/>
          <w:szCs w:val="24"/>
        </w:rPr>
        <w:t>14,6 milijuna emisijskih jedinica (3,14% ukupnih sredstava fonda</w:t>
      </w:r>
      <w:r>
        <w:rPr>
          <w:rFonts w:eastAsia="Calibri"/>
          <w:kern w:val="2"/>
          <w:sz w:val="24"/>
          <w:szCs w:val="24"/>
        </w:rPr>
        <w:t xml:space="preserve"> na razini EU-a</w:t>
      </w:r>
      <w:r w:rsidRPr="00BD1B6F">
        <w:rPr>
          <w:rFonts w:eastAsia="Calibri"/>
          <w:kern w:val="2"/>
          <w:sz w:val="24"/>
          <w:szCs w:val="24"/>
        </w:rPr>
        <w:t>), što uz cijenu od 70 eura po emisijskoj jedinici iznosi oko 1 milijardu eura</w:t>
      </w:r>
      <w:r>
        <w:rPr>
          <w:rFonts w:eastAsia="Calibri"/>
          <w:kern w:val="2"/>
          <w:sz w:val="24"/>
          <w:szCs w:val="24"/>
        </w:rPr>
        <w:t>,</w:t>
      </w:r>
      <w:r w:rsidRPr="00BD1B6F">
        <w:rPr>
          <w:rFonts w:eastAsia="Calibri"/>
          <w:kern w:val="2"/>
          <w:sz w:val="24"/>
          <w:szCs w:val="24"/>
        </w:rPr>
        <w:t xml:space="preserve"> za razdoblje do 2030. </w:t>
      </w:r>
      <w:r w:rsidRPr="008115FB">
        <w:rPr>
          <w:rFonts w:eastAsia="Calibri"/>
          <w:kern w:val="2"/>
          <w:sz w:val="24"/>
          <w:szCs w:val="24"/>
        </w:rPr>
        <w:t>Izmje</w:t>
      </w:r>
      <w:r w:rsidRPr="008115FB">
        <w:rPr>
          <w:rFonts w:eastAsia="Calibri"/>
          <w:kern w:val="2"/>
          <w:sz w:val="24"/>
          <w:szCs w:val="24"/>
        </w:rPr>
        <w:lastRenderedPageBreak/>
        <w:t xml:space="preserve">nom EU ETS Direktive </w:t>
      </w:r>
      <w:r w:rsidRPr="00655E9F">
        <w:rPr>
          <w:rFonts w:eastAsia="Calibri"/>
          <w:kern w:val="2"/>
          <w:sz w:val="24"/>
          <w:szCs w:val="24"/>
        </w:rPr>
        <w:t>koj</w:t>
      </w:r>
      <w:r>
        <w:rPr>
          <w:rFonts w:eastAsia="Calibri"/>
          <w:kern w:val="2"/>
          <w:sz w:val="24"/>
          <w:szCs w:val="24"/>
        </w:rPr>
        <w:t>a</w:t>
      </w:r>
      <w:r w:rsidRPr="00655E9F">
        <w:rPr>
          <w:rFonts w:eastAsia="Calibri"/>
          <w:kern w:val="2"/>
          <w:sz w:val="24"/>
          <w:szCs w:val="24"/>
        </w:rPr>
        <w:t xml:space="preserve"> </w:t>
      </w:r>
      <w:r>
        <w:rPr>
          <w:rFonts w:eastAsia="Calibri"/>
          <w:kern w:val="2"/>
          <w:sz w:val="24"/>
          <w:szCs w:val="24"/>
        </w:rPr>
        <w:t>će</w:t>
      </w:r>
      <w:r w:rsidRPr="008115FB">
        <w:rPr>
          <w:rFonts w:eastAsia="Calibri"/>
          <w:kern w:val="2"/>
          <w:sz w:val="24"/>
          <w:szCs w:val="24"/>
        </w:rPr>
        <w:t xml:space="preserve"> </w:t>
      </w:r>
      <w:r w:rsidRPr="00655E9F">
        <w:rPr>
          <w:rFonts w:eastAsia="Calibri"/>
          <w:kern w:val="2"/>
          <w:sz w:val="24"/>
          <w:szCs w:val="24"/>
        </w:rPr>
        <w:t>stupi</w:t>
      </w:r>
      <w:r>
        <w:rPr>
          <w:rFonts w:eastAsia="Calibri"/>
          <w:kern w:val="2"/>
          <w:sz w:val="24"/>
          <w:szCs w:val="24"/>
        </w:rPr>
        <w:t>ti</w:t>
      </w:r>
      <w:r w:rsidRPr="008115FB">
        <w:rPr>
          <w:rFonts w:eastAsia="Calibri"/>
          <w:kern w:val="2"/>
          <w:sz w:val="24"/>
          <w:szCs w:val="24"/>
        </w:rPr>
        <w:t xml:space="preserve"> na snagu tijekom 2023.,</w:t>
      </w:r>
      <w:r>
        <w:rPr>
          <w:rFonts w:eastAsia="Calibri"/>
          <w:kern w:val="2"/>
          <w:sz w:val="24"/>
          <w:szCs w:val="24"/>
        </w:rPr>
        <w:t xml:space="preserve"> </w:t>
      </w:r>
      <w:r w:rsidRPr="008115FB">
        <w:rPr>
          <w:rFonts w:eastAsia="Calibri"/>
          <w:kern w:val="2"/>
          <w:sz w:val="24"/>
          <w:szCs w:val="24"/>
        </w:rPr>
        <w:t xml:space="preserve">Hrvatskoj </w:t>
      </w:r>
      <w:r>
        <w:rPr>
          <w:rFonts w:eastAsia="Calibri"/>
          <w:kern w:val="2"/>
          <w:sz w:val="24"/>
          <w:szCs w:val="24"/>
        </w:rPr>
        <w:t>će biti</w:t>
      </w:r>
      <w:r w:rsidRPr="008115FB">
        <w:rPr>
          <w:rFonts w:eastAsia="Calibri"/>
          <w:kern w:val="2"/>
          <w:sz w:val="24"/>
          <w:szCs w:val="24"/>
        </w:rPr>
        <w:t xml:space="preserve"> dodijeljeno novih 4,4 milijuna emisijskih jedinica</w:t>
      </w:r>
      <w:r>
        <w:rPr>
          <w:rFonts w:eastAsia="Calibri"/>
          <w:kern w:val="2"/>
          <w:sz w:val="24"/>
          <w:szCs w:val="24"/>
        </w:rPr>
        <w:t>, odnosno</w:t>
      </w:r>
      <w:r w:rsidRPr="008115FB">
        <w:rPr>
          <w:rFonts w:eastAsia="Calibri"/>
          <w:kern w:val="2"/>
          <w:sz w:val="24"/>
          <w:szCs w:val="24"/>
        </w:rPr>
        <w:t xml:space="preserve"> dodatnih 2,3% sredstava </w:t>
      </w:r>
      <w:r>
        <w:rPr>
          <w:rFonts w:eastAsia="Calibri"/>
          <w:kern w:val="2"/>
          <w:sz w:val="24"/>
          <w:szCs w:val="24"/>
        </w:rPr>
        <w:t xml:space="preserve">Modernizacijskog </w:t>
      </w:r>
      <w:r w:rsidRPr="008115FB">
        <w:rPr>
          <w:rFonts w:eastAsia="Calibri"/>
          <w:kern w:val="2"/>
          <w:sz w:val="24"/>
          <w:szCs w:val="24"/>
        </w:rPr>
        <w:t xml:space="preserve">fonda. Navedenim izmjenama Direktive, za provedbu prioritetnih ulaganja u obnovljive izvore energije i provedbu mjera energetske učinkovitosti osigurano je dodatnih 310 milijuna eura </w:t>
      </w:r>
      <w:r>
        <w:rPr>
          <w:rFonts w:eastAsia="Calibri"/>
          <w:kern w:val="2"/>
          <w:sz w:val="24"/>
          <w:szCs w:val="24"/>
        </w:rPr>
        <w:t xml:space="preserve">potpore </w:t>
      </w:r>
      <w:r w:rsidRPr="008115FB">
        <w:rPr>
          <w:rFonts w:eastAsia="Calibri"/>
          <w:kern w:val="2"/>
          <w:sz w:val="24"/>
          <w:szCs w:val="24"/>
        </w:rPr>
        <w:t>za razdoblje od 2024. do 2030. Dosad je iz Modernizacijskog fonda odobreno 6 prioritetnih ulaganja ukupne vrijednosti potpore 210 milijuna eura</w:t>
      </w:r>
      <w:r>
        <w:rPr>
          <w:rFonts w:eastAsia="Calibri"/>
          <w:kern w:val="2"/>
          <w:sz w:val="24"/>
          <w:szCs w:val="24"/>
        </w:rPr>
        <w:t>. Ulaganja se odnose na</w:t>
      </w:r>
      <w:r w:rsidRPr="008115FB">
        <w:rPr>
          <w:rFonts w:eastAsia="Calibri"/>
          <w:kern w:val="2"/>
          <w:sz w:val="24"/>
          <w:szCs w:val="24"/>
        </w:rPr>
        <w:t xml:space="preserve"> provedbu 4 programa za poticanje ulaganja javnih i privatnih poduzeća u mjere poboljšanja energetske učinkovitosti i korištenje energije iz obnovljivih izvora</w:t>
      </w:r>
      <w:r w:rsidRPr="008115FB" w:rsidDel="008D024A">
        <w:rPr>
          <w:rFonts w:eastAsia="Calibri"/>
          <w:kern w:val="2"/>
          <w:sz w:val="24"/>
          <w:szCs w:val="24"/>
        </w:rPr>
        <w:t xml:space="preserve"> </w:t>
      </w:r>
      <w:r>
        <w:rPr>
          <w:rFonts w:eastAsia="Calibri"/>
          <w:kern w:val="2"/>
          <w:sz w:val="24"/>
          <w:szCs w:val="24"/>
        </w:rPr>
        <w:t>te</w:t>
      </w:r>
      <w:r w:rsidRPr="008115FB">
        <w:rPr>
          <w:rFonts w:eastAsia="Calibri"/>
          <w:kern w:val="2"/>
          <w:sz w:val="24"/>
          <w:szCs w:val="24"/>
        </w:rPr>
        <w:t xml:space="preserve"> za provedbu 2 projekta za pametno skladištenje energije i korištenje energije iz obnovljivih izvora. </w:t>
      </w:r>
    </w:p>
    <w:p w14:paraId="14709ADB" w14:textId="77777777" w:rsidR="008F10E9" w:rsidRPr="00BD1B6F" w:rsidRDefault="008F10E9" w:rsidP="008F10E9">
      <w:pPr>
        <w:widowControl/>
        <w:autoSpaceDE/>
        <w:autoSpaceDN/>
        <w:spacing w:before="240" w:line="276" w:lineRule="auto"/>
        <w:jc w:val="both"/>
        <w:rPr>
          <w:rFonts w:eastAsia="Calibri"/>
          <w:kern w:val="2"/>
          <w:sz w:val="24"/>
          <w:szCs w:val="24"/>
        </w:rPr>
      </w:pPr>
      <w:r w:rsidRPr="008115FB">
        <w:rPr>
          <w:rFonts w:eastAsia="Calibri"/>
          <w:kern w:val="2"/>
          <w:sz w:val="24"/>
          <w:szCs w:val="24"/>
        </w:rPr>
        <w:t>Nadalje, u ožujku 2022.</w:t>
      </w:r>
      <w:r w:rsidRPr="00BD1B6F">
        <w:rPr>
          <w:rFonts w:eastAsia="Calibri"/>
          <w:kern w:val="2"/>
          <w:sz w:val="24"/>
          <w:szCs w:val="24"/>
        </w:rPr>
        <w:t xml:space="preserve"> donesena je Hrvatska strategija za vodik do 2050. godine. Strategij</w:t>
      </w:r>
      <w:r w:rsidRPr="008115FB">
        <w:rPr>
          <w:rFonts w:eastAsia="Calibri"/>
          <w:kern w:val="2"/>
          <w:sz w:val="24"/>
          <w:szCs w:val="24"/>
        </w:rPr>
        <w:t>om su</w:t>
      </w:r>
      <w:r>
        <w:rPr>
          <w:rFonts w:eastAsia="Calibri"/>
          <w:kern w:val="2"/>
          <w:sz w:val="24"/>
          <w:szCs w:val="24"/>
        </w:rPr>
        <w:t>,</w:t>
      </w:r>
      <w:r w:rsidRPr="00BD1B6F">
        <w:rPr>
          <w:rFonts w:eastAsia="Calibri"/>
          <w:kern w:val="2"/>
          <w:sz w:val="24"/>
          <w:szCs w:val="24"/>
        </w:rPr>
        <w:t xml:space="preserve"> </w:t>
      </w:r>
      <w:r w:rsidRPr="008115FB">
        <w:rPr>
          <w:rFonts w:eastAsia="Calibri"/>
          <w:kern w:val="2"/>
          <w:sz w:val="24"/>
          <w:szCs w:val="24"/>
        </w:rPr>
        <w:t>u okviru</w:t>
      </w:r>
      <w:r w:rsidRPr="00BD1B6F">
        <w:rPr>
          <w:rFonts w:eastAsia="Calibri"/>
          <w:kern w:val="2"/>
          <w:sz w:val="24"/>
          <w:szCs w:val="24"/>
        </w:rPr>
        <w:t xml:space="preserve"> </w:t>
      </w:r>
      <w:r>
        <w:rPr>
          <w:rFonts w:eastAsia="Calibri"/>
          <w:kern w:val="2"/>
          <w:sz w:val="24"/>
          <w:szCs w:val="24"/>
        </w:rPr>
        <w:t>4</w:t>
      </w:r>
      <w:r w:rsidRPr="008115FB">
        <w:rPr>
          <w:rFonts w:eastAsia="Calibri"/>
          <w:kern w:val="2"/>
          <w:sz w:val="24"/>
          <w:szCs w:val="24"/>
        </w:rPr>
        <w:t xml:space="preserve"> strateška smjera</w:t>
      </w:r>
      <w:r>
        <w:rPr>
          <w:rFonts w:eastAsia="Calibri"/>
          <w:kern w:val="2"/>
          <w:sz w:val="24"/>
          <w:szCs w:val="24"/>
        </w:rPr>
        <w:t>,</w:t>
      </w:r>
      <w:r w:rsidRPr="008115FB">
        <w:rPr>
          <w:rFonts w:eastAsia="Calibri"/>
          <w:kern w:val="2"/>
          <w:sz w:val="24"/>
          <w:szCs w:val="24"/>
        </w:rPr>
        <w:t xml:space="preserve"> postavljeni ciljevi razvoja gospodarstva zasnovanog na vodiku,</w:t>
      </w:r>
      <w:r w:rsidRPr="008115FB">
        <w:t xml:space="preserve"> </w:t>
      </w:r>
      <w:r w:rsidRPr="008115FB">
        <w:rPr>
          <w:rFonts w:eastAsia="Calibri"/>
          <w:kern w:val="2"/>
          <w:sz w:val="24"/>
          <w:szCs w:val="24"/>
        </w:rPr>
        <w:t xml:space="preserve">u skladu s razvojnim potrebama i potencijalima hrvatskog gospodarstva te su utvrđena ključna područja intervencija za potpunu implementaciju obnovljivog vodika i razvoj cjelovitog lanca vrijednosti gospodarstva temeljenog na vodiku. Provedbom Strategije </w:t>
      </w:r>
      <w:r w:rsidRPr="00231E45">
        <w:rPr>
          <w:rFonts w:eastAsia="Calibri"/>
          <w:kern w:val="2"/>
          <w:sz w:val="24"/>
          <w:szCs w:val="24"/>
        </w:rPr>
        <w:t>osigura</w:t>
      </w:r>
      <w:r>
        <w:rPr>
          <w:rFonts w:eastAsia="Calibri"/>
          <w:kern w:val="2"/>
          <w:sz w:val="24"/>
          <w:szCs w:val="24"/>
        </w:rPr>
        <w:t>t</w:t>
      </w:r>
      <w:r w:rsidRPr="008115FB">
        <w:rPr>
          <w:rFonts w:eastAsia="Calibri"/>
          <w:kern w:val="2"/>
          <w:sz w:val="24"/>
          <w:szCs w:val="24"/>
        </w:rPr>
        <w:t xml:space="preserve"> će se okvir za proizvodnju i uporabu vodika, s posebnim naglaskom na obnovljivi vodik kao zamjenu za fosilna goriva, </w:t>
      </w:r>
      <w:r w:rsidRPr="00231E45">
        <w:rPr>
          <w:rFonts w:eastAsia="Calibri"/>
          <w:kern w:val="2"/>
          <w:sz w:val="24"/>
          <w:szCs w:val="24"/>
        </w:rPr>
        <w:t>poveća</w:t>
      </w:r>
      <w:r>
        <w:rPr>
          <w:rFonts w:eastAsia="Calibri"/>
          <w:kern w:val="2"/>
          <w:sz w:val="24"/>
          <w:szCs w:val="24"/>
        </w:rPr>
        <w:t>t</w:t>
      </w:r>
      <w:r w:rsidRPr="008115FB">
        <w:rPr>
          <w:rFonts w:eastAsia="Calibri"/>
          <w:kern w:val="2"/>
          <w:sz w:val="24"/>
          <w:szCs w:val="24"/>
        </w:rPr>
        <w:t xml:space="preserve"> će se stabilnost elektroenergetskog sustava zasnovanog na OIE, </w:t>
      </w:r>
      <w:r>
        <w:rPr>
          <w:rFonts w:eastAsia="Calibri"/>
          <w:kern w:val="2"/>
          <w:sz w:val="24"/>
          <w:szCs w:val="24"/>
        </w:rPr>
        <w:t>poboljšati</w:t>
      </w:r>
      <w:r w:rsidRPr="008115FB">
        <w:rPr>
          <w:rFonts w:eastAsia="Calibri"/>
          <w:kern w:val="2"/>
          <w:sz w:val="24"/>
          <w:szCs w:val="24"/>
        </w:rPr>
        <w:t xml:space="preserve"> energetska samodostatnost i potaknuti tranzicija na čistu energiju i održivu mobilnost.</w:t>
      </w:r>
      <w:r w:rsidRPr="00BD1B6F">
        <w:t xml:space="preserve"> </w:t>
      </w:r>
      <w:r w:rsidRPr="00FD2238">
        <w:rPr>
          <w:sz w:val="24"/>
          <w:szCs w:val="24"/>
        </w:rPr>
        <w:t xml:space="preserve">Kako bi se </w:t>
      </w:r>
      <w:r w:rsidRPr="00BD1B6F">
        <w:rPr>
          <w:sz w:val="24"/>
          <w:szCs w:val="24"/>
        </w:rPr>
        <w:t xml:space="preserve">do 2026. </w:t>
      </w:r>
      <w:r w:rsidRPr="00FD2238">
        <w:rPr>
          <w:sz w:val="24"/>
          <w:szCs w:val="24"/>
        </w:rPr>
        <w:t>stvorila nužna infrastruktura za korištenje vodika u prometu, u okviru NPOO</w:t>
      </w:r>
      <w:r w:rsidRPr="00BD1B6F">
        <w:rPr>
          <w:sz w:val="24"/>
          <w:szCs w:val="24"/>
        </w:rPr>
        <w:t xml:space="preserve"> investicije</w:t>
      </w:r>
      <w:r w:rsidRPr="008115FB">
        <w:t xml:space="preserve"> „</w:t>
      </w:r>
      <w:r w:rsidRPr="008115FB">
        <w:rPr>
          <w:sz w:val="24"/>
          <w:szCs w:val="24"/>
        </w:rPr>
        <w:t xml:space="preserve">Korištenje vodika i novih tehnologija“ </w:t>
      </w:r>
      <w:r w:rsidRPr="00FD2238">
        <w:rPr>
          <w:sz w:val="24"/>
          <w:szCs w:val="24"/>
        </w:rPr>
        <w:t>(</w:t>
      </w:r>
      <w:r w:rsidRPr="005D6C27">
        <w:rPr>
          <w:sz w:val="24"/>
          <w:szCs w:val="24"/>
        </w:rPr>
        <w:t>C1.2.</w:t>
      </w:r>
      <w:r w:rsidRPr="00BD1B6F">
        <w:rPr>
          <w:sz w:val="24"/>
          <w:szCs w:val="24"/>
        </w:rPr>
        <w:t xml:space="preserve"> R1-I3</w:t>
      </w:r>
      <w:r w:rsidRPr="008115FB">
        <w:rPr>
          <w:sz w:val="24"/>
          <w:szCs w:val="24"/>
        </w:rPr>
        <w:t>)</w:t>
      </w:r>
      <w:r>
        <w:rPr>
          <w:sz w:val="24"/>
          <w:szCs w:val="24"/>
        </w:rPr>
        <w:t xml:space="preserve"> </w:t>
      </w:r>
      <w:r w:rsidRPr="00FD2238">
        <w:rPr>
          <w:sz w:val="24"/>
          <w:szCs w:val="24"/>
        </w:rPr>
        <w:t>osigurana</w:t>
      </w:r>
      <w:r>
        <w:rPr>
          <w:sz w:val="24"/>
          <w:szCs w:val="24"/>
        </w:rPr>
        <w:t xml:space="preserve"> su </w:t>
      </w:r>
      <w:r w:rsidRPr="00FD2238">
        <w:rPr>
          <w:sz w:val="24"/>
          <w:szCs w:val="24"/>
        </w:rPr>
        <w:t xml:space="preserve"> sredstva</w:t>
      </w:r>
      <w:r w:rsidRPr="00BD1B6F">
        <w:rPr>
          <w:sz w:val="24"/>
          <w:szCs w:val="24"/>
        </w:rPr>
        <w:t xml:space="preserve"> (46,9 milijuna eura)</w:t>
      </w:r>
      <w:r w:rsidRPr="00FD2238">
        <w:rPr>
          <w:sz w:val="24"/>
          <w:szCs w:val="24"/>
        </w:rPr>
        <w:t xml:space="preserve"> za ulaganja u proizvodnj</w:t>
      </w:r>
      <w:r w:rsidRPr="00BD1B6F">
        <w:rPr>
          <w:sz w:val="24"/>
          <w:szCs w:val="24"/>
        </w:rPr>
        <w:t>u</w:t>
      </w:r>
      <w:r w:rsidRPr="00FD2238">
        <w:rPr>
          <w:sz w:val="24"/>
          <w:szCs w:val="24"/>
        </w:rPr>
        <w:t xml:space="preserve"> obnovljivog vodika (</w:t>
      </w:r>
      <w:r w:rsidRPr="00BD1B6F">
        <w:rPr>
          <w:sz w:val="24"/>
          <w:szCs w:val="24"/>
        </w:rPr>
        <w:t>iz</w:t>
      </w:r>
      <w:r w:rsidRPr="00FD2238">
        <w:rPr>
          <w:sz w:val="24"/>
          <w:szCs w:val="24"/>
        </w:rPr>
        <w:t>gradnj</w:t>
      </w:r>
      <w:r w:rsidRPr="00BD1B6F">
        <w:rPr>
          <w:sz w:val="24"/>
          <w:szCs w:val="24"/>
        </w:rPr>
        <w:t>om</w:t>
      </w:r>
      <w:r w:rsidRPr="00FD2238">
        <w:rPr>
          <w:sz w:val="24"/>
          <w:szCs w:val="24"/>
        </w:rPr>
        <w:t xml:space="preserve"> 10</w:t>
      </w:r>
      <w:r w:rsidRPr="00BD1B6F">
        <w:rPr>
          <w:sz w:val="24"/>
          <w:szCs w:val="24"/>
        </w:rPr>
        <w:t xml:space="preserve"> </w:t>
      </w:r>
      <w:r w:rsidRPr="00FD2238">
        <w:rPr>
          <w:sz w:val="24"/>
          <w:szCs w:val="24"/>
        </w:rPr>
        <w:t>elektrolizatora</w:t>
      </w:r>
      <w:r w:rsidRPr="00BD1B6F">
        <w:rPr>
          <w:sz w:val="24"/>
          <w:szCs w:val="24"/>
        </w:rPr>
        <w:t xml:space="preserve"> od 1 MW</w:t>
      </w:r>
      <w:r w:rsidRPr="00FD2238">
        <w:rPr>
          <w:sz w:val="24"/>
          <w:szCs w:val="24"/>
        </w:rPr>
        <w:t>) i uspostav</w:t>
      </w:r>
      <w:r w:rsidRPr="00BD1B6F">
        <w:rPr>
          <w:sz w:val="24"/>
          <w:szCs w:val="24"/>
        </w:rPr>
        <w:t>u</w:t>
      </w:r>
      <w:r w:rsidRPr="00FD2238">
        <w:rPr>
          <w:sz w:val="24"/>
          <w:szCs w:val="24"/>
        </w:rPr>
        <w:t xml:space="preserve"> infrastrukture za obnovljivu energiju u prometu (</w:t>
      </w:r>
      <w:r w:rsidRPr="00BD1B6F">
        <w:rPr>
          <w:sz w:val="24"/>
          <w:szCs w:val="24"/>
        </w:rPr>
        <w:t>izgradnj</w:t>
      </w:r>
      <w:r w:rsidRPr="008115FB">
        <w:rPr>
          <w:sz w:val="24"/>
          <w:szCs w:val="24"/>
        </w:rPr>
        <w:t xml:space="preserve">om </w:t>
      </w:r>
      <w:r w:rsidRPr="00FD2238">
        <w:rPr>
          <w:sz w:val="24"/>
          <w:szCs w:val="24"/>
        </w:rPr>
        <w:t>6 punionica vodika</w:t>
      </w:r>
      <w:r w:rsidRPr="00BD1B6F">
        <w:rPr>
          <w:sz w:val="24"/>
          <w:szCs w:val="24"/>
        </w:rPr>
        <w:t xml:space="preserve"> u</w:t>
      </w:r>
      <w:r w:rsidRPr="008115FB">
        <w:t xml:space="preserve"> </w:t>
      </w:r>
      <w:r w:rsidRPr="008115FB">
        <w:rPr>
          <w:sz w:val="24"/>
          <w:szCs w:val="24"/>
        </w:rPr>
        <w:t>gradovima i na TEN-T pravcima</w:t>
      </w:r>
      <w:r w:rsidRPr="00FD2238">
        <w:rPr>
          <w:sz w:val="24"/>
          <w:szCs w:val="24"/>
        </w:rPr>
        <w:t xml:space="preserve"> </w:t>
      </w:r>
      <w:r w:rsidRPr="00BD1B6F">
        <w:rPr>
          <w:sz w:val="24"/>
          <w:szCs w:val="24"/>
        </w:rPr>
        <w:t>te</w:t>
      </w:r>
      <w:r w:rsidRPr="00FD2238">
        <w:rPr>
          <w:sz w:val="24"/>
          <w:szCs w:val="24"/>
        </w:rPr>
        <w:t xml:space="preserve"> infrastrukture za distribuciju vodika </w:t>
      </w:r>
      <w:r w:rsidRPr="00BD1B6F">
        <w:rPr>
          <w:sz w:val="24"/>
          <w:szCs w:val="24"/>
        </w:rPr>
        <w:t>za</w:t>
      </w:r>
      <w:r w:rsidRPr="00FD2238">
        <w:rPr>
          <w:sz w:val="24"/>
          <w:szCs w:val="24"/>
        </w:rPr>
        <w:t xml:space="preserve"> prometni sektor). </w:t>
      </w:r>
      <w:r w:rsidRPr="008115FB">
        <w:rPr>
          <w:sz w:val="24"/>
          <w:szCs w:val="24"/>
        </w:rPr>
        <w:t>Nastavkom napora u povećanju proizvodnje energije iz obnovljivih izvora otvaraju se dodatne mogućnosti i za proizvodnju obnovljivog vodika kojim će se zajedno s većim korištenjem naprednih biogoriva ojačati i ubrzati dekarbonizacija u sektoru prometa.</w:t>
      </w:r>
    </w:p>
    <w:p w14:paraId="3EF18E1D" w14:textId="77777777" w:rsidR="008F10E9" w:rsidRPr="008115FB" w:rsidRDefault="008F10E9" w:rsidP="008F10E9">
      <w:pPr>
        <w:widowControl/>
        <w:autoSpaceDE/>
        <w:autoSpaceDN/>
        <w:spacing w:before="240" w:line="276" w:lineRule="auto"/>
        <w:jc w:val="both"/>
        <w:rPr>
          <w:rFonts w:eastAsia="Calibri"/>
          <w:kern w:val="2"/>
          <w:sz w:val="24"/>
          <w:szCs w:val="24"/>
        </w:rPr>
      </w:pPr>
      <w:r w:rsidRPr="00BD1B6F">
        <w:rPr>
          <w:rFonts w:eastAsia="Calibri"/>
          <w:kern w:val="2"/>
          <w:sz w:val="24"/>
          <w:szCs w:val="24"/>
        </w:rPr>
        <w:t>Temeljem Pisma namjere potpisanog u</w:t>
      </w:r>
      <w:r w:rsidRPr="008115FB">
        <w:rPr>
          <w:rFonts w:eastAsia="Calibri"/>
          <w:kern w:val="2"/>
          <w:sz w:val="24"/>
          <w:szCs w:val="24"/>
        </w:rPr>
        <w:t xml:space="preserve"> ožujku 2022., </w:t>
      </w:r>
      <w:r w:rsidRPr="00BD1B6F">
        <w:rPr>
          <w:rFonts w:eastAsia="Calibri"/>
          <w:kern w:val="2"/>
          <w:sz w:val="24"/>
          <w:szCs w:val="24"/>
        </w:rPr>
        <w:t xml:space="preserve">Partnerstvu za čisti vodik, </w:t>
      </w:r>
      <w:r w:rsidRPr="008115FB">
        <w:rPr>
          <w:rFonts w:eastAsia="Calibri"/>
          <w:kern w:val="2"/>
          <w:sz w:val="24"/>
          <w:szCs w:val="24"/>
        </w:rPr>
        <w:t>sastavljenom od</w:t>
      </w:r>
      <w:r w:rsidRPr="00BD1B6F">
        <w:rPr>
          <w:rFonts w:eastAsia="Calibri"/>
          <w:kern w:val="2"/>
          <w:sz w:val="24"/>
          <w:szCs w:val="24"/>
        </w:rPr>
        <w:t xml:space="preserve"> 3</w:t>
      </w:r>
      <w:r w:rsidRPr="008115FB">
        <w:rPr>
          <w:rFonts w:eastAsia="Calibri"/>
          <w:kern w:val="2"/>
          <w:sz w:val="24"/>
          <w:szCs w:val="24"/>
        </w:rPr>
        <w:t>7</w:t>
      </w:r>
      <w:r w:rsidRPr="00BD1B6F">
        <w:rPr>
          <w:rFonts w:eastAsia="Calibri"/>
          <w:kern w:val="2"/>
          <w:sz w:val="24"/>
          <w:szCs w:val="24"/>
        </w:rPr>
        <w:t xml:space="preserve"> partnersk</w:t>
      </w:r>
      <w:r w:rsidRPr="008115FB">
        <w:rPr>
          <w:rFonts w:eastAsia="Calibri"/>
          <w:kern w:val="2"/>
          <w:sz w:val="24"/>
          <w:szCs w:val="24"/>
        </w:rPr>
        <w:t>ih</w:t>
      </w:r>
      <w:r w:rsidRPr="00BD1B6F">
        <w:rPr>
          <w:rFonts w:eastAsia="Calibri"/>
          <w:kern w:val="2"/>
          <w:sz w:val="24"/>
          <w:szCs w:val="24"/>
        </w:rPr>
        <w:t xml:space="preserve"> organizacij</w:t>
      </w:r>
      <w:r w:rsidRPr="008115FB">
        <w:rPr>
          <w:rFonts w:eastAsia="Calibri"/>
          <w:kern w:val="2"/>
          <w:sz w:val="24"/>
          <w:szCs w:val="24"/>
        </w:rPr>
        <w:t>a</w:t>
      </w:r>
      <w:r w:rsidRPr="00BD1B6F">
        <w:rPr>
          <w:rFonts w:eastAsia="Calibri"/>
          <w:kern w:val="2"/>
          <w:sz w:val="24"/>
          <w:szCs w:val="24"/>
        </w:rPr>
        <w:t xml:space="preserve"> iz Hrvatske, Slovenije i Autonomne regije </w:t>
      </w:r>
      <w:r w:rsidRPr="00BD1B6F">
        <w:rPr>
          <w:rFonts w:eastAsia="Calibri"/>
          <w:i/>
          <w:kern w:val="2"/>
          <w:sz w:val="24"/>
          <w:szCs w:val="24"/>
        </w:rPr>
        <w:t>Friuli Venezia Giulia</w:t>
      </w:r>
      <w:r w:rsidRPr="00BD1B6F">
        <w:rPr>
          <w:rFonts w:eastAsia="Calibri"/>
          <w:kern w:val="2"/>
          <w:sz w:val="24"/>
          <w:szCs w:val="24"/>
        </w:rPr>
        <w:t xml:space="preserve">, dodijeljeno je </w:t>
      </w:r>
      <w:r w:rsidRPr="008115FB">
        <w:rPr>
          <w:rFonts w:eastAsia="Calibri"/>
          <w:kern w:val="2"/>
          <w:sz w:val="24"/>
          <w:szCs w:val="24"/>
        </w:rPr>
        <w:t xml:space="preserve">iz </w:t>
      </w:r>
      <w:r>
        <w:rPr>
          <w:rFonts w:eastAsia="Calibri"/>
          <w:kern w:val="2"/>
          <w:sz w:val="24"/>
          <w:szCs w:val="24"/>
        </w:rPr>
        <w:t>p</w:t>
      </w:r>
      <w:r w:rsidRPr="00BD1B6F">
        <w:rPr>
          <w:rFonts w:eastAsia="Calibri"/>
          <w:kern w:val="2"/>
          <w:sz w:val="24"/>
          <w:szCs w:val="24"/>
        </w:rPr>
        <w:t xml:space="preserve">rograma </w:t>
      </w:r>
      <w:r>
        <w:rPr>
          <w:rFonts w:eastAsia="Calibri"/>
          <w:kern w:val="2"/>
          <w:sz w:val="24"/>
          <w:szCs w:val="24"/>
        </w:rPr>
        <w:t>„</w:t>
      </w:r>
      <w:r w:rsidRPr="00BD1B6F">
        <w:rPr>
          <w:rFonts w:eastAsia="Calibri"/>
          <w:kern w:val="2"/>
          <w:sz w:val="24"/>
          <w:szCs w:val="24"/>
        </w:rPr>
        <w:t xml:space="preserve">Obzor </w:t>
      </w:r>
      <w:r w:rsidRPr="00672866">
        <w:rPr>
          <w:rFonts w:eastAsia="Calibri"/>
          <w:kern w:val="2"/>
          <w:sz w:val="24"/>
          <w:szCs w:val="24"/>
        </w:rPr>
        <w:t>Europa</w:t>
      </w:r>
      <w:r>
        <w:rPr>
          <w:rFonts w:eastAsia="Calibri"/>
          <w:kern w:val="2"/>
          <w:sz w:val="24"/>
          <w:szCs w:val="24"/>
        </w:rPr>
        <w:t>“</w:t>
      </w:r>
      <w:r w:rsidRPr="00BD1B6F">
        <w:rPr>
          <w:rFonts w:eastAsia="Calibri"/>
          <w:kern w:val="2"/>
          <w:sz w:val="24"/>
          <w:szCs w:val="24"/>
        </w:rPr>
        <w:t xml:space="preserve"> ukupno 25 milijuna eura za provedbu </w:t>
      </w:r>
      <w:r>
        <w:rPr>
          <w:rFonts w:eastAsia="Calibri"/>
          <w:kern w:val="2"/>
          <w:sz w:val="24"/>
          <w:szCs w:val="24"/>
        </w:rPr>
        <w:t>p</w:t>
      </w:r>
      <w:r w:rsidRPr="00BD1B6F">
        <w:rPr>
          <w:rFonts w:eastAsia="Calibri"/>
          <w:kern w:val="2"/>
          <w:sz w:val="24"/>
          <w:szCs w:val="24"/>
        </w:rPr>
        <w:t xml:space="preserve">rojekta „Dolina vodika Sjeverni Jadran“. </w:t>
      </w:r>
      <w:r w:rsidRPr="008115FB">
        <w:rPr>
          <w:rFonts w:eastAsia="Calibri"/>
          <w:kern w:val="2"/>
          <w:sz w:val="24"/>
          <w:szCs w:val="24"/>
        </w:rPr>
        <w:t xml:space="preserve">Cilj </w:t>
      </w:r>
      <w:r>
        <w:rPr>
          <w:rFonts w:eastAsia="Calibri"/>
          <w:kern w:val="2"/>
          <w:sz w:val="24"/>
          <w:szCs w:val="24"/>
        </w:rPr>
        <w:t>p</w:t>
      </w:r>
      <w:r w:rsidRPr="008115FB">
        <w:rPr>
          <w:rFonts w:eastAsia="Calibri"/>
          <w:kern w:val="2"/>
          <w:sz w:val="24"/>
          <w:szCs w:val="24"/>
        </w:rPr>
        <w:t xml:space="preserve">rojekta je stvaranje uvjeta za razvoj </w:t>
      </w:r>
      <w:r>
        <w:rPr>
          <w:rFonts w:eastAsia="Calibri"/>
          <w:kern w:val="2"/>
          <w:sz w:val="24"/>
          <w:szCs w:val="24"/>
        </w:rPr>
        <w:t>gospodarskog</w:t>
      </w:r>
      <w:r w:rsidRPr="008115FB">
        <w:rPr>
          <w:rFonts w:eastAsia="Calibri"/>
          <w:kern w:val="2"/>
          <w:sz w:val="24"/>
          <w:szCs w:val="24"/>
        </w:rPr>
        <w:t xml:space="preserve">, socijalnog i industrijskog ekosustava zasnovanog na vodiku, a stvaranjem uvjeta za repliciranje modela doline vodika, razvijenog u okviru projekta, doprinijet će se stvaranju europskog gospodarstva za vodik. </w:t>
      </w:r>
    </w:p>
    <w:p w14:paraId="53E5BE1C" w14:textId="77777777" w:rsidR="008F10E9" w:rsidRPr="00BD1B6F" w:rsidRDefault="008F10E9" w:rsidP="008F10E9">
      <w:pPr>
        <w:widowControl/>
        <w:autoSpaceDE/>
        <w:autoSpaceDN/>
        <w:spacing w:before="240" w:line="276" w:lineRule="auto"/>
        <w:jc w:val="both"/>
        <w:rPr>
          <w:rFonts w:eastAsia="Calibri"/>
          <w:kern w:val="2"/>
          <w:sz w:val="24"/>
          <w:szCs w:val="24"/>
        </w:rPr>
      </w:pPr>
      <w:r w:rsidRPr="00750A23">
        <w:rPr>
          <w:rFonts w:eastAsia="Calibri"/>
          <w:kern w:val="2"/>
          <w:sz w:val="24"/>
          <w:szCs w:val="24"/>
        </w:rPr>
        <w:t xml:space="preserve">U </w:t>
      </w:r>
      <w:r>
        <w:rPr>
          <w:rFonts w:eastAsia="Calibri"/>
          <w:kern w:val="2"/>
          <w:sz w:val="24"/>
          <w:szCs w:val="24"/>
        </w:rPr>
        <w:t>rujnu 2022. u okviru</w:t>
      </w:r>
      <w:r w:rsidRPr="00750A23">
        <w:rPr>
          <w:rFonts w:eastAsia="Calibri"/>
          <w:kern w:val="2"/>
          <w:sz w:val="24"/>
          <w:szCs w:val="24"/>
        </w:rPr>
        <w:t xml:space="preserve"> Jesensk</w:t>
      </w:r>
      <w:r>
        <w:rPr>
          <w:rFonts w:eastAsia="Calibri"/>
          <w:kern w:val="2"/>
          <w:sz w:val="24"/>
          <w:szCs w:val="24"/>
        </w:rPr>
        <w:t>og</w:t>
      </w:r>
      <w:r w:rsidRPr="00750A23">
        <w:rPr>
          <w:rFonts w:eastAsia="Calibri"/>
          <w:kern w:val="2"/>
          <w:sz w:val="24"/>
          <w:szCs w:val="24"/>
        </w:rPr>
        <w:t xml:space="preserve"> paket</w:t>
      </w:r>
      <w:r>
        <w:rPr>
          <w:rFonts w:eastAsia="Calibri"/>
          <w:kern w:val="2"/>
          <w:sz w:val="24"/>
          <w:szCs w:val="24"/>
        </w:rPr>
        <w:t>a</w:t>
      </w:r>
      <w:r w:rsidRPr="00750A23">
        <w:rPr>
          <w:rFonts w:eastAsia="Calibri"/>
          <w:kern w:val="2"/>
          <w:sz w:val="24"/>
          <w:szCs w:val="24"/>
        </w:rPr>
        <w:t xml:space="preserve"> mjera za zaštitu kućanstava i gospodarstva od rasta cijena za ublažavanje porasta cijena energenata i hrane</w:t>
      </w:r>
      <w:r>
        <w:rPr>
          <w:rFonts w:eastAsia="Calibri"/>
          <w:kern w:val="2"/>
          <w:sz w:val="24"/>
          <w:szCs w:val="24"/>
        </w:rPr>
        <w:t>, Vlada je d</w:t>
      </w:r>
      <w:r w:rsidRPr="00750A23">
        <w:rPr>
          <w:rFonts w:eastAsia="Calibri"/>
          <w:kern w:val="2"/>
          <w:sz w:val="24"/>
          <w:szCs w:val="24"/>
        </w:rPr>
        <w:t>on</w:t>
      </w:r>
      <w:r>
        <w:rPr>
          <w:rFonts w:eastAsia="Calibri"/>
          <w:kern w:val="2"/>
          <w:sz w:val="24"/>
          <w:szCs w:val="24"/>
        </w:rPr>
        <w:t>ijela</w:t>
      </w:r>
      <w:r w:rsidRPr="00750A23">
        <w:rPr>
          <w:rFonts w:eastAsia="Calibri"/>
          <w:kern w:val="2"/>
          <w:sz w:val="24"/>
          <w:szCs w:val="24"/>
        </w:rPr>
        <w:t xml:space="preserve"> </w:t>
      </w:r>
      <w:r>
        <w:rPr>
          <w:rFonts w:eastAsia="Calibri"/>
          <w:kern w:val="2"/>
          <w:sz w:val="24"/>
          <w:szCs w:val="24"/>
        </w:rPr>
        <w:lastRenderedPageBreak/>
        <w:t>„</w:t>
      </w:r>
      <w:r w:rsidRPr="00750A23">
        <w:rPr>
          <w:rFonts w:eastAsia="Calibri"/>
          <w:kern w:val="2"/>
          <w:sz w:val="24"/>
          <w:szCs w:val="24"/>
        </w:rPr>
        <w:t>Zaključak u vezi s energetskom obnovom stambenih prostora na području Republike Hrvatske</w:t>
      </w:r>
      <w:r>
        <w:rPr>
          <w:rFonts w:eastAsia="Calibri"/>
          <w:kern w:val="2"/>
          <w:sz w:val="24"/>
          <w:szCs w:val="24"/>
        </w:rPr>
        <w:t>“</w:t>
      </w:r>
      <w:r w:rsidRPr="00750A23">
        <w:rPr>
          <w:rFonts w:eastAsia="Calibri"/>
          <w:kern w:val="2"/>
          <w:sz w:val="24"/>
          <w:szCs w:val="24"/>
        </w:rPr>
        <w:t xml:space="preserve"> (NN 104/2022) te </w:t>
      </w:r>
      <w:r>
        <w:rPr>
          <w:rFonts w:eastAsia="Calibri"/>
          <w:kern w:val="2"/>
          <w:sz w:val="24"/>
          <w:szCs w:val="24"/>
        </w:rPr>
        <w:t>„</w:t>
      </w:r>
      <w:r w:rsidRPr="00750A23">
        <w:rPr>
          <w:rFonts w:eastAsia="Calibri"/>
          <w:kern w:val="2"/>
          <w:sz w:val="24"/>
          <w:szCs w:val="24"/>
        </w:rPr>
        <w:t>Zaključak u vezi s poticanjem ulaganja u solarne elektrane</w:t>
      </w:r>
      <w:r>
        <w:rPr>
          <w:rFonts w:eastAsia="Calibri"/>
          <w:kern w:val="2"/>
          <w:sz w:val="24"/>
          <w:szCs w:val="24"/>
        </w:rPr>
        <w:t>“</w:t>
      </w:r>
      <w:r w:rsidRPr="00750A23">
        <w:rPr>
          <w:rFonts w:eastAsia="Calibri"/>
          <w:kern w:val="2"/>
          <w:sz w:val="24"/>
          <w:szCs w:val="24"/>
        </w:rPr>
        <w:t xml:space="preserve"> (NN 104/2022). Zaključcima se nalaže do kraja 2023. godine provesti mjere za smanjenje posljedica energetske krize kroz javne pozive za energetsku obnovu obiteljskih kuća i stambenih zgrada, putem kojih će se građanima sufinancirati ulaganja u mjere energetske obnove obiteljskih kuća i višestambenih zgrada te </w:t>
      </w:r>
      <w:r>
        <w:rPr>
          <w:rFonts w:eastAsia="Calibri"/>
          <w:kern w:val="2"/>
          <w:sz w:val="24"/>
          <w:szCs w:val="24"/>
        </w:rPr>
        <w:t xml:space="preserve">ubrzati provedba </w:t>
      </w:r>
      <w:r w:rsidRPr="00750A23">
        <w:rPr>
          <w:rFonts w:eastAsia="Calibri"/>
          <w:kern w:val="2"/>
          <w:sz w:val="24"/>
          <w:szCs w:val="24"/>
        </w:rPr>
        <w:t xml:space="preserve">ulaganja u obnovljive izvore energije. Temeljem Zaključka u vezi s poticanjem ulaganja u solarne elektrane objavljen je </w:t>
      </w:r>
      <w:r>
        <w:rPr>
          <w:rFonts w:eastAsia="Calibri"/>
          <w:kern w:val="2"/>
          <w:sz w:val="24"/>
          <w:szCs w:val="24"/>
        </w:rPr>
        <w:t>ja</w:t>
      </w:r>
      <w:r w:rsidRPr="00750A23">
        <w:rPr>
          <w:rFonts w:eastAsia="Calibri"/>
          <w:kern w:val="2"/>
          <w:sz w:val="24"/>
          <w:szCs w:val="24"/>
        </w:rPr>
        <w:t>vni poziv za poticanje obnovljivih izvora energije u obiteljskim kućama (EnU-2/22) s alokacijom 12</w:t>
      </w:r>
      <w:r>
        <w:rPr>
          <w:rFonts w:eastAsia="Calibri"/>
          <w:kern w:val="2"/>
          <w:sz w:val="24"/>
          <w:szCs w:val="24"/>
        </w:rPr>
        <w:t>,6 milijuna</w:t>
      </w:r>
      <w:r w:rsidRPr="00750A23">
        <w:rPr>
          <w:rFonts w:eastAsia="Calibri"/>
          <w:kern w:val="2"/>
          <w:sz w:val="24"/>
          <w:szCs w:val="24"/>
        </w:rPr>
        <w:t xml:space="preserve"> eura sredstava</w:t>
      </w:r>
      <w:r>
        <w:rPr>
          <w:rFonts w:eastAsia="Calibri"/>
          <w:kern w:val="2"/>
          <w:sz w:val="24"/>
          <w:szCs w:val="24"/>
        </w:rPr>
        <w:t xml:space="preserve"> iz Državnog proračuna</w:t>
      </w:r>
      <w:r w:rsidRPr="00750A23">
        <w:rPr>
          <w:rFonts w:eastAsia="Calibri"/>
          <w:kern w:val="2"/>
          <w:sz w:val="24"/>
          <w:szCs w:val="24"/>
        </w:rPr>
        <w:t xml:space="preserve">. </w:t>
      </w:r>
      <w:r>
        <w:rPr>
          <w:rFonts w:eastAsia="Calibri"/>
          <w:kern w:val="2"/>
          <w:sz w:val="24"/>
          <w:szCs w:val="24"/>
        </w:rPr>
        <w:t>U kolovozu 2022.</w:t>
      </w:r>
      <w:r w:rsidRPr="00750A23">
        <w:rPr>
          <w:rFonts w:eastAsia="Calibri"/>
          <w:kern w:val="2"/>
          <w:sz w:val="24"/>
          <w:szCs w:val="24"/>
        </w:rPr>
        <w:t xml:space="preserve"> Vlad</w:t>
      </w:r>
      <w:r>
        <w:rPr>
          <w:rFonts w:eastAsia="Calibri"/>
          <w:kern w:val="2"/>
          <w:sz w:val="24"/>
          <w:szCs w:val="24"/>
        </w:rPr>
        <w:t>a je donijela Odluku</w:t>
      </w:r>
      <w:r w:rsidRPr="00750A23">
        <w:rPr>
          <w:rFonts w:eastAsia="Calibri"/>
          <w:kern w:val="2"/>
          <w:sz w:val="24"/>
          <w:szCs w:val="24"/>
        </w:rPr>
        <w:t xml:space="preserve"> o produžetku financiranja u 2022. godini provedbe Programa energetske obnove obiteljskih kuća za razdoblje od 2014. do 2020. godine s detaljnim planom za razdoblje do kraja 2020. godine (NN 99/22)</w:t>
      </w:r>
      <w:r>
        <w:rPr>
          <w:rFonts w:eastAsia="Calibri"/>
          <w:kern w:val="2"/>
          <w:sz w:val="24"/>
          <w:szCs w:val="24"/>
        </w:rPr>
        <w:t>. Temeljem Odluke</w:t>
      </w:r>
      <w:r w:rsidRPr="00750A23">
        <w:rPr>
          <w:rFonts w:eastAsia="Calibri"/>
          <w:kern w:val="2"/>
          <w:sz w:val="24"/>
          <w:szCs w:val="24"/>
        </w:rPr>
        <w:t xml:space="preserve"> objavljen je </w:t>
      </w:r>
      <w:r>
        <w:rPr>
          <w:rFonts w:eastAsia="Calibri"/>
          <w:kern w:val="2"/>
          <w:sz w:val="24"/>
          <w:szCs w:val="24"/>
        </w:rPr>
        <w:t>j</w:t>
      </w:r>
      <w:r w:rsidRPr="00750A23">
        <w:rPr>
          <w:rFonts w:eastAsia="Calibri"/>
          <w:kern w:val="2"/>
          <w:sz w:val="24"/>
          <w:szCs w:val="24"/>
        </w:rPr>
        <w:t>avni poziv za energetsku obnovu obiteljskih kuća oštećenih u potresu (EnU-3/22)</w:t>
      </w:r>
      <w:r>
        <w:rPr>
          <w:rFonts w:eastAsia="Calibri"/>
          <w:kern w:val="2"/>
          <w:sz w:val="24"/>
          <w:szCs w:val="24"/>
        </w:rPr>
        <w:t>, ukupne</w:t>
      </w:r>
      <w:r w:rsidRPr="00750A23">
        <w:rPr>
          <w:rFonts w:eastAsia="Calibri"/>
          <w:kern w:val="2"/>
          <w:sz w:val="24"/>
          <w:szCs w:val="24"/>
        </w:rPr>
        <w:t xml:space="preserve"> alokacij</w:t>
      </w:r>
      <w:r>
        <w:rPr>
          <w:rFonts w:eastAsia="Calibri"/>
          <w:kern w:val="2"/>
          <w:sz w:val="24"/>
          <w:szCs w:val="24"/>
        </w:rPr>
        <w:t>e</w:t>
      </w:r>
      <w:r w:rsidRPr="00750A23">
        <w:rPr>
          <w:rFonts w:eastAsia="Calibri"/>
          <w:kern w:val="2"/>
          <w:sz w:val="24"/>
          <w:szCs w:val="24"/>
        </w:rPr>
        <w:t xml:space="preserve"> 13,23 milijuna eura sredstava</w:t>
      </w:r>
      <w:r>
        <w:rPr>
          <w:rFonts w:eastAsia="Calibri"/>
          <w:kern w:val="2"/>
          <w:sz w:val="24"/>
          <w:szCs w:val="24"/>
        </w:rPr>
        <w:t xml:space="preserve"> iz Državnog proračuna</w:t>
      </w:r>
      <w:r w:rsidRPr="00750A23">
        <w:rPr>
          <w:rFonts w:eastAsia="Calibri"/>
          <w:kern w:val="2"/>
          <w:sz w:val="24"/>
          <w:szCs w:val="24"/>
        </w:rPr>
        <w:t>.</w:t>
      </w:r>
    </w:p>
    <w:p w14:paraId="2FBB0E44" w14:textId="77777777" w:rsidR="008F10E9" w:rsidRPr="00BD1B6F" w:rsidRDefault="008F10E9" w:rsidP="008F10E9">
      <w:pPr>
        <w:widowControl/>
        <w:autoSpaceDE/>
        <w:autoSpaceDN/>
        <w:spacing w:before="240" w:line="276" w:lineRule="auto"/>
        <w:jc w:val="both"/>
        <w:rPr>
          <w:rFonts w:eastAsia="Calibri"/>
          <w:kern w:val="2"/>
          <w:sz w:val="24"/>
          <w:szCs w:val="24"/>
        </w:rPr>
      </w:pPr>
      <w:r w:rsidRPr="00401E7B">
        <w:rPr>
          <w:rFonts w:eastAsia="Calibri"/>
          <w:kern w:val="2"/>
          <w:sz w:val="24"/>
          <w:szCs w:val="24"/>
        </w:rPr>
        <w:t>Radi stvaranja uvjeta za postizanje ciljeva Dugoročne strategije obnove nacionalnog fonda zgrada do 2050. godine, krajem 2021. godine doneseni su Program energetske obnove višestambenih zgrada za razdoblje  do 2030., Program suzbijanja energetskog siromaštva koji uključuje korištenje OIE u stambenim zgradama na potpomognutom području i područjima posebne državne skrbi za razdoblje do 2025</w:t>
      </w:r>
      <w:r>
        <w:rPr>
          <w:rFonts w:eastAsia="Calibri"/>
          <w:kern w:val="2"/>
          <w:sz w:val="24"/>
          <w:szCs w:val="24"/>
        </w:rPr>
        <w:t>. i</w:t>
      </w:r>
      <w:r w:rsidRPr="00401E7B">
        <w:rPr>
          <w:rFonts w:eastAsia="Calibri"/>
          <w:kern w:val="2"/>
          <w:sz w:val="24"/>
          <w:szCs w:val="24"/>
        </w:rPr>
        <w:t xml:space="preserve"> Program energetske obnove zgrada koje imaju status kulturnog dobra za razdoblje do 2030.</w:t>
      </w:r>
      <w:r>
        <w:rPr>
          <w:rFonts w:eastAsia="Calibri"/>
          <w:kern w:val="2"/>
          <w:sz w:val="24"/>
          <w:szCs w:val="24"/>
        </w:rPr>
        <w:t>, dok je p</w:t>
      </w:r>
      <w:r w:rsidRPr="00401E7B">
        <w:rPr>
          <w:rFonts w:eastAsia="Calibri"/>
          <w:kern w:val="2"/>
          <w:sz w:val="24"/>
          <w:szCs w:val="24"/>
        </w:rPr>
        <w:t xml:space="preserve">očetkom 2022. donesen Program energetske obnove zgrada  javnog sektora za razdoblje  do 2030. godine. Temeljem </w:t>
      </w:r>
      <w:r>
        <w:rPr>
          <w:rFonts w:eastAsia="Calibri"/>
          <w:kern w:val="2"/>
          <w:sz w:val="24"/>
          <w:szCs w:val="24"/>
        </w:rPr>
        <w:t>navedenih</w:t>
      </w:r>
      <w:r w:rsidRPr="00401E7B">
        <w:rPr>
          <w:rFonts w:eastAsia="Calibri"/>
          <w:kern w:val="2"/>
          <w:sz w:val="24"/>
          <w:szCs w:val="24"/>
        </w:rPr>
        <w:t xml:space="preserve"> programa</w:t>
      </w:r>
      <w:r>
        <w:rPr>
          <w:rFonts w:eastAsia="Calibri"/>
          <w:kern w:val="2"/>
          <w:sz w:val="24"/>
          <w:szCs w:val="24"/>
        </w:rPr>
        <w:t>,</w:t>
      </w:r>
      <w:r w:rsidRPr="00401E7B">
        <w:rPr>
          <w:rFonts w:eastAsia="Calibri"/>
          <w:kern w:val="2"/>
          <w:sz w:val="24"/>
          <w:szCs w:val="24"/>
        </w:rPr>
        <w:t xml:space="preserve"> tijekom 2022. godine objavljena su 3 </w:t>
      </w:r>
      <w:r>
        <w:rPr>
          <w:rFonts w:eastAsia="Calibri"/>
          <w:kern w:val="2"/>
          <w:sz w:val="24"/>
          <w:szCs w:val="24"/>
        </w:rPr>
        <w:t>p</w:t>
      </w:r>
      <w:r w:rsidRPr="00401E7B">
        <w:rPr>
          <w:rFonts w:eastAsia="Calibri"/>
          <w:kern w:val="2"/>
          <w:sz w:val="24"/>
          <w:szCs w:val="24"/>
        </w:rPr>
        <w:t xml:space="preserve">oziva na dodjelu bespovratnih sredstava </w:t>
      </w:r>
      <w:r>
        <w:rPr>
          <w:rFonts w:eastAsia="Calibri"/>
          <w:kern w:val="2"/>
          <w:sz w:val="24"/>
          <w:szCs w:val="24"/>
        </w:rPr>
        <w:t xml:space="preserve">u </w:t>
      </w:r>
      <w:r w:rsidRPr="005F2032">
        <w:rPr>
          <w:rFonts w:eastAsia="Calibri"/>
          <w:kern w:val="2"/>
          <w:sz w:val="24"/>
          <w:szCs w:val="24"/>
        </w:rPr>
        <w:t>ukupn</w:t>
      </w:r>
      <w:r>
        <w:rPr>
          <w:rFonts w:eastAsia="Calibri"/>
          <w:kern w:val="2"/>
          <w:sz w:val="24"/>
          <w:szCs w:val="24"/>
        </w:rPr>
        <w:t>oj</w:t>
      </w:r>
      <w:r w:rsidRPr="005F2032">
        <w:rPr>
          <w:rFonts w:eastAsia="Calibri"/>
          <w:kern w:val="2"/>
          <w:sz w:val="24"/>
          <w:szCs w:val="24"/>
        </w:rPr>
        <w:t xml:space="preserve"> </w:t>
      </w:r>
      <w:r>
        <w:rPr>
          <w:rFonts w:eastAsia="Calibri"/>
          <w:kern w:val="2"/>
          <w:sz w:val="24"/>
          <w:szCs w:val="24"/>
        </w:rPr>
        <w:t>vrijednosti od</w:t>
      </w:r>
      <w:r w:rsidRPr="005F2032">
        <w:rPr>
          <w:rFonts w:eastAsia="Calibri"/>
          <w:kern w:val="2"/>
          <w:sz w:val="24"/>
          <w:szCs w:val="24"/>
        </w:rPr>
        <w:t xml:space="preserve"> 92,91 milijun eura</w:t>
      </w:r>
      <w:r>
        <w:rPr>
          <w:rFonts w:eastAsia="Calibri"/>
          <w:kern w:val="2"/>
          <w:sz w:val="24"/>
          <w:szCs w:val="24"/>
        </w:rPr>
        <w:t xml:space="preserve">. </w:t>
      </w:r>
      <w:r w:rsidRPr="00634A16">
        <w:rPr>
          <w:rFonts w:eastAsia="Calibri"/>
          <w:kern w:val="2"/>
          <w:sz w:val="24"/>
          <w:szCs w:val="24"/>
        </w:rPr>
        <w:t>Objavljen je Poziv za energetsku obnovu višestambenih zgrada neoštećenih u potresu</w:t>
      </w:r>
      <w:r>
        <w:rPr>
          <w:rFonts w:eastAsia="Calibri"/>
          <w:kern w:val="2"/>
          <w:sz w:val="24"/>
          <w:szCs w:val="24"/>
        </w:rPr>
        <w:t>,</w:t>
      </w:r>
      <w:r w:rsidRPr="00634A16">
        <w:rPr>
          <w:rFonts w:eastAsia="Calibri"/>
          <w:kern w:val="2"/>
          <w:sz w:val="24"/>
          <w:szCs w:val="24"/>
        </w:rPr>
        <w:t xml:space="preserve"> </w:t>
      </w:r>
      <w:r>
        <w:rPr>
          <w:rFonts w:eastAsia="Calibri"/>
          <w:kern w:val="2"/>
          <w:sz w:val="24"/>
          <w:szCs w:val="24"/>
        </w:rPr>
        <w:t>ukupne</w:t>
      </w:r>
      <w:r w:rsidRPr="00634A16">
        <w:rPr>
          <w:rFonts w:eastAsia="Calibri"/>
          <w:kern w:val="2"/>
          <w:sz w:val="24"/>
          <w:szCs w:val="24"/>
        </w:rPr>
        <w:t xml:space="preserve"> alokacij</w:t>
      </w:r>
      <w:r>
        <w:rPr>
          <w:rFonts w:eastAsia="Calibri"/>
          <w:kern w:val="2"/>
          <w:sz w:val="24"/>
          <w:szCs w:val="24"/>
        </w:rPr>
        <w:t xml:space="preserve">e </w:t>
      </w:r>
      <w:r w:rsidRPr="00634A16">
        <w:rPr>
          <w:rFonts w:eastAsia="Calibri"/>
          <w:kern w:val="2"/>
          <w:sz w:val="24"/>
          <w:szCs w:val="24"/>
        </w:rPr>
        <w:t xml:space="preserve">39,82 milijuna eura, Poziv na izravnu dodjelu </w:t>
      </w:r>
      <w:r>
        <w:rPr>
          <w:rFonts w:eastAsia="Calibri"/>
          <w:kern w:val="2"/>
          <w:sz w:val="24"/>
          <w:szCs w:val="24"/>
        </w:rPr>
        <w:t>Središnjem državnom uredu za obnovu i stambeno zbrinjavanje,</w:t>
      </w:r>
      <w:r w:rsidRPr="00634A16">
        <w:rPr>
          <w:rFonts w:eastAsia="Calibri"/>
          <w:kern w:val="2"/>
          <w:sz w:val="24"/>
          <w:szCs w:val="24"/>
        </w:rPr>
        <w:t xml:space="preserve"> za </w:t>
      </w:r>
      <w:r>
        <w:rPr>
          <w:rFonts w:eastAsia="Calibri"/>
          <w:kern w:val="2"/>
          <w:sz w:val="24"/>
          <w:szCs w:val="24"/>
        </w:rPr>
        <w:t>u</w:t>
      </w:r>
      <w:r w:rsidRPr="00634A16">
        <w:rPr>
          <w:rFonts w:eastAsia="Calibri"/>
          <w:kern w:val="2"/>
          <w:sz w:val="24"/>
          <w:szCs w:val="24"/>
        </w:rPr>
        <w:t>blažavanje energetskog siromaštva na potpomognutim područjima i područjima posebne državne skrbi</w:t>
      </w:r>
      <w:r>
        <w:rPr>
          <w:rFonts w:eastAsia="Calibri"/>
          <w:kern w:val="2"/>
          <w:sz w:val="24"/>
          <w:szCs w:val="24"/>
        </w:rPr>
        <w:t>, ukupne</w:t>
      </w:r>
      <w:r w:rsidRPr="00634A16">
        <w:rPr>
          <w:rFonts w:eastAsia="Calibri"/>
          <w:kern w:val="2"/>
          <w:sz w:val="24"/>
          <w:szCs w:val="24"/>
        </w:rPr>
        <w:t xml:space="preserve"> alokacij</w:t>
      </w:r>
      <w:r>
        <w:rPr>
          <w:rFonts w:eastAsia="Calibri"/>
          <w:kern w:val="2"/>
          <w:sz w:val="24"/>
          <w:szCs w:val="24"/>
        </w:rPr>
        <w:t>e</w:t>
      </w:r>
      <w:r w:rsidRPr="00634A16">
        <w:rPr>
          <w:rFonts w:eastAsia="Calibri"/>
          <w:kern w:val="2"/>
          <w:sz w:val="24"/>
          <w:szCs w:val="24"/>
        </w:rPr>
        <w:t xml:space="preserve"> 19,91 milijun eura</w:t>
      </w:r>
      <w:r>
        <w:rPr>
          <w:rFonts w:eastAsia="Calibri"/>
          <w:kern w:val="2"/>
          <w:sz w:val="24"/>
          <w:szCs w:val="24"/>
        </w:rPr>
        <w:t>,</w:t>
      </w:r>
      <w:r w:rsidRPr="00634A16">
        <w:rPr>
          <w:rFonts w:eastAsia="Calibri"/>
          <w:kern w:val="2"/>
          <w:sz w:val="24"/>
          <w:szCs w:val="24"/>
        </w:rPr>
        <w:t xml:space="preserve"> te Poziv na izravnu dodjelu A</w:t>
      </w:r>
      <w:r>
        <w:rPr>
          <w:rFonts w:eastAsia="Calibri"/>
          <w:kern w:val="2"/>
          <w:sz w:val="24"/>
          <w:szCs w:val="24"/>
        </w:rPr>
        <w:t>genciji za pravni promet i posredovanje nekretninama,</w:t>
      </w:r>
      <w:r w:rsidRPr="00634A16">
        <w:rPr>
          <w:rFonts w:eastAsia="Calibri"/>
          <w:kern w:val="2"/>
          <w:sz w:val="24"/>
          <w:szCs w:val="24"/>
        </w:rPr>
        <w:t xml:space="preserve"> za energetsku obnovu zgrada javnog sektora ugovaranjem energetske usluge</w:t>
      </w:r>
      <w:r>
        <w:rPr>
          <w:rFonts w:eastAsia="Calibri"/>
          <w:kern w:val="2"/>
          <w:sz w:val="24"/>
          <w:szCs w:val="24"/>
        </w:rPr>
        <w:t>, ukupne</w:t>
      </w:r>
      <w:r w:rsidRPr="00634A16">
        <w:rPr>
          <w:rFonts w:eastAsia="Calibri"/>
          <w:kern w:val="2"/>
          <w:sz w:val="24"/>
          <w:szCs w:val="24"/>
        </w:rPr>
        <w:t xml:space="preserve"> alokacij</w:t>
      </w:r>
      <w:r>
        <w:rPr>
          <w:rFonts w:eastAsia="Calibri"/>
          <w:kern w:val="2"/>
          <w:sz w:val="24"/>
          <w:szCs w:val="24"/>
        </w:rPr>
        <w:t>e</w:t>
      </w:r>
      <w:r w:rsidRPr="00634A16">
        <w:rPr>
          <w:rFonts w:eastAsia="Calibri"/>
          <w:kern w:val="2"/>
          <w:sz w:val="24"/>
          <w:szCs w:val="24"/>
        </w:rPr>
        <w:t xml:space="preserve"> 33,18 milijuna eura. </w:t>
      </w:r>
      <w:r>
        <w:rPr>
          <w:rFonts w:eastAsia="Calibri"/>
          <w:kern w:val="2"/>
          <w:sz w:val="24"/>
          <w:szCs w:val="24"/>
        </w:rPr>
        <w:t>U</w:t>
      </w:r>
      <w:r w:rsidRPr="00401E7B">
        <w:rPr>
          <w:rFonts w:eastAsia="Calibri"/>
          <w:kern w:val="2"/>
          <w:sz w:val="24"/>
          <w:szCs w:val="24"/>
        </w:rPr>
        <w:t xml:space="preserve"> </w:t>
      </w:r>
      <w:r>
        <w:rPr>
          <w:rFonts w:eastAsia="Calibri"/>
          <w:kern w:val="2"/>
          <w:sz w:val="24"/>
          <w:szCs w:val="24"/>
        </w:rPr>
        <w:t>okviru</w:t>
      </w:r>
      <w:r w:rsidRPr="00401E7B">
        <w:rPr>
          <w:rFonts w:eastAsia="Calibri"/>
          <w:kern w:val="2"/>
          <w:sz w:val="24"/>
          <w:szCs w:val="24"/>
        </w:rPr>
        <w:t xml:space="preserve"> </w:t>
      </w:r>
      <w:r>
        <w:rPr>
          <w:rFonts w:eastAsia="Calibri"/>
          <w:kern w:val="2"/>
          <w:sz w:val="24"/>
          <w:szCs w:val="24"/>
        </w:rPr>
        <w:t>navedenih</w:t>
      </w:r>
      <w:r w:rsidRPr="00401E7B">
        <w:rPr>
          <w:rFonts w:eastAsia="Calibri"/>
          <w:kern w:val="2"/>
          <w:sz w:val="24"/>
          <w:szCs w:val="24"/>
        </w:rPr>
        <w:t xml:space="preserve"> poziva</w:t>
      </w:r>
      <w:r>
        <w:rPr>
          <w:rFonts w:eastAsia="Calibri"/>
          <w:kern w:val="2"/>
          <w:sz w:val="24"/>
          <w:szCs w:val="24"/>
        </w:rPr>
        <w:t>, do kraja 2022.</w:t>
      </w:r>
      <w:r w:rsidRPr="00401E7B">
        <w:rPr>
          <w:rFonts w:eastAsia="Calibri"/>
          <w:kern w:val="2"/>
          <w:sz w:val="24"/>
          <w:szCs w:val="24"/>
        </w:rPr>
        <w:t xml:space="preserve"> </w:t>
      </w:r>
      <w:r>
        <w:rPr>
          <w:rFonts w:eastAsia="Calibri"/>
          <w:kern w:val="2"/>
          <w:sz w:val="24"/>
          <w:szCs w:val="24"/>
        </w:rPr>
        <w:t>sklopljena su</w:t>
      </w:r>
      <w:r w:rsidRPr="00401E7B">
        <w:rPr>
          <w:rFonts w:eastAsia="Calibri"/>
          <w:kern w:val="2"/>
          <w:sz w:val="24"/>
          <w:szCs w:val="24"/>
        </w:rPr>
        <w:t xml:space="preserve"> 93 </w:t>
      </w:r>
      <w:r>
        <w:rPr>
          <w:rFonts w:eastAsia="Calibri"/>
          <w:kern w:val="2"/>
          <w:sz w:val="24"/>
          <w:szCs w:val="24"/>
        </w:rPr>
        <w:t>ugovora</w:t>
      </w:r>
      <w:r w:rsidRPr="00401E7B">
        <w:rPr>
          <w:rFonts w:eastAsia="Calibri"/>
          <w:kern w:val="2"/>
          <w:sz w:val="24"/>
          <w:szCs w:val="24"/>
        </w:rPr>
        <w:t xml:space="preserve"> </w:t>
      </w:r>
      <w:r>
        <w:rPr>
          <w:rFonts w:eastAsia="Calibri"/>
          <w:kern w:val="2"/>
          <w:sz w:val="24"/>
          <w:szCs w:val="24"/>
        </w:rPr>
        <w:t xml:space="preserve">o dodjeli </w:t>
      </w:r>
      <w:r w:rsidRPr="00401E7B">
        <w:rPr>
          <w:rFonts w:eastAsia="Calibri"/>
          <w:kern w:val="2"/>
          <w:sz w:val="24"/>
          <w:szCs w:val="24"/>
        </w:rPr>
        <w:t xml:space="preserve">bespovratnih sredstava </w:t>
      </w:r>
      <w:r>
        <w:rPr>
          <w:rFonts w:eastAsia="Calibri"/>
          <w:kern w:val="2"/>
          <w:sz w:val="24"/>
          <w:szCs w:val="24"/>
        </w:rPr>
        <w:t>u ukupnoj vrijednosti</w:t>
      </w:r>
      <w:r w:rsidRPr="00401E7B">
        <w:rPr>
          <w:rFonts w:eastAsia="Calibri"/>
          <w:kern w:val="2"/>
          <w:sz w:val="24"/>
          <w:szCs w:val="24"/>
        </w:rPr>
        <w:t xml:space="preserve"> 92,63 milijuna eura, od </w:t>
      </w:r>
      <w:r>
        <w:rPr>
          <w:rFonts w:eastAsia="Calibri"/>
          <w:kern w:val="2"/>
          <w:sz w:val="24"/>
          <w:szCs w:val="24"/>
        </w:rPr>
        <w:t>čega</w:t>
      </w:r>
      <w:r w:rsidRPr="00401E7B">
        <w:rPr>
          <w:rFonts w:eastAsia="Calibri"/>
          <w:kern w:val="2"/>
          <w:sz w:val="24"/>
          <w:szCs w:val="24"/>
        </w:rPr>
        <w:t xml:space="preserve"> </w:t>
      </w:r>
      <w:r>
        <w:rPr>
          <w:rFonts w:eastAsia="Calibri"/>
          <w:kern w:val="2"/>
          <w:sz w:val="24"/>
          <w:szCs w:val="24"/>
        </w:rPr>
        <w:t xml:space="preserve">je </w:t>
      </w:r>
      <w:r w:rsidRPr="00401E7B">
        <w:rPr>
          <w:rFonts w:eastAsia="Calibri"/>
          <w:kern w:val="2"/>
          <w:sz w:val="24"/>
          <w:szCs w:val="24"/>
        </w:rPr>
        <w:t xml:space="preserve">91 </w:t>
      </w:r>
      <w:r>
        <w:rPr>
          <w:rFonts w:eastAsia="Calibri"/>
          <w:kern w:val="2"/>
          <w:sz w:val="24"/>
          <w:szCs w:val="24"/>
        </w:rPr>
        <w:t>u</w:t>
      </w:r>
      <w:r w:rsidRPr="00401E7B">
        <w:rPr>
          <w:rFonts w:eastAsia="Calibri"/>
          <w:kern w:val="2"/>
          <w:sz w:val="24"/>
          <w:szCs w:val="24"/>
        </w:rPr>
        <w:t xml:space="preserve">govor o dodjeli bespovratnih sredstava za </w:t>
      </w:r>
      <w:r>
        <w:rPr>
          <w:rFonts w:eastAsia="Calibri"/>
          <w:kern w:val="2"/>
          <w:sz w:val="24"/>
          <w:szCs w:val="24"/>
        </w:rPr>
        <w:t>energetsku obnovu</w:t>
      </w:r>
      <w:r w:rsidRPr="00401E7B">
        <w:rPr>
          <w:rFonts w:eastAsia="Calibri"/>
          <w:kern w:val="2"/>
          <w:sz w:val="24"/>
          <w:szCs w:val="24"/>
        </w:rPr>
        <w:t xml:space="preserve"> višestambenih zgrada</w:t>
      </w:r>
      <w:r w:rsidRPr="00657241">
        <w:t xml:space="preserve"> </w:t>
      </w:r>
      <w:r>
        <w:rPr>
          <w:rFonts w:eastAsia="Calibri"/>
          <w:kern w:val="2"/>
          <w:sz w:val="24"/>
          <w:szCs w:val="24"/>
        </w:rPr>
        <w:t>te su 2 u</w:t>
      </w:r>
      <w:r w:rsidRPr="00401E7B">
        <w:rPr>
          <w:rFonts w:eastAsia="Calibri"/>
          <w:kern w:val="2"/>
          <w:sz w:val="24"/>
          <w:szCs w:val="24"/>
        </w:rPr>
        <w:t>govor</w:t>
      </w:r>
      <w:r>
        <w:rPr>
          <w:rFonts w:eastAsia="Calibri"/>
          <w:kern w:val="2"/>
          <w:sz w:val="24"/>
          <w:szCs w:val="24"/>
        </w:rPr>
        <w:t>a</w:t>
      </w:r>
      <w:r w:rsidRPr="00401E7B">
        <w:rPr>
          <w:rFonts w:eastAsia="Calibri"/>
          <w:kern w:val="2"/>
          <w:sz w:val="24"/>
          <w:szCs w:val="24"/>
        </w:rPr>
        <w:t xml:space="preserve"> </w:t>
      </w:r>
      <w:r>
        <w:rPr>
          <w:rFonts w:eastAsia="Calibri"/>
          <w:kern w:val="2"/>
          <w:sz w:val="24"/>
          <w:szCs w:val="24"/>
        </w:rPr>
        <w:t>o</w:t>
      </w:r>
      <w:r w:rsidRPr="00401E7B">
        <w:rPr>
          <w:rFonts w:eastAsia="Calibri"/>
          <w:kern w:val="2"/>
          <w:sz w:val="24"/>
          <w:szCs w:val="24"/>
        </w:rPr>
        <w:t xml:space="preserve"> izravn</w:t>
      </w:r>
      <w:r>
        <w:rPr>
          <w:rFonts w:eastAsia="Calibri"/>
          <w:kern w:val="2"/>
          <w:sz w:val="24"/>
          <w:szCs w:val="24"/>
        </w:rPr>
        <w:t>oj</w:t>
      </w:r>
      <w:r w:rsidRPr="00401E7B">
        <w:rPr>
          <w:rFonts w:eastAsia="Calibri"/>
          <w:kern w:val="2"/>
          <w:sz w:val="24"/>
          <w:szCs w:val="24"/>
        </w:rPr>
        <w:t xml:space="preserve"> dodjel</w:t>
      </w:r>
      <w:r>
        <w:rPr>
          <w:rFonts w:eastAsia="Calibri"/>
          <w:kern w:val="2"/>
          <w:sz w:val="24"/>
          <w:szCs w:val="24"/>
        </w:rPr>
        <w:t>i za energetsku obnovu zgrada javnog sektora. Ugo</w:t>
      </w:r>
      <w:r w:rsidRPr="008115FB">
        <w:rPr>
          <w:rFonts w:eastAsia="Calibri"/>
          <w:kern w:val="2"/>
          <w:sz w:val="24"/>
          <w:szCs w:val="24"/>
        </w:rPr>
        <w:t xml:space="preserve">vorima su definirani zahtjevi energetske učinkovitosti za svaku pojedinu zgradu, prema kojima uštede na godišnjoj potrebnoj toplinskoj energiji za grijanje moraju iznositi najmanje 50% u odnosu na stanje prije energetske obnove. Navedenim uštedama na godišnjoj potrebnoj toplinskoj energiji za grijanje, kod svih obnovljenih zgrada će se </w:t>
      </w:r>
      <w:r w:rsidRPr="008115FB">
        <w:rPr>
          <w:rFonts w:eastAsia="Calibri"/>
          <w:kern w:val="2"/>
          <w:sz w:val="24"/>
          <w:szCs w:val="24"/>
        </w:rPr>
        <w:lastRenderedPageBreak/>
        <w:t xml:space="preserve">doprinijeti ostvarenju ušteda od najmanje 30% godišnje primarne energije u odnosu na stanje prije obnove. </w:t>
      </w:r>
    </w:p>
    <w:p w14:paraId="42C20756" w14:textId="04E87EE8" w:rsidR="003E4F87" w:rsidRPr="008115FB" w:rsidRDefault="003E4F87">
      <w:pPr>
        <w:rPr>
          <w:rFonts w:eastAsia="Calibri"/>
          <w:kern w:val="2"/>
          <w:sz w:val="24"/>
          <w:szCs w:val="24"/>
        </w:rPr>
      </w:pPr>
      <w:r w:rsidRPr="008115FB">
        <w:rPr>
          <w:rFonts w:eastAsia="Calibri"/>
          <w:kern w:val="2"/>
          <w:sz w:val="24"/>
          <w:szCs w:val="24"/>
        </w:rPr>
        <w:br w:type="page"/>
      </w:r>
    </w:p>
    <w:p w14:paraId="239C7B16" w14:textId="09DE7DCE" w:rsidR="00AC498A" w:rsidRPr="00FD2238" w:rsidRDefault="00647B87" w:rsidP="00467605">
      <w:pPr>
        <w:pStyle w:val="Heading2"/>
        <w:spacing w:before="120" w:after="120" w:line="360" w:lineRule="auto"/>
        <w:ind w:left="0" w:firstLine="0"/>
        <w:rPr>
          <w:color w:val="000000" w:themeColor="text1"/>
          <w:sz w:val="24"/>
          <w:szCs w:val="24"/>
          <w:lang w:eastAsia="en-GB"/>
        </w:rPr>
      </w:pPr>
      <w:bookmarkStart w:id="98" w:name="_Toc156819393"/>
      <w:bookmarkStart w:id="99" w:name="_Toc133420966"/>
      <w:r w:rsidRPr="00BD1B6F">
        <w:rPr>
          <w:color w:val="000000" w:themeColor="text1"/>
          <w:sz w:val="24"/>
          <w:szCs w:val="24"/>
        </w:rPr>
        <w:lastRenderedPageBreak/>
        <w:t xml:space="preserve">9. </w:t>
      </w:r>
      <w:r w:rsidR="00122CAE" w:rsidRPr="00BD1B6F">
        <w:rPr>
          <w:color w:val="000000" w:themeColor="text1"/>
          <w:sz w:val="24"/>
          <w:szCs w:val="24"/>
        </w:rPr>
        <w:t>Samodostatnost u hrani i razvoj biogospodarstva</w:t>
      </w:r>
      <w:bookmarkEnd w:id="98"/>
    </w:p>
    <w:p w14:paraId="665AE33B" w14:textId="7D154186" w:rsidR="00AC498A" w:rsidRPr="00BD1B6F" w:rsidRDefault="369E3CDA" w:rsidP="00C723DF">
      <w:pPr>
        <w:pStyle w:val="Heading3"/>
      </w:pPr>
      <w:bookmarkStart w:id="100" w:name="_Toc156819394"/>
      <w:r w:rsidRPr="00BD1B6F">
        <w:rPr>
          <w:sz w:val="24"/>
          <w:szCs w:val="24"/>
        </w:rPr>
        <w:t>9.1. Ostvarene vrijednosti pokazatelja uspješnosti</w:t>
      </w:r>
      <w:bookmarkEnd w:id="100"/>
    </w:p>
    <w:p w14:paraId="109EB7F6" w14:textId="52502DF9" w:rsidR="00AC498A" w:rsidRPr="00BD1B6F" w:rsidRDefault="369E3CDA" w:rsidP="50503237">
      <w:pPr>
        <w:jc w:val="both"/>
      </w:pPr>
      <w:r w:rsidRPr="00BD1B6F">
        <w:rPr>
          <w:b/>
          <w:bCs/>
        </w:rPr>
        <w:t xml:space="preserve"> </w:t>
      </w:r>
    </w:p>
    <w:tbl>
      <w:tblPr>
        <w:tblW w:w="9060" w:type="dxa"/>
        <w:tblLayout w:type="fixed"/>
        <w:tblLook w:val="04A0" w:firstRow="1" w:lastRow="0" w:firstColumn="1" w:lastColumn="0" w:noHBand="0" w:noVBand="1"/>
      </w:tblPr>
      <w:tblGrid>
        <w:gridCol w:w="1833"/>
        <w:gridCol w:w="2410"/>
        <w:gridCol w:w="2126"/>
        <w:gridCol w:w="2691"/>
      </w:tblGrid>
      <w:tr w:rsidR="1D7645FF" w:rsidRPr="008115FB" w14:paraId="434E107B" w14:textId="77777777" w:rsidTr="00FD2238">
        <w:trPr>
          <w:trHeight w:val="660"/>
        </w:trPr>
        <w:tc>
          <w:tcPr>
            <w:tcW w:w="1833"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677E283A" w14:textId="7D788A54" w:rsidR="1D7645FF" w:rsidRPr="00BD1B6F" w:rsidRDefault="1D7645FF" w:rsidP="1D7645FF">
            <w:pPr>
              <w:jc w:val="center"/>
            </w:pPr>
            <w:r w:rsidRPr="00BD1B6F">
              <w:rPr>
                <w:b/>
                <w:bCs/>
                <w:color w:val="000000" w:themeColor="text1"/>
                <w:sz w:val="24"/>
                <w:szCs w:val="24"/>
              </w:rPr>
              <w:t>Pokazatelj uspješnosti</w:t>
            </w:r>
            <w:r w:rsidRPr="00FD2238">
              <w:rPr>
                <w:b/>
                <w:bCs/>
                <w:color w:val="000000" w:themeColor="text1"/>
                <w:sz w:val="24"/>
                <w:szCs w:val="24"/>
              </w:rPr>
              <w:t xml:space="preserve"> </w:t>
            </w:r>
          </w:p>
        </w:tc>
        <w:tc>
          <w:tcPr>
            <w:tcW w:w="2410"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1DAC3409" w14:textId="542707CA" w:rsidR="1D7645FF" w:rsidRPr="00BD1B6F" w:rsidRDefault="1D7645FF" w:rsidP="1D7645FF">
            <w:pPr>
              <w:jc w:val="center"/>
            </w:pPr>
            <w:r w:rsidRPr="00BD1B6F">
              <w:rPr>
                <w:b/>
                <w:bCs/>
                <w:color w:val="000000" w:themeColor="text1"/>
                <w:sz w:val="24"/>
                <w:szCs w:val="24"/>
              </w:rPr>
              <w:t xml:space="preserve">Početna </w:t>
            </w:r>
          </w:p>
          <w:p w14:paraId="517A4576" w14:textId="76700443" w:rsidR="1D7645FF" w:rsidRPr="00BD1B6F" w:rsidRDefault="1D7645FF" w:rsidP="1D7645FF">
            <w:pPr>
              <w:jc w:val="center"/>
            </w:pPr>
            <w:r w:rsidRPr="00BD1B6F">
              <w:rPr>
                <w:b/>
                <w:bCs/>
                <w:color w:val="000000" w:themeColor="text1"/>
                <w:sz w:val="24"/>
                <w:szCs w:val="24"/>
              </w:rPr>
              <w:t>vrijednost</w:t>
            </w:r>
            <w:r w:rsidRPr="00FD2238">
              <w:rPr>
                <w:b/>
                <w:bCs/>
                <w:color w:val="000000" w:themeColor="text1"/>
                <w:sz w:val="24"/>
                <w:szCs w:val="24"/>
              </w:rPr>
              <w:t xml:space="preserve"> </w:t>
            </w:r>
          </w:p>
        </w:tc>
        <w:tc>
          <w:tcPr>
            <w:tcW w:w="2126"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111E85E8" w14:textId="60A203E5" w:rsidR="1D7645FF" w:rsidRPr="00BD1B6F" w:rsidRDefault="1D7645FF" w:rsidP="1D7645FF">
            <w:pPr>
              <w:jc w:val="center"/>
            </w:pPr>
            <w:r w:rsidRPr="00BD1B6F">
              <w:rPr>
                <w:b/>
                <w:bCs/>
                <w:color w:val="000000" w:themeColor="text1"/>
                <w:sz w:val="24"/>
                <w:szCs w:val="24"/>
              </w:rPr>
              <w:t xml:space="preserve">Ciljna </w:t>
            </w:r>
          </w:p>
          <w:p w14:paraId="290C1B78" w14:textId="352EE85F" w:rsidR="1D7645FF" w:rsidRPr="00BD1B6F" w:rsidRDefault="1D7645FF" w:rsidP="1D7645FF">
            <w:pPr>
              <w:jc w:val="center"/>
            </w:pPr>
            <w:r w:rsidRPr="00BD1B6F">
              <w:rPr>
                <w:b/>
                <w:bCs/>
                <w:color w:val="000000" w:themeColor="text1"/>
                <w:sz w:val="24"/>
                <w:szCs w:val="24"/>
              </w:rPr>
              <w:t>vrijednost</w:t>
            </w:r>
            <w:r w:rsidRPr="00FD2238">
              <w:rPr>
                <w:b/>
                <w:bCs/>
                <w:color w:val="000000" w:themeColor="text1"/>
                <w:sz w:val="24"/>
                <w:szCs w:val="24"/>
              </w:rPr>
              <w:t xml:space="preserve"> </w:t>
            </w:r>
          </w:p>
        </w:tc>
        <w:tc>
          <w:tcPr>
            <w:tcW w:w="2691"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2A93505F" w14:textId="17D5EB20" w:rsidR="1D7645FF" w:rsidRPr="00BD1B6F" w:rsidRDefault="1D7645FF" w:rsidP="1D7645FF">
            <w:pPr>
              <w:jc w:val="center"/>
            </w:pPr>
            <w:r w:rsidRPr="00BD1B6F">
              <w:rPr>
                <w:b/>
                <w:bCs/>
                <w:color w:val="000000" w:themeColor="text1"/>
                <w:sz w:val="24"/>
                <w:szCs w:val="24"/>
              </w:rPr>
              <w:t xml:space="preserve">Ostvarena </w:t>
            </w:r>
          </w:p>
          <w:p w14:paraId="3F06C25A" w14:textId="0B49B46C" w:rsidR="1D7645FF" w:rsidRPr="00BD1B6F" w:rsidRDefault="1D7645FF" w:rsidP="1D7645FF">
            <w:pPr>
              <w:jc w:val="center"/>
            </w:pPr>
            <w:r w:rsidRPr="00BD1B6F">
              <w:rPr>
                <w:b/>
                <w:bCs/>
                <w:color w:val="000000" w:themeColor="text1"/>
                <w:sz w:val="24"/>
                <w:szCs w:val="24"/>
              </w:rPr>
              <w:t>vrijednost</w:t>
            </w:r>
            <w:r w:rsidRPr="00FD2238">
              <w:rPr>
                <w:b/>
                <w:bCs/>
                <w:color w:val="000000" w:themeColor="text1"/>
                <w:sz w:val="24"/>
                <w:szCs w:val="24"/>
              </w:rPr>
              <w:t xml:space="preserve"> </w:t>
            </w:r>
          </w:p>
        </w:tc>
      </w:tr>
      <w:tr w:rsidR="1D7645FF" w:rsidRPr="008115FB" w14:paraId="4C6F3CBB" w14:textId="77777777" w:rsidTr="00FD2238">
        <w:trPr>
          <w:trHeight w:val="990"/>
        </w:trPr>
        <w:tc>
          <w:tcPr>
            <w:tcW w:w="1833" w:type="dxa"/>
            <w:tcBorders>
              <w:top w:val="dotted" w:sz="8" w:space="0" w:color="auto"/>
              <w:left w:val="dotted" w:sz="8" w:space="0" w:color="auto"/>
              <w:bottom w:val="dotted" w:sz="8" w:space="0" w:color="auto"/>
              <w:right w:val="nil"/>
            </w:tcBorders>
            <w:vAlign w:val="center"/>
          </w:tcPr>
          <w:p w14:paraId="611E0332" w14:textId="16191B19" w:rsidR="1D7645FF" w:rsidRPr="00BD1B6F" w:rsidRDefault="1D7645FF" w:rsidP="1D7645FF">
            <w:pPr>
              <w:spacing w:before="120" w:after="120"/>
              <w:rPr>
                <w:sz w:val="24"/>
                <w:szCs w:val="24"/>
              </w:rPr>
            </w:pPr>
            <w:r w:rsidRPr="00BD1B6F">
              <w:rPr>
                <w:color w:val="000000" w:themeColor="text1"/>
                <w:sz w:val="24"/>
                <w:szCs w:val="24"/>
              </w:rPr>
              <w:t xml:space="preserve">Produktivnost rada u poljoprivredi </w:t>
            </w:r>
          </w:p>
        </w:tc>
        <w:tc>
          <w:tcPr>
            <w:tcW w:w="2410" w:type="dxa"/>
            <w:tcBorders>
              <w:top w:val="dotted" w:sz="8" w:space="0" w:color="auto"/>
              <w:left w:val="nil"/>
              <w:bottom w:val="dotted" w:sz="8" w:space="0" w:color="auto"/>
              <w:right w:val="nil"/>
            </w:tcBorders>
            <w:shd w:val="clear" w:color="auto" w:fill="DAEEF3" w:themeFill="accent5" w:themeFillTint="33"/>
            <w:vAlign w:val="center"/>
          </w:tcPr>
          <w:p w14:paraId="0628135B" w14:textId="61CC70A5" w:rsidR="1D7645FF" w:rsidRPr="00BD1B6F" w:rsidRDefault="1D7645FF" w:rsidP="1D7645FF">
            <w:pPr>
              <w:spacing w:before="120" w:after="120"/>
              <w:jc w:val="center"/>
              <w:rPr>
                <w:sz w:val="24"/>
                <w:szCs w:val="24"/>
              </w:rPr>
            </w:pPr>
            <w:r w:rsidRPr="00BD1B6F">
              <w:rPr>
                <w:color w:val="000000" w:themeColor="text1"/>
                <w:sz w:val="24"/>
                <w:szCs w:val="24"/>
              </w:rPr>
              <w:t xml:space="preserve">6.107 eura/GJR </w:t>
            </w:r>
          </w:p>
        </w:tc>
        <w:tc>
          <w:tcPr>
            <w:tcW w:w="2126" w:type="dxa"/>
            <w:tcBorders>
              <w:top w:val="dotted" w:sz="8" w:space="0" w:color="auto"/>
              <w:left w:val="nil"/>
              <w:bottom w:val="dotted" w:sz="8" w:space="0" w:color="auto"/>
              <w:right w:val="nil"/>
            </w:tcBorders>
            <w:vAlign w:val="center"/>
          </w:tcPr>
          <w:p w14:paraId="797F91B3" w14:textId="7B0A4CEB" w:rsidR="1D7645FF" w:rsidRPr="00BD1B6F" w:rsidRDefault="1D7645FF" w:rsidP="00AB57FD">
            <w:pPr>
              <w:spacing w:before="120" w:after="120"/>
              <w:jc w:val="center"/>
              <w:rPr>
                <w:sz w:val="24"/>
                <w:szCs w:val="24"/>
              </w:rPr>
            </w:pPr>
            <w:r w:rsidRPr="00BD1B6F">
              <w:rPr>
                <w:color w:val="000000" w:themeColor="text1"/>
                <w:sz w:val="24"/>
                <w:szCs w:val="24"/>
              </w:rPr>
              <w:t>10.000,00 eura/GJR</w:t>
            </w:r>
          </w:p>
        </w:tc>
        <w:tc>
          <w:tcPr>
            <w:tcW w:w="2691" w:type="dxa"/>
            <w:tcBorders>
              <w:top w:val="dotted" w:sz="8" w:space="0" w:color="auto"/>
              <w:left w:val="nil"/>
              <w:bottom w:val="dotted" w:sz="8" w:space="0" w:color="auto"/>
              <w:right w:val="dotted" w:sz="8" w:space="0" w:color="auto"/>
            </w:tcBorders>
            <w:shd w:val="clear" w:color="auto" w:fill="DAEEF3" w:themeFill="accent5" w:themeFillTint="33"/>
            <w:vAlign w:val="center"/>
          </w:tcPr>
          <w:p w14:paraId="19D70164" w14:textId="444280D2" w:rsidR="1D7645FF" w:rsidRDefault="008C7618" w:rsidP="000A61AE">
            <w:pPr>
              <w:spacing w:line="276" w:lineRule="auto"/>
              <w:jc w:val="center"/>
              <w:rPr>
                <w:color w:val="000000" w:themeColor="text1"/>
                <w:sz w:val="24"/>
                <w:szCs w:val="24"/>
              </w:rPr>
            </w:pPr>
            <w:r>
              <w:rPr>
                <w:rFonts w:ascii="Calibri" w:eastAsia="Calibri" w:hAnsi="Calibri" w:cs="Calibri"/>
                <w:color w:val="000000" w:themeColor="text1"/>
                <w:sz w:val="24"/>
                <w:szCs w:val="24"/>
              </w:rPr>
              <w:t>9.908</w:t>
            </w:r>
            <w:r w:rsidR="1D7645FF" w:rsidRPr="00BD1B6F">
              <w:rPr>
                <w:color w:val="000000" w:themeColor="text1"/>
                <w:sz w:val="24"/>
                <w:szCs w:val="24"/>
              </w:rPr>
              <w:t xml:space="preserve"> eura/GJR</w:t>
            </w:r>
            <w:r w:rsidR="1D7645FF" w:rsidRPr="00BD1B6F">
              <w:rPr>
                <w:rStyle w:val="FootnoteReference"/>
                <w:sz w:val="24"/>
                <w:szCs w:val="24"/>
              </w:rPr>
              <w:footnoteReference w:id="6"/>
            </w:r>
          </w:p>
          <w:p w14:paraId="61A1AC25" w14:textId="7A17E6A4" w:rsidR="1D7645FF" w:rsidRPr="00BD1B6F" w:rsidRDefault="1D7645FF" w:rsidP="000A61AE">
            <w:pPr>
              <w:spacing w:line="276" w:lineRule="auto"/>
              <w:jc w:val="center"/>
              <w:rPr>
                <w:sz w:val="24"/>
                <w:szCs w:val="24"/>
              </w:rPr>
            </w:pPr>
            <w:r w:rsidRPr="00BD1B6F">
              <w:rPr>
                <w:color w:val="000000" w:themeColor="text1"/>
                <w:sz w:val="24"/>
                <w:szCs w:val="24"/>
              </w:rPr>
              <w:t xml:space="preserve">(2022.) </w:t>
            </w:r>
          </w:p>
        </w:tc>
      </w:tr>
    </w:tbl>
    <w:p w14:paraId="0BE5323D" w14:textId="7E8A59B7" w:rsidR="00AC498A" w:rsidRPr="00BD1B6F" w:rsidRDefault="369E3CDA" w:rsidP="004E6C63">
      <w:pPr>
        <w:jc w:val="both"/>
      </w:pPr>
      <w:r w:rsidRPr="00BD1B6F">
        <w:t xml:space="preserve"> </w:t>
      </w:r>
      <w:bookmarkEnd w:id="99"/>
    </w:p>
    <w:p w14:paraId="0EA3613A" w14:textId="1EF8E4F3" w:rsidR="00C723DF" w:rsidRPr="00BD1B6F" w:rsidRDefault="00C723DF" w:rsidP="00BE1F57">
      <w:pPr>
        <w:pStyle w:val="Heading3"/>
        <w:spacing w:line="276" w:lineRule="auto"/>
        <w:rPr>
          <w:sz w:val="24"/>
          <w:szCs w:val="24"/>
        </w:rPr>
      </w:pPr>
      <w:bookmarkStart w:id="101" w:name="_Toc156819395"/>
      <w:r w:rsidRPr="00BD1B6F">
        <w:rPr>
          <w:sz w:val="24"/>
          <w:szCs w:val="24"/>
        </w:rPr>
        <w:t>9.</w:t>
      </w:r>
      <w:r w:rsidR="00A96C5F">
        <w:rPr>
          <w:sz w:val="24"/>
          <w:szCs w:val="24"/>
        </w:rPr>
        <w:t>2</w:t>
      </w:r>
      <w:r w:rsidRPr="00BD1B6F">
        <w:rPr>
          <w:sz w:val="24"/>
          <w:szCs w:val="24"/>
        </w:rPr>
        <w:t>. Opis napretka u provedbi strateškog cilja Samodostatnost u hrani i razvoj biogospodarstva</w:t>
      </w:r>
      <w:bookmarkEnd w:id="101"/>
    </w:p>
    <w:p w14:paraId="25C91BC8" w14:textId="77777777" w:rsidR="004E6C63" w:rsidRPr="00BD1B6F" w:rsidRDefault="004E6C63" w:rsidP="004E6C63">
      <w:pPr>
        <w:spacing w:before="240" w:after="240" w:line="276" w:lineRule="auto"/>
        <w:jc w:val="both"/>
        <w:rPr>
          <w:sz w:val="24"/>
          <w:szCs w:val="24"/>
        </w:rPr>
      </w:pPr>
      <w:r w:rsidRPr="00BD1B6F">
        <w:rPr>
          <w:sz w:val="24"/>
          <w:szCs w:val="24"/>
        </w:rPr>
        <w:t>Radi omogućavanja uvjeta za proizvodnju većih količina hrane visoke kvalitete po konkurentnim cijenama</w:t>
      </w:r>
      <w:r>
        <w:rPr>
          <w:sz w:val="24"/>
          <w:szCs w:val="24"/>
        </w:rPr>
        <w:t>,</w:t>
      </w:r>
      <w:r w:rsidRPr="00BD1B6F">
        <w:rPr>
          <w:sz w:val="24"/>
          <w:szCs w:val="24"/>
        </w:rPr>
        <w:t xml:space="preserve"> uz istovremeno održivo upravljanje prirodnim resursima u uvjetima izraženih klimatskih promjena i poboljšanje kvalitete života u ruralnim područjima, u veljači 2022. donesena je Strategija poljoprivrede do 2030. godine. Provedbom intervencija predviđenih Strategijom doprinijeti </w:t>
      </w:r>
      <w:r>
        <w:rPr>
          <w:sz w:val="24"/>
          <w:szCs w:val="24"/>
        </w:rPr>
        <w:t xml:space="preserve">će se </w:t>
      </w:r>
      <w:r w:rsidRPr="00BD1B6F">
        <w:rPr>
          <w:sz w:val="24"/>
          <w:szCs w:val="24"/>
        </w:rPr>
        <w:t>povećanju produktivnosti poljoprivrede za 60%, povećanju udjela poljoprivredne proizvodnje u BDP-</w:t>
      </w:r>
      <w:r>
        <w:rPr>
          <w:sz w:val="24"/>
          <w:szCs w:val="24"/>
        </w:rPr>
        <w:t>u</w:t>
      </w:r>
      <w:r w:rsidRPr="00BD1B6F">
        <w:rPr>
          <w:sz w:val="24"/>
          <w:szCs w:val="24"/>
        </w:rPr>
        <w:t xml:space="preserve"> za 20%, povećanju prosječnog dohotka poljoprivrednika i smanjenju stope rizika od siromaštva u ruralnim područjima za 25%. </w:t>
      </w:r>
    </w:p>
    <w:p w14:paraId="2F3B950F" w14:textId="26AB0A9B" w:rsidR="004E6C63" w:rsidRPr="00BD1B6F" w:rsidRDefault="004E6C63" w:rsidP="004E6C63">
      <w:pPr>
        <w:spacing w:before="240" w:after="240" w:line="276" w:lineRule="auto"/>
        <w:jc w:val="both"/>
        <w:rPr>
          <w:sz w:val="24"/>
          <w:szCs w:val="24"/>
        </w:rPr>
      </w:pPr>
      <w:r w:rsidRPr="00BD1B6F">
        <w:rPr>
          <w:sz w:val="24"/>
          <w:szCs w:val="24"/>
        </w:rPr>
        <w:t xml:space="preserve">Poljoprivredna proizvodnja u Hrvatskoj je u 2022. pokazala svoju otpornost te je u odnosu na vrijednosti iz 2021. porasla </w:t>
      </w:r>
      <w:r w:rsidR="003D65B8">
        <w:rPr>
          <w:sz w:val="24"/>
          <w:szCs w:val="24"/>
        </w:rPr>
        <w:t>je</w:t>
      </w:r>
      <w:r w:rsidR="001C700C">
        <w:rPr>
          <w:sz w:val="24"/>
          <w:szCs w:val="24"/>
        </w:rPr>
        <w:t xml:space="preserve"> za 16,4%</w:t>
      </w:r>
      <w:r w:rsidRPr="00BD1B6F">
        <w:rPr>
          <w:sz w:val="24"/>
          <w:szCs w:val="24"/>
        </w:rPr>
        <w:t xml:space="preserve"> i dosegla iznos od </w:t>
      </w:r>
      <w:r w:rsidR="007E2636">
        <w:rPr>
          <w:sz w:val="24"/>
          <w:szCs w:val="24"/>
        </w:rPr>
        <w:t xml:space="preserve">9.908 </w:t>
      </w:r>
      <w:r w:rsidRPr="00BD1B6F">
        <w:rPr>
          <w:sz w:val="24"/>
          <w:szCs w:val="24"/>
        </w:rPr>
        <w:t>eura po godišnjoj jedinici rada. Ukupna vrijednost poljoprivredne proizvodnje u Hrvatskoj narasla je u 2022. na 3,</w:t>
      </w:r>
      <w:r w:rsidR="00B47A92">
        <w:rPr>
          <w:sz w:val="24"/>
          <w:szCs w:val="24"/>
        </w:rPr>
        <w:t>245</w:t>
      </w:r>
      <w:r w:rsidRPr="00BD1B6F">
        <w:rPr>
          <w:sz w:val="24"/>
          <w:szCs w:val="24"/>
        </w:rPr>
        <w:t xml:space="preserve"> milijardu eura, s 2,747 milijardi eura u 2021.</w:t>
      </w:r>
      <w:r w:rsidR="00B47A92">
        <w:rPr>
          <w:sz w:val="24"/>
          <w:szCs w:val="24"/>
        </w:rPr>
        <w:t xml:space="preserve"> godini. </w:t>
      </w:r>
      <w:r w:rsidRPr="00BD1B6F">
        <w:rPr>
          <w:sz w:val="24"/>
          <w:szCs w:val="24"/>
        </w:rPr>
        <w:t>Potrebno je istaknuti kako je tijekom 2022. uslijed značajnog rasta cijena dobara i usluga za uporabu u poljoprivrednoj proizvodnji (4</w:t>
      </w:r>
      <w:r w:rsidR="00EC436C">
        <w:rPr>
          <w:sz w:val="24"/>
          <w:szCs w:val="24"/>
        </w:rPr>
        <w:t>0,5</w:t>
      </w:r>
      <w:r w:rsidRPr="00BD1B6F">
        <w:rPr>
          <w:sz w:val="24"/>
          <w:szCs w:val="24"/>
        </w:rPr>
        <w:t xml:space="preserve">%), zabilježen rast cijena poljoprivrednih proizvoda te su tako proizvođačke cijene biljnih proizvoda zabilježile rast od prosječno 21,7%, dok je rast cijena stoke i stočnih proizvoda iznosio prosječno 23,3% u odnosu na cijene iz 2021. </w:t>
      </w:r>
    </w:p>
    <w:p w14:paraId="1BD22C47" w14:textId="77777777" w:rsidR="004E6C63" w:rsidRPr="00BD1B6F" w:rsidRDefault="004E6C63" w:rsidP="004E6C63">
      <w:pPr>
        <w:spacing w:before="240" w:after="240" w:line="276" w:lineRule="auto"/>
        <w:jc w:val="both"/>
        <w:rPr>
          <w:sz w:val="24"/>
          <w:szCs w:val="24"/>
        </w:rPr>
      </w:pPr>
      <w:r w:rsidRPr="00BD1B6F">
        <w:rPr>
          <w:sz w:val="24"/>
          <w:szCs w:val="24"/>
        </w:rPr>
        <w:t>Prema podacima za 2022.</w:t>
      </w:r>
      <w:r>
        <w:rPr>
          <w:sz w:val="24"/>
          <w:szCs w:val="24"/>
        </w:rPr>
        <w:t>,</w:t>
      </w:r>
      <w:r w:rsidRPr="00BD1B6F">
        <w:rPr>
          <w:sz w:val="24"/>
          <w:szCs w:val="24"/>
        </w:rPr>
        <w:t xml:space="preserve"> 166.430 poljoprivrednika koristilo je ukupno 1,</w:t>
      </w:r>
      <w:r>
        <w:rPr>
          <w:sz w:val="24"/>
          <w:szCs w:val="24"/>
        </w:rPr>
        <w:t>16</w:t>
      </w:r>
      <w:r w:rsidRPr="00BD1B6F">
        <w:rPr>
          <w:sz w:val="24"/>
          <w:szCs w:val="24"/>
        </w:rPr>
        <w:t xml:space="preserve"> milijuna hektara poljoprivrednog zemljišta za proizvodnju. Od ukupnog broja, 70% poljoprivrednika koristilo je manje od 5 ha poljoprivrednog zemljišta, dok u prosjeku poljoprivrednici koriste </w:t>
      </w:r>
      <w:r>
        <w:rPr>
          <w:sz w:val="24"/>
          <w:szCs w:val="24"/>
        </w:rPr>
        <w:t>7</w:t>
      </w:r>
      <w:r w:rsidRPr="00BD1B6F">
        <w:rPr>
          <w:sz w:val="24"/>
          <w:szCs w:val="24"/>
        </w:rPr>
        <w:t xml:space="preserve"> ha poljoprivrednog zemljišta. Zabilježen je pozitivan pomak u ekološkoj poljoprivredi te je u 2022. ukupno 6.939 poljoprivrednika (5</w:t>
      </w:r>
      <w:r>
        <w:rPr>
          <w:sz w:val="24"/>
          <w:szCs w:val="24"/>
        </w:rPr>
        <w:t>87</w:t>
      </w:r>
      <w:r w:rsidRPr="00BD1B6F">
        <w:rPr>
          <w:sz w:val="24"/>
          <w:szCs w:val="24"/>
        </w:rPr>
        <w:t xml:space="preserve"> nov</w:t>
      </w:r>
      <w:r>
        <w:rPr>
          <w:sz w:val="24"/>
          <w:szCs w:val="24"/>
        </w:rPr>
        <w:t>ih</w:t>
      </w:r>
      <w:r w:rsidRPr="00BD1B6F">
        <w:rPr>
          <w:sz w:val="24"/>
          <w:szCs w:val="24"/>
        </w:rPr>
        <w:t xml:space="preserve"> subjek</w:t>
      </w:r>
      <w:r>
        <w:rPr>
          <w:sz w:val="24"/>
          <w:szCs w:val="24"/>
        </w:rPr>
        <w:t>a</w:t>
      </w:r>
      <w:r w:rsidRPr="00BD1B6F">
        <w:rPr>
          <w:sz w:val="24"/>
          <w:szCs w:val="24"/>
        </w:rPr>
        <w:t>ta) koji se bave proizvodnjom ekoloških proizvoda obrađivalo ukupno 12</w:t>
      </w:r>
      <w:r>
        <w:rPr>
          <w:sz w:val="24"/>
          <w:szCs w:val="24"/>
        </w:rPr>
        <w:t>9</w:t>
      </w:r>
      <w:r w:rsidRPr="008115FB">
        <w:rPr>
          <w:sz w:val="24"/>
          <w:szCs w:val="24"/>
        </w:rPr>
        <w:t>.</w:t>
      </w:r>
      <w:r>
        <w:rPr>
          <w:sz w:val="24"/>
          <w:szCs w:val="24"/>
        </w:rPr>
        <w:t>374</w:t>
      </w:r>
      <w:r w:rsidRPr="00BD1B6F">
        <w:rPr>
          <w:sz w:val="24"/>
          <w:szCs w:val="24"/>
        </w:rPr>
        <w:t xml:space="preserve"> </w:t>
      </w:r>
      <w:r w:rsidRPr="00BD1B6F">
        <w:rPr>
          <w:sz w:val="24"/>
          <w:szCs w:val="24"/>
        </w:rPr>
        <w:lastRenderedPageBreak/>
        <w:t>hektara poljoprivrednog zemljišta (8,</w:t>
      </w:r>
      <w:r>
        <w:rPr>
          <w:sz w:val="24"/>
          <w:szCs w:val="24"/>
        </w:rPr>
        <w:t>95%</w:t>
      </w:r>
      <w:r w:rsidRPr="00BD1B6F">
        <w:rPr>
          <w:sz w:val="24"/>
          <w:szCs w:val="24"/>
        </w:rPr>
        <w:t xml:space="preserve"> ukupnog poljoprivrednog zemljišta), odnosno 6,1% više nego u 2021.</w:t>
      </w:r>
    </w:p>
    <w:p w14:paraId="68F972BD" w14:textId="77777777" w:rsidR="004E6C63" w:rsidRPr="00BD1B6F" w:rsidRDefault="004E6C63" w:rsidP="004E6C63">
      <w:pPr>
        <w:spacing w:before="240" w:after="240" w:line="276" w:lineRule="auto"/>
        <w:jc w:val="both"/>
        <w:rPr>
          <w:rFonts w:eastAsia="Calibri"/>
          <w:kern w:val="2"/>
          <w:sz w:val="24"/>
          <w:szCs w:val="24"/>
        </w:rPr>
      </w:pPr>
      <w:r w:rsidRPr="00BD1B6F">
        <w:rPr>
          <w:sz w:val="24"/>
          <w:szCs w:val="24"/>
        </w:rPr>
        <w:t>Nastavku pozitivnih trendova jačanja učinkovitosti i održivosti poljoprivredne proizvodnje  doprinijet</w:t>
      </w:r>
      <w:r>
        <w:rPr>
          <w:sz w:val="24"/>
          <w:szCs w:val="24"/>
        </w:rPr>
        <w:t xml:space="preserve"> će</w:t>
      </w:r>
      <w:r w:rsidRPr="00BD1B6F">
        <w:rPr>
          <w:sz w:val="24"/>
          <w:szCs w:val="24"/>
        </w:rPr>
        <w:t xml:space="preserve"> i mjere potpore Strateškog plana za poljoprivrednu politiku u razdoblju od 2023. do 2027. godine. Strateškim planom podupire</w:t>
      </w:r>
      <w:r>
        <w:rPr>
          <w:sz w:val="24"/>
          <w:szCs w:val="24"/>
        </w:rPr>
        <w:t xml:space="preserve"> se</w:t>
      </w:r>
      <w:r w:rsidRPr="00BD1B6F">
        <w:rPr>
          <w:sz w:val="24"/>
          <w:szCs w:val="24"/>
        </w:rPr>
        <w:t xml:space="preserve"> razvoj konkurentnih i održivih poljoprivrednih gospodarstava i prerađivačkog sektora te poboljšavaju životni i radni uvjeti u ruralnim područjima.</w:t>
      </w:r>
      <w:r w:rsidRPr="00BD1B6F" w:rsidDel="00681DBD">
        <w:rPr>
          <w:sz w:val="24"/>
          <w:szCs w:val="24"/>
        </w:rPr>
        <w:t xml:space="preserve"> </w:t>
      </w:r>
      <w:r w:rsidRPr="00BD1B6F">
        <w:rPr>
          <w:sz w:val="24"/>
          <w:szCs w:val="24"/>
        </w:rPr>
        <w:t xml:space="preserve">Provedbom Strateškog plana do 2027. godine </w:t>
      </w:r>
      <w:r>
        <w:rPr>
          <w:sz w:val="24"/>
          <w:szCs w:val="24"/>
        </w:rPr>
        <w:t>doprinijet</w:t>
      </w:r>
      <w:r w:rsidRPr="00BD1B6F">
        <w:rPr>
          <w:sz w:val="24"/>
          <w:szCs w:val="24"/>
        </w:rPr>
        <w:t xml:space="preserve"> će se povećanju udjela površina pod ekološkom proizvodnjom sa 7,2% u 2019. na 14%, poboljšati uvjeti za humaniji uzgoj životinja, smanjiti upotreba pesticida i gnojiva te će se podupirati provedba intervencija za očuvanje biološke i krajobrazne raznolikosti. Strateškim planom hrvatskim </w:t>
      </w:r>
      <w:r>
        <w:rPr>
          <w:sz w:val="24"/>
          <w:szCs w:val="24"/>
        </w:rPr>
        <w:t xml:space="preserve">je </w:t>
      </w:r>
      <w:r w:rsidRPr="00BD1B6F">
        <w:rPr>
          <w:sz w:val="24"/>
          <w:szCs w:val="24"/>
        </w:rPr>
        <w:t xml:space="preserve">korisnicima za ulaganja osiguran ukupni iznos sredstava od gotovo 3,8 milijardi eura za razdoblje do 2027. </w:t>
      </w:r>
      <w:r w:rsidRPr="00BD1B6F">
        <w:rPr>
          <w:rFonts w:eastAsia="Calibri"/>
          <w:kern w:val="2"/>
          <w:sz w:val="24"/>
          <w:szCs w:val="24"/>
        </w:rPr>
        <w:t xml:space="preserve">U razdoblju </w:t>
      </w:r>
      <w:r w:rsidRPr="008115FB">
        <w:rPr>
          <w:rFonts w:eastAsia="Calibri"/>
          <w:kern w:val="2"/>
          <w:sz w:val="24"/>
          <w:szCs w:val="24"/>
        </w:rPr>
        <w:t xml:space="preserve">od 2014. do kraja </w:t>
      </w:r>
      <w:r w:rsidRPr="00BD1B6F">
        <w:rPr>
          <w:rFonts w:eastAsia="Calibri"/>
          <w:kern w:val="2"/>
          <w:sz w:val="24"/>
          <w:szCs w:val="24"/>
        </w:rPr>
        <w:t xml:space="preserve">2022. za provedbu ulaganja u poljoprivredu, u okviru Programa ruralnog razvoja </w:t>
      </w:r>
      <w:r>
        <w:rPr>
          <w:rFonts w:eastAsia="Calibri"/>
          <w:kern w:val="2"/>
          <w:sz w:val="24"/>
          <w:szCs w:val="24"/>
        </w:rPr>
        <w:t>2014. - 2020. (u daljnjem tekstu: PRR 2014. - 2020.),</w:t>
      </w:r>
      <w:r w:rsidRPr="00BD1B6F">
        <w:rPr>
          <w:rFonts w:eastAsia="Calibri"/>
          <w:kern w:val="2"/>
          <w:sz w:val="24"/>
          <w:szCs w:val="24"/>
        </w:rPr>
        <w:t xml:space="preserve"> objavljeno </w:t>
      </w:r>
      <w:r>
        <w:rPr>
          <w:rFonts w:eastAsia="Calibri"/>
          <w:kern w:val="2"/>
          <w:sz w:val="24"/>
          <w:szCs w:val="24"/>
        </w:rPr>
        <w:t xml:space="preserve">je </w:t>
      </w:r>
      <w:r w:rsidRPr="00BD1B6F">
        <w:rPr>
          <w:rFonts w:eastAsia="Calibri"/>
          <w:kern w:val="2"/>
          <w:sz w:val="24"/>
          <w:szCs w:val="24"/>
        </w:rPr>
        <w:t>176 natječaja ukupne vrijednosti 3,285 milijardi eura, od čega je ugovoren iznos od 3,05 milijardi eura, odnosno 93% raspoloživih sredstava. U vrijeme izrade Izvješća, po svim objavljenim natječajima korisnicima PRR 2014.</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2020. bilo je isplaćeno ukupno 2,62 milijarde eura, odnosno 80% ukupno raspoloživih sredstava, a isplate će biti moguće do 31. prosinca 2025. </w:t>
      </w:r>
    </w:p>
    <w:p w14:paraId="44B3996C" w14:textId="77777777" w:rsidR="004E6C63" w:rsidRPr="00BD1B6F" w:rsidRDefault="004E6C63" w:rsidP="004E6C63">
      <w:pPr>
        <w:spacing w:before="240" w:after="240" w:line="276" w:lineRule="auto"/>
        <w:jc w:val="both"/>
        <w:rPr>
          <w:rFonts w:eastAsia="Calibri"/>
          <w:kern w:val="2"/>
          <w:sz w:val="24"/>
          <w:szCs w:val="24"/>
        </w:rPr>
      </w:pPr>
      <w:r w:rsidRPr="00BD1B6F">
        <w:rPr>
          <w:rFonts w:eastAsia="Calibri"/>
          <w:kern w:val="2"/>
          <w:sz w:val="24"/>
          <w:szCs w:val="24"/>
        </w:rPr>
        <w:t>Nastavljeni su napori na provedbi javnih poziva za sufinanciranje projekata sredstvima PRR 2014.</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2020. kojima se doprinosi povećanju produktivnosti i održivosti poljoprivredne proizvodnje. U 2022. provedena </w:t>
      </w:r>
      <w:r>
        <w:rPr>
          <w:rFonts w:eastAsia="Calibri"/>
          <w:kern w:val="2"/>
          <w:sz w:val="24"/>
          <w:szCs w:val="24"/>
        </w:rPr>
        <w:t xml:space="preserve">su </w:t>
      </w:r>
      <w:r w:rsidRPr="00BD1B6F">
        <w:rPr>
          <w:rFonts w:eastAsia="Calibri"/>
          <w:kern w:val="2"/>
          <w:sz w:val="24"/>
          <w:szCs w:val="24"/>
        </w:rPr>
        <w:t xml:space="preserve">3 javna poziva ukupne vrijednosti bespovratnih sredstava 61,5 milijuna eura, na koje je zaprimljeno 384 zahtjeva za sufinanciranje projekata poboljšanja energetske učinkovitosti i primjene obnovljivih izvora energije u poljoprivrednoj proizvodnji, ulaganja u projekte navodnjavanja, obnovu poljoprivrednog zemljišta i proizvodnih potencijala narušenih potresom te održavanje i korištenje genetskih izvora u poljoprivredi. </w:t>
      </w:r>
    </w:p>
    <w:p w14:paraId="39119921" w14:textId="77777777" w:rsidR="004E6C63" w:rsidRPr="00BD1B6F" w:rsidRDefault="004E6C63" w:rsidP="004E6C63">
      <w:pPr>
        <w:spacing w:before="240" w:after="240" w:line="276" w:lineRule="auto"/>
        <w:jc w:val="both"/>
        <w:rPr>
          <w:rFonts w:eastAsia="Calibri"/>
          <w:kern w:val="2"/>
          <w:sz w:val="24"/>
          <w:szCs w:val="24"/>
        </w:rPr>
      </w:pPr>
      <w:r w:rsidRPr="00BD1B6F">
        <w:rPr>
          <w:rFonts w:eastAsia="Calibri"/>
          <w:kern w:val="2"/>
          <w:sz w:val="24"/>
          <w:szCs w:val="24"/>
        </w:rPr>
        <w:t xml:space="preserve">Prema dostupnim podacima, manje od 8% poljoprivrednih proizvođača osigurava svoju proizvodnju, s time da osiguranje većinom koriste srednji i veliki proizvođači. S ciljem </w:t>
      </w:r>
      <w:r w:rsidRPr="00672866">
        <w:rPr>
          <w:rFonts w:eastAsia="Calibri"/>
          <w:kern w:val="2"/>
          <w:sz w:val="24"/>
          <w:szCs w:val="24"/>
        </w:rPr>
        <w:t>poticanja</w:t>
      </w:r>
      <w:r w:rsidRPr="00BD1B6F">
        <w:rPr>
          <w:rFonts w:eastAsia="Calibri"/>
          <w:kern w:val="2"/>
          <w:sz w:val="24"/>
          <w:szCs w:val="24"/>
        </w:rPr>
        <w:t xml:space="preserve"> poljoprivrednika na ugovaranje osiguranja proizvodnje, kako bi se umanjili ekonomski gubici prouzročeni nepovoljnim klimatskim prilikama i životinjskim bolestima, tijekom 2022. proveden je javni </w:t>
      </w:r>
      <w:r>
        <w:rPr>
          <w:rFonts w:eastAsia="Calibri"/>
          <w:kern w:val="2"/>
          <w:sz w:val="24"/>
          <w:szCs w:val="24"/>
        </w:rPr>
        <w:t>p</w:t>
      </w:r>
      <w:r w:rsidRPr="00BD1B6F">
        <w:rPr>
          <w:rFonts w:eastAsia="Calibri"/>
          <w:kern w:val="2"/>
          <w:sz w:val="24"/>
          <w:szCs w:val="24"/>
        </w:rPr>
        <w:t xml:space="preserve">oziv za dodjelu poticaja poljoprivrednicima za osiguranje usjeva, životinja i biljaka, ukupne alokacije 26,5 milijuna eura. Na </w:t>
      </w:r>
      <w:r>
        <w:rPr>
          <w:rFonts w:eastAsia="Calibri"/>
          <w:kern w:val="2"/>
          <w:sz w:val="24"/>
          <w:szCs w:val="24"/>
        </w:rPr>
        <w:t>p</w:t>
      </w:r>
      <w:r w:rsidRPr="00BD1B6F">
        <w:rPr>
          <w:rFonts w:eastAsia="Calibri"/>
          <w:kern w:val="2"/>
          <w:sz w:val="24"/>
          <w:szCs w:val="24"/>
        </w:rPr>
        <w:t xml:space="preserve">oziv je zaprimljeno 11.830 zahtjeva za sufinanciranje osiguranja proizvodnje (25% više nego 2020. i 400% više nego 2016.), uz iznos potpore po korisniku do 75 tisuća eura i intenzitet potpore do 70% prihvatljive premije osiguranja. Većim </w:t>
      </w:r>
      <w:r w:rsidRPr="00BD1B6F">
        <w:rPr>
          <w:rFonts w:eastAsia="Calibri"/>
          <w:kern w:val="2"/>
          <w:sz w:val="24"/>
          <w:szCs w:val="24"/>
        </w:rPr>
        <w:lastRenderedPageBreak/>
        <w:t>korištenjem osiguranja i boljim upravljanjem rizicima u proizvodnji, izravno se doprinosi ublažavanju negativnih utjecaja klimatskih promjena i drugih rizika na poljoprivrednu proizvodnju, dok se neizravno poboljšava pristup poljoprivrednika komercijalnom kapitalu za financiranje i poboljšava njihova produktivnost rada.</w:t>
      </w:r>
    </w:p>
    <w:p w14:paraId="732C591B" w14:textId="77777777" w:rsidR="004E6C63" w:rsidRPr="00BD1B6F" w:rsidRDefault="004E6C63" w:rsidP="004E6C63">
      <w:pPr>
        <w:spacing w:before="240" w:after="240" w:line="276" w:lineRule="auto"/>
        <w:jc w:val="both"/>
        <w:rPr>
          <w:rFonts w:eastAsia="Calibri"/>
          <w:kern w:val="2"/>
          <w:sz w:val="24"/>
          <w:szCs w:val="24"/>
        </w:rPr>
      </w:pPr>
      <w:r w:rsidRPr="00BD1B6F">
        <w:rPr>
          <w:rFonts w:eastAsia="Calibri"/>
          <w:kern w:val="2"/>
          <w:sz w:val="24"/>
          <w:szCs w:val="24"/>
        </w:rPr>
        <w:t xml:space="preserve">Radi ublažavanja posljedica ruske invazije na Ukrajinu </w:t>
      </w:r>
      <w:r w:rsidRPr="008115FB">
        <w:rPr>
          <w:rFonts w:eastAsia="Calibri"/>
          <w:kern w:val="2"/>
          <w:sz w:val="24"/>
          <w:szCs w:val="24"/>
        </w:rPr>
        <w:t>na poslovanje</w:t>
      </w:r>
      <w:r w:rsidRPr="00BD1B6F">
        <w:rPr>
          <w:rFonts w:eastAsia="Calibri"/>
          <w:kern w:val="2"/>
          <w:sz w:val="24"/>
          <w:szCs w:val="24"/>
        </w:rPr>
        <w:t xml:space="preserve"> poljoprivrednika i MSP-ova koji se bave preradom, plasiranjem na tržište i razvojem poljoprivrednih proizvoda, u 2022. objavljena </w:t>
      </w:r>
      <w:r>
        <w:rPr>
          <w:rFonts w:eastAsia="Calibri"/>
          <w:kern w:val="2"/>
          <w:sz w:val="24"/>
          <w:szCs w:val="24"/>
        </w:rPr>
        <w:t>su 2</w:t>
      </w:r>
      <w:r w:rsidRPr="00BD1B6F">
        <w:rPr>
          <w:rFonts w:eastAsia="Calibri"/>
          <w:kern w:val="2"/>
          <w:sz w:val="24"/>
          <w:szCs w:val="24"/>
        </w:rPr>
        <w:t xml:space="preserve"> javna poziva za dodjelu izvanredne privremene potpore poljoprivrednicima i MSP-ovima koji su posebno pogođeni učincima ruske invazije na Ukrajinu. Provedba poziva financira </w:t>
      </w:r>
      <w:r>
        <w:rPr>
          <w:rFonts w:eastAsia="Calibri"/>
          <w:kern w:val="2"/>
          <w:sz w:val="24"/>
          <w:szCs w:val="24"/>
        </w:rPr>
        <w:t xml:space="preserve">se </w:t>
      </w:r>
      <w:r w:rsidRPr="00BD1B6F">
        <w:rPr>
          <w:rFonts w:eastAsia="Calibri"/>
          <w:kern w:val="2"/>
          <w:sz w:val="24"/>
          <w:szCs w:val="24"/>
        </w:rPr>
        <w:t>iz PRR 2014.</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2020. a ukupni iznos alokacije bespovratnih sredstava za oba poziva iznosio </w:t>
      </w:r>
      <w:r>
        <w:rPr>
          <w:rFonts w:eastAsia="Calibri"/>
          <w:kern w:val="2"/>
          <w:sz w:val="24"/>
          <w:szCs w:val="24"/>
        </w:rPr>
        <w:t xml:space="preserve">je </w:t>
      </w:r>
      <w:r w:rsidRPr="00BD1B6F">
        <w:rPr>
          <w:rFonts w:eastAsia="Calibri"/>
          <w:kern w:val="2"/>
          <w:sz w:val="24"/>
          <w:szCs w:val="24"/>
        </w:rPr>
        <w:t xml:space="preserve">31,8 milijuna eura. Potpore u okviru </w:t>
      </w:r>
      <w:r w:rsidRPr="008115FB">
        <w:rPr>
          <w:rFonts w:eastAsia="Calibri"/>
          <w:kern w:val="2"/>
          <w:sz w:val="24"/>
          <w:szCs w:val="24"/>
        </w:rPr>
        <w:t>p</w:t>
      </w:r>
      <w:r w:rsidRPr="00BD1B6F">
        <w:rPr>
          <w:rFonts w:eastAsia="Calibri"/>
          <w:kern w:val="2"/>
          <w:sz w:val="24"/>
          <w:szCs w:val="24"/>
        </w:rPr>
        <w:t xml:space="preserve">oziva </w:t>
      </w:r>
      <w:r w:rsidRPr="008115FB">
        <w:rPr>
          <w:rFonts w:eastAsia="Calibri"/>
          <w:kern w:val="2"/>
          <w:sz w:val="24"/>
          <w:szCs w:val="24"/>
        </w:rPr>
        <w:t>pružaju</w:t>
      </w:r>
      <w:r w:rsidRPr="00BD1B6F">
        <w:rPr>
          <w:rFonts w:eastAsia="Calibri"/>
          <w:kern w:val="2"/>
          <w:sz w:val="24"/>
          <w:szCs w:val="24"/>
        </w:rPr>
        <w:t xml:space="preserve"> </w:t>
      </w:r>
      <w:r>
        <w:rPr>
          <w:rFonts w:eastAsia="Calibri"/>
          <w:kern w:val="2"/>
          <w:sz w:val="24"/>
          <w:szCs w:val="24"/>
        </w:rPr>
        <w:t xml:space="preserve">se </w:t>
      </w:r>
      <w:r w:rsidRPr="00BD1B6F">
        <w:rPr>
          <w:rFonts w:eastAsia="Calibri"/>
          <w:kern w:val="2"/>
          <w:sz w:val="24"/>
          <w:szCs w:val="24"/>
        </w:rPr>
        <w:t xml:space="preserve">za </w:t>
      </w:r>
      <w:r w:rsidRPr="008115FB">
        <w:rPr>
          <w:rFonts w:eastAsia="Calibri"/>
          <w:kern w:val="2"/>
          <w:sz w:val="24"/>
          <w:szCs w:val="24"/>
        </w:rPr>
        <w:t xml:space="preserve">osiguravanje </w:t>
      </w:r>
      <w:r w:rsidRPr="00BD1B6F">
        <w:rPr>
          <w:rFonts w:eastAsia="Calibri"/>
          <w:kern w:val="2"/>
          <w:sz w:val="24"/>
          <w:szCs w:val="24"/>
        </w:rPr>
        <w:t>likvidnost</w:t>
      </w:r>
      <w:r w:rsidRPr="008115FB">
        <w:rPr>
          <w:rFonts w:eastAsia="Calibri"/>
          <w:kern w:val="2"/>
          <w:sz w:val="24"/>
          <w:szCs w:val="24"/>
        </w:rPr>
        <w:t>i</w:t>
      </w:r>
      <w:r w:rsidRPr="00BD1B6F">
        <w:rPr>
          <w:rFonts w:eastAsia="Calibri"/>
          <w:kern w:val="2"/>
          <w:sz w:val="24"/>
          <w:szCs w:val="24"/>
        </w:rPr>
        <w:t xml:space="preserve"> poljoprivrednicima kojima su značajno smanjeni prihodi zbog poremećaja na tržištu, kao i za pomoć pri nabavi mineralnog gnojiva te za kompenzaciju prerađivačima zbog izraženog rasta cijena energenata. Dodjelom potpora poljoprivrednicima za likvidnost i pristup mineralnim gnojivima, poboljšava se sigurnost u proizvodnji i dostupnosti hrane u budućnosti.</w:t>
      </w:r>
    </w:p>
    <w:p w14:paraId="07636403" w14:textId="77777777" w:rsidR="004E6C63" w:rsidRPr="00BD1B6F" w:rsidRDefault="004E6C63" w:rsidP="004E6C63">
      <w:pPr>
        <w:spacing w:before="240" w:after="240" w:line="276" w:lineRule="auto"/>
        <w:jc w:val="both"/>
        <w:rPr>
          <w:rFonts w:eastAsia="Calibri"/>
          <w:kern w:val="2"/>
          <w:sz w:val="24"/>
          <w:szCs w:val="24"/>
        </w:rPr>
      </w:pPr>
      <w:r w:rsidRPr="00BD1B6F">
        <w:rPr>
          <w:rFonts w:eastAsia="Calibri"/>
          <w:kern w:val="2"/>
          <w:sz w:val="24"/>
          <w:szCs w:val="24"/>
        </w:rPr>
        <w:t>Radi poticanja održiv</w:t>
      </w:r>
      <w:r>
        <w:rPr>
          <w:rFonts w:eastAsia="Calibri"/>
          <w:kern w:val="2"/>
          <w:sz w:val="24"/>
          <w:szCs w:val="24"/>
        </w:rPr>
        <w:t>og</w:t>
      </w:r>
      <w:r w:rsidRPr="00BD1B6F">
        <w:rPr>
          <w:rFonts w:eastAsia="Calibri"/>
          <w:kern w:val="2"/>
          <w:sz w:val="24"/>
          <w:szCs w:val="24"/>
        </w:rPr>
        <w:t xml:space="preserve"> gospodarenja šumama i šumskim zemljištima te omogućavanja uvjeta za skladno korištenje i provedbu zahvata u šumskom prostoru, provedena su 2 javna natječaja za dodjelu potpore za operacije modernizacije tehnologija, strojeva, alata i opreme u pridobivanju drva i šumskouzgojnim radovima te potpore za izgradnju i rekonstrukciju šumske prometne infrastrukture, u okviru kojih je tijekom 2022. iz PRR 2014.</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2020. korisnicima dodijeljeno ukupno 38,8 milijuna eura. </w:t>
      </w:r>
    </w:p>
    <w:p w14:paraId="0B007CAB" w14:textId="77777777" w:rsidR="004E6C63" w:rsidRPr="00BD1B6F" w:rsidRDefault="004E6C63" w:rsidP="004E6C63">
      <w:pPr>
        <w:spacing w:before="240" w:after="240" w:line="276" w:lineRule="auto"/>
        <w:jc w:val="both"/>
        <w:rPr>
          <w:rFonts w:eastAsia="Calibri"/>
          <w:kern w:val="2"/>
          <w:sz w:val="24"/>
          <w:szCs w:val="24"/>
        </w:rPr>
      </w:pPr>
      <w:r w:rsidRPr="00BD1B6F">
        <w:rPr>
          <w:rFonts w:eastAsia="Calibri"/>
          <w:kern w:val="2"/>
          <w:sz w:val="24"/>
          <w:szCs w:val="24"/>
        </w:rPr>
        <w:t>S ciljem poticanja šire primjene dobrih poljoprivrednih i okolišnih praksi te dobrovoljne primjene strožih standarda zaštite okoliša i dobrobiti životinja od onih propisanih, proveden je javni natječaj za provedbu operacija unaprjeđenja uvjeta zbrinjavanja, rukovanja i korištenja stajskog gnojiva, u okviru kojeg je korisnicima dodijeljeno 12,9 milijuna eura sredstava potpore iz PRR 2014.</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 xml:space="preserve">2020. Uvođenjem strožih proizvodnih praksi i tehnologija koje štite okoliš </w:t>
      </w:r>
      <w:r>
        <w:rPr>
          <w:rFonts w:eastAsia="Calibri"/>
          <w:kern w:val="2"/>
          <w:sz w:val="24"/>
          <w:szCs w:val="24"/>
        </w:rPr>
        <w:t>doprinosi</w:t>
      </w:r>
      <w:r w:rsidRPr="00BD1B6F">
        <w:rPr>
          <w:rFonts w:eastAsia="Calibri"/>
          <w:kern w:val="2"/>
          <w:sz w:val="24"/>
          <w:szCs w:val="24"/>
        </w:rPr>
        <w:t xml:space="preserve"> se niskougljičnom razvoju i postizanju klimatske neutralnosti poljoprivredne proizvodnje.</w:t>
      </w:r>
    </w:p>
    <w:p w14:paraId="2CBB5ABA" w14:textId="77777777" w:rsidR="004E6C63" w:rsidRPr="00BD1B6F" w:rsidRDefault="004E6C63" w:rsidP="004E6C63">
      <w:pPr>
        <w:spacing w:before="240" w:after="240" w:line="276" w:lineRule="auto"/>
        <w:jc w:val="both"/>
        <w:rPr>
          <w:rFonts w:eastAsia="Calibri"/>
          <w:kern w:val="2"/>
          <w:sz w:val="24"/>
          <w:szCs w:val="24"/>
        </w:rPr>
      </w:pPr>
      <w:r w:rsidRPr="00BD1B6F">
        <w:rPr>
          <w:rFonts w:eastAsia="Calibri"/>
          <w:kern w:val="2"/>
          <w:sz w:val="24"/>
          <w:szCs w:val="24"/>
        </w:rPr>
        <w:t>Radi stvaranja uvjeta za povećanje održivosti i konkurentnosti poljoprivrednih gospodarstava tijekom 2022. u okviru Mjere 4, objavljeno je 6 natječaja ukupne alokacije 110 milijuna eura. Korisnicima je isplaćeno ukupno 98,1 milijun eura iz PRR 2014.</w:t>
      </w:r>
      <w:r>
        <w:rPr>
          <w:rFonts w:eastAsia="Calibri"/>
          <w:kern w:val="2"/>
          <w:sz w:val="24"/>
          <w:szCs w:val="24"/>
        </w:rPr>
        <w:t xml:space="preserve"> </w:t>
      </w:r>
      <w:r w:rsidRPr="00BD1B6F">
        <w:rPr>
          <w:rFonts w:eastAsia="Calibri"/>
          <w:kern w:val="2"/>
          <w:sz w:val="24"/>
          <w:szCs w:val="24"/>
        </w:rPr>
        <w:t>-</w:t>
      </w:r>
      <w:r>
        <w:rPr>
          <w:rFonts w:eastAsia="Calibri"/>
          <w:kern w:val="2"/>
          <w:sz w:val="24"/>
          <w:szCs w:val="24"/>
        </w:rPr>
        <w:t xml:space="preserve"> </w:t>
      </w:r>
      <w:r w:rsidRPr="00BD1B6F">
        <w:rPr>
          <w:rFonts w:eastAsia="Calibri"/>
          <w:kern w:val="2"/>
          <w:sz w:val="24"/>
          <w:szCs w:val="24"/>
        </w:rPr>
        <w:t>2020. za sufinanciranje ulaganja u navodnjavanje, izgradnju i opremanje farmi mliječnog govedarstva, izgradnju i opremanje klaonica, korištenje učinkovitijih izvora energije u proizvodnji, izgradnju skladišnih kapaciteta za žitarice i uljarice</w:t>
      </w:r>
      <w:r>
        <w:rPr>
          <w:rFonts w:eastAsia="Calibri"/>
          <w:kern w:val="2"/>
          <w:sz w:val="24"/>
          <w:szCs w:val="24"/>
        </w:rPr>
        <w:t>,</w:t>
      </w:r>
      <w:r w:rsidRPr="00BD1B6F">
        <w:rPr>
          <w:rFonts w:eastAsia="Calibri"/>
          <w:kern w:val="2"/>
          <w:sz w:val="24"/>
          <w:szCs w:val="24"/>
        </w:rPr>
        <w:t xml:space="preserve"> te nabavu opreme za sjemensku i rasadničarsku proizvodnju. Provedbom ulaganja jača se otpornost poljoprivrednih proizvođača na rizike u proizvodnji</w:t>
      </w:r>
      <w:r>
        <w:rPr>
          <w:rFonts w:eastAsia="Calibri"/>
          <w:kern w:val="2"/>
          <w:sz w:val="24"/>
          <w:szCs w:val="24"/>
        </w:rPr>
        <w:t xml:space="preserve">, </w:t>
      </w:r>
      <w:r w:rsidRPr="00BD1B6F">
        <w:rPr>
          <w:rFonts w:eastAsia="Calibri"/>
          <w:kern w:val="2"/>
          <w:sz w:val="24"/>
          <w:szCs w:val="24"/>
        </w:rPr>
        <w:t xml:space="preserve">povećavaju njihova </w:t>
      </w:r>
      <w:r w:rsidRPr="00BD1B6F">
        <w:rPr>
          <w:rFonts w:eastAsia="Calibri"/>
          <w:kern w:val="2"/>
          <w:sz w:val="24"/>
          <w:szCs w:val="24"/>
        </w:rPr>
        <w:lastRenderedPageBreak/>
        <w:t>konkurentnost i poslovni prihodi</w:t>
      </w:r>
      <w:r>
        <w:rPr>
          <w:rFonts w:eastAsia="Calibri"/>
          <w:kern w:val="2"/>
          <w:sz w:val="24"/>
          <w:szCs w:val="24"/>
        </w:rPr>
        <w:t>, što</w:t>
      </w:r>
      <w:r w:rsidRPr="00BD1B6F">
        <w:rPr>
          <w:rFonts w:eastAsia="Calibri"/>
          <w:kern w:val="2"/>
          <w:sz w:val="24"/>
          <w:szCs w:val="24"/>
        </w:rPr>
        <w:t xml:space="preserve"> </w:t>
      </w:r>
      <w:r w:rsidRPr="008115FB">
        <w:rPr>
          <w:rFonts w:eastAsia="Calibri"/>
          <w:kern w:val="2"/>
          <w:sz w:val="24"/>
          <w:szCs w:val="24"/>
        </w:rPr>
        <w:t>posljedično</w:t>
      </w:r>
      <w:r w:rsidRPr="00BD1B6F">
        <w:rPr>
          <w:rFonts w:eastAsia="Calibri"/>
          <w:kern w:val="2"/>
          <w:sz w:val="24"/>
          <w:szCs w:val="24"/>
        </w:rPr>
        <w:t xml:space="preserve"> doprinosi njihovoj održivosti. </w:t>
      </w:r>
    </w:p>
    <w:p w14:paraId="2A946AA9" w14:textId="77777777" w:rsidR="004E6C63" w:rsidRPr="00BD1B6F" w:rsidRDefault="004E6C63" w:rsidP="004E6C63">
      <w:pPr>
        <w:spacing w:before="240" w:after="240" w:line="276" w:lineRule="auto"/>
        <w:jc w:val="both"/>
        <w:rPr>
          <w:sz w:val="24"/>
          <w:szCs w:val="24"/>
        </w:rPr>
      </w:pPr>
      <w:r w:rsidRPr="00BD1B6F">
        <w:rPr>
          <w:sz w:val="24"/>
          <w:szCs w:val="24"/>
        </w:rPr>
        <w:t>U studenom 2022. donesen je Program za ribarstvo i akvakulturu Republike Hrvatske za programsko razdoblje 2021.</w:t>
      </w:r>
      <w:r>
        <w:rPr>
          <w:sz w:val="24"/>
          <w:szCs w:val="24"/>
        </w:rPr>
        <w:t xml:space="preserve"> </w:t>
      </w:r>
      <w:r w:rsidRPr="00BD1B6F">
        <w:rPr>
          <w:sz w:val="24"/>
          <w:szCs w:val="24"/>
        </w:rPr>
        <w:t>-</w:t>
      </w:r>
      <w:r>
        <w:rPr>
          <w:sz w:val="24"/>
          <w:szCs w:val="24"/>
        </w:rPr>
        <w:t xml:space="preserve"> </w:t>
      </w:r>
      <w:r w:rsidRPr="00BD1B6F">
        <w:rPr>
          <w:sz w:val="24"/>
          <w:szCs w:val="24"/>
        </w:rPr>
        <w:t xml:space="preserve">2027. Programom je hrvatskom sektoru ribarstva i akvakulture za ulaganja osigurano ukupno 345 milijuna eura, od čega 239 milijuna eura iz Europskog fonda za pomorstvo, ribarstvo i akvakulturu, a ostatak iz Državnog proračuna. Sredstvima iz Programa </w:t>
      </w:r>
      <w:r>
        <w:rPr>
          <w:sz w:val="24"/>
          <w:szCs w:val="24"/>
        </w:rPr>
        <w:t xml:space="preserve">poticat </w:t>
      </w:r>
      <w:r w:rsidRPr="00547533">
        <w:rPr>
          <w:sz w:val="24"/>
          <w:szCs w:val="24"/>
        </w:rPr>
        <w:t>će</w:t>
      </w:r>
      <w:r w:rsidRPr="00BD1B6F">
        <w:rPr>
          <w:sz w:val="24"/>
          <w:szCs w:val="24"/>
        </w:rPr>
        <w:t xml:space="preserve"> se prilagodba hrvatske ribarske flote i uspostava ravnoteže između kapaciteta i napora u ribolovu, provoditi mjere zaštite i obnove morskih resursa, poticati unaprjeđenje infrastrukture u lukama i iskrcajnim mjestima, poticati dekarbonizacija flote i primjena </w:t>
      </w:r>
      <w:r w:rsidRPr="008115FB">
        <w:rPr>
          <w:sz w:val="24"/>
          <w:szCs w:val="24"/>
        </w:rPr>
        <w:t xml:space="preserve">novih tehnologija te </w:t>
      </w:r>
      <w:r w:rsidRPr="00BD1B6F">
        <w:rPr>
          <w:sz w:val="24"/>
          <w:szCs w:val="24"/>
        </w:rPr>
        <w:t xml:space="preserve">inovacija. Također će se poticati jačanje tržišta, poboljšanje proizvodnih procesa, povećanje kvalitete i dodane vrijednosti proizvodima ribarstva i akvakulture, kao i energetska tranzicija. Dodjelom poticaja u okviru Programa </w:t>
      </w:r>
      <w:r>
        <w:rPr>
          <w:sz w:val="24"/>
          <w:szCs w:val="24"/>
        </w:rPr>
        <w:t>omogućit</w:t>
      </w:r>
      <w:r w:rsidRPr="00BD1B6F">
        <w:rPr>
          <w:sz w:val="24"/>
          <w:szCs w:val="24"/>
        </w:rPr>
        <w:t xml:space="preserve"> će se uvjeti za rast proizvodnje i prihoda u sektoru ribarstva i akvakulture, povećati broj novih proizvoda te ojačati konkurentnost i otpornost poduzetnika u sektoru ribarstva i akvakulture.</w:t>
      </w:r>
    </w:p>
    <w:p w14:paraId="1ACCAE1D" w14:textId="77777777" w:rsidR="004E6C63" w:rsidRPr="00BD1B6F" w:rsidRDefault="004E6C63" w:rsidP="004E6C63">
      <w:pPr>
        <w:spacing w:before="240" w:after="240" w:line="276" w:lineRule="auto"/>
        <w:jc w:val="both"/>
        <w:rPr>
          <w:sz w:val="24"/>
          <w:szCs w:val="24"/>
        </w:rPr>
      </w:pPr>
      <w:r w:rsidRPr="00BD1B6F">
        <w:rPr>
          <w:sz w:val="24"/>
          <w:szCs w:val="24"/>
        </w:rPr>
        <w:t>Nastavljeni su napori na provedbi mjera strukturne politike u ribarstvu i akvakulturi, sufinanciranih sredstvima potpore iz Operativnog programa za pomorstvo i ribarstvo</w:t>
      </w:r>
      <w:r>
        <w:rPr>
          <w:sz w:val="24"/>
          <w:szCs w:val="24"/>
        </w:rPr>
        <w:t xml:space="preserve"> 2014.-2020.</w:t>
      </w:r>
      <w:r w:rsidRPr="00BD1B6F">
        <w:rPr>
          <w:sz w:val="24"/>
          <w:szCs w:val="24"/>
        </w:rPr>
        <w:t xml:space="preserve"> </w:t>
      </w:r>
      <w:r>
        <w:rPr>
          <w:sz w:val="24"/>
          <w:szCs w:val="24"/>
        </w:rPr>
        <w:t>(u daljnjem tekstu: OPPiR 2014. - 2020.),</w:t>
      </w:r>
      <w:r w:rsidRPr="00BD1B6F">
        <w:rPr>
          <w:sz w:val="24"/>
          <w:szCs w:val="24"/>
        </w:rPr>
        <w:t xml:space="preserve"> radi omogućavanja razvoja okolišno održivih, učinkovitih, inovativnih i konkurentnih ribarstva i akvakulture.</w:t>
      </w:r>
    </w:p>
    <w:p w14:paraId="39404469" w14:textId="77777777" w:rsidR="004E6C63" w:rsidRPr="00BD1B6F" w:rsidRDefault="004E6C63" w:rsidP="004E6C63">
      <w:pPr>
        <w:spacing w:before="240" w:after="240" w:line="276" w:lineRule="auto"/>
        <w:jc w:val="both"/>
        <w:rPr>
          <w:sz w:val="24"/>
          <w:szCs w:val="24"/>
        </w:rPr>
      </w:pPr>
      <w:r w:rsidRPr="00BD1B6F">
        <w:rPr>
          <w:sz w:val="24"/>
          <w:szCs w:val="24"/>
        </w:rPr>
        <w:t>Radi jačanja konkurentnosti i održivosti poduzeća u sektoru akvakulture, sredstvima iz OPPiR</w:t>
      </w:r>
      <w:r>
        <w:rPr>
          <w:sz w:val="24"/>
          <w:szCs w:val="24"/>
        </w:rPr>
        <w:t xml:space="preserve"> 2014. - 2020.</w:t>
      </w:r>
      <w:r w:rsidRPr="00BD1B6F">
        <w:rPr>
          <w:sz w:val="24"/>
          <w:szCs w:val="24"/>
        </w:rPr>
        <w:t xml:space="preserve"> u okviru II. prioriteta provedeni su javni natječaji za provedbu 3 mjere poticanja produktivnih ulaganja u akvakulturi, provedbe mjera zaštite okoliša, osiguravanja proizvodnje u akvakulturi te povećanja potencijala akvakulturnih lokaliteta, za što je tijekom 2022. izdvojeno ukupno 7,36 milijuna eura. Natječajima se proizvođačima i prerađivačima u akvakulturi omogućavaju poticaji za provedbu ulaganja u unaprjeđenje proizvodnje i diver</w:t>
      </w:r>
      <w:r>
        <w:rPr>
          <w:sz w:val="24"/>
          <w:szCs w:val="24"/>
        </w:rPr>
        <w:t>s</w:t>
      </w:r>
      <w:r w:rsidRPr="00BD1B6F">
        <w:rPr>
          <w:sz w:val="24"/>
          <w:szCs w:val="24"/>
        </w:rPr>
        <w:t>ifikacije proizvoda, unaprjeđenje kvalitete i dodatne vrijednosti proizvoda akvakulture, poboljšanje uvjeta za radnike, poboljšanje uvjeta uzgoja životinja, poboljšanje energetske učinkovitosti i prelazak na OIE, kompenzacije za aktivnosti očuvanja okoliša i bioraznolikosti te poticanje proizvođača u akvakulturi na osiguravanje svoje proizvodnje. Također, u okviru mjer</w:t>
      </w:r>
      <w:r w:rsidRPr="008115FB">
        <w:rPr>
          <w:sz w:val="24"/>
          <w:szCs w:val="24"/>
        </w:rPr>
        <w:t>a</w:t>
      </w:r>
      <w:r w:rsidRPr="00BD1B6F">
        <w:rPr>
          <w:sz w:val="24"/>
          <w:szCs w:val="24"/>
        </w:rPr>
        <w:t xml:space="preserve"> zaštite javnog zdravlja</w:t>
      </w:r>
      <w:r w:rsidRPr="008115FB">
        <w:rPr>
          <w:sz w:val="24"/>
          <w:szCs w:val="24"/>
        </w:rPr>
        <w:t>,</w:t>
      </w:r>
      <w:r w:rsidRPr="00BD1B6F">
        <w:rPr>
          <w:sz w:val="24"/>
          <w:szCs w:val="24"/>
        </w:rPr>
        <w:t xml:space="preserve"> proveden je javni natječaj za dodjelu kompenzacija proizvođačima u akvakulturi </w:t>
      </w:r>
      <w:r w:rsidRPr="008115FB">
        <w:rPr>
          <w:sz w:val="24"/>
          <w:szCs w:val="24"/>
        </w:rPr>
        <w:t xml:space="preserve">radi </w:t>
      </w:r>
      <w:r w:rsidRPr="00BD1B6F">
        <w:rPr>
          <w:sz w:val="24"/>
          <w:szCs w:val="24"/>
        </w:rPr>
        <w:t>smanjen</w:t>
      </w:r>
      <w:r w:rsidRPr="008115FB">
        <w:rPr>
          <w:sz w:val="24"/>
          <w:szCs w:val="24"/>
        </w:rPr>
        <w:t>e</w:t>
      </w:r>
      <w:r w:rsidRPr="00BD1B6F">
        <w:rPr>
          <w:sz w:val="24"/>
          <w:szCs w:val="24"/>
        </w:rPr>
        <w:t xml:space="preserve"> vrijednosti prodaje i smanjen</w:t>
      </w:r>
      <w:r w:rsidRPr="008115FB">
        <w:rPr>
          <w:sz w:val="24"/>
          <w:szCs w:val="24"/>
        </w:rPr>
        <w:t>og</w:t>
      </w:r>
      <w:r w:rsidRPr="00BD1B6F">
        <w:rPr>
          <w:sz w:val="24"/>
          <w:szCs w:val="24"/>
        </w:rPr>
        <w:t xml:space="preserve"> radnog kapitala zbog povećanih operativnih troškova uslijed izbijanja pandemije COVID-19, u okviru kojeg je tijekom 2022. isplaćeno 4,13 milijuna eura potpore. </w:t>
      </w:r>
    </w:p>
    <w:p w14:paraId="718D3A9F" w14:textId="77777777" w:rsidR="004E6C63" w:rsidRPr="00246164" w:rsidRDefault="004E6C63" w:rsidP="004E6C63">
      <w:pPr>
        <w:spacing w:before="240" w:after="240" w:line="276" w:lineRule="auto"/>
        <w:jc w:val="both"/>
        <w:rPr>
          <w:sz w:val="24"/>
          <w:szCs w:val="24"/>
        </w:rPr>
      </w:pPr>
      <w:r w:rsidRPr="00BD1B6F">
        <w:rPr>
          <w:sz w:val="24"/>
          <w:szCs w:val="24"/>
        </w:rPr>
        <w:t>S ciljem oživljavanja ruralnih područja te unaprjeđenja uvjeta života i rada u ruralnim i obalnim sredinama, u okviru Mjere 7 proveden je javni natječaj za provedbu ulaganja u pokretanje, poboljšanje ili proširenje lokalnih temeljnih usluga za ruralno sta</w:t>
      </w:r>
      <w:r w:rsidRPr="00BD1B6F">
        <w:rPr>
          <w:sz w:val="24"/>
          <w:szCs w:val="24"/>
        </w:rPr>
        <w:lastRenderedPageBreak/>
        <w:t>novništvo, ukupnog iznosa alokacije 57,6 milijuna eura. U okviru natječaja, osigurana su sredstva PRR 2014.</w:t>
      </w:r>
      <w:r>
        <w:rPr>
          <w:sz w:val="24"/>
          <w:szCs w:val="24"/>
        </w:rPr>
        <w:t xml:space="preserve"> </w:t>
      </w:r>
      <w:r w:rsidRPr="00BD1B6F">
        <w:rPr>
          <w:sz w:val="24"/>
          <w:szCs w:val="24"/>
        </w:rPr>
        <w:t>-</w:t>
      </w:r>
      <w:r>
        <w:rPr>
          <w:sz w:val="24"/>
          <w:szCs w:val="24"/>
        </w:rPr>
        <w:t xml:space="preserve"> </w:t>
      </w:r>
      <w:r w:rsidRPr="00BD1B6F">
        <w:rPr>
          <w:sz w:val="24"/>
          <w:szCs w:val="24"/>
        </w:rPr>
        <w:t xml:space="preserve">2020. za sufinanciranje izgradnje tržnica, vatrogasnih domova, društvenih domova, kulturnih centara, sportskih građevina i dječjih vrtića u gradovima i općinama s do 10.000 stanovnika, u ruralnim i obalnim područjima Hrvatske. </w:t>
      </w:r>
    </w:p>
    <w:p w14:paraId="520ED4BB" w14:textId="77777777" w:rsidR="004E6C63" w:rsidRDefault="004E6C63" w:rsidP="004E6C63">
      <w:pPr>
        <w:rPr>
          <w:sz w:val="24"/>
          <w:szCs w:val="24"/>
        </w:rPr>
      </w:pPr>
      <w:r>
        <w:rPr>
          <w:sz w:val="24"/>
          <w:szCs w:val="24"/>
        </w:rPr>
        <w:br w:type="page"/>
      </w:r>
    </w:p>
    <w:p w14:paraId="5D02499A" w14:textId="5AF6852A" w:rsidR="50DE2B21" w:rsidRPr="00BD1B6F" w:rsidRDefault="50DE2B21" w:rsidP="004C1D5B">
      <w:pPr>
        <w:pStyle w:val="Heading2"/>
        <w:spacing w:after="240"/>
        <w:rPr>
          <w:sz w:val="24"/>
          <w:szCs w:val="24"/>
        </w:rPr>
      </w:pPr>
      <w:bookmarkStart w:id="102" w:name="_Toc156819396"/>
      <w:r w:rsidRPr="00BD1B6F">
        <w:rPr>
          <w:sz w:val="24"/>
          <w:szCs w:val="24"/>
        </w:rPr>
        <w:lastRenderedPageBreak/>
        <w:t>10. Održiva mobilnost</w:t>
      </w:r>
      <w:bookmarkEnd w:id="102"/>
    </w:p>
    <w:p w14:paraId="411B37AC" w14:textId="0DA8F03D" w:rsidR="50DE2B21" w:rsidRPr="00BD1B6F" w:rsidRDefault="50DE2B21" w:rsidP="004C1D5B">
      <w:pPr>
        <w:pStyle w:val="Heading3"/>
        <w:ind w:left="709"/>
        <w:rPr>
          <w:sz w:val="24"/>
          <w:szCs w:val="24"/>
        </w:rPr>
      </w:pPr>
      <w:bookmarkStart w:id="103" w:name="_Toc156819397"/>
      <w:r w:rsidRPr="00BD1B6F">
        <w:rPr>
          <w:sz w:val="24"/>
          <w:szCs w:val="24"/>
        </w:rPr>
        <w:t>10.1.</w:t>
      </w:r>
      <w:r w:rsidRPr="00BD1B6F">
        <w:rPr>
          <w:rFonts w:ascii="Calibri" w:eastAsia="Calibri" w:hAnsi="Calibri" w:cs="Calibri"/>
          <w:sz w:val="24"/>
          <w:szCs w:val="24"/>
        </w:rPr>
        <w:t xml:space="preserve"> </w:t>
      </w:r>
      <w:r w:rsidRPr="00BD1B6F">
        <w:rPr>
          <w:sz w:val="24"/>
          <w:szCs w:val="24"/>
        </w:rPr>
        <w:t>Ostvarene vrijednosti pokazatelja u</w:t>
      </w:r>
      <w:r w:rsidR="00502534">
        <w:rPr>
          <w:sz w:val="24"/>
          <w:szCs w:val="24"/>
        </w:rPr>
        <w:t>spješnosti</w:t>
      </w:r>
      <w:bookmarkEnd w:id="103"/>
    </w:p>
    <w:p w14:paraId="31657287" w14:textId="77777777" w:rsidR="0061479D" w:rsidRPr="00C723DF" w:rsidRDefault="0061479D" w:rsidP="009E6612">
      <w:pPr>
        <w:pStyle w:val="BodyText"/>
      </w:pPr>
    </w:p>
    <w:tbl>
      <w:tblPr>
        <w:tblStyle w:val="PlainTable1"/>
        <w:tblW w:w="9075" w:type="dxa"/>
        <w:tblLayout w:type="fixed"/>
        <w:tblLook w:val="04A0" w:firstRow="1" w:lastRow="0" w:firstColumn="1" w:lastColumn="0" w:noHBand="0" w:noVBand="1"/>
      </w:tblPr>
      <w:tblGrid>
        <w:gridCol w:w="3251"/>
        <w:gridCol w:w="1842"/>
        <w:gridCol w:w="1843"/>
        <w:gridCol w:w="2139"/>
      </w:tblGrid>
      <w:tr w:rsidR="50503237" w:rsidRPr="008115FB" w14:paraId="08D9AF36" w14:textId="77777777" w:rsidTr="00FD2238">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32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6DDE8" w:themeFill="accent5" w:themeFillTint="66"/>
            <w:tcMar>
              <w:left w:w="108" w:type="dxa"/>
              <w:right w:w="108" w:type="dxa"/>
            </w:tcMar>
            <w:vAlign w:val="center"/>
          </w:tcPr>
          <w:p w14:paraId="32F8DA3D" w14:textId="24147054" w:rsidR="50503237" w:rsidRPr="00BD1B6F" w:rsidRDefault="50503237" w:rsidP="50503237">
            <w:pPr>
              <w:jc w:val="center"/>
            </w:pPr>
            <w:r w:rsidRPr="00BD1B6F">
              <w:rPr>
                <w:sz w:val="24"/>
                <w:szCs w:val="24"/>
              </w:rPr>
              <w:t>Pokazatelj učinka</w:t>
            </w:r>
          </w:p>
        </w:tc>
        <w:tc>
          <w:tcPr>
            <w:tcW w:w="18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6DDE8" w:themeFill="accent5" w:themeFillTint="66"/>
            <w:tcMar>
              <w:left w:w="108" w:type="dxa"/>
              <w:right w:w="108" w:type="dxa"/>
            </w:tcMar>
            <w:vAlign w:val="center"/>
          </w:tcPr>
          <w:p w14:paraId="09B7D5B8" w14:textId="6A81D62E" w:rsidR="50503237" w:rsidRPr="00BD1B6F" w:rsidRDefault="50503237" w:rsidP="50503237">
            <w:pPr>
              <w:jc w:val="center"/>
              <w:cnfStyle w:val="100000000000" w:firstRow="1" w:lastRow="0" w:firstColumn="0" w:lastColumn="0" w:oddVBand="0" w:evenVBand="0" w:oddHBand="0" w:evenHBand="0" w:firstRowFirstColumn="0" w:firstRowLastColumn="0" w:lastRowFirstColumn="0" w:lastRowLastColumn="0"/>
            </w:pPr>
            <w:r w:rsidRPr="00BD1B6F">
              <w:rPr>
                <w:sz w:val="24"/>
                <w:szCs w:val="24"/>
              </w:rPr>
              <w:t>Početna vrijednost</w:t>
            </w:r>
          </w:p>
        </w:tc>
        <w:tc>
          <w:tcPr>
            <w:tcW w:w="1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6DDE8" w:themeFill="accent5" w:themeFillTint="66"/>
            <w:tcMar>
              <w:left w:w="108" w:type="dxa"/>
              <w:right w:w="108" w:type="dxa"/>
            </w:tcMar>
            <w:vAlign w:val="center"/>
          </w:tcPr>
          <w:p w14:paraId="4F9E95DA" w14:textId="1040852E" w:rsidR="50503237" w:rsidRPr="00BD1B6F" w:rsidRDefault="50503237" w:rsidP="50503237">
            <w:pPr>
              <w:jc w:val="center"/>
              <w:cnfStyle w:val="100000000000" w:firstRow="1" w:lastRow="0" w:firstColumn="0" w:lastColumn="0" w:oddVBand="0" w:evenVBand="0" w:oddHBand="0" w:evenHBand="0" w:firstRowFirstColumn="0" w:firstRowLastColumn="0" w:lastRowFirstColumn="0" w:lastRowLastColumn="0"/>
            </w:pPr>
            <w:r w:rsidRPr="00BD1B6F">
              <w:rPr>
                <w:sz w:val="24"/>
                <w:szCs w:val="24"/>
              </w:rPr>
              <w:t>Ciljna vrijednost</w:t>
            </w:r>
          </w:p>
        </w:tc>
        <w:tc>
          <w:tcPr>
            <w:tcW w:w="2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6DDE8" w:themeFill="accent5" w:themeFillTint="66"/>
            <w:tcMar>
              <w:left w:w="108" w:type="dxa"/>
              <w:right w:w="108" w:type="dxa"/>
            </w:tcMar>
            <w:vAlign w:val="center"/>
          </w:tcPr>
          <w:p w14:paraId="2AEE2E4C" w14:textId="6221CA87" w:rsidR="50503237" w:rsidRPr="00BD1B6F" w:rsidRDefault="50503237" w:rsidP="50503237">
            <w:pPr>
              <w:jc w:val="center"/>
              <w:cnfStyle w:val="100000000000" w:firstRow="1" w:lastRow="0" w:firstColumn="0" w:lastColumn="0" w:oddVBand="0" w:evenVBand="0" w:oddHBand="0" w:evenHBand="0" w:firstRowFirstColumn="0" w:firstRowLastColumn="0" w:lastRowFirstColumn="0" w:lastRowLastColumn="0"/>
            </w:pPr>
            <w:r w:rsidRPr="00BD1B6F">
              <w:rPr>
                <w:sz w:val="24"/>
                <w:szCs w:val="24"/>
              </w:rPr>
              <w:t xml:space="preserve">Ostvarena vrijednost </w:t>
            </w:r>
          </w:p>
        </w:tc>
      </w:tr>
      <w:tr w:rsidR="50503237" w:rsidRPr="008115FB" w14:paraId="51C0F0B2" w14:textId="77777777" w:rsidTr="004C1D5B">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ADB564D" w14:textId="3E78961B" w:rsidR="50503237" w:rsidRPr="00BD1B6F" w:rsidRDefault="50503237" w:rsidP="50503237">
            <w:pPr>
              <w:rPr>
                <w:b w:val="0"/>
                <w:i/>
                <w:color w:val="000000" w:themeColor="text1"/>
                <w:sz w:val="24"/>
                <w:szCs w:val="24"/>
              </w:rPr>
            </w:pPr>
            <w:r w:rsidRPr="00BD1B6F">
              <w:rPr>
                <w:b w:val="0"/>
                <w:i/>
                <w:color w:val="000000" w:themeColor="text1"/>
                <w:sz w:val="24"/>
                <w:szCs w:val="24"/>
              </w:rPr>
              <w:t xml:space="preserve">Indeks globalne konkurentnosti (GCI), komponentna </w:t>
            </w:r>
            <w:r w:rsidR="00676F4D" w:rsidRPr="00BD1B6F">
              <w:rPr>
                <w:b w:val="0"/>
                <w:i/>
                <w:color w:val="000000" w:themeColor="text1"/>
                <w:sz w:val="24"/>
                <w:szCs w:val="24"/>
              </w:rPr>
              <w:t>„</w:t>
            </w:r>
            <w:r w:rsidRPr="00BD1B6F">
              <w:rPr>
                <w:b w:val="0"/>
                <w:i/>
                <w:color w:val="000000" w:themeColor="text1"/>
                <w:sz w:val="24"/>
                <w:szCs w:val="24"/>
              </w:rPr>
              <w:t>Infrastruktura”</w:t>
            </w:r>
          </w:p>
        </w:tc>
        <w:tc>
          <w:tcPr>
            <w:tcW w:w="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9C2CA48" w14:textId="5C8C818A" w:rsidR="50503237" w:rsidRPr="00BD1B6F" w:rsidRDefault="50503237" w:rsidP="003C2F24">
            <w:pPr>
              <w:jc w:val="center"/>
              <w:cnfStyle w:val="000000100000" w:firstRow="0" w:lastRow="0" w:firstColumn="0" w:lastColumn="0" w:oddVBand="0" w:evenVBand="0" w:oddHBand="1" w:evenHBand="0" w:firstRowFirstColumn="0" w:firstRowLastColumn="0" w:lastRowFirstColumn="0" w:lastRowLastColumn="0"/>
              <w:rPr>
                <w:i/>
                <w:color w:val="000000" w:themeColor="text1"/>
                <w:sz w:val="24"/>
                <w:szCs w:val="24"/>
              </w:rPr>
            </w:pPr>
            <w:r w:rsidRPr="00BD1B6F">
              <w:rPr>
                <w:i/>
                <w:color w:val="000000" w:themeColor="text1"/>
                <w:sz w:val="24"/>
                <w:szCs w:val="24"/>
              </w:rPr>
              <w:t>32. mjesto</w:t>
            </w:r>
          </w:p>
          <w:p w14:paraId="5F68634B" w14:textId="5E15CEBB" w:rsidR="50503237" w:rsidRPr="00BD1B6F" w:rsidRDefault="50503237" w:rsidP="003C2F24">
            <w:pPr>
              <w:jc w:val="center"/>
              <w:cnfStyle w:val="000000100000" w:firstRow="0" w:lastRow="0" w:firstColumn="0" w:lastColumn="0" w:oddVBand="0" w:evenVBand="0" w:oddHBand="1" w:evenHBand="0" w:firstRowFirstColumn="0" w:firstRowLastColumn="0" w:lastRowFirstColumn="0" w:lastRowLastColumn="0"/>
              <w:rPr>
                <w:i/>
                <w:color w:val="000000" w:themeColor="text1"/>
                <w:sz w:val="24"/>
                <w:szCs w:val="24"/>
              </w:rPr>
            </w:pPr>
            <w:r w:rsidRPr="00BD1B6F">
              <w:rPr>
                <w:i/>
                <w:color w:val="000000" w:themeColor="text1"/>
                <w:sz w:val="24"/>
                <w:szCs w:val="24"/>
              </w:rPr>
              <w:t>(2019.)</w:t>
            </w:r>
          </w:p>
        </w:tc>
        <w:tc>
          <w:tcPr>
            <w:tcW w:w="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2CE55AB" w14:textId="3640F4C4" w:rsidR="50503237" w:rsidRPr="00BD1B6F" w:rsidRDefault="50503237" w:rsidP="50503237">
            <w:pPr>
              <w:jc w:val="center"/>
              <w:cnfStyle w:val="000000100000" w:firstRow="0" w:lastRow="0" w:firstColumn="0" w:lastColumn="0" w:oddVBand="0" w:evenVBand="0" w:oddHBand="1" w:evenHBand="0" w:firstRowFirstColumn="0" w:firstRowLastColumn="0" w:lastRowFirstColumn="0" w:lastRowLastColumn="0"/>
              <w:rPr>
                <w:i/>
                <w:color w:val="000000" w:themeColor="text1"/>
                <w:sz w:val="24"/>
                <w:szCs w:val="24"/>
              </w:rPr>
            </w:pPr>
            <w:r w:rsidRPr="00BD1B6F">
              <w:rPr>
                <w:i/>
                <w:color w:val="000000" w:themeColor="text1"/>
                <w:sz w:val="24"/>
                <w:szCs w:val="24"/>
              </w:rPr>
              <w:t>&lt; 28. mjesta</w:t>
            </w:r>
          </w:p>
        </w:tc>
        <w:tc>
          <w:tcPr>
            <w:tcW w:w="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81E393B" w14:textId="4317B777" w:rsidR="50503237" w:rsidRPr="00BD1B6F" w:rsidRDefault="7ECC6A00" w:rsidP="50503237">
            <w:pPr>
              <w:jc w:val="center"/>
              <w:cnfStyle w:val="000000100000" w:firstRow="0" w:lastRow="0" w:firstColumn="0" w:lastColumn="0" w:oddVBand="0" w:evenVBand="0" w:oddHBand="1" w:evenHBand="0" w:firstRowFirstColumn="0" w:firstRowLastColumn="0" w:lastRowFirstColumn="0" w:lastRowLastColumn="0"/>
              <w:rPr>
                <w:i/>
                <w:sz w:val="24"/>
                <w:szCs w:val="24"/>
                <w:vertAlign w:val="superscript"/>
              </w:rPr>
            </w:pPr>
            <w:r w:rsidRPr="00BD1B6F">
              <w:rPr>
                <w:i/>
                <w:iCs/>
                <w:color w:val="000000" w:themeColor="text1"/>
                <w:sz w:val="24"/>
                <w:szCs w:val="24"/>
              </w:rPr>
              <w:t>Nisu dostupni noviji podaci</w:t>
            </w:r>
            <w:r w:rsidRPr="00BD1B6F">
              <w:rPr>
                <w:rStyle w:val="FootnoteReference"/>
                <w:i/>
                <w:iCs/>
                <w:sz w:val="24"/>
                <w:szCs w:val="24"/>
              </w:rPr>
              <w:footnoteReference w:id="7"/>
            </w:r>
          </w:p>
        </w:tc>
      </w:tr>
      <w:tr w:rsidR="50503237" w:rsidRPr="008115FB" w14:paraId="38BD57C3" w14:textId="77777777" w:rsidTr="004C1D5B">
        <w:trPr>
          <w:trHeight w:val="1282"/>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CE5A8D2" w14:textId="0E47BCE3" w:rsidR="50503237" w:rsidRPr="00BD1B6F" w:rsidRDefault="50503237" w:rsidP="50503237">
            <w:r w:rsidRPr="00BD1B6F">
              <w:rPr>
                <w:sz w:val="24"/>
                <w:szCs w:val="24"/>
              </w:rPr>
              <w:t>Poredak na ljestvici globalne konkurentnosti (WCR, IMD), kategorija Infrastruktura</w:t>
            </w:r>
          </w:p>
        </w:tc>
        <w:tc>
          <w:tcPr>
            <w:tcW w:w="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AEEF3" w:themeFill="accent5" w:themeFillTint="33"/>
            <w:tcMar>
              <w:left w:w="108" w:type="dxa"/>
              <w:right w:w="108" w:type="dxa"/>
            </w:tcMar>
            <w:vAlign w:val="center"/>
          </w:tcPr>
          <w:p w14:paraId="6F104E3E" w14:textId="73F8F508" w:rsidR="50503237" w:rsidRPr="00BD1B6F" w:rsidRDefault="50503237" w:rsidP="003C2F24">
            <w:pPr>
              <w:jc w:val="center"/>
              <w:cnfStyle w:val="000000000000" w:firstRow="0" w:lastRow="0" w:firstColumn="0" w:lastColumn="0" w:oddVBand="0" w:evenVBand="0" w:oddHBand="0" w:evenHBand="0" w:firstRowFirstColumn="0" w:firstRowLastColumn="0" w:lastRowFirstColumn="0" w:lastRowLastColumn="0"/>
            </w:pPr>
            <w:r w:rsidRPr="00BD1B6F">
              <w:rPr>
                <w:b/>
                <w:bCs/>
                <w:sz w:val="24"/>
                <w:szCs w:val="24"/>
              </w:rPr>
              <w:t>48. mjesto (2020.)</w:t>
            </w:r>
          </w:p>
        </w:tc>
        <w:tc>
          <w:tcPr>
            <w:tcW w:w="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7655EA1" w14:textId="6B7AD389" w:rsidR="50503237" w:rsidRPr="00BD1B6F" w:rsidRDefault="50503237" w:rsidP="50503237">
            <w:pPr>
              <w:jc w:val="center"/>
              <w:cnfStyle w:val="000000000000" w:firstRow="0" w:lastRow="0" w:firstColumn="0" w:lastColumn="0" w:oddVBand="0" w:evenVBand="0" w:oddHBand="0" w:evenHBand="0" w:firstRowFirstColumn="0" w:firstRowLastColumn="0" w:lastRowFirstColumn="0" w:lastRowLastColumn="0"/>
            </w:pPr>
            <w:r w:rsidRPr="00BD1B6F">
              <w:rPr>
                <w:b/>
                <w:bCs/>
                <w:sz w:val="24"/>
                <w:szCs w:val="24"/>
              </w:rPr>
              <w:t>n/p</w:t>
            </w:r>
          </w:p>
        </w:tc>
        <w:tc>
          <w:tcPr>
            <w:tcW w:w="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AEEF3" w:themeFill="accent5" w:themeFillTint="33"/>
            <w:tcMar>
              <w:left w:w="108" w:type="dxa"/>
              <w:right w:w="108" w:type="dxa"/>
            </w:tcMar>
            <w:vAlign w:val="center"/>
          </w:tcPr>
          <w:p w14:paraId="36D12E66" w14:textId="69323E3B" w:rsidR="50503237" w:rsidRPr="00BD1B6F" w:rsidRDefault="50503237" w:rsidP="50503237">
            <w:pPr>
              <w:jc w:val="center"/>
              <w:cnfStyle w:val="000000000000" w:firstRow="0" w:lastRow="0" w:firstColumn="0" w:lastColumn="0" w:oddVBand="0" w:evenVBand="0" w:oddHBand="0" w:evenHBand="0" w:firstRowFirstColumn="0" w:firstRowLastColumn="0" w:lastRowFirstColumn="0" w:lastRowLastColumn="0"/>
            </w:pPr>
            <w:r w:rsidRPr="00BD1B6F">
              <w:rPr>
                <w:b/>
                <w:bCs/>
                <w:sz w:val="24"/>
                <w:szCs w:val="24"/>
              </w:rPr>
              <w:t>45. mjesto</w:t>
            </w:r>
          </w:p>
          <w:p w14:paraId="6E5C5E6B" w14:textId="387613CD" w:rsidR="50503237" w:rsidRPr="00BD1B6F" w:rsidRDefault="50503237" w:rsidP="50503237">
            <w:pPr>
              <w:jc w:val="center"/>
              <w:cnfStyle w:val="000000000000" w:firstRow="0" w:lastRow="0" w:firstColumn="0" w:lastColumn="0" w:oddVBand="0" w:evenVBand="0" w:oddHBand="0" w:evenHBand="0" w:firstRowFirstColumn="0" w:firstRowLastColumn="0" w:lastRowFirstColumn="0" w:lastRowLastColumn="0"/>
            </w:pPr>
            <w:r w:rsidRPr="00BD1B6F">
              <w:rPr>
                <w:b/>
                <w:bCs/>
                <w:sz w:val="24"/>
                <w:szCs w:val="24"/>
              </w:rPr>
              <w:t>(2022.)</w:t>
            </w:r>
          </w:p>
        </w:tc>
      </w:tr>
    </w:tbl>
    <w:p w14:paraId="346B0407" w14:textId="0CB8A2D8" w:rsidR="00746EAC" w:rsidRPr="00BD1B6F" w:rsidRDefault="50DE2B21" w:rsidP="50503237">
      <w:pPr>
        <w:spacing w:after="160" w:line="257" w:lineRule="auto"/>
        <w:jc w:val="both"/>
      </w:pPr>
      <w:r w:rsidRPr="00BD1B6F">
        <w:rPr>
          <w:b/>
          <w:bCs/>
          <w:sz w:val="24"/>
          <w:szCs w:val="24"/>
        </w:rPr>
        <w:t xml:space="preserve"> </w:t>
      </w:r>
    </w:p>
    <w:p w14:paraId="55713417" w14:textId="30B667AB" w:rsidR="50DE2B21" w:rsidRPr="009E6612" w:rsidRDefault="50DE2B21" w:rsidP="009E6612">
      <w:pPr>
        <w:pStyle w:val="Heading3"/>
        <w:rPr>
          <w:sz w:val="24"/>
          <w:szCs w:val="24"/>
        </w:rPr>
      </w:pPr>
      <w:bookmarkStart w:id="104" w:name="_Toc156819398"/>
      <w:r w:rsidRPr="009E6612">
        <w:rPr>
          <w:sz w:val="24"/>
          <w:szCs w:val="24"/>
        </w:rPr>
        <w:t>10.</w:t>
      </w:r>
      <w:r w:rsidR="00746EAC" w:rsidRPr="009E6612">
        <w:rPr>
          <w:sz w:val="24"/>
          <w:szCs w:val="24"/>
        </w:rPr>
        <w:t>2</w:t>
      </w:r>
      <w:r w:rsidRPr="009E6612">
        <w:rPr>
          <w:sz w:val="24"/>
          <w:szCs w:val="24"/>
        </w:rPr>
        <w:t>. Opis napretka u provedbi strateškog cilja</w:t>
      </w:r>
      <w:r w:rsidR="00C723DF" w:rsidRPr="009E6612">
        <w:rPr>
          <w:sz w:val="24"/>
          <w:szCs w:val="24"/>
        </w:rPr>
        <w:t xml:space="preserve"> Održiva mobilnost</w:t>
      </w:r>
      <w:bookmarkEnd w:id="104"/>
    </w:p>
    <w:p w14:paraId="33E9EBAF" w14:textId="77777777" w:rsidR="00A42223" w:rsidRPr="00BD1B6F" w:rsidRDefault="00A42223" w:rsidP="00A42223">
      <w:pPr>
        <w:spacing w:before="240" w:after="160" w:line="276" w:lineRule="auto"/>
        <w:jc w:val="both"/>
        <w:rPr>
          <w:sz w:val="24"/>
          <w:szCs w:val="24"/>
        </w:rPr>
      </w:pPr>
      <w:r w:rsidRPr="00BD1B6F">
        <w:rPr>
          <w:sz w:val="24"/>
          <w:szCs w:val="24"/>
        </w:rPr>
        <w:t>Unatoč složenoj geopolitičkoj situaciji te posljedicama koje je prouzrokovala pandemija bolesti COVID-19, Hrvatska je uspješno nastavila rad na razvoju konkurentnog, energetski održivog i učinkovitog prometnog sustava. Prema podacima Instituta za razvoj poslovnog upravljanja iz Lausannea (</w:t>
      </w:r>
      <w:r w:rsidRPr="00BD1B6F">
        <w:rPr>
          <w:i/>
          <w:iCs/>
          <w:sz w:val="24"/>
          <w:szCs w:val="24"/>
        </w:rPr>
        <w:t xml:space="preserve">International Institute for Management Development </w:t>
      </w:r>
      <w:r w:rsidRPr="00BD1B6F">
        <w:rPr>
          <w:sz w:val="24"/>
          <w:szCs w:val="24"/>
        </w:rPr>
        <w:t>- IMD), u odnosu na 2021</w:t>
      </w:r>
      <w:r>
        <w:rPr>
          <w:sz w:val="24"/>
          <w:szCs w:val="24"/>
        </w:rPr>
        <w:t>.</w:t>
      </w:r>
      <w:r w:rsidRPr="00BD1B6F">
        <w:rPr>
          <w:sz w:val="24"/>
          <w:szCs w:val="24"/>
        </w:rPr>
        <w:t xml:space="preserve"> Hrvatska je u kategoriji </w:t>
      </w:r>
      <w:r w:rsidRPr="00BD1B6F">
        <w:rPr>
          <w:i/>
          <w:iCs/>
          <w:sz w:val="24"/>
          <w:szCs w:val="24"/>
        </w:rPr>
        <w:t>Infrastrukture</w:t>
      </w:r>
      <w:r w:rsidRPr="00BD1B6F">
        <w:rPr>
          <w:sz w:val="24"/>
          <w:szCs w:val="24"/>
        </w:rPr>
        <w:t xml:space="preserve"> napredovala za 3 mjesta te se sada se nalazi na 45. mjestu ljestvice globalne konkurentnosti (WCR).</w:t>
      </w:r>
    </w:p>
    <w:p w14:paraId="3003648E" w14:textId="77777777" w:rsidR="00A42223" w:rsidRPr="00BD1B6F" w:rsidRDefault="00A42223" w:rsidP="00A42223">
      <w:pPr>
        <w:spacing w:before="240" w:after="160" w:line="276" w:lineRule="auto"/>
        <w:jc w:val="both"/>
        <w:rPr>
          <w:sz w:val="24"/>
          <w:szCs w:val="24"/>
        </w:rPr>
      </w:pPr>
      <w:r w:rsidRPr="00BD1B6F">
        <w:rPr>
          <w:sz w:val="24"/>
          <w:szCs w:val="24"/>
        </w:rPr>
        <w:t>U srpnju 2022. puštanjem u promet Pelješkog mosta</w:t>
      </w:r>
      <w:r>
        <w:rPr>
          <w:sz w:val="24"/>
          <w:szCs w:val="24"/>
        </w:rPr>
        <w:t>,</w:t>
      </w:r>
      <w:r w:rsidRPr="00BD1B6F">
        <w:rPr>
          <w:sz w:val="24"/>
          <w:szCs w:val="24"/>
        </w:rPr>
        <w:t xml:space="preserve"> postignut je strateški cilj prometnog povezivanja teritorijalno razdvojenog dijela Hrvatske s ostatkom domovine. Most je izgrađen u okviru projekta „Cestovna povezanost s Južnom Dalmacijom“ ukupne vrijednosti 52</w:t>
      </w:r>
      <w:r w:rsidRPr="008115FB">
        <w:rPr>
          <w:sz w:val="24"/>
          <w:szCs w:val="24"/>
        </w:rPr>
        <w:t>6</w:t>
      </w:r>
      <w:r w:rsidRPr="00BD1B6F">
        <w:rPr>
          <w:sz w:val="24"/>
          <w:szCs w:val="24"/>
        </w:rPr>
        <w:t xml:space="preserve"> milijuna eura, od čega je 357 milijuna eura sredstava bilo osigurano iz OPKK 2014.</w:t>
      </w:r>
      <w:r>
        <w:rPr>
          <w:sz w:val="24"/>
          <w:szCs w:val="24"/>
        </w:rPr>
        <w:t xml:space="preserve"> </w:t>
      </w:r>
      <w:r w:rsidRPr="00BD1B6F">
        <w:rPr>
          <w:sz w:val="24"/>
          <w:szCs w:val="24"/>
        </w:rPr>
        <w:t>-</w:t>
      </w:r>
      <w:r>
        <w:rPr>
          <w:sz w:val="24"/>
          <w:szCs w:val="24"/>
        </w:rPr>
        <w:t xml:space="preserve"> </w:t>
      </w:r>
      <w:r w:rsidRPr="00BD1B6F">
        <w:rPr>
          <w:sz w:val="24"/>
          <w:szCs w:val="24"/>
        </w:rPr>
        <w:t>2020. Projektom je, osim Pelješkog mosta, bila obuhvaćena izgradnja ukupno 3</w:t>
      </w:r>
      <w:r w:rsidRPr="008115FB">
        <w:rPr>
          <w:sz w:val="24"/>
          <w:szCs w:val="24"/>
        </w:rPr>
        <w:t>0</w:t>
      </w:r>
      <w:r w:rsidRPr="00BD1B6F">
        <w:rPr>
          <w:sz w:val="24"/>
          <w:szCs w:val="24"/>
        </w:rPr>
        <w:t xml:space="preserve"> kilometara cesta s pripadajućim pratećim objektima.</w:t>
      </w:r>
    </w:p>
    <w:p w14:paraId="0D35561C" w14:textId="77777777" w:rsidR="00A42223" w:rsidRPr="00BD1B6F" w:rsidRDefault="00A42223" w:rsidP="00A42223">
      <w:pPr>
        <w:spacing w:before="240" w:after="160" w:line="276" w:lineRule="auto"/>
        <w:jc w:val="both"/>
        <w:rPr>
          <w:sz w:val="24"/>
          <w:szCs w:val="24"/>
        </w:rPr>
      </w:pPr>
      <w:r w:rsidRPr="00BD1B6F">
        <w:rPr>
          <w:sz w:val="24"/>
          <w:szCs w:val="24"/>
        </w:rPr>
        <w:t xml:space="preserve">Nastavljeni su napori na modernizaciji javnog gradskog prijevoza u Hrvatskoj. U okviru provedbe </w:t>
      </w:r>
      <w:r>
        <w:rPr>
          <w:sz w:val="24"/>
          <w:szCs w:val="24"/>
        </w:rPr>
        <w:t>u</w:t>
      </w:r>
      <w:r w:rsidRPr="00BD1B6F">
        <w:rPr>
          <w:sz w:val="24"/>
          <w:szCs w:val="24"/>
        </w:rPr>
        <w:t>govora o dodjeli bespovratnih sredstava OPKK 2014.</w:t>
      </w:r>
      <w:r>
        <w:rPr>
          <w:sz w:val="24"/>
          <w:szCs w:val="24"/>
        </w:rPr>
        <w:t xml:space="preserve"> </w:t>
      </w:r>
      <w:r w:rsidRPr="00BD1B6F">
        <w:rPr>
          <w:sz w:val="24"/>
          <w:szCs w:val="24"/>
        </w:rPr>
        <w:t>-</w:t>
      </w:r>
      <w:r>
        <w:rPr>
          <w:sz w:val="24"/>
          <w:szCs w:val="24"/>
        </w:rPr>
        <w:t xml:space="preserve"> </w:t>
      </w:r>
      <w:r w:rsidRPr="00BD1B6F">
        <w:rPr>
          <w:sz w:val="24"/>
          <w:szCs w:val="24"/>
        </w:rPr>
        <w:t xml:space="preserve">2020. za obnovu voznih parkova javnih prijevoznika vozilima višeg ekološkog standarda s niskom emisijom CO2, ukupne vrijednosti 47,27 milijuna eura, javnim gradskim prijevoznicima u </w:t>
      </w:r>
      <w:r w:rsidRPr="008115FB">
        <w:rPr>
          <w:sz w:val="24"/>
          <w:szCs w:val="24"/>
        </w:rPr>
        <w:t>8</w:t>
      </w:r>
      <w:r w:rsidRPr="00BD1B6F">
        <w:rPr>
          <w:sz w:val="24"/>
          <w:szCs w:val="24"/>
        </w:rPr>
        <w:t xml:space="preserve"> hrvatskih gradova isporučeno je </w:t>
      </w:r>
      <w:r w:rsidRPr="008115FB">
        <w:rPr>
          <w:sz w:val="24"/>
          <w:szCs w:val="24"/>
        </w:rPr>
        <w:t>190</w:t>
      </w:r>
      <w:r w:rsidRPr="00BD1B6F">
        <w:rPr>
          <w:sz w:val="24"/>
          <w:szCs w:val="24"/>
        </w:rPr>
        <w:t xml:space="preserve"> novih autobusa s motorom norme Euro 6 te </w:t>
      </w:r>
      <w:r w:rsidRPr="008115FB">
        <w:rPr>
          <w:sz w:val="24"/>
          <w:szCs w:val="24"/>
        </w:rPr>
        <w:t>4</w:t>
      </w:r>
      <w:r w:rsidRPr="00BD1B6F">
        <w:rPr>
          <w:sz w:val="24"/>
          <w:szCs w:val="24"/>
        </w:rPr>
        <w:t xml:space="preserve"> nov</w:t>
      </w:r>
      <w:r w:rsidRPr="008115FB">
        <w:rPr>
          <w:sz w:val="24"/>
          <w:szCs w:val="24"/>
        </w:rPr>
        <w:t>a</w:t>
      </w:r>
      <w:r w:rsidRPr="00BD1B6F">
        <w:rPr>
          <w:sz w:val="24"/>
          <w:szCs w:val="24"/>
        </w:rPr>
        <w:t xml:space="preserve"> autobusa koji kao pogonsko gorivo koriste prirodni plin. Također, u prosincu 2022. potpisan je </w:t>
      </w:r>
      <w:r>
        <w:rPr>
          <w:sz w:val="24"/>
          <w:szCs w:val="24"/>
        </w:rPr>
        <w:t>u</w:t>
      </w:r>
      <w:r w:rsidRPr="00BD1B6F">
        <w:rPr>
          <w:sz w:val="24"/>
          <w:szCs w:val="24"/>
        </w:rPr>
        <w:t>govor o dodjeli bespovratnih sredstava za nabavu 20 novih niskopodnih tramvaja za Z</w:t>
      </w:r>
      <w:r>
        <w:rPr>
          <w:sz w:val="24"/>
          <w:szCs w:val="24"/>
        </w:rPr>
        <w:t>ET</w:t>
      </w:r>
      <w:r w:rsidRPr="00BD1B6F">
        <w:rPr>
          <w:sz w:val="24"/>
          <w:szCs w:val="24"/>
        </w:rPr>
        <w:t xml:space="preserve"> d.o.o. Ukupna vrijednost </w:t>
      </w:r>
      <w:r>
        <w:rPr>
          <w:sz w:val="24"/>
          <w:szCs w:val="24"/>
        </w:rPr>
        <w:t>u</w:t>
      </w:r>
      <w:r w:rsidRPr="00BD1B6F">
        <w:rPr>
          <w:sz w:val="24"/>
          <w:szCs w:val="24"/>
        </w:rPr>
        <w:t xml:space="preserve">govora iznosi </w:t>
      </w:r>
      <w:r w:rsidRPr="008115FB">
        <w:rPr>
          <w:sz w:val="24"/>
          <w:szCs w:val="24"/>
        </w:rPr>
        <w:t>39,82</w:t>
      </w:r>
      <w:r w:rsidRPr="00BD1B6F">
        <w:rPr>
          <w:sz w:val="24"/>
          <w:szCs w:val="24"/>
        </w:rPr>
        <w:t xml:space="preserve"> milijuna eura</w:t>
      </w:r>
      <w:r w:rsidRPr="008115FB">
        <w:rPr>
          <w:sz w:val="24"/>
          <w:szCs w:val="24"/>
        </w:rPr>
        <w:t>,</w:t>
      </w:r>
      <w:r w:rsidRPr="00BD1B6F">
        <w:rPr>
          <w:sz w:val="24"/>
          <w:szCs w:val="24"/>
        </w:rPr>
        <w:t xml:space="preserve"> a sredstva za investiciju osigurana </w:t>
      </w:r>
      <w:r>
        <w:rPr>
          <w:sz w:val="24"/>
          <w:szCs w:val="24"/>
        </w:rPr>
        <w:t xml:space="preserve">su </w:t>
      </w:r>
      <w:r w:rsidRPr="00BD1B6F">
        <w:rPr>
          <w:sz w:val="24"/>
          <w:szCs w:val="24"/>
        </w:rPr>
        <w:t xml:space="preserve">iz NPOO-a. Modernizacijom javnog </w:t>
      </w:r>
      <w:r w:rsidRPr="00BD1B6F">
        <w:rPr>
          <w:sz w:val="24"/>
          <w:szCs w:val="24"/>
        </w:rPr>
        <w:lastRenderedPageBreak/>
        <w:t>autobusnog i tramvajskog voznog parka poboljšava se sigurnost i kvaliteta javnog prijevoza u Hrvatskoj te se potiče veći broj korisnika na korištenje javnog prijevoza i doprinosi razvoju niskougljičnog prometa.</w:t>
      </w:r>
    </w:p>
    <w:p w14:paraId="52351E54" w14:textId="77777777" w:rsidR="00A42223" w:rsidRPr="00BD1B6F" w:rsidRDefault="00A42223" w:rsidP="00A42223">
      <w:pPr>
        <w:spacing w:before="240" w:after="160" w:line="276" w:lineRule="auto"/>
        <w:jc w:val="both"/>
        <w:rPr>
          <w:sz w:val="24"/>
          <w:szCs w:val="24"/>
        </w:rPr>
      </w:pPr>
      <w:r w:rsidRPr="00BD1B6F">
        <w:rPr>
          <w:sz w:val="24"/>
          <w:szCs w:val="24"/>
        </w:rPr>
        <w:t xml:space="preserve">U 2022. </w:t>
      </w:r>
      <w:r w:rsidRPr="008115FB">
        <w:rPr>
          <w:sz w:val="24"/>
          <w:szCs w:val="24"/>
        </w:rPr>
        <w:t xml:space="preserve">nastavljeni </w:t>
      </w:r>
      <w:r>
        <w:rPr>
          <w:sz w:val="24"/>
          <w:szCs w:val="24"/>
        </w:rPr>
        <w:t xml:space="preserve">su </w:t>
      </w:r>
      <w:r w:rsidRPr="008115FB">
        <w:rPr>
          <w:sz w:val="24"/>
          <w:szCs w:val="24"/>
        </w:rPr>
        <w:t xml:space="preserve">napori na </w:t>
      </w:r>
      <w:r w:rsidRPr="00BD1B6F">
        <w:rPr>
          <w:sz w:val="24"/>
          <w:szCs w:val="24"/>
        </w:rPr>
        <w:t>izradi Nacionalnog plana razvoja biciklističkog prometa za razdoblje od 2023. do 2027. godine, kojim se prvi put postavlja temelj sustavnom planiranju, učinkovitom upravljanju i praćenju razvoja biciklističkog prometa.</w:t>
      </w:r>
      <w:r w:rsidRPr="008115FB">
        <w:rPr>
          <w:sz w:val="24"/>
          <w:szCs w:val="24"/>
        </w:rPr>
        <w:t xml:space="preserve"> </w:t>
      </w:r>
      <w:r>
        <w:rPr>
          <w:sz w:val="24"/>
          <w:szCs w:val="24"/>
        </w:rPr>
        <w:t>N</w:t>
      </w:r>
      <w:r w:rsidRPr="008115FB">
        <w:rPr>
          <w:sz w:val="24"/>
          <w:szCs w:val="24"/>
        </w:rPr>
        <w:t>jegov</w:t>
      </w:r>
      <w:r>
        <w:rPr>
          <w:sz w:val="24"/>
          <w:szCs w:val="24"/>
        </w:rPr>
        <w:t>om</w:t>
      </w:r>
      <w:r w:rsidRPr="008115FB">
        <w:rPr>
          <w:sz w:val="24"/>
          <w:szCs w:val="24"/>
        </w:rPr>
        <w:t xml:space="preserve"> provedb</w:t>
      </w:r>
      <w:r>
        <w:rPr>
          <w:sz w:val="24"/>
          <w:szCs w:val="24"/>
        </w:rPr>
        <w:t>om</w:t>
      </w:r>
      <w:r w:rsidRPr="008115FB">
        <w:rPr>
          <w:sz w:val="24"/>
          <w:szCs w:val="24"/>
        </w:rPr>
        <w:t xml:space="preserve"> </w:t>
      </w:r>
      <w:r>
        <w:rPr>
          <w:sz w:val="24"/>
          <w:szCs w:val="24"/>
        </w:rPr>
        <w:t>potaknut</w:t>
      </w:r>
      <w:r w:rsidRPr="008115FB">
        <w:rPr>
          <w:sz w:val="24"/>
          <w:szCs w:val="24"/>
        </w:rPr>
        <w:t xml:space="preserve"> će se</w:t>
      </w:r>
      <w:r w:rsidRPr="00BD1B6F">
        <w:rPr>
          <w:sz w:val="24"/>
          <w:szCs w:val="24"/>
        </w:rPr>
        <w:t xml:space="preserve"> razvoj i veće korištenje biciklističkog prometa, </w:t>
      </w:r>
      <w:r>
        <w:rPr>
          <w:sz w:val="24"/>
          <w:szCs w:val="24"/>
        </w:rPr>
        <w:t>što su neki</w:t>
      </w:r>
      <w:r w:rsidRPr="00BD1B6F">
        <w:rPr>
          <w:sz w:val="24"/>
          <w:szCs w:val="24"/>
        </w:rPr>
        <w:t xml:space="preserve"> od preduvjeta </w:t>
      </w:r>
      <w:r w:rsidRPr="008115FB">
        <w:rPr>
          <w:sz w:val="24"/>
          <w:szCs w:val="24"/>
        </w:rPr>
        <w:t xml:space="preserve">za </w:t>
      </w:r>
      <w:r w:rsidRPr="00BD1B6F">
        <w:rPr>
          <w:sz w:val="24"/>
          <w:szCs w:val="24"/>
        </w:rPr>
        <w:t>niskougljično gospodarstv</w:t>
      </w:r>
      <w:r w:rsidRPr="008115FB">
        <w:rPr>
          <w:sz w:val="24"/>
          <w:szCs w:val="24"/>
        </w:rPr>
        <w:t>o</w:t>
      </w:r>
      <w:r w:rsidRPr="00BD1B6F">
        <w:rPr>
          <w:sz w:val="24"/>
          <w:szCs w:val="24"/>
        </w:rPr>
        <w:t>, održiv</w:t>
      </w:r>
      <w:r w:rsidRPr="008115FB">
        <w:rPr>
          <w:sz w:val="24"/>
          <w:szCs w:val="24"/>
        </w:rPr>
        <w:t>i</w:t>
      </w:r>
      <w:r w:rsidRPr="00BD1B6F">
        <w:rPr>
          <w:sz w:val="24"/>
          <w:szCs w:val="24"/>
        </w:rPr>
        <w:t xml:space="preserve"> turiz</w:t>
      </w:r>
      <w:r w:rsidRPr="008115FB">
        <w:rPr>
          <w:sz w:val="24"/>
          <w:szCs w:val="24"/>
        </w:rPr>
        <w:t>a</w:t>
      </w:r>
      <w:r w:rsidRPr="00BD1B6F">
        <w:rPr>
          <w:sz w:val="24"/>
          <w:szCs w:val="24"/>
        </w:rPr>
        <w:t>m te zdravij</w:t>
      </w:r>
      <w:r w:rsidRPr="008115FB">
        <w:rPr>
          <w:sz w:val="24"/>
          <w:szCs w:val="24"/>
        </w:rPr>
        <w:t>i</w:t>
      </w:r>
      <w:r w:rsidRPr="00BD1B6F">
        <w:rPr>
          <w:sz w:val="24"/>
          <w:szCs w:val="24"/>
        </w:rPr>
        <w:t xml:space="preserve"> i kvalitetnij</w:t>
      </w:r>
      <w:r w:rsidRPr="008115FB">
        <w:rPr>
          <w:sz w:val="24"/>
          <w:szCs w:val="24"/>
        </w:rPr>
        <w:t>i</w:t>
      </w:r>
      <w:r w:rsidRPr="00BD1B6F">
        <w:rPr>
          <w:sz w:val="24"/>
          <w:szCs w:val="24"/>
        </w:rPr>
        <w:t xml:space="preserve"> život građana. Procijenjena vrijednost ulaganja </w:t>
      </w:r>
      <w:r w:rsidRPr="008115FB">
        <w:rPr>
          <w:sz w:val="24"/>
          <w:szCs w:val="24"/>
        </w:rPr>
        <w:t xml:space="preserve">predviđenih </w:t>
      </w:r>
      <w:r w:rsidRPr="00BD1B6F">
        <w:rPr>
          <w:sz w:val="24"/>
          <w:szCs w:val="24"/>
        </w:rPr>
        <w:t>u okviru Nacionalnog plana iznosi ukupno 166 milijuna eura, a provedbom će se omogućiti izgradnja dodatnih 657 kilometara biciklističke infrastrukture.</w:t>
      </w:r>
    </w:p>
    <w:p w14:paraId="5AD95228" w14:textId="77777777" w:rsidR="00A42223" w:rsidRPr="00BD1B6F" w:rsidRDefault="00A42223" w:rsidP="00A42223">
      <w:pPr>
        <w:spacing w:before="240" w:after="160" w:line="276" w:lineRule="auto"/>
        <w:jc w:val="both"/>
        <w:rPr>
          <w:sz w:val="24"/>
          <w:szCs w:val="24"/>
        </w:rPr>
      </w:pPr>
      <w:r w:rsidRPr="00BD1B6F">
        <w:rPr>
          <w:sz w:val="24"/>
          <w:szCs w:val="24"/>
        </w:rPr>
        <w:t xml:space="preserve">Osnovni mehanizam putem kojeg Hrvatska može postići značajnije smanjenje emisija u </w:t>
      </w:r>
      <w:r>
        <w:rPr>
          <w:sz w:val="24"/>
          <w:szCs w:val="24"/>
        </w:rPr>
        <w:t xml:space="preserve">sektoru prometa u </w:t>
      </w:r>
      <w:r w:rsidRPr="00BD1B6F">
        <w:rPr>
          <w:sz w:val="24"/>
          <w:szCs w:val="24"/>
        </w:rPr>
        <w:t xml:space="preserve">bliskoj budućnosti </w:t>
      </w:r>
      <w:r w:rsidRPr="003E0BA5">
        <w:rPr>
          <w:sz w:val="24"/>
          <w:szCs w:val="24"/>
        </w:rPr>
        <w:t>je</w:t>
      </w:r>
      <w:r w:rsidRPr="00BD1B6F">
        <w:rPr>
          <w:sz w:val="24"/>
          <w:szCs w:val="24"/>
        </w:rPr>
        <w:t xml:space="preserve"> zaokret od cestovnog prijevoza prema drugim načinima prijevoza. Najspremniji za tu ulogu je sektor željezničkog prijevoza koji nastavlja s dobrim rezultatima i u 2022. Ukupno je tijekom 2022. u željezničkom putničkom prijevozu prevezeno 18,6 milijuna putnika, 37,3% više u odnosu na 2021., uz čak 50,9% više ostvarenih putničkih kilometara </w:t>
      </w:r>
      <w:r>
        <w:rPr>
          <w:sz w:val="24"/>
          <w:szCs w:val="24"/>
        </w:rPr>
        <w:t>i</w:t>
      </w:r>
      <w:r w:rsidRPr="00BD1B6F">
        <w:rPr>
          <w:sz w:val="24"/>
          <w:szCs w:val="24"/>
        </w:rPr>
        <w:t xml:space="preserve"> 18,8% već</w:t>
      </w:r>
      <w:r>
        <w:rPr>
          <w:sz w:val="24"/>
          <w:szCs w:val="24"/>
        </w:rPr>
        <w:t>e</w:t>
      </w:r>
      <w:r w:rsidRPr="00BD1B6F">
        <w:rPr>
          <w:sz w:val="24"/>
          <w:szCs w:val="24"/>
        </w:rPr>
        <w:t xml:space="preserve"> prihod</w:t>
      </w:r>
      <w:r>
        <w:rPr>
          <w:sz w:val="24"/>
          <w:szCs w:val="24"/>
        </w:rPr>
        <w:t xml:space="preserve">e ostvarene </w:t>
      </w:r>
      <w:r w:rsidRPr="00BD1B6F">
        <w:rPr>
          <w:sz w:val="24"/>
          <w:szCs w:val="24"/>
        </w:rPr>
        <w:t>prodaj</w:t>
      </w:r>
      <w:r>
        <w:rPr>
          <w:sz w:val="24"/>
          <w:szCs w:val="24"/>
        </w:rPr>
        <w:t>om</w:t>
      </w:r>
      <w:r w:rsidRPr="00BD1B6F">
        <w:rPr>
          <w:sz w:val="24"/>
          <w:szCs w:val="24"/>
        </w:rPr>
        <w:t xml:space="preserve"> karata.</w:t>
      </w:r>
    </w:p>
    <w:p w14:paraId="5E31B9F9" w14:textId="77777777" w:rsidR="00A42223" w:rsidRPr="00BD1B6F" w:rsidRDefault="00A42223" w:rsidP="00A42223">
      <w:pPr>
        <w:spacing w:before="240" w:after="160" w:line="271" w:lineRule="auto"/>
        <w:jc w:val="both"/>
        <w:rPr>
          <w:sz w:val="24"/>
          <w:szCs w:val="24"/>
        </w:rPr>
      </w:pPr>
      <w:r w:rsidRPr="00BD1B6F">
        <w:rPr>
          <w:sz w:val="24"/>
          <w:szCs w:val="24"/>
        </w:rPr>
        <w:t>Kako bi se nastavili dobri rezultati i omogućili uvjeti da željeznički prijevoz preuzme značajno veći udio prometa u odnosu na cestovni prijevoz, tijekom 2022. donesen je novi strateški okvir za razvoj željezničkog sustava u Hrvatskoj. Strateškim okvirom, koji čine 3 akta strateškog planiranja, za naredno desetljeće postavljaju</w:t>
      </w:r>
      <w:r>
        <w:rPr>
          <w:sz w:val="24"/>
          <w:szCs w:val="24"/>
        </w:rPr>
        <w:t xml:space="preserve"> se</w:t>
      </w:r>
      <w:r w:rsidRPr="00BD1B6F">
        <w:rPr>
          <w:sz w:val="24"/>
          <w:szCs w:val="24"/>
        </w:rPr>
        <w:t xml:space="preserve"> ciljevi i prioriteti za provedbu ulaganja u modernizaciju i razvoj željezničkog sustava,</w:t>
      </w:r>
      <w:r w:rsidRPr="00BD1B6F">
        <w:t xml:space="preserve"> u</w:t>
      </w:r>
      <w:r w:rsidRPr="00BD1B6F">
        <w:rPr>
          <w:sz w:val="24"/>
          <w:szCs w:val="24"/>
        </w:rPr>
        <w:t xml:space="preserve">kupne vrijednosti veće od 6 milijardi eura. U studenom 2022. donesena je Strategija razvoja željezničkog sustava Republike Hrvatske do 2032. godine, a u prosincu 2022. doneseni </w:t>
      </w:r>
      <w:r>
        <w:rPr>
          <w:sz w:val="24"/>
          <w:szCs w:val="24"/>
        </w:rPr>
        <w:t xml:space="preserve">su </w:t>
      </w:r>
      <w:r w:rsidRPr="00BD1B6F">
        <w:rPr>
          <w:sz w:val="24"/>
          <w:szCs w:val="24"/>
        </w:rPr>
        <w:t>Nacionalni plan razvoja željezničke infrastrukture do 2030. godine i Nacionalni plan upravljanja željezničkom infrastrukturom i uslužnim objektima i razvoja usluga željezničkog prijevoza do 2030. godine. Strategijom je utvrđen okvir za transformaciju željezničkog sustava i postizanje zajedničkih ciljeva EU-a u području željezničkog prometa, dok su Nacionalnim planovima</w:t>
      </w:r>
      <w:r w:rsidRPr="00BD1B6F">
        <w:t xml:space="preserve"> </w:t>
      </w:r>
      <w:r w:rsidRPr="00BD1B6F">
        <w:rPr>
          <w:sz w:val="24"/>
          <w:szCs w:val="24"/>
        </w:rPr>
        <w:t xml:space="preserve">utvrđene ključne razvojne potrebe i prioriteti ulaganja za njihovu učinkovitu provedbu. </w:t>
      </w:r>
    </w:p>
    <w:p w14:paraId="34B85F72" w14:textId="77777777" w:rsidR="00A42223" w:rsidRPr="00BD1B6F" w:rsidRDefault="00A42223" w:rsidP="00A42223">
      <w:pPr>
        <w:spacing w:before="240" w:after="160" w:line="271" w:lineRule="auto"/>
        <w:jc w:val="both"/>
        <w:rPr>
          <w:sz w:val="24"/>
          <w:szCs w:val="24"/>
        </w:rPr>
      </w:pPr>
      <w:r w:rsidRPr="00BD1B6F">
        <w:rPr>
          <w:sz w:val="24"/>
          <w:szCs w:val="24"/>
        </w:rPr>
        <w:t>Nastavljen je rad na provedbi reformi i reorganizacije poslovanja javnih željezničkih društava, pokretanjem izrade sveobuhvatnog plana restrukturiranja društva HŽ Cargo d.o.o.,</w:t>
      </w:r>
      <w:r w:rsidRPr="00BD1B6F">
        <w:t xml:space="preserve"> </w:t>
      </w:r>
      <w:r w:rsidRPr="00BD1B6F">
        <w:rPr>
          <w:sz w:val="24"/>
          <w:szCs w:val="24"/>
        </w:rPr>
        <w:t>u skladu s pravilima EU-a. S ciljem osiguravanja osnovnog preduvjeta za provedbu restrukturiranja društva HŽ Cargo d.o.o.</w:t>
      </w:r>
      <w:r>
        <w:rPr>
          <w:sz w:val="24"/>
          <w:szCs w:val="24"/>
        </w:rPr>
        <w:t>,</w:t>
      </w:r>
      <w:r w:rsidRPr="00BD1B6F">
        <w:rPr>
          <w:sz w:val="24"/>
          <w:szCs w:val="24"/>
        </w:rPr>
        <w:t xml:space="preserve"> u prosincu 2022. donesena je </w:t>
      </w:r>
      <w:r>
        <w:rPr>
          <w:sz w:val="24"/>
          <w:szCs w:val="24"/>
        </w:rPr>
        <w:t>„</w:t>
      </w:r>
      <w:r w:rsidRPr="00BD1B6F">
        <w:rPr>
          <w:sz w:val="24"/>
          <w:szCs w:val="24"/>
        </w:rPr>
        <w:t xml:space="preserve">Odluka Vlade o prihvaćanju nagodbe između Republike Hrvatske i društva HŽ Cargo d.o.o., radi provedbe obeštećenja za manje preneseni temeljni kapital društva HŽ </w:t>
      </w:r>
      <w:r w:rsidRPr="008115FB">
        <w:rPr>
          <w:sz w:val="24"/>
          <w:szCs w:val="24"/>
        </w:rPr>
        <w:t>-</w:t>
      </w:r>
      <w:r w:rsidRPr="00BD1B6F">
        <w:rPr>
          <w:sz w:val="24"/>
          <w:szCs w:val="24"/>
        </w:rPr>
        <w:t xml:space="preserve"> </w:t>
      </w:r>
      <w:r w:rsidRPr="00BD1B6F">
        <w:rPr>
          <w:sz w:val="24"/>
          <w:szCs w:val="24"/>
        </w:rPr>
        <w:lastRenderedPageBreak/>
        <w:t>Hrvatske željeznice d.o.o. prilikom podjele u skladu sa Zakonom o podjeli trgovačkog društva HŽ</w:t>
      </w:r>
      <w:r>
        <w:rPr>
          <w:sz w:val="24"/>
          <w:szCs w:val="24"/>
        </w:rPr>
        <w:t>“</w:t>
      </w:r>
      <w:r w:rsidRPr="00BD1B6F">
        <w:rPr>
          <w:sz w:val="24"/>
          <w:szCs w:val="24"/>
        </w:rPr>
        <w:t xml:space="preserve"> </w:t>
      </w:r>
      <w:r w:rsidRPr="001131AF">
        <w:rPr>
          <w:sz w:val="24"/>
          <w:szCs w:val="24"/>
        </w:rPr>
        <w:t>(</w:t>
      </w:r>
      <w:r>
        <w:rPr>
          <w:sz w:val="24"/>
          <w:szCs w:val="24"/>
        </w:rPr>
        <w:t>NN</w:t>
      </w:r>
      <w:r w:rsidRPr="001131AF">
        <w:rPr>
          <w:sz w:val="24"/>
          <w:szCs w:val="24"/>
        </w:rPr>
        <w:t xml:space="preserve"> </w:t>
      </w:r>
      <w:r w:rsidRPr="00BD1B6F">
        <w:rPr>
          <w:sz w:val="24"/>
          <w:szCs w:val="24"/>
        </w:rPr>
        <w:t xml:space="preserve">153/05, 57/12). Osim preduvjeta za restrukturiranje društva HŽ Cargo d.o.o., nagodbom se omogućuje i uređenje zemljišno-knjižnog stanja značajnog dijela željezničke infrastrukture, čime se doprinosi pravnoj sigurnosti </w:t>
      </w:r>
      <w:r>
        <w:rPr>
          <w:sz w:val="24"/>
          <w:szCs w:val="24"/>
        </w:rPr>
        <w:t>i</w:t>
      </w:r>
      <w:r w:rsidRPr="00BD1B6F">
        <w:rPr>
          <w:sz w:val="24"/>
          <w:szCs w:val="24"/>
        </w:rPr>
        <w:t xml:space="preserve"> ekonomičnosti procesa uređivanja vlasništva nad željezničkom infrastrukturom. </w:t>
      </w:r>
    </w:p>
    <w:p w14:paraId="20327806" w14:textId="77777777" w:rsidR="00A42223" w:rsidRDefault="00A42223" w:rsidP="00A42223">
      <w:pPr>
        <w:spacing w:before="240" w:after="160" w:line="271" w:lineRule="auto"/>
        <w:jc w:val="both"/>
        <w:rPr>
          <w:sz w:val="24"/>
          <w:szCs w:val="24"/>
        </w:rPr>
      </w:pPr>
      <w:r>
        <w:rPr>
          <w:sz w:val="24"/>
          <w:szCs w:val="24"/>
        </w:rPr>
        <w:t>U okviru NPOO investicije</w:t>
      </w:r>
      <w:r w:rsidRPr="001F53A1">
        <w:rPr>
          <w:sz w:val="24"/>
          <w:szCs w:val="24"/>
        </w:rPr>
        <w:t xml:space="preserve"> </w:t>
      </w:r>
      <w:r>
        <w:rPr>
          <w:sz w:val="24"/>
          <w:szCs w:val="24"/>
        </w:rPr>
        <w:t>„</w:t>
      </w:r>
      <w:r w:rsidRPr="001F53A1">
        <w:rPr>
          <w:sz w:val="24"/>
          <w:szCs w:val="24"/>
        </w:rPr>
        <w:t>Primjena zelenih tehnologija u željezničkom putničkom prijevozu</w:t>
      </w:r>
      <w:r>
        <w:rPr>
          <w:sz w:val="24"/>
          <w:szCs w:val="24"/>
        </w:rPr>
        <w:t>“</w:t>
      </w:r>
      <w:r w:rsidRPr="001F53A1">
        <w:t xml:space="preserve"> </w:t>
      </w:r>
      <w:r w:rsidRPr="001F53A1">
        <w:rPr>
          <w:sz w:val="24"/>
          <w:szCs w:val="24"/>
        </w:rPr>
        <w:t>(C1.4. R2-I6)</w:t>
      </w:r>
      <w:r>
        <w:rPr>
          <w:sz w:val="24"/>
          <w:szCs w:val="24"/>
        </w:rPr>
        <w:t xml:space="preserve">, </w:t>
      </w:r>
      <w:r w:rsidRPr="50503237">
        <w:rPr>
          <w:sz w:val="24"/>
          <w:szCs w:val="24"/>
        </w:rPr>
        <w:t xml:space="preserve">s </w:t>
      </w:r>
      <w:r w:rsidRPr="69F96413">
        <w:rPr>
          <w:sz w:val="24"/>
          <w:szCs w:val="24"/>
        </w:rPr>
        <w:t>društvom HŽ</w:t>
      </w:r>
      <w:r w:rsidRPr="50503237">
        <w:rPr>
          <w:sz w:val="24"/>
          <w:szCs w:val="24"/>
        </w:rPr>
        <w:t xml:space="preserve"> Putnički prijevoz d.o.o. </w:t>
      </w:r>
      <w:r w:rsidRPr="4505920A">
        <w:rPr>
          <w:sz w:val="24"/>
          <w:szCs w:val="24"/>
        </w:rPr>
        <w:t>sklopljen</w:t>
      </w:r>
      <w:r w:rsidRPr="50503237">
        <w:rPr>
          <w:sz w:val="24"/>
          <w:szCs w:val="24"/>
        </w:rPr>
        <w:t xml:space="preserve"> </w:t>
      </w:r>
      <w:r>
        <w:rPr>
          <w:sz w:val="24"/>
          <w:szCs w:val="24"/>
        </w:rPr>
        <w:t>je u</w:t>
      </w:r>
      <w:r w:rsidRPr="50503237">
        <w:rPr>
          <w:sz w:val="24"/>
          <w:szCs w:val="24"/>
        </w:rPr>
        <w:t xml:space="preserve">govor o </w:t>
      </w:r>
      <w:r>
        <w:rPr>
          <w:sz w:val="24"/>
          <w:szCs w:val="24"/>
        </w:rPr>
        <w:t xml:space="preserve">izravnoj </w:t>
      </w:r>
      <w:r w:rsidRPr="50503237">
        <w:rPr>
          <w:sz w:val="24"/>
          <w:szCs w:val="24"/>
        </w:rPr>
        <w:t xml:space="preserve">dodjeli 13,3 milijuna eura bespovratnih sredstava za financiranje </w:t>
      </w:r>
      <w:r>
        <w:rPr>
          <w:sz w:val="24"/>
          <w:szCs w:val="24"/>
        </w:rPr>
        <w:t>ulaganja u</w:t>
      </w:r>
      <w:r w:rsidRPr="50503237">
        <w:rPr>
          <w:sz w:val="24"/>
          <w:szCs w:val="24"/>
        </w:rPr>
        <w:t xml:space="preserve"> razvoj </w:t>
      </w:r>
      <w:r>
        <w:rPr>
          <w:sz w:val="24"/>
          <w:szCs w:val="24"/>
        </w:rPr>
        <w:t>2</w:t>
      </w:r>
      <w:r w:rsidRPr="50503237">
        <w:rPr>
          <w:sz w:val="24"/>
          <w:szCs w:val="24"/>
        </w:rPr>
        <w:t xml:space="preserve"> prototipa vlaka (</w:t>
      </w:r>
      <w:r>
        <w:rPr>
          <w:sz w:val="24"/>
          <w:szCs w:val="24"/>
        </w:rPr>
        <w:t xml:space="preserve">jedan </w:t>
      </w:r>
      <w:r w:rsidRPr="50503237">
        <w:rPr>
          <w:sz w:val="24"/>
          <w:szCs w:val="24"/>
        </w:rPr>
        <w:t xml:space="preserve">prototip baterijskog elektromotornog vlaka i </w:t>
      </w:r>
      <w:r>
        <w:rPr>
          <w:sz w:val="24"/>
          <w:szCs w:val="24"/>
        </w:rPr>
        <w:t xml:space="preserve">jedan </w:t>
      </w:r>
      <w:r w:rsidRPr="50503237">
        <w:rPr>
          <w:sz w:val="24"/>
          <w:szCs w:val="24"/>
        </w:rPr>
        <w:t xml:space="preserve">prototip baterijskog motornog vlaka) te osposobljavanje 6 stabilnih energetskih priključaka za punjenje pogonskih baterija na </w:t>
      </w:r>
      <w:r>
        <w:rPr>
          <w:sz w:val="24"/>
          <w:szCs w:val="24"/>
        </w:rPr>
        <w:t xml:space="preserve">više </w:t>
      </w:r>
      <w:r w:rsidRPr="50503237">
        <w:rPr>
          <w:sz w:val="24"/>
          <w:szCs w:val="24"/>
        </w:rPr>
        <w:t>lokacija</w:t>
      </w:r>
      <w:r>
        <w:rPr>
          <w:sz w:val="24"/>
          <w:szCs w:val="24"/>
        </w:rPr>
        <w:t xml:space="preserve">. </w:t>
      </w:r>
      <w:r w:rsidRPr="50503237">
        <w:rPr>
          <w:sz w:val="24"/>
          <w:szCs w:val="24"/>
        </w:rPr>
        <w:t xml:space="preserve">Ugovor s odabranim isporučiteljem prototipa vlakova i energetskih priključaka </w:t>
      </w:r>
      <w:r>
        <w:rPr>
          <w:sz w:val="24"/>
          <w:szCs w:val="24"/>
        </w:rPr>
        <w:t>(</w:t>
      </w:r>
      <w:r w:rsidRPr="50503237">
        <w:rPr>
          <w:sz w:val="24"/>
          <w:szCs w:val="24"/>
        </w:rPr>
        <w:t>Končar</w:t>
      </w:r>
      <w:r>
        <w:rPr>
          <w:sz w:val="24"/>
          <w:szCs w:val="24"/>
        </w:rPr>
        <w:t xml:space="preserve"> </w:t>
      </w:r>
      <w:r w:rsidRPr="50503237">
        <w:rPr>
          <w:sz w:val="24"/>
          <w:szCs w:val="24"/>
        </w:rPr>
        <w:t>-</w:t>
      </w:r>
      <w:r>
        <w:rPr>
          <w:sz w:val="24"/>
          <w:szCs w:val="24"/>
        </w:rPr>
        <w:t xml:space="preserve"> </w:t>
      </w:r>
      <w:r w:rsidRPr="50503237">
        <w:rPr>
          <w:sz w:val="24"/>
          <w:szCs w:val="24"/>
        </w:rPr>
        <w:t>Električna vozila d.d.</w:t>
      </w:r>
      <w:r>
        <w:rPr>
          <w:sz w:val="24"/>
          <w:szCs w:val="24"/>
        </w:rPr>
        <w:t>)</w:t>
      </w:r>
      <w:r w:rsidRPr="50503237">
        <w:rPr>
          <w:sz w:val="24"/>
          <w:szCs w:val="24"/>
        </w:rPr>
        <w:t xml:space="preserve"> sklopljen je također u prosincu 2022. </w:t>
      </w:r>
      <w:r>
        <w:rPr>
          <w:sz w:val="24"/>
          <w:szCs w:val="24"/>
        </w:rPr>
        <w:t>Ulaganjem se omogućuje organizacija željezničkog prijevoza suvremenim vlakovima na neelektrificiranim prugama, omogućuju znatne uštede na troškovima elektrifikacije pruga, kao i na operativnim troškovima vozila, uz istovremeno smanjenje buke u prometu i dekarbonizaciju željezničkog prometa.</w:t>
      </w:r>
    </w:p>
    <w:p w14:paraId="4B334F54" w14:textId="77777777" w:rsidR="00A42223" w:rsidRPr="00BD1B6F" w:rsidRDefault="00A42223" w:rsidP="00A42223">
      <w:pPr>
        <w:spacing w:before="240" w:after="160" w:line="271" w:lineRule="auto"/>
        <w:jc w:val="both"/>
        <w:rPr>
          <w:sz w:val="24"/>
          <w:szCs w:val="24"/>
        </w:rPr>
      </w:pPr>
      <w:r w:rsidRPr="00BD1B6F">
        <w:rPr>
          <w:sz w:val="24"/>
          <w:szCs w:val="24"/>
        </w:rPr>
        <w:t>Kako bi se stanovništvu osigurao učinkovitiji i konkurentniji željeznički putnički prijevoz, nastavljena je modernizacija putničkog željezničkog voznog parka. U okviru projekta „Obnova voznog parka HŽ Putničkog prijevoza novim elektromotornim vlakovima“ koji se sufinancira iz OPKK 2014.</w:t>
      </w:r>
      <w:r>
        <w:rPr>
          <w:sz w:val="24"/>
          <w:szCs w:val="24"/>
        </w:rPr>
        <w:t xml:space="preserve"> </w:t>
      </w:r>
      <w:r w:rsidRPr="008115FB">
        <w:rPr>
          <w:sz w:val="24"/>
          <w:szCs w:val="24"/>
        </w:rPr>
        <w:t>-</w:t>
      </w:r>
      <w:r>
        <w:rPr>
          <w:sz w:val="24"/>
          <w:szCs w:val="24"/>
        </w:rPr>
        <w:t xml:space="preserve"> </w:t>
      </w:r>
      <w:r w:rsidRPr="00BD1B6F">
        <w:rPr>
          <w:sz w:val="24"/>
          <w:szCs w:val="24"/>
        </w:rPr>
        <w:t>2020., u prosincu 2022</w:t>
      </w:r>
      <w:r>
        <w:rPr>
          <w:sz w:val="24"/>
          <w:szCs w:val="24"/>
        </w:rPr>
        <w:t>.</w:t>
      </w:r>
      <w:r w:rsidRPr="00BD1B6F">
        <w:rPr>
          <w:sz w:val="24"/>
          <w:szCs w:val="24"/>
        </w:rPr>
        <w:t xml:space="preserve"> u promet su puštena 3 elektromotorna vlaka za korištenje na elektrificiranim prugama. Ukupno će se u okviru projekta isporučiti 21 suvremeni elektromotorni vlak (11 vlakova za gradski i prigradski prijevoz te 10 vlakova za regionalni prijevoz). Nabava novih </w:t>
      </w:r>
      <w:r w:rsidRPr="008115FB">
        <w:rPr>
          <w:sz w:val="24"/>
          <w:szCs w:val="24"/>
        </w:rPr>
        <w:t xml:space="preserve">i udobnijih </w:t>
      </w:r>
      <w:r w:rsidRPr="00BD1B6F">
        <w:rPr>
          <w:sz w:val="24"/>
          <w:szCs w:val="24"/>
        </w:rPr>
        <w:t xml:space="preserve">vlakova pozitivno </w:t>
      </w:r>
      <w:r>
        <w:rPr>
          <w:sz w:val="24"/>
          <w:szCs w:val="24"/>
        </w:rPr>
        <w:t xml:space="preserve">će </w:t>
      </w:r>
      <w:r w:rsidRPr="00BD1B6F">
        <w:rPr>
          <w:sz w:val="24"/>
          <w:szCs w:val="24"/>
        </w:rPr>
        <w:t xml:space="preserve">utjecati na povećanje broja putnika koji koriste javni željeznički putnički prijevoz te omogućiti željeznici </w:t>
      </w:r>
      <w:r>
        <w:rPr>
          <w:sz w:val="24"/>
          <w:szCs w:val="24"/>
        </w:rPr>
        <w:t>stvaranje uvjeta za preuzimanje</w:t>
      </w:r>
      <w:r w:rsidRPr="00BD1B6F">
        <w:rPr>
          <w:sz w:val="24"/>
          <w:szCs w:val="24"/>
        </w:rPr>
        <w:t xml:space="preserve"> značajno </w:t>
      </w:r>
      <w:r w:rsidRPr="00CD21F0">
        <w:rPr>
          <w:sz w:val="24"/>
          <w:szCs w:val="24"/>
        </w:rPr>
        <w:t>već</w:t>
      </w:r>
      <w:r>
        <w:rPr>
          <w:sz w:val="24"/>
          <w:szCs w:val="24"/>
        </w:rPr>
        <w:t xml:space="preserve">eg </w:t>
      </w:r>
      <w:r w:rsidRPr="00CD21F0">
        <w:rPr>
          <w:sz w:val="24"/>
          <w:szCs w:val="24"/>
        </w:rPr>
        <w:t>ud</w:t>
      </w:r>
      <w:r>
        <w:rPr>
          <w:sz w:val="24"/>
          <w:szCs w:val="24"/>
        </w:rPr>
        <w:t>jela</w:t>
      </w:r>
      <w:r w:rsidRPr="00BD1B6F">
        <w:rPr>
          <w:sz w:val="24"/>
          <w:szCs w:val="24"/>
        </w:rPr>
        <w:t xml:space="preserve"> prometa u odnosu na cestovni prijevoz. </w:t>
      </w:r>
      <w:r>
        <w:rPr>
          <w:sz w:val="24"/>
          <w:szCs w:val="24"/>
        </w:rPr>
        <w:t>S o</w:t>
      </w:r>
      <w:r w:rsidRPr="00BD1B6F">
        <w:rPr>
          <w:sz w:val="24"/>
          <w:szCs w:val="24"/>
        </w:rPr>
        <w:t xml:space="preserve">bzirom </w:t>
      </w:r>
      <w:r>
        <w:rPr>
          <w:sz w:val="24"/>
          <w:szCs w:val="24"/>
        </w:rPr>
        <w:t xml:space="preserve">na to </w:t>
      </w:r>
      <w:r w:rsidRPr="00BD1B6F">
        <w:rPr>
          <w:sz w:val="24"/>
          <w:szCs w:val="24"/>
        </w:rPr>
        <w:t>da je željeznički prijevoz (pogotovo na elektrificiranim prugama</w:t>
      </w:r>
      <w:r>
        <w:rPr>
          <w:sz w:val="24"/>
          <w:szCs w:val="24"/>
        </w:rPr>
        <w:t>)</w:t>
      </w:r>
      <w:r w:rsidRPr="00BD1B6F">
        <w:rPr>
          <w:sz w:val="24"/>
          <w:szCs w:val="24"/>
        </w:rPr>
        <w:t xml:space="preserve"> ekološki znatno povoljniji vid prometa od cestovnog prijevoza (cestovni prijevoz je odgovoran za 90% emisija sektora prijevoza), veće korištenje željezničkog prijevoza izravno </w:t>
      </w:r>
      <w:r>
        <w:rPr>
          <w:sz w:val="24"/>
          <w:szCs w:val="24"/>
        </w:rPr>
        <w:t>doprinosi</w:t>
      </w:r>
      <w:r w:rsidRPr="008115FB">
        <w:rPr>
          <w:sz w:val="24"/>
          <w:szCs w:val="24"/>
        </w:rPr>
        <w:t xml:space="preserve"> dekarbonizaciji</w:t>
      </w:r>
      <w:r w:rsidRPr="00BD1B6F">
        <w:rPr>
          <w:sz w:val="24"/>
          <w:szCs w:val="24"/>
        </w:rPr>
        <w:t xml:space="preserve"> i smanjenju negativnog utjecaja prometa na okoliš. </w:t>
      </w:r>
    </w:p>
    <w:p w14:paraId="0A77187E" w14:textId="77777777" w:rsidR="00A42223" w:rsidRPr="00BD1B6F" w:rsidRDefault="00A42223" w:rsidP="00A42223">
      <w:pPr>
        <w:spacing w:before="240" w:after="160" w:line="271" w:lineRule="auto"/>
        <w:jc w:val="both"/>
        <w:rPr>
          <w:sz w:val="24"/>
          <w:szCs w:val="24"/>
        </w:rPr>
      </w:pPr>
      <w:r w:rsidRPr="00BD1B6F">
        <w:rPr>
          <w:sz w:val="24"/>
          <w:szCs w:val="24"/>
        </w:rPr>
        <w:t xml:space="preserve">Bez javnog prijevoza u pomorskom linijskom prometu ne bi bilo održivog razvoja naseljenih otoka. Zastarjela, nedostatna te okolišno neprihvatljiva lučka infrastruktura na priobalju i otocima ne odgovara potrebama otočnog stanovništva. U 2021. prosječna starost brodova koji obavljaju javni obalni pomorski prijevoz za konvencionalne putničke brodove iznosila je 41 godinu, za ro-ro putničke brodove više od 21 godinu, dok je za vrlo brze putničke brodove iznosila prosječno više od 25 godina. U javnom prijevozu u pomorskom prometu održava se 50 državnih linija, od čega je </w:t>
      </w:r>
      <w:r w:rsidRPr="00BD1B6F">
        <w:rPr>
          <w:sz w:val="24"/>
          <w:szCs w:val="24"/>
        </w:rPr>
        <w:lastRenderedPageBreak/>
        <w:t xml:space="preserve">samo njih 5 profitabilno, odnosno ne primaju državnu potporu za redovno održavanje. U 2022. u javnom prijevozu u obalnom linijskom pomorskom prometu, 11 brodara prevezlo </w:t>
      </w:r>
      <w:r>
        <w:rPr>
          <w:sz w:val="24"/>
          <w:szCs w:val="24"/>
        </w:rPr>
        <w:t xml:space="preserve">je </w:t>
      </w:r>
      <w:r w:rsidRPr="00BD1B6F">
        <w:rPr>
          <w:sz w:val="24"/>
          <w:szCs w:val="24"/>
        </w:rPr>
        <w:t>ukupno 13,48 milijuna putnika i 3,8 milijuna vozila, za što su primili potporu u ukupnom iznosu od 15,56 milijuna eura. Kako bi se povećali kapaciteti obalnog linijskog prometa i poboljšala profitabilnost</w:t>
      </w:r>
      <w:r w:rsidRPr="008115FB">
        <w:rPr>
          <w:sz w:val="24"/>
          <w:szCs w:val="24"/>
        </w:rPr>
        <w:t xml:space="preserve"> i održivost</w:t>
      </w:r>
      <w:r w:rsidRPr="00BD1B6F">
        <w:rPr>
          <w:sz w:val="24"/>
          <w:szCs w:val="24"/>
        </w:rPr>
        <w:t xml:space="preserve"> linija javnog obalnog linijskog prijevoza, </w:t>
      </w:r>
      <w:r>
        <w:rPr>
          <w:sz w:val="24"/>
          <w:szCs w:val="24"/>
        </w:rPr>
        <w:t>provode se ulaganja u</w:t>
      </w:r>
      <w:r w:rsidRPr="00BD1B6F">
        <w:rPr>
          <w:sz w:val="24"/>
          <w:szCs w:val="24"/>
        </w:rPr>
        <w:t xml:space="preserve"> modernizacije flote i unaprjeđenje lučke infrastrukture te poboljšanj</w:t>
      </w:r>
      <w:r>
        <w:rPr>
          <w:sz w:val="24"/>
          <w:szCs w:val="24"/>
        </w:rPr>
        <w:t>e</w:t>
      </w:r>
      <w:r w:rsidRPr="00BD1B6F">
        <w:rPr>
          <w:sz w:val="24"/>
          <w:szCs w:val="24"/>
        </w:rPr>
        <w:t xml:space="preserve"> organizacije uslug</w:t>
      </w:r>
      <w:r>
        <w:rPr>
          <w:sz w:val="24"/>
          <w:szCs w:val="24"/>
        </w:rPr>
        <w:t>a</w:t>
      </w:r>
      <w:r w:rsidRPr="00BD1B6F">
        <w:rPr>
          <w:sz w:val="24"/>
          <w:szCs w:val="24"/>
        </w:rPr>
        <w:t xml:space="preserve"> pomorskog prijevoza tijekom cijele godine.</w:t>
      </w:r>
    </w:p>
    <w:p w14:paraId="15F35E7C" w14:textId="77777777" w:rsidR="00A42223" w:rsidRPr="00BD1B6F" w:rsidRDefault="00A42223" w:rsidP="00A42223">
      <w:pPr>
        <w:spacing w:before="240" w:after="160" w:line="271" w:lineRule="auto"/>
        <w:jc w:val="both"/>
      </w:pPr>
      <w:r w:rsidRPr="00BD1B6F">
        <w:rPr>
          <w:sz w:val="24"/>
          <w:szCs w:val="24"/>
        </w:rPr>
        <w:t xml:space="preserve">Hrvatska ima više od 1.000 km unutarnjih vodnih putova, od čega je 611,60 km klasificirano kao međunarodni vodni put. Unutarnji vodni putovi </w:t>
      </w:r>
      <w:r>
        <w:rPr>
          <w:sz w:val="24"/>
          <w:szCs w:val="24"/>
        </w:rPr>
        <w:t xml:space="preserve">na području </w:t>
      </w:r>
      <w:r w:rsidRPr="00BD1B6F">
        <w:rPr>
          <w:sz w:val="24"/>
          <w:szCs w:val="24"/>
        </w:rPr>
        <w:t xml:space="preserve">Hrvatske dio su europske transnacionalne prometne mreže, a posebnu važnost ima Dunav koji se nalazi na koridoru osnovne TEN-T mreže Rajna-Dunav. Unatoč povoljnom geografskom položaju u europskoj prometnoj mreži te dobroj pokrivenosti mrežom unutarnjih vodnih putova, značajan potencijal riječnog prometa u Hrvatskoj nije dovoljno iskorišten. Prema </w:t>
      </w:r>
      <w:r>
        <w:rPr>
          <w:sz w:val="24"/>
          <w:szCs w:val="24"/>
        </w:rPr>
        <w:t>podacima</w:t>
      </w:r>
      <w:r w:rsidRPr="008115FB">
        <w:rPr>
          <w:sz w:val="24"/>
          <w:szCs w:val="24"/>
        </w:rPr>
        <w:t xml:space="preserve"> za 2021.</w:t>
      </w:r>
      <w:r w:rsidRPr="00BD1B6F">
        <w:rPr>
          <w:sz w:val="24"/>
          <w:szCs w:val="24"/>
        </w:rPr>
        <w:t>, udio riječnog teretnog prometa u odnosu na ukupan teretni promet u Hrvatskoj iznosi 0,78%, dok udio putnika riječnog prometa u odnosu na ukupan putnički promet iznosi 1,52%. Istovremeno, udio emisija plovila u riječnom prometu iznosi samo 1,2% ukupnih emisija sektora prometa. U</w:t>
      </w:r>
      <w:r w:rsidRPr="008115FB">
        <w:rPr>
          <w:sz w:val="24"/>
          <w:szCs w:val="24"/>
        </w:rPr>
        <w:t xml:space="preserve"> razdoblju</w:t>
      </w:r>
      <w:r w:rsidRPr="00BD1B6F">
        <w:rPr>
          <w:sz w:val="24"/>
          <w:szCs w:val="24"/>
        </w:rPr>
        <w:t xml:space="preserve"> kada se na svjetskoj razini teži smanjenju emisija stakleničkih plinova, uz jačanje zahtjeva za sigurnij</w:t>
      </w:r>
      <w:r>
        <w:rPr>
          <w:sz w:val="24"/>
          <w:szCs w:val="24"/>
        </w:rPr>
        <w:t>u</w:t>
      </w:r>
      <w:r w:rsidRPr="00BD1B6F">
        <w:rPr>
          <w:sz w:val="24"/>
          <w:szCs w:val="24"/>
        </w:rPr>
        <w:t xml:space="preserve"> i brž</w:t>
      </w:r>
      <w:r>
        <w:rPr>
          <w:sz w:val="24"/>
          <w:szCs w:val="24"/>
        </w:rPr>
        <w:t>u</w:t>
      </w:r>
      <w:r w:rsidRPr="00BD1B6F">
        <w:rPr>
          <w:sz w:val="24"/>
          <w:szCs w:val="24"/>
        </w:rPr>
        <w:t xml:space="preserve"> povezan</w:t>
      </w:r>
      <w:r>
        <w:rPr>
          <w:sz w:val="24"/>
          <w:szCs w:val="24"/>
        </w:rPr>
        <w:t>ost</w:t>
      </w:r>
      <w:r w:rsidRPr="00BD1B6F">
        <w:rPr>
          <w:sz w:val="24"/>
          <w:szCs w:val="24"/>
        </w:rPr>
        <w:t xml:space="preserve">, prijevoz unutarnjim vodama nameće se kao logična alternativa drugim </w:t>
      </w:r>
      <w:r>
        <w:rPr>
          <w:sz w:val="24"/>
          <w:szCs w:val="24"/>
        </w:rPr>
        <w:t>načinima</w:t>
      </w:r>
      <w:r w:rsidRPr="00BD1B6F">
        <w:rPr>
          <w:sz w:val="24"/>
          <w:szCs w:val="24"/>
        </w:rPr>
        <w:t xml:space="preserve"> prijevoza, pogotovo kada se uzmu </w:t>
      </w:r>
      <w:r w:rsidRPr="008115FB">
        <w:rPr>
          <w:sz w:val="24"/>
          <w:szCs w:val="24"/>
        </w:rPr>
        <w:t xml:space="preserve">u </w:t>
      </w:r>
      <w:r w:rsidRPr="00BD1B6F">
        <w:rPr>
          <w:sz w:val="24"/>
          <w:szCs w:val="24"/>
        </w:rPr>
        <w:t xml:space="preserve">obzir mogućnosti iskorištavanja značajno većih prijevoznih kapaciteta. </w:t>
      </w:r>
    </w:p>
    <w:p w14:paraId="31030981" w14:textId="347C842E" w:rsidR="00390EA6" w:rsidRPr="00BD1B6F" w:rsidRDefault="00A42223" w:rsidP="00A42223">
      <w:pPr>
        <w:spacing w:before="240" w:after="160" w:line="271" w:lineRule="auto"/>
        <w:jc w:val="both"/>
        <w:rPr>
          <w:sz w:val="24"/>
          <w:szCs w:val="24"/>
        </w:rPr>
      </w:pPr>
      <w:r w:rsidRPr="00BD1B6F">
        <w:rPr>
          <w:sz w:val="24"/>
          <w:szCs w:val="24"/>
        </w:rPr>
        <w:t xml:space="preserve">S ciljem poticanja uvjeta za veće korištenje riječnog prometa u Hrvatskoj, tijekom 2022. </w:t>
      </w:r>
      <w:r>
        <w:rPr>
          <w:sz w:val="24"/>
          <w:szCs w:val="24"/>
        </w:rPr>
        <w:t xml:space="preserve">donesen je </w:t>
      </w:r>
      <w:r w:rsidRPr="00BD1B6F">
        <w:rPr>
          <w:sz w:val="24"/>
          <w:szCs w:val="24"/>
        </w:rPr>
        <w:t>novi strateški okvir razvoja riječnog prometa koji čine Strategija razvitka riječnog prometa u Republici Hrvatskoj za razdoblje od 2022. do 2032. godine i Srednjoročni plan razvitka vodnih putova, luka i pristaništa Republike Hrvatske za razdoblje 2022.</w:t>
      </w:r>
      <w:r>
        <w:rPr>
          <w:sz w:val="24"/>
          <w:szCs w:val="24"/>
        </w:rPr>
        <w:t xml:space="preserve"> </w:t>
      </w:r>
      <w:r w:rsidRPr="00BD1B6F">
        <w:rPr>
          <w:sz w:val="24"/>
          <w:szCs w:val="24"/>
        </w:rPr>
        <w:t>-</w:t>
      </w:r>
      <w:r>
        <w:rPr>
          <w:sz w:val="24"/>
          <w:szCs w:val="24"/>
        </w:rPr>
        <w:t xml:space="preserve"> </w:t>
      </w:r>
      <w:r w:rsidRPr="00BD1B6F">
        <w:rPr>
          <w:sz w:val="24"/>
          <w:szCs w:val="24"/>
        </w:rPr>
        <w:t xml:space="preserve">2031. </w:t>
      </w:r>
      <w:r w:rsidRPr="008115FB">
        <w:rPr>
          <w:sz w:val="24"/>
          <w:szCs w:val="24"/>
        </w:rPr>
        <w:t xml:space="preserve">s pripadajućim </w:t>
      </w:r>
      <w:r w:rsidRPr="00602452">
        <w:rPr>
          <w:sz w:val="24"/>
          <w:szCs w:val="24"/>
        </w:rPr>
        <w:t>Akcijski</w:t>
      </w:r>
      <w:r>
        <w:rPr>
          <w:sz w:val="24"/>
          <w:szCs w:val="24"/>
        </w:rPr>
        <w:t>m</w:t>
      </w:r>
      <w:r w:rsidRPr="00BD1B6F">
        <w:rPr>
          <w:sz w:val="24"/>
          <w:szCs w:val="24"/>
        </w:rPr>
        <w:t xml:space="preserve"> plan</w:t>
      </w:r>
      <w:r w:rsidRPr="008115FB">
        <w:rPr>
          <w:sz w:val="24"/>
          <w:szCs w:val="24"/>
        </w:rPr>
        <w:t>om</w:t>
      </w:r>
      <w:r w:rsidRPr="00BD1B6F">
        <w:rPr>
          <w:sz w:val="24"/>
          <w:szCs w:val="24"/>
        </w:rPr>
        <w:t xml:space="preserve"> za provedbu </w:t>
      </w:r>
      <w:r>
        <w:rPr>
          <w:sz w:val="24"/>
          <w:szCs w:val="24"/>
        </w:rPr>
        <w:t>za</w:t>
      </w:r>
      <w:r w:rsidRPr="00BD1B6F">
        <w:rPr>
          <w:sz w:val="24"/>
          <w:szCs w:val="24"/>
        </w:rPr>
        <w:t xml:space="preserve"> razdoblje 2022.</w:t>
      </w:r>
      <w:r>
        <w:rPr>
          <w:sz w:val="24"/>
          <w:szCs w:val="24"/>
        </w:rPr>
        <w:t xml:space="preserve"> </w:t>
      </w:r>
      <w:r w:rsidRPr="00BD1B6F">
        <w:rPr>
          <w:sz w:val="24"/>
          <w:szCs w:val="24"/>
        </w:rPr>
        <w:t>-</w:t>
      </w:r>
      <w:r>
        <w:rPr>
          <w:sz w:val="24"/>
          <w:szCs w:val="24"/>
        </w:rPr>
        <w:t xml:space="preserve"> </w:t>
      </w:r>
      <w:r w:rsidRPr="00BD1B6F">
        <w:rPr>
          <w:sz w:val="24"/>
          <w:szCs w:val="24"/>
        </w:rPr>
        <w:t>2024. Strategijom su definirani ciljevi, prioritetna područja i mjere čijom će se provedbom omogućiti uvjeti za razvoj modernog, učinkovitog i konkurentnog sustava unutarnje plovidbe u Hrvatskoj</w:t>
      </w:r>
      <w:r w:rsidRPr="008115FB">
        <w:rPr>
          <w:sz w:val="24"/>
          <w:szCs w:val="24"/>
        </w:rPr>
        <w:t>,</w:t>
      </w:r>
      <w:r w:rsidRPr="00BD1B6F">
        <w:rPr>
          <w:sz w:val="24"/>
          <w:szCs w:val="24"/>
        </w:rPr>
        <w:t xml:space="preserve"> koji će biti pouzdana alternativa cestovnom prijevozu. Srednjoročnim planom i Akcijskim planom za njegovu provedbu</w:t>
      </w:r>
      <w:r>
        <w:rPr>
          <w:sz w:val="24"/>
          <w:szCs w:val="24"/>
        </w:rPr>
        <w:t>,</w:t>
      </w:r>
      <w:r w:rsidRPr="00BD1B6F">
        <w:rPr>
          <w:sz w:val="24"/>
          <w:szCs w:val="24"/>
        </w:rPr>
        <w:t xml:space="preserve"> utvrđeni su operativni planovi za provedbu ciljeva i mjera razvoja, uređenja i održavanja plovnih putova, informatizacije, modernizacije i izgradnje riječnih luka </w:t>
      </w:r>
      <w:r w:rsidRPr="008115FB">
        <w:rPr>
          <w:sz w:val="24"/>
          <w:szCs w:val="24"/>
        </w:rPr>
        <w:t>te</w:t>
      </w:r>
      <w:r w:rsidRPr="00BD1B6F">
        <w:rPr>
          <w:sz w:val="24"/>
          <w:szCs w:val="24"/>
        </w:rPr>
        <w:t xml:space="preserve"> pristaništa u Hrvatskoj, usklađenih s europskim i nacionalnim regulatornim okvirom. Ukupna procijenjena vrijednost ulaganja </w:t>
      </w:r>
      <w:r w:rsidRPr="008115FB">
        <w:rPr>
          <w:sz w:val="24"/>
          <w:szCs w:val="24"/>
        </w:rPr>
        <w:t xml:space="preserve">predviđenih </w:t>
      </w:r>
      <w:r w:rsidRPr="00BD1B6F">
        <w:rPr>
          <w:sz w:val="24"/>
          <w:szCs w:val="24"/>
        </w:rPr>
        <w:t>stratešk</w:t>
      </w:r>
      <w:r w:rsidRPr="008115FB">
        <w:rPr>
          <w:sz w:val="24"/>
          <w:szCs w:val="24"/>
        </w:rPr>
        <w:t>im</w:t>
      </w:r>
      <w:r w:rsidRPr="00BD1B6F">
        <w:rPr>
          <w:sz w:val="24"/>
          <w:szCs w:val="24"/>
        </w:rPr>
        <w:t xml:space="preserve"> okvir</w:t>
      </w:r>
      <w:r w:rsidRPr="008115FB">
        <w:rPr>
          <w:sz w:val="24"/>
          <w:szCs w:val="24"/>
        </w:rPr>
        <w:t>om</w:t>
      </w:r>
      <w:r w:rsidRPr="00BD1B6F">
        <w:rPr>
          <w:sz w:val="24"/>
          <w:szCs w:val="24"/>
        </w:rPr>
        <w:t xml:space="preserve"> iznosi ukupno 904 milijuna eura, </w:t>
      </w:r>
      <w:r w:rsidRPr="008115FB">
        <w:rPr>
          <w:sz w:val="24"/>
          <w:szCs w:val="24"/>
        </w:rPr>
        <w:t xml:space="preserve">dok </w:t>
      </w:r>
      <w:r w:rsidRPr="00BD1B6F">
        <w:rPr>
          <w:sz w:val="24"/>
          <w:szCs w:val="24"/>
        </w:rPr>
        <w:t xml:space="preserve">procijenjena vrijednost ulaganja u okviru Akcijskog plana </w:t>
      </w:r>
      <w:r w:rsidRPr="008115FB">
        <w:rPr>
          <w:sz w:val="24"/>
          <w:szCs w:val="24"/>
        </w:rPr>
        <w:t xml:space="preserve">za razdoblje </w:t>
      </w:r>
      <w:r w:rsidRPr="00BD1B6F">
        <w:rPr>
          <w:sz w:val="24"/>
          <w:szCs w:val="24"/>
        </w:rPr>
        <w:t>do 2024. godine iznosi 82,7 milijuna eura.</w:t>
      </w:r>
      <w:r w:rsidR="00390EA6" w:rsidRPr="00BD1B6F">
        <w:rPr>
          <w:sz w:val="24"/>
          <w:szCs w:val="24"/>
        </w:rPr>
        <w:br w:type="page"/>
      </w:r>
    </w:p>
    <w:p w14:paraId="6F22AF68" w14:textId="2871CC10" w:rsidR="50DE2B21" w:rsidRPr="00BD1B6F" w:rsidRDefault="32A72EF8" w:rsidP="0010365F">
      <w:pPr>
        <w:pStyle w:val="Heading2"/>
        <w:spacing w:before="120" w:after="120" w:line="360" w:lineRule="auto"/>
        <w:ind w:left="0" w:firstLine="0"/>
        <w:rPr>
          <w:rStyle w:val="Heading2Char"/>
          <w:b/>
          <w:bCs/>
          <w:color w:val="000000" w:themeColor="text1"/>
          <w:sz w:val="24"/>
          <w:szCs w:val="24"/>
        </w:rPr>
      </w:pPr>
      <w:bookmarkStart w:id="105" w:name="_Toc156819399"/>
      <w:r w:rsidRPr="00BD1B6F">
        <w:rPr>
          <w:rStyle w:val="Heading2Char"/>
          <w:b/>
          <w:bCs/>
          <w:color w:val="000000" w:themeColor="text1"/>
          <w:sz w:val="24"/>
          <w:szCs w:val="24"/>
        </w:rPr>
        <w:lastRenderedPageBreak/>
        <w:t>11. Digitalna tranzicija društva i gospodarstva</w:t>
      </w:r>
      <w:bookmarkEnd w:id="105"/>
    </w:p>
    <w:p w14:paraId="7FF8FBBF" w14:textId="394AE5F4" w:rsidR="28E0714A" w:rsidRPr="00BD1B6F" w:rsidRDefault="28E0714A" w:rsidP="00C723DF">
      <w:pPr>
        <w:pStyle w:val="Heading3"/>
        <w:rPr>
          <w:sz w:val="24"/>
          <w:szCs w:val="24"/>
        </w:rPr>
      </w:pPr>
      <w:bookmarkStart w:id="106" w:name="_Toc156819400"/>
      <w:r w:rsidRPr="00BD1B6F">
        <w:rPr>
          <w:sz w:val="24"/>
          <w:szCs w:val="24"/>
        </w:rPr>
        <w:t>11.1. Ostvarene vrijednosti pokazatelja učinka</w:t>
      </w:r>
      <w:bookmarkEnd w:id="106"/>
      <w:r w:rsidRPr="00BD1B6F">
        <w:rPr>
          <w:sz w:val="24"/>
          <w:szCs w:val="24"/>
        </w:rPr>
        <w:t xml:space="preserve"> </w:t>
      </w:r>
    </w:p>
    <w:p w14:paraId="2643F23C" w14:textId="77777777" w:rsidR="00A7432B" w:rsidRPr="00BD1B6F" w:rsidRDefault="00A7432B" w:rsidP="00FD2238"/>
    <w:tbl>
      <w:tblPr>
        <w:tblStyle w:val="TableGrid"/>
        <w:tblW w:w="0" w:type="auto"/>
        <w:tblLayout w:type="fixed"/>
        <w:tblLook w:val="04A0" w:firstRow="1" w:lastRow="0" w:firstColumn="1" w:lastColumn="0" w:noHBand="0" w:noVBand="1"/>
      </w:tblPr>
      <w:tblGrid>
        <w:gridCol w:w="2685"/>
        <w:gridCol w:w="2355"/>
        <w:gridCol w:w="1754"/>
        <w:gridCol w:w="2251"/>
      </w:tblGrid>
      <w:tr w:rsidR="209D92D9" w:rsidRPr="008115FB" w14:paraId="30DC0EF0" w14:textId="77777777" w:rsidTr="00FD2238">
        <w:trPr>
          <w:trHeight w:val="756"/>
        </w:trPr>
        <w:tc>
          <w:tcPr>
            <w:tcW w:w="2685" w:type="dxa"/>
            <w:tcBorders>
              <w:top w:val="dotted" w:sz="8" w:space="0" w:color="auto"/>
              <w:left w:val="dotted" w:sz="8" w:space="0" w:color="auto"/>
              <w:bottom w:val="dotted" w:sz="8" w:space="0" w:color="auto"/>
              <w:right w:val="dotted" w:sz="8" w:space="0" w:color="auto"/>
            </w:tcBorders>
            <w:shd w:val="clear" w:color="auto" w:fill="B6DDE8" w:themeFill="accent5" w:themeFillTint="66"/>
            <w:tcMar>
              <w:left w:w="108" w:type="dxa"/>
              <w:right w:w="108" w:type="dxa"/>
            </w:tcMar>
            <w:vAlign w:val="center"/>
          </w:tcPr>
          <w:p w14:paraId="03C0C6B7" w14:textId="46E4107C" w:rsidR="209D92D9" w:rsidRPr="00BD1B6F" w:rsidRDefault="209D92D9" w:rsidP="00FD2238">
            <w:pPr>
              <w:jc w:val="center"/>
              <w:rPr>
                <w:b/>
                <w:bCs/>
              </w:rPr>
            </w:pPr>
            <w:r w:rsidRPr="00BD1B6F">
              <w:rPr>
                <w:b/>
                <w:bCs/>
                <w:color w:val="000000" w:themeColor="text1"/>
                <w:sz w:val="24"/>
                <w:szCs w:val="24"/>
              </w:rPr>
              <w:t>Pokazatelj učinka</w:t>
            </w:r>
          </w:p>
        </w:tc>
        <w:tc>
          <w:tcPr>
            <w:tcW w:w="2355" w:type="dxa"/>
            <w:tcBorders>
              <w:top w:val="dotted" w:sz="8" w:space="0" w:color="auto"/>
              <w:left w:val="dotted" w:sz="8" w:space="0" w:color="auto"/>
              <w:bottom w:val="dotted" w:sz="8" w:space="0" w:color="auto"/>
              <w:right w:val="dotted" w:sz="8" w:space="0" w:color="auto"/>
            </w:tcBorders>
            <w:shd w:val="clear" w:color="auto" w:fill="B6DDE8" w:themeFill="accent5" w:themeFillTint="66"/>
            <w:tcMar>
              <w:left w:w="108" w:type="dxa"/>
              <w:right w:w="108" w:type="dxa"/>
            </w:tcMar>
            <w:vAlign w:val="center"/>
          </w:tcPr>
          <w:p w14:paraId="4DEEFC90" w14:textId="0054113F" w:rsidR="209D92D9" w:rsidRPr="00BD1B6F" w:rsidRDefault="209D92D9" w:rsidP="00FD2238">
            <w:pPr>
              <w:jc w:val="center"/>
              <w:rPr>
                <w:b/>
                <w:bCs/>
              </w:rPr>
            </w:pPr>
            <w:r w:rsidRPr="00BD1B6F">
              <w:rPr>
                <w:b/>
                <w:bCs/>
                <w:color w:val="000000" w:themeColor="text1"/>
                <w:sz w:val="24"/>
                <w:szCs w:val="24"/>
              </w:rPr>
              <w:t>Početna vrijednost</w:t>
            </w:r>
          </w:p>
        </w:tc>
        <w:tc>
          <w:tcPr>
            <w:tcW w:w="1754" w:type="dxa"/>
            <w:tcBorders>
              <w:top w:val="dotted" w:sz="8" w:space="0" w:color="auto"/>
              <w:left w:val="dotted" w:sz="8" w:space="0" w:color="auto"/>
              <w:bottom w:val="dotted" w:sz="8" w:space="0" w:color="auto"/>
              <w:right w:val="dotted" w:sz="8" w:space="0" w:color="auto"/>
            </w:tcBorders>
            <w:shd w:val="clear" w:color="auto" w:fill="B6DDE8" w:themeFill="accent5" w:themeFillTint="66"/>
            <w:tcMar>
              <w:left w:w="108" w:type="dxa"/>
              <w:right w:w="108" w:type="dxa"/>
            </w:tcMar>
            <w:vAlign w:val="center"/>
          </w:tcPr>
          <w:p w14:paraId="1B09995A" w14:textId="04233F53" w:rsidR="209D92D9" w:rsidRPr="00BD1B6F" w:rsidRDefault="209D92D9" w:rsidP="00FD2238">
            <w:pPr>
              <w:jc w:val="center"/>
              <w:rPr>
                <w:b/>
                <w:bCs/>
              </w:rPr>
            </w:pPr>
            <w:r w:rsidRPr="00BD1B6F">
              <w:rPr>
                <w:b/>
                <w:bCs/>
                <w:color w:val="000000" w:themeColor="text1"/>
                <w:sz w:val="24"/>
                <w:szCs w:val="24"/>
              </w:rPr>
              <w:t>Ciljna vrijednost</w:t>
            </w:r>
          </w:p>
        </w:tc>
        <w:tc>
          <w:tcPr>
            <w:tcW w:w="2251" w:type="dxa"/>
            <w:tcBorders>
              <w:top w:val="dotted" w:sz="8" w:space="0" w:color="auto"/>
              <w:left w:val="dotted" w:sz="8" w:space="0" w:color="auto"/>
              <w:bottom w:val="dotted" w:sz="8" w:space="0" w:color="auto"/>
              <w:right w:val="dotted" w:sz="8" w:space="0" w:color="auto"/>
            </w:tcBorders>
            <w:shd w:val="clear" w:color="auto" w:fill="B6DDE8" w:themeFill="accent5" w:themeFillTint="66"/>
            <w:tcMar>
              <w:left w:w="108" w:type="dxa"/>
              <w:right w:w="108" w:type="dxa"/>
            </w:tcMar>
            <w:vAlign w:val="center"/>
          </w:tcPr>
          <w:p w14:paraId="4542DC54" w14:textId="18BC2178" w:rsidR="209D92D9" w:rsidRPr="00BD1B6F" w:rsidRDefault="209D92D9" w:rsidP="00FD2238">
            <w:pPr>
              <w:jc w:val="center"/>
              <w:rPr>
                <w:b/>
                <w:bCs/>
              </w:rPr>
            </w:pPr>
            <w:r w:rsidRPr="00BD1B6F">
              <w:rPr>
                <w:b/>
                <w:bCs/>
                <w:color w:val="000000" w:themeColor="text1"/>
                <w:sz w:val="24"/>
                <w:szCs w:val="24"/>
              </w:rPr>
              <w:t>Ostvarena vrijednost</w:t>
            </w:r>
          </w:p>
        </w:tc>
      </w:tr>
      <w:tr w:rsidR="209D92D9" w:rsidRPr="008115FB" w14:paraId="6E607ED0" w14:textId="77777777" w:rsidTr="00FD2238">
        <w:trPr>
          <w:trHeight w:val="300"/>
        </w:trPr>
        <w:tc>
          <w:tcPr>
            <w:tcW w:w="2685" w:type="dxa"/>
            <w:tcBorders>
              <w:top w:val="dotted" w:sz="8" w:space="0" w:color="auto"/>
              <w:left w:val="dotted" w:sz="8" w:space="0" w:color="auto"/>
              <w:bottom w:val="dotted" w:sz="8" w:space="0" w:color="auto"/>
              <w:right w:val="nil"/>
            </w:tcBorders>
            <w:tcMar>
              <w:left w:w="108" w:type="dxa"/>
              <w:right w:w="108" w:type="dxa"/>
            </w:tcMar>
          </w:tcPr>
          <w:p w14:paraId="54B66C78" w14:textId="6BF8AEAE" w:rsidR="209D92D9" w:rsidRPr="00BD1B6F" w:rsidRDefault="209D92D9" w:rsidP="00BE1F57">
            <w:pPr>
              <w:spacing w:before="165"/>
              <w:jc w:val="both"/>
            </w:pPr>
            <w:r w:rsidRPr="00BD1B6F">
              <w:rPr>
                <w:color w:val="000000" w:themeColor="text1"/>
                <w:sz w:val="24"/>
                <w:szCs w:val="24"/>
              </w:rPr>
              <w:t xml:space="preserve">DESI indeks gospodarske i društvene digitalizacije </w:t>
            </w:r>
          </w:p>
        </w:tc>
        <w:tc>
          <w:tcPr>
            <w:tcW w:w="2355" w:type="dxa"/>
            <w:tcBorders>
              <w:top w:val="dotted" w:sz="8" w:space="0" w:color="auto"/>
              <w:left w:val="nil"/>
              <w:bottom w:val="dotted" w:sz="8" w:space="0" w:color="auto"/>
              <w:right w:val="nil"/>
            </w:tcBorders>
            <w:shd w:val="clear" w:color="auto" w:fill="DAEEF3" w:themeFill="accent5" w:themeFillTint="33"/>
            <w:tcMar>
              <w:left w:w="108" w:type="dxa"/>
              <w:right w:w="108" w:type="dxa"/>
            </w:tcMar>
            <w:vAlign w:val="center"/>
          </w:tcPr>
          <w:p w14:paraId="2B04E0BF" w14:textId="77777777" w:rsidR="006E2E47" w:rsidRPr="00BD1B6F" w:rsidRDefault="209D92D9" w:rsidP="00BE1F57">
            <w:pPr>
              <w:jc w:val="center"/>
              <w:rPr>
                <w:color w:val="000000" w:themeColor="text1"/>
                <w:sz w:val="24"/>
                <w:szCs w:val="24"/>
              </w:rPr>
            </w:pPr>
            <w:r w:rsidRPr="00BD1B6F">
              <w:rPr>
                <w:color w:val="000000" w:themeColor="text1"/>
                <w:sz w:val="24"/>
                <w:szCs w:val="24"/>
              </w:rPr>
              <w:t>47,60</w:t>
            </w:r>
          </w:p>
          <w:p w14:paraId="4C2997EC" w14:textId="22E2203D" w:rsidR="209D92D9" w:rsidRPr="00BD1B6F" w:rsidRDefault="209D92D9" w:rsidP="00BE1F57">
            <w:pPr>
              <w:jc w:val="center"/>
            </w:pPr>
            <w:r w:rsidRPr="00BD1B6F">
              <w:rPr>
                <w:color w:val="000000" w:themeColor="text1"/>
                <w:sz w:val="24"/>
                <w:szCs w:val="24"/>
              </w:rPr>
              <w:t>(20. mjesto u EU) (2020.)</w:t>
            </w:r>
          </w:p>
        </w:tc>
        <w:tc>
          <w:tcPr>
            <w:tcW w:w="1754" w:type="dxa"/>
            <w:tcBorders>
              <w:top w:val="dotted" w:sz="8" w:space="0" w:color="auto"/>
              <w:left w:val="nil"/>
              <w:bottom w:val="dotted" w:sz="8" w:space="0" w:color="auto"/>
              <w:right w:val="nil"/>
            </w:tcBorders>
            <w:tcMar>
              <w:left w:w="108" w:type="dxa"/>
              <w:right w:w="108" w:type="dxa"/>
            </w:tcMar>
          </w:tcPr>
          <w:p w14:paraId="3B91B2FC" w14:textId="7AB211C7" w:rsidR="209D92D9" w:rsidRPr="00BD1B6F" w:rsidRDefault="209D92D9" w:rsidP="00BE1F57">
            <w:pPr>
              <w:spacing w:before="165"/>
              <w:jc w:val="center"/>
            </w:pPr>
            <w:r w:rsidRPr="00BD1B6F">
              <w:rPr>
                <w:color w:val="000000" w:themeColor="text1"/>
                <w:sz w:val="24"/>
                <w:szCs w:val="24"/>
              </w:rPr>
              <w:t>Dostići prosjek EU-a</w:t>
            </w:r>
          </w:p>
        </w:tc>
        <w:tc>
          <w:tcPr>
            <w:tcW w:w="2251" w:type="dxa"/>
            <w:tcBorders>
              <w:top w:val="dotted" w:sz="8" w:space="0" w:color="auto"/>
              <w:left w:val="nil"/>
              <w:bottom w:val="dotted" w:sz="8" w:space="0" w:color="auto"/>
              <w:right w:val="dotted" w:sz="8" w:space="0" w:color="auto"/>
            </w:tcBorders>
            <w:shd w:val="clear" w:color="auto" w:fill="DAEEF3" w:themeFill="accent5" w:themeFillTint="33"/>
            <w:tcMar>
              <w:left w:w="108" w:type="dxa"/>
              <w:right w:w="108" w:type="dxa"/>
            </w:tcMar>
            <w:vAlign w:val="center"/>
          </w:tcPr>
          <w:p w14:paraId="38634A5A" w14:textId="77777777" w:rsidR="006E2E47" w:rsidRPr="00BD1B6F" w:rsidRDefault="209D92D9" w:rsidP="00BE1F57">
            <w:pPr>
              <w:jc w:val="center"/>
              <w:rPr>
                <w:color w:val="000000" w:themeColor="text1"/>
                <w:sz w:val="24"/>
                <w:szCs w:val="24"/>
              </w:rPr>
            </w:pPr>
            <w:r w:rsidRPr="00BD1B6F">
              <w:rPr>
                <w:color w:val="000000" w:themeColor="text1"/>
                <w:sz w:val="24"/>
                <w:szCs w:val="24"/>
              </w:rPr>
              <w:t>47,50</w:t>
            </w:r>
          </w:p>
          <w:p w14:paraId="2D62EC28" w14:textId="69A47D49" w:rsidR="00B56D0D" w:rsidRPr="00BD1B6F" w:rsidRDefault="209D92D9" w:rsidP="00BE1F57">
            <w:pPr>
              <w:jc w:val="center"/>
              <w:rPr>
                <w:color w:val="000000" w:themeColor="text1"/>
                <w:sz w:val="24"/>
                <w:szCs w:val="24"/>
              </w:rPr>
            </w:pPr>
            <w:r w:rsidRPr="00BD1B6F">
              <w:rPr>
                <w:color w:val="000000" w:themeColor="text1"/>
                <w:sz w:val="24"/>
                <w:szCs w:val="24"/>
              </w:rPr>
              <w:t>(21. mjesto u EU)</w:t>
            </w:r>
          </w:p>
          <w:p w14:paraId="5CDFBF6E" w14:textId="0AB719BC" w:rsidR="209D92D9" w:rsidRPr="00BD1B6F" w:rsidRDefault="209D92D9" w:rsidP="00BE1F57">
            <w:pPr>
              <w:jc w:val="center"/>
            </w:pPr>
            <w:r w:rsidRPr="00BD1B6F">
              <w:rPr>
                <w:color w:val="000000" w:themeColor="text1"/>
                <w:sz w:val="24"/>
                <w:szCs w:val="24"/>
              </w:rPr>
              <w:t>(2022.)</w:t>
            </w:r>
          </w:p>
        </w:tc>
      </w:tr>
    </w:tbl>
    <w:p w14:paraId="5FA4FE01" w14:textId="77777777" w:rsidR="008F3177" w:rsidRDefault="008F3177" w:rsidP="00BE1F57"/>
    <w:p w14:paraId="4883D176" w14:textId="767DF7D6" w:rsidR="28E0714A" w:rsidRPr="00BD1B6F" w:rsidRDefault="28E0714A" w:rsidP="00C723DF">
      <w:pPr>
        <w:pStyle w:val="Heading3"/>
        <w:rPr>
          <w:sz w:val="24"/>
          <w:szCs w:val="24"/>
        </w:rPr>
      </w:pPr>
      <w:bookmarkStart w:id="107" w:name="_Toc156819401"/>
      <w:r w:rsidRPr="00BD1B6F">
        <w:rPr>
          <w:sz w:val="24"/>
          <w:szCs w:val="24"/>
        </w:rPr>
        <w:t>11.</w:t>
      </w:r>
      <w:r w:rsidR="00746EAC">
        <w:rPr>
          <w:sz w:val="24"/>
          <w:szCs w:val="24"/>
        </w:rPr>
        <w:t>2</w:t>
      </w:r>
      <w:r w:rsidRPr="00BD1B6F">
        <w:rPr>
          <w:sz w:val="24"/>
          <w:szCs w:val="24"/>
        </w:rPr>
        <w:t>. Opis napretka u provedbi strateškog cilja Digitalna tranzicija gospodarstva</w:t>
      </w:r>
      <w:bookmarkEnd w:id="107"/>
    </w:p>
    <w:p w14:paraId="46510024" w14:textId="77777777" w:rsidR="0010365F" w:rsidRPr="00BD1B6F" w:rsidRDefault="0010365F" w:rsidP="0010365F">
      <w:pPr>
        <w:spacing w:before="163" w:after="240" w:line="276" w:lineRule="auto"/>
        <w:jc w:val="both"/>
        <w:rPr>
          <w:sz w:val="24"/>
          <w:szCs w:val="24"/>
        </w:rPr>
      </w:pPr>
      <w:r w:rsidRPr="00BD1B6F">
        <w:rPr>
          <w:sz w:val="24"/>
          <w:szCs w:val="24"/>
        </w:rPr>
        <w:t xml:space="preserve">Iako je u posljednjih </w:t>
      </w:r>
      <w:r>
        <w:rPr>
          <w:sz w:val="24"/>
          <w:szCs w:val="24"/>
        </w:rPr>
        <w:t>5</w:t>
      </w:r>
      <w:r w:rsidRPr="00BD1B6F">
        <w:rPr>
          <w:sz w:val="24"/>
          <w:szCs w:val="24"/>
        </w:rPr>
        <w:t xml:space="preserve"> godina rastao više od prosjeka EU-a, prema Indeksu gospodarske i društvene digitalizacije (DESI) Hrvatska je u 2022. u odnosu na 2021. nazadovala za dva mjesta te se nalazi na 21. mjestu </w:t>
      </w:r>
      <w:r w:rsidRPr="008115FB">
        <w:rPr>
          <w:sz w:val="24"/>
          <w:szCs w:val="24"/>
        </w:rPr>
        <w:t xml:space="preserve">poretka </w:t>
      </w:r>
      <w:r w:rsidRPr="00BD1B6F">
        <w:rPr>
          <w:sz w:val="24"/>
          <w:szCs w:val="24"/>
        </w:rPr>
        <w:t xml:space="preserve">među državama članicama EU-a. Unatoč </w:t>
      </w:r>
      <w:r>
        <w:rPr>
          <w:sz w:val="24"/>
          <w:szCs w:val="24"/>
        </w:rPr>
        <w:t>padu</w:t>
      </w:r>
      <w:r w:rsidRPr="00BD1B6F">
        <w:rPr>
          <w:sz w:val="24"/>
          <w:szCs w:val="24"/>
        </w:rPr>
        <w:t xml:space="preserve"> na poretku DESI indeksa, važno je istaknuti da je Hrvatska</w:t>
      </w:r>
      <w:r w:rsidRPr="00BD1B6F">
        <w:t xml:space="preserve"> </w:t>
      </w:r>
      <w:r w:rsidRPr="00BD1B6F">
        <w:rPr>
          <w:sz w:val="24"/>
          <w:szCs w:val="24"/>
        </w:rPr>
        <w:t>ostvarila ukupno bolji rezultat od 47,5 (46 u 2021</w:t>
      </w:r>
      <w:r>
        <w:rPr>
          <w:sz w:val="24"/>
          <w:szCs w:val="24"/>
        </w:rPr>
        <w:t>.</w:t>
      </w:r>
      <w:r w:rsidRPr="0073724E">
        <w:rPr>
          <w:sz w:val="24"/>
          <w:szCs w:val="24"/>
        </w:rPr>
        <w:t>)</w:t>
      </w:r>
      <w:r w:rsidRPr="00BD1B6F">
        <w:rPr>
          <w:sz w:val="24"/>
          <w:szCs w:val="24"/>
        </w:rPr>
        <w:t xml:space="preserve"> </w:t>
      </w:r>
      <w:r>
        <w:rPr>
          <w:sz w:val="24"/>
          <w:szCs w:val="24"/>
        </w:rPr>
        <w:t xml:space="preserve">i </w:t>
      </w:r>
      <w:r w:rsidRPr="00BD1B6F">
        <w:rPr>
          <w:sz w:val="24"/>
          <w:szCs w:val="24"/>
        </w:rPr>
        <w:t xml:space="preserve">značajno poboljšala svoju poziciju u području ljudskog kapitala </w:t>
      </w:r>
      <w:r>
        <w:rPr>
          <w:sz w:val="24"/>
          <w:szCs w:val="24"/>
        </w:rPr>
        <w:t>te</w:t>
      </w:r>
      <w:r w:rsidRPr="00BD1B6F">
        <w:rPr>
          <w:sz w:val="24"/>
          <w:szCs w:val="24"/>
        </w:rPr>
        <w:t xml:space="preserve"> ostvarila pozitivne pomake u području digitalnih javnih usluga.</w:t>
      </w:r>
    </w:p>
    <w:p w14:paraId="2C7F3D0C" w14:textId="77777777" w:rsidR="0010365F" w:rsidRPr="00BD1B6F" w:rsidRDefault="0010365F" w:rsidP="0010365F">
      <w:pPr>
        <w:spacing w:before="163" w:after="240" w:line="276" w:lineRule="auto"/>
        <w:jc w:val="both"/>
        <w:rPr>
          <w:sz w:val="24"/>
          <w:szCs w:val="24"/>
        </w:rPr>
      </w:pPr>
      <w:r w:rsidRPr="00BD1B6F">
        <w:rPr>
          <w:sz w:val="24"/>
          <w:szCs w:val="24"/>
        </w:rPr>
        <w:t>Prema DESI izvješću za 2022.</w:t>
      </w:r>
      <w:r>
        <w:rPr>
          <w:sz w:val="24"/>
          <w:szCs w:val="24"/>
        </w:rPr>
        <w:t>,</w:t>
      </w:r>
      <w:r w:rsidRPr="00BD1B6F">
        <w:rPr>
          <w:sz w:val="24"/>
          <w:szCs w:val="24"/>
        </w:rPr>
        <w:t xml:space="preserve"> u kategoriji ljudskog kapitala Hrvatska je zauzela 9. mjesto među 27 država članica, što predstavlja skok za 7 mjesta u odnosu na 2021</w:t>
      </w:r>
      <w:r>
        <w:rPr>
          <w:sz w:val="24"/>
          <w:szCs w:val="24"/>
        </w:rPr>
        <w:t>.,</w:t>
      </w:r>
      <w:r w:rsidRPr="00BD1B6F">
        <w:rPr>
          <w:sz w:val="24"/>
          <w:szCs w:val="24"/>
        </w:rPr>
        <w:t xml:space="preserve"> </w:t>
      </w:r>
      <w:r w:rsidRPr="008115FB">
        <w:rPr>
          <w:sz w:val="24"/>
          <w:szCs w:val="24"/>
        </w:rPr>
        <w:t>a</w:t>
      </w:r>
      <w:r w:rsidRPr="00BD1B6F">
        <w:rPr>
          <w:sz w:val="24"/>
          <w:szCs w:val="24"/>
        </w:rPr>
        <w:t xml:space="preserve"> Hrvatsku stavlja iznad prosjeka EU-a prema više ključnih pokazatelja. U Hrvatskoj 63% građana u dobi od 16 do 74 godine ima barem osnovnu razinu digitalnih vještina (prosjek EU-a je 54%), a 31% građana ima digitalne vještine na razini višoj od osnovne (prosjek EU-a je 26%). Osim toga, 81% Hrvata ima barem osnovnu razinu vještina stvaranja digitalnih sadržaja, što je znatno bolje od prosjeka EU-a (66%). Međutim, zbog odljeva radne snage na bolje plaćena mjesta u inozemstvu, stručnjaci za IKT čine relativno mali postotak radne snage u Hrvatskoj od 3,6%, u usporedbi s prosjekom EU-a (4,5%). S druge strane, </w:t>
      </w:r>
      <w:r w:rsidRPr="008115FB">
        <w:rPr>
          <w:sz w:val="24"/>
          <w:szCs w:val="24"/>
        </w:rPr>
        <w:t xml:space="preserve">u Hrvatskoj je </w:t>
      </w:r>
      <w:r w:rsidRPr="00BD1B6F">
        <w:rPr>
          <w:sz w:val="24"/>
          <w:szCs w:val="24"/>
        </w:rPr>
        <w:t xml:space="preserve">udio stručnjakinja za IKT u ukupnom broju stručnjaka za IKT od 21% veći </w:t>
      </w:r>
      <w:r w:rsidRPr="00617524">
        <w:rPr>
          <w:sz w:val="24"/>
          <w:szCs w:val="24"/>
        </w:rPr>
        <w:t>od</w:t>
      </w:r>
      <w:r w:rsidRPr="00BD1B6F">
        <w:rPr>
          <w:sz w:val="24"/>
          <w:szCs w:val="24"/>
        </w:rPr>
        <w:t xml:space="preserve"> prosjeka EU-a (19%), kao i udio osoba s diplomom iz područja IKT-a </w:t>
      </w:r>
      <w:r>
        <w:rPr>
          <w:sz w:val="24"/>
          <w:szCs w:val="24"/>
        </w:rPr>
        <w:t>od</w:t>
      </w:r>
      <w:r w:rsidRPr="00BD1B6F">
        <w:rPr>
          <w:sz w:val="24"/>
          <w:szCs w:val="24"/>
        </w:rPr>
        <w:t xml:space="preserve"> 4,7% (prosjek EU-a je 3,9%) te udio poduzeća koja svojim zaposlenicima nude osposobljavanje u području IKT-a od 23% (prosjek EU-a je 20%).</w:t>
      </w:r>
    </w:p>
    <w:p w14:paraId="2855B247" w14:textId="77777777" w:rsidR="0010365F" w:rsidRPr="00BD1B6F" w:rsidRDefault="0010365F" w:rsidP="0010365F">
      <w:pPr>
        <w:spacing w:before="163" w:after="240" w:line="276" w:lineRule="auto"/>
        <w:jc w:val="both"/>
        <w:rPr>
          <w:sz w:val="24"/>
          <w:szCs w:val="24"/>
        </w:rPr>
      </w:pPr>
      <w:r w:rsidRPr="00BD1B6F">
        <w:rPr>
          <w:sz w:val="24"/>
          <w:szCs w:val="24"/>
        </w:rPr>
        <w:t xml:space="preserve">Nadalje, prema DESI izvješću za 2022., u kategoriji povezivosti Hrvatska je zauzela 24. mjesto (20. mjesto u </w:t>
      </w:r>
      <w:r>
        <w:rPr>
          <w:sz w:val="24"/>
          <w:szCs w:val="24"/>
        </w:rPr>
        <w:t>2021.,</w:t>
      </w:r>
      <w:r w:rsidRPr="00BD1B6F">
        <w:rPr>
          <w:sz w:val="24"/>
          <w:szCs w:val="24"/>
        </w:rPr>
        <w:t xml:space="preserve"> uz bolji rezultat od 48,1</w:t>
      </w:r>
      <w:r w:rsidRPr="008115FB">
        <w:rPr>
          <w:sz w:val="24"/>
          <w:szCs w:val="24"/>
        </w:rPr>
        <w:t>%</w:t>
      </w:r>
      <w:r w:rsidRPr="00BD1B6F">
        <w:rPr>
          <w:sz w:val="24"/>
          <w:szCs w:val="24"/>
        </w:rPr>
        <w:t xml:space="preserve"> u odnosu na 2021. (45</w:t>
      </w:r>
      <w:r w:rsidRPr="008115FB">
        <w:rPr>
          <w:sz w:val="24"/>
          <w:szCs w:val="24"/>
        </w:rPr>
        <w:t>%</w:t>
      </w:r>
      <w:r w:rsidRPr="00BD1B6F">
        <w:rPr>
          <w:sz w:val="24"/>
          <w:szCs w:val="24"/>
        </w:rPr>
        <w:t>)</w:t>
      </w:r>
      <w:r>
        <w:rPr>
          <w:sz w:val="24"/>
          <w:szCs w:val="24"/>
        </w:rPr>
        <w:t>)</w:t>
      </w:r>
      <w:r w:rsidRPr="00BD1B6F">
        <w:rPr>
          <w:sz w:val="24"/>
          <w:szCs w:val="24"/>
        </w:rPr>
        <w:t>. Pokrivenost brzom širokopojasnom mrežom (8</w:t>
      </w:r>
      <w:r>
        <w:rPr>
          <w:sz w:val="24"/>
          <w:szCs w:val="24"/>
        </w:rPr>
        <w:t>8</w:t>
      </w:r>
      <w:r w:rsidRPr="00BD1B6F">
        <w:rPr>
          <w:sz w:val="24"/>
          <w:szCs w:val="24"/>
        </w:rPr>
        <w:t xml:space="preserve">% nacionalno i </w:t>
      </w:r>
      <w:r>
        <w:rPr>
          <w:sz w:val="24"/>
          <w:szCs w:val="24"/>
        </w:rPr>
        <w:t>47</w:t>
      </w:r>
      <w:r w:rsidRPr="00BD1B6F">
        <w:rPr>
          <w:sz w:val="24"/>
          <w:szCs w:val="24"/>
        </w:rPr>
        <w:t>% ruralno) je dobra, ali je ukupno korištenje nepokretnog širokopojasnog pristupa od 75% ispod prosjeka EU-a (78%). Pokrivenost nepokretnim mrežama vrlo velikog kapaciteta od 52% ispod je prosjeka EU-a (</w:t>
      </w:r>
      <w:r>
        <w:rPr>
          <w:sz w:val="24"/>
          <w:szCs w:val="24"/>
        </w:rPr>
        <w:t>70</w:t>
      </w:r>
      <w:r w:rsidRPr="00BD1B6F">
        <w:rPr>
          <w:sz w:val="24"/>
          <w:szCs w:val="24"/>
        </w:rPr>
        <w:t xml:space="preserve">%), ali kontinuirano raste. Stanje pokrivenosti loše </w:t>
      </w:r>
      <w:r>
        <w:rPr>
          <w:sz w:val="24"/>
          <w:szCs w:val="24"/>
        </w:rPr>
        <w:t xml:space="preserve">je </w:t>
      </w:r>
      <w:r w:rsidRPr="00BD1B6F">
        <w:rPr>
          <w:sz w:val="24"/>
          <w:szCs w:val="24"/>
        </w:rPr>
        <w:t xml:space="preserve">u ruralnim područjima u kojima samo 14% kućanstava ima pristup nepokretnoj mreži </w:t>
      </w:r>
      <w:r w:rsidRPr="00BD1B6F">
        <w:rPr>
          <w:sz w:val="24"/>
          <w:szCs w:val="24"/>
        </w:rPr>
        <w:lastRenderedPageBreak/>
        <w:t>vrlo velikog kapaciteta, a samo 7% kućanstava pristup mreži optičkih vlakana</w:t>
      </w:r>
      <w:r>
        <w:rPr>
          <w:sz w:val="24"/>
          <w:szCs w:val="24"/>
        </w:rPr>
        <w:t xml:space="preserve"> (FTTP)</w:t>
      </w:r>
      <w:r w:rsidRPr="00BD1B6F">
        <w:rPr>
          <w:sz w:val="24"/>
          <w:szCs w:val="24"/>
        </w:rPr>
        <w:t>. U skladu s Nacionalnim planom razvoja širokopojasne infrastrukture od 2021. do 2027., uz potporu iz EFRR</w:t>
      </w:r>
      <w:r>
        <w:rPr>
          <w:sz w:val="24"/>
          <w:szCs w:val="24"/>
        </w:rPr>
        <w:t>-a</w:t>
      </w:r>
      <w:r w:rsidRPr="00BD1B6F">
        <w:rPr>
          <w:sz w:val="24"/>
          <w:szCs w:val="24"/>
        </w:rPr>
        <w:t xml:space="preserve">, tijekom 2022. nastavljena je provedba ulaganja u projekte izgradnje širokopojasne infrastrukture u ruralnim područjima, čime će se pokrivenost nepokretnim mrežama vrlo velikog kapaciteta u ruralnim područjima značajno poboljšati. Unatoč dostupnosti </w:t>
      </w:r>
      <w:r>
        <w:rPr>
          <w:sz w:val="24"/>
          <w:szCs w:val="24"/>
        </w:rPr>
        <w:t xml:space="preserve">nepokretnih </w:t>
      </w:r>
      <w:r w:rsidRPr="00BD1B6F">
        <w:rPr>
          <w:sz w:val="24"/>
          <w:szCs w:val="24"/>
        </w:rPr>
        <w:t>mreža</w:t>
      </w:r>
      <w:r>
        <w:rPr>
          <w:sz w:val="24"/>
          <w:szCs w:val="24"/>
        </w:rPr>
        <w:t xml:space="preserve"> vrlo velikog kapaciteta</w:t>
      </w:r>
      <w:r w:rsidRPr="00BD1B6F">
        <w:rPr>
          <w:sz w:val="24"/>
          <w:szCs w:val="24"/>
        </w:rPr>
        <w:t>, korištenje širokopojasnog pristupa s brzinama od najmanje 100 Mbps je nisko (</w:t>
      </w:r>
      <w:r>
        <w:rPr>
          <w:sz w:val="24"/>
          <w:szCs w:val="24"/>
        </w:rPr>
        <w:t>16</w:t>
      </w:r>
      <w:r w:rsidRPr="00BD1B6F">
        <w:rPr>
          <w:sz w:val="24"/>
          <w:szCs w:val="24"/>
        </w:rPr>
        <w:t xml:space="preserve">%), a usluge s brzinama od najmanje 1 Gbps, iako dostupne, zasad se slabo koriste. Kad je riječ o pokretnim mrežama, osigurana je gotovo potpuna pokrivenost 4G mrežom i korištenje pokretnog širokopojasnog pristupa, </w:t>
      </w:r>
      <w:r>
        <w:rPr>
          <w:sz w:val="24"/>
          <w:szCs w:val="24"/>
        </w:rPr>
        <w:t>što je</w:t>
      </w:r>
      <w:r w:rsidRPr="00BD1B6F">
        <w:rPr>
          <w:sz w:val="24"/>
          <w:szCs w:val="24"/>
        </w:rPr>
        <w:t xml:space="preserve"> na razini prosjeka EU-a (</w:t>
      </w:r>
      <w:r>
        <w:rPr>
          <w:sz w:val="24"/>
          <w:szCs w:val="24"/>
        </w:rPr>
        <w:t>81</w:t>
      </w:r>
      <w:r w:rsidRPr="00BD1B6F">
        <w:rPr>
          <w:sz w:val="24"/>
          <w:szCs w:val="24"/>
        </w:rPr>
        <w:t xml:space="preserve">%). Iako Hrvatska napreduje u ostvarenju ciljeva gigabitnog društva, još su potrebna znatna poboljšanja. </w:t>
      </w:r>
    </w:p>
    <w:p w14:paraId="7AA51B1E" w14:textId="77777777" w:rsidR="0010365F" w:rsidRPr="00BD1B6F" w:rsidRDefault="0010365F" w:rsidP="0010365F">
      <w:pPr>
        <w:spacing w:before="165" w:after="240" w:line="276" w:lineRule="auto"/>
        <w:jc w:val="both"/>
        <w:rPr>
          <w:sz w:val="24"/>
          <w:szCs w:val="24"/>
        </w:rPr>
      </w:pPr>
      <w:r w:rsidRPr="00BD1B6F">
        <w:rPr>
          <w:sz w:val="24"/>
          <w:szCs w:val="24"/>
        </w:rPr>
        <w:t>Prema DESI izvješću za 2022</w:t>
      </w:r>
      <w:r>
        <w:rPr>
          <w:sz w:val="24"/>
          <w:szCs w:val="24"/>
        </w:rPr>
        <w:t>.,</w:t>
      </w:r>
      <w:r w:rsidRPr="00BD1B6F">
        <w:rPr>
          <w:sz w:val="24"/>
          <w:szCs w:val="24"/>
        </w:rPr>
        <w:t xml:space="preserve"> u kategoriji integracije digitalne tehnologije Hrvatska se nalazi na 14. mjestu među državama članicama EU-a (13. mjesto u 2021</w:t>
      </w:r>
      <w:r>
        <w:rPr>
          <w:sz w:val="24"/>
          <w:szCs w:val="24"/>
        </w:rPr>
        <w:t>,</w:t>
      </w:r>
      <w:r w:rsidRPr="00BD1B6F">
        <w:rPr>
          <w:sz w:val="24"/>
          <w:szCs w:val="24"/>
        </w:rPr>
        <w:t xml:space="preserve"> uz iznadprosječan rezultat od 36,7 (prosjek EU je 36,1)</w:t>
      </w:r>
      <w:r>
        <w:rPr>
          <w:sz w:val="24"/>
          <w:szCs w:val="24"/>
        </w:rPr>
        <w:t>)</w:t>
      </w:r>
      <w:r w:rsidRPr="00BD1B6F">
        <w:rPr>
          <w:sz w:val="24"/>
          <w:szCs w:val="24"/>
        </w:rPr>
        <w:t>. Hrvatska poduzeća nadprosječno iskorištavaju mogućnosti koje pružaju digitalne tehnologije. Aktivnije sudjeluju u internetskom trgovanju, pri čemu 29% malih i srednjih poduzeća prodaje na internetu (prosjek EU-a je 18%), a 13% prodaje u druge države članice EU</w:t>
      </w:r>
      <w:r>
        <w:rPr>
          <w:sz w:val="24"/>
          <w:szCs w:val="24"/>
        </w:rPr>
        <w:t>-a</w:t>
      </w:r>
      <w:r w:rsidRPr="00BD1B6F">
        <w:rPr>
          <w:sz w:val="24"/>
          <w:szCs w:val="24"/>
        </w:rPr>
        <w:t>. Među hrvatskim malim i srednjim poduzećima</w:t>
      </w:r>
      <w:r>
        <w:rPr>
          <w:sz w:val="24"/>
          <w:szCs w:val="24"/>
        </w:rPr>
        <w:t>,</w:t>
      </w:r>
      <w:r w:rsidRPr="00BD1B6F">
        <w:rPr>
          <w:sz w:val="24"/>
          <w:szCs w:val="24"/>
        </w:rPr>
        <w:t xml:space="preserve"> njih 50% ima barem osnovnu razinu digitalnog intenziteta</w:t>
      </w:r>
      <w:r>
        <w:rPr>
          <w:sz w:val="24"/>
          <w:szCs w:val="24"/>
        </w:rPr>
        <w:t xml:space="preserve"> i </w:t>
      </w:r>
      <w:r w:rsidRPr="00BD1B6F">
        <w:rPr>
          <w:sz w:val="24"/>
          <w:szCs w:val="24"/>
        </w:rPr>
        <w:t xml:space="preserve">redovno </w:t>
      </w:r>
      <w:r>
        <w:rPr>
          <w:sz w:val="24"/>
          <w:szCs w:val="24"/>
        </w:rPr>
        <w:t>primjenjuje</w:t>
      </w:r>
      <w:r w:rsidRPr="00BD1B6F">
        <w:rPr>
          <w:sz w:val="24"/>
          <w:szCs w:val="24"/>
        </w:rPr>
        <w:t xml:space="preserve"> najmanje </w:t>
      </w:r>
      <w:r>
        <w:rPr>
          <w:sz w:val="24"/>
          <w:szCs w:val="24"/>
        </w:rPr>
        <w:t>4</w:t>
      </w:r>
      <w:r w:rsidRPr="00BD1B6F">
        <w:rPr>
          <w:sz w:val="24"/>
          <w:szCs w:val="24"/>
        </w:rPr>
        <w:t xml:space="preserve"> od </w:t>
      </w:r>
      <w:r>
        <w:rPr>
          <w:sz w:val="24"/>
          <w:szCs w:val="24"/>
        </w:rPr>
        <w:t xml:space="preserve">12 </w:t>
      </w:r>
      <w:r w:rsidRPr="00BD1B6F">
        <w:rPr>
          <w:sz w:val="24"/>
          <w:szCs w:val="24"/>
        </w:rPr>
        <w:t xml:space="preserve">ključnih digitalnih tehnologija, što je ispod prosjeka EU-a (55%), dok u primjeni IKT-a u svrhu okolišne održivosti 75% hrvatskih poduzeća bilježi srednji/visok intenzitet zelenih mjera primjenom IKT-a, što je znatno više od prosjeka EU-a (66%). Digitalne tehnologije sve su popularnije u hrvatskim poduzećima: 35% njih primjenjuje rješenja u oblaku (prosjek EU-a je 34%), 43% upotrebljava e-račune </w:t>
      </w:r>
      <w:r>
        <w:rPr>
          <w:sz w:val="24"/>
          <w:szCs w:val="24"/>
        </w:rPr>
        <w:t>(</w:t>
      </w:r>
      <w:r w:rsidRPr="00BD1B6F">
        <w:rPr>
          <w:sz w:val="24"/>
          <w:szCs w:val="24"/>
        </w:rPr>
        <w:t>znatno više od prosjeka EU-a od 32%</w:t>
      </w:r>
      <w:r>
        <w:rPr>
          <w:sz w:val="24"/>
          <w:szCs w:val="24"/>
        </w:rPr>
        <w:t>)</w:t>
      </w:r>
      <w:r w:rsidRPr="00BD1B6F">
        <w:rPr>
          <w:sz w:val="24"/>
          <w:szCs w:val="24"/>
        </w:rPr>
        <w:t xml:space="preserve">, a 9% upotrebljava tehnologije koje se temelje na umjetnoj inteligenciji (prosjek EU-a je 8%). Iako je za navedene pokazatelje Hrvatska ostvarila bolje rezultate od prosjeka EU-a, postoji potencijal za bolju primjenu ključnih tehnologija, kao što su veliki podaci i umjetna inteligencija. Ulaganja poduzeća u osposobljavanje u području IKT-a rezultirala </w:t>
      </w:r>
      <w:r>
        <w:rPr>
          <w:sz w:val="24"/>
          <w:szCs w:val="24"/>
        </w:rPr>
        <w:t xml:space="preserve">su </w:t>
      </w:r>
      <w:r w:rsidRPr="00BD1B6F">
        <w:rPr>
          <w:sz w:val="24"/>
          <w:szCs w:val="24"/>
        </w:rPr>
        <w:t>većim brojem osoba s diplomom iz područja IKT-a (4,7</w:t>
      </w:r>
      <w:r>
        <w:rPr>
          <w:sz w:val="24"/>
          <w:szCs w:val="24"/>
        </w:rPr>
        <w:t>%)</w:t>
      </w:r>
      <w:r w:rsidRPr="00BD1B6F">
        <w:rPr>
          <w:sz w:val="24"/>
          <w:szCs w:val="24"/>
        </w:rPr>
        <w:t xml:space="preserve"> u odnosu na prosjek EU-a (3,9%). Unatoč dobrim rezultatima u digitalnim vještinama</w:t>
      </w:r>
      <w:r>
        <w:rPr>
          <w:sz w:val="24"/>
          <w:szCs w:val="24"/>
        </w:rPr>
        <w:t>,</w:t>
      </w:r>
      <w:r w:rsidRPr="00BD1B6F">
        <w:rPr>
          <w:sz w:val="24"/>
          <w:szCs w:val="24"/>
        </w:rPr>
        <w:t xml:space="preserve"> i dalje postoji manjak stručnjaka za IKT čiji je udio u radnoj snazi u Hrvatskoj manji od prosjeka EU-a.</w:t>
      </w:r>
    </w:p>
    <w:p w14:paraId="2B0E391F" w14:textId="77777777" w:rsidR="0010365F" w:rsidRPr="00BD1B6F" w:rsidRDefault="0010365F" w:rsidP="0010365F">
      <w:pPr>
        <w:spacing w:before="165" w:after="240" w:line="276" w:lineRule="auto"/>
        <w:jc w:val="both"/>
        <w:rPr>
          <w:sz w:val="24"/>
          <w:szCs w:val="24"/>
        </w:rPr>
      </w:pPr>
      <w:r w:rsidRPr="00BD1B6F">
        <w:rPr>
          <w:sz w:val="24"/>
          <w:szCs w:val="24"/>
        </w:rPr>
        <w:t>Hrvatska javna uprava polako ali sigurno napreduje u pružanju digitalnih javnih usluga, primjenom različitih e-</w:t>
      </w:r>
      <w:r w:rsidRPr="0096211E">
        <w:rPr>
          <w:sz w:val="24"/>
          <w:szCs w:val="24"/>
        </w:rPr>
        <w:t>aplikacij</w:t>
      </w:r>
      <w:r>
        <w:rPr>
          <w:sz w:val="24"/>
          <w:szCs w:val="24"/>
        </w:rPr>
        <w:t>a</w:t>
      </w:r>
      <w:r w:rsidRPr="00BD1B6F">
        <w:rPr>
          <w:sz w:val="24"/>
          <w:szCs w:val="24"/>
        </w:rPr>
        <w:t xml:space="preserve"> za građane i poduzetnike. Kad je riječ o digitalnim javnim uslugama, prema DESI izvješću za 2022. Hrvatska je zauzela 23. mjesto među zemljama EU-a (24</w:t>
      </w:r>
      <w:r>
        <w:rPr>
          <w:sz w:val="24"/>
          <w:szCs w:val="24"/>
        </w:rPr>
        <w:t>.</w:t>
      </w:r>
      <w:r w:rsidRPr="00BD1B6F">
        <w:rPr>
          <w:sz w:val="24"/>
          <w:szCs w:val="24"/>
        </w:rPr>
        <w:t xml:space="preserve"> mjesto u 2021.). Potrebno je nastaviti jačanje internetske interakcij</w:t>
      </w:r>
      <w:r>
        <w:rPr>
          <w:sz w:val="24"/>
          <w:szCs w:val="24"/>
        </w:rPr>
        <w:t>e</w:t>
      </w:r>
      <w:r w:rsidRPr="00BD1B6F">
        <w:rPr>
          <w:sz w:val="24"/>
          <w:szCs w:val="24"/>
        </w:rPr>
        <w:t xml:space="preserve"> između tijela javne vlasti. Nastavljen je rast udjela korisnika usluga e-</w:t>
      </w:r>
      <w:r w:rsidRPr="00BD1B6F">
        <w:rPr>
          <w:sz w:val="24"/>
          <w:szCs w:val="24"/>
        </w:rPr>
        <w:lastRenderedPageBreak/>
        <w:t xml:space="preserve">uprave koje koristi 55% internetskih korisnika (prosjek EU-a je 65%), ali prema pokazatelju količine podataka koji su unaprijed popunjeni u internetskim obrascima javnih usluga Hrvatska s 38% ostaje znatno ispod prosjeka EU-a od 64%. </w:t>
      </w:r>
      <w:r>
        <w:rPr>
          <w:sz w:val="24"/>
          <w:szCs w:val="24"/>
        </w:rPr>
        <w:t>K</w:t>
      </w:r>
      <w:r w:rsidRPr="00F248C3">
        <w:rPr>
          <w:sz w:val="24"/>
          <w:szCs w:val="24"/>
        </w:rPr>
        <w:t xml:space="preserve">ontinuirano </w:t>
      </w:r>
      <w:r>
        <w:rPr>
          <w:sz w:val="24"/>
          <w:szCs w:val="24"/>
        </w:rPr>
        <w:t>se</w:t>
      </w:r>
      <w:r w:rsidRPr="00BD1B6F">
        <w:rPr>
          <w:sz w:val="24"/>
          <w:szCs w:val="24"/>
        </w:rPr>
        <w:t xml:space="preserve"> provodi pojednostavljenje administrativnog okruženja</w:t>
      </w:r>
      <w:r>
        <w:rPr>
          <w:sz w:val="24"/>
          <w:szCs w:val="24"/>
        </w:rPr>
        <w:t>, a</w:t>
      </w:r>
      <w:r w:rsidRPr="00BD1B6F">
        <w:rPr>
          <w:sz w:val="24"/>
          <w:szCs w:val="24"/>
        </w:rPr>
        <w:t xml:space="preserve"> prema dostupnosti digitalnih internetskih usluga za građane </w:t>
      </w:r>
      <w:r>
        <w:rPr>
          <w:sz w:val="24"/>
          <w:szCs w:val="24"/>
        </w:rPr>
        <w:t>(</w:t>
      </w:r>
      <w:r w:rsidRPr="00BD1B6F">
        <w:rPr>
          <w:sz w:val="24"/>
          <w:szCs w:val="24"/>
        </w:rPr>
        <w:t>69</w:t>
      </w:r>
      <w:r>
        <w:rPr>
          <w:sz w:val="24"/>
          <w:szCs w:val="24"/>
        </w:rPr>
        <w:t>%)</w:t>
      </w:r>
      <w:r w:rsidRPr="00BD1B6F">
        <w:rPr>
          <w:sz w:val="24"/>
          <w:szCs w:val="24"/>
        </w:rPr>
        <w:t xml:space="preserve"> približava se prosjeku EU-a (75%). U kategoriji digitalnih javnih usluga za poduzeća</w:t>
      </w:r>
      <w:r>
        <w:rPr>
          <w:sz w:val="24"/>
          <w:szCs w:val="24"/>
        </w:rPr>
        <w:t>,</w:t>
      </w:r>
      <w:r w:rsidRPr="00BD1B6F">
        <w:rPr>
          <w:sz w:val="24"/>
          <w:szCs w:val="24"/>
        </w:rPr>
        <w:t xml:space="preserve"> u prošloj godini, u odnosu na 2021., </w:t>
      </w:r>
      <w:r w:rsidRPr="00F248C3">
        <w:rPr>
          <w:sz w:val="24"/>
          <w:szCs w:val="24"/>
        </w:rPr>
        <w:t>zabiljež</w:t>
      </w:r>
      <w:r>
        <w:rPr>
          <w:sz w:val="24"/>
          <w:szCs w:val="24"/>
        </w:rPr>
        <w:t>en je</w:t>
      </w:r>
      <w:r w:rsidRPr="00BD1B6F">
        <w:rPr>
          <w:sz w:val="24"/>
          <w:szCs w:val="24"/>
        </w:rPr>
        <w:t xml:space="preserve"> pad sa 73% na 68%, jer unatoč dobrim rezultatima u digitalnim vještinama</w:t>
      </w:r>
      <w:r>
        <w:rPr>
          <w:sz w:val="24"/>
          <w:szCs w:val="24"/>
        </w:rPr>
        <w:t>,</w:t>
      </w:r>
      <w:r w:rsidRPr="00BD1B6F">
        <w:rPr>
          <w:sz w:val="24"/>
          <w:szCs w:val="24"/>
        </w:rPr>
        <w:t xml:space="preserve"> nedostatak stručnjaka u području IKT-a znatno utječe na integraciju digitalnih tehnologija u poduzećima te onemogućuje puno korištenje potencijala digitalne transformacije. S druge strane, kada je riječ o otvorenim podacima, Hrvatska ostvaruje nadprosječne rezultate (84% u odnosu na prosjek EU-a od 81%). </w:t>
      </w:r>
      <w:r>
        <w:rPr>
          <w:sz w:val="24"/>
          <w:szCs w:val="24"/>
        </w:rPr>
        <w:t>S o</w:t>
      </w:r>
      <w:r w:rsidRPr="00BD1B6F">
        <w:rPr>
          <w:sz w:val="24"/>
          <w:szCs w:val="24"/>
        </w:rPr>
        <w:t xml:space="preserve">bzirom </w:t>
      </w:r>
      <w:r>
        <w:rPr>
          <w:sz w:val="24"/>
          <w:szCs w:val="24"/>
        </w:rPr>
        <w:t xml:space="preserve">na to </w:t>
      </w:r>
      <w:r w:rsidRPr="00BD1B6F">
        <w:rPr>
          <w:sz w:val="24"/>
          <w:szCs w:val="24"/>
        </w:rPr>
        <w:t>da Hrvatska najviše zaostaje za prosjekom EU-a u ovoj kategoriji DESI indeksa (53,6 bodova u odnosu na prosjek EU-a od 67,3</w:t>
      </w:r>
      <w:r w:rsidRPr="00961A87">
        <w:rPr>
          <w:sz w:val="24"/>
          <w:szCs w:val="24"/>
        </w:rPr>
        <w:t>)</w:t>
      </w:r>
      <w:r>
        <w:t>,</w:t>
      </w:r>
      <w:r w:rsidRPr="00BD1B6F">
        <w:t xml:space="preserve"> </w:t>
      </w:r>
      <w:r w:rsidRPr="00BD1B6F">
        <w:rPr>
          <w:sz w:val="24"/>
          <w:szCs w:val="24"/>
        </w:rPr>
        <w:t xml:space="preserve">potrebno je još intenzivnije raditi </w:t>
      </w:r>
      <w:r>
        <w:rPr>
          <w:sz w:val="24"/>
          <w:szCs w:val="24"/>
        </w:rPr>
        <w:t>na ostvarenju cilja</w:t>
      </w:r>
      <w:r w:rsidRPr="00BD1B6F">
        <w:rPr>
          <w:sz w:val="24"/>
          <w:szCs w:val="24"/>
        </w:rPr>
        <w:t xml:space="preserve"> digitalnog desetljeća</w:t>
      </w:r>
      <w:r>
        <w:rPr>
          <w:sz w:val="24"/>
          <w:szCs w:val="24"/>
        </w:rPr>
        <w:t>, potpune dostupnosti ključnih javnih usluga</w:t>
      </w:r>
      <w:r w:rsidRPr="00BD1B6F">
        <w:rPr>
          <w:sz w:val="24"/>
          <w:szCs w:val="24"/>
        </w:rPr>
        <w:t xml:space="preserve"> na internetu.</w:t>
      </w:r>
    </w:p>
    <w:p w14:paraId="5BB23167" w14:textId="77777777" w:rsidR="0010365F" w:rsidRDefault="0010365F" w:rsidP="0010365F">
      <w:pPr>
        <w:spacing w:before="165" w:after="240" w:line="276" w:lineRule="auto"/>
        <w:jc w:val="both"/>
        <w:rPr>
          <w:sz w:val="24"/>
          <w:szCs w:val="24"/>
        </w:rPr>
      </w:pPr>
      <w:r>
        <w:rPr>
          <w:sz w:val="24"/>
          <w:szCs w:val="24"/>
        </w:rPr>
        <w:t>Kako bi se intenzivirali napori na području digitalne transformacije te jačanju digitalne konkurentnosti Hrvatske, donesena je S</w:t>
      </w:r>
      <w:r w:rsidRPr="00745935">
        <w:rPr>
          <w:sz w:val="24"/>
          <w:szCs w:val="24"/>
        </w:rPr>
        <w:t xml:space="preserve">trategija </w:t>
      </w:r>
      <w:r>
        <w:rPr>
          <w:sz w:val="24"/>
          <w:szCs w:val="24"/>
        </w:rPr>
        <w:t>d</w:t>
      </w:r>
      <w:r w:rsidRPr="00745935">
        <w:rPr>
          <w:sz w:val="24"/>
          <w:szCs w:val="24"/>
        </w:rPr>
        <w:t>igitalne Hrvatske za razdoblje do 2032. godine</w:t>
      </w:r>
      <w:r>
        <w:rPr>
          <w:sz w:val="24"/>
          <w:szCs w:val="24"/>
        </w:rPr>
        <w:t xml:space="preserve">. Provedbom </w:t>
      </w:r>
      <w:r w:rsidRPr="00745935">
        <w:rPr>
          <w:sz w:val="24"/>
          <w:szCs w:val="24"/>
        </w:rPr>
        <w:t>Strategij</w:t>
      </w:r>
      <w:r>
        <w:rPr>
          <w:sz w:val="24"/>
          <w:szCs w:val="24"/>
        </w:rPr>
        <w:t>e</w:t>
      </w:r>
      <w:r w:rsidRPr="00745935">
        <w:rPr>
          <w:sz w:val="24"/>
          <w:szCs w:val="24"/>
        </w:rPr>
        <w:t xml:space="preserve"> </w:t>
      </w:r>
      <w:r>
        <w:rPr>
          <w:sz w:val="24"/>
          <w:szCs w:val="24"/>
        </w:rPr>
        <w:t>omogućit će se uvjeti za višestruko pove</w:t>
      </w:r>
      <w:r w:rsidRPr="00BA1459">
        <w:rPr>
          <w:sz w:val="24"/>
          <w:szCs w:val="24"/>
        </w:rPr>
        <w:t>ćanj</w:t>
      </w:r>
      <w:r>
        <w:rPr>
          <w:sz w:val="24"/>
          <w:szCs w:val="24"/>
        </w:rPr>
        <w:t xml:space="preserve">e </w:t>
      </w:r>
      <w:r w:rsidRPr="00BA1459">
        <w:rPr>
          <w:sz w:val="24"/>
          <w:szCs w:val="24"/>
        </w:rPr>
        <w:t xml:space="preserve">udjela IKT sektora u BDP-u Hrvatske </w:t>
      </w:r>
      <w:r>
        <w:rPr>
          <w:sz w:val="24"/>
          <w:szCs w:val="24"/>
        </w:rPr>
        <w:t>(</w:t>
      </w:r>
      <w:r w:rsidRPr="00BA1459">
        <w:rPr>
          <w:sz w:val="24"/>
          <w:szCs w:val="24"/>
        </w:rPr>
        <w:t>s</w:t>
      </w:r>
      <w:r>
        <w:rPr>
          <w:sz w:val="24"/>
          <w:szCs w:val="24"/>
        </w:rPr>
        <w:t xml:space="preserve"> </w:t>
      </w:r>
      <w:r w:rsidRPr="00BA1459">
        <w:rPr>
          <w:sz w:val="24"/>
          <w:szCs w:val="24"/>
        </w:rPr>
        <w:t xml:space="preserve">4,5% na 13% </w:t>
      </w:r>
      <w:r>
        <w:rPr>
          <w:sz w:val="24"/>
          <w:szCs w:val="24"/>
        </w:rPr>
        <w:t xml:space="preserve">BDP-a), rast udjela zaposlenih u IKT-u u ukupnom broju zaposlenih (s 3,6% na 8%) te će se osigurati značajno unaprjeđenje digitalnih vještina građana, poduzetnika i javnih službenika i intenziviranje procesa digitalne transformacije </w:t>
      </w:r>
      <w:r w:rsidRPr="00837810">
        <w:rPr>
          <w:sz w:val="24"/>
          <w:szCs w:val="24"/>
        </w:rPr>
        <w:t>u korist građana, poduzeća i okoliša</w:t>
      </w:r>
      <w:r>
        <w:rPr>
          <w:sz w:val="24"/>
          <w:szCs w:val="24"/>
        </w:rPr>
        <w:t>.</w:t>
      </w:r>
    </w:p>
    <w:p w14:paraId="5E1E1FC5" w14:textId="77777777" w:rsidR="0010365F" w:rsidRPr="00BD1B6F" w:rsidRDefault="0010365F" w:rsidP="0010365F">
      <w:pPr>
        <w:spacing w:before="165" w:after="240" w:line="276" w:lineRule="auto"/>
        <w:jc w:val="both"/>
        <w:rPr>
          <w:sz w:val="24"/>
          <w:szCs w:val="24"/>
        </w:rPr>
      </w:pPr>
      <w:r w:rsidRPr="00BD1B6F">
        <w:rPr>
          <w:sz w:val="24"/>
          <w:szCs w:val="24"/>
        </w:rPr>
        <w:t xml:space="preserve">Nastavljeni su napori na provedbi politika </w:t>
      </w:r>
      <w:r>
        <w:rPr>
          <w:sz w:val="24"/>
          <w:szCs w:val="24"/>
        </w:rPr>
        <w:t>u</w:t>
      </w:r>
      <w:r w:rsidRPr="00BD1B6F">
        <w:rPr>
          <w:sz w:val="24"/>
          <w:szCs w:val="24"/>
        </w:rPr>
        <w:t xml:space="preserve"> području digitalne transformacije javne uprave u okviru Nacionalnog plana razvoja javne uprave za razdoblje od 2022. do 2027. godine. Nacionalnim planom predviđena</w:t>
      </w:r>
      <w:r>
        <w:rPr>
          <w:sz w:val="24"/>
          <w:szCs w:val="24"/>
        </w:rPr>
        <w:t xml:space="preserve"> je</w:t>
      </w:r>
      <w:r w:rsidRPr="00BD1B6F">
        <w:rPr>
          <w:sz w:val="24"/>
          <w:szCs w:val="24"/>
        </w:rPr>
        <w:t xml:space="preserve"> provedba 4 reforme i 21 pripadajuće investicije u području digitalne transformacije javne uprave</w:t>
      </w:r>
      <w:r>
        <w:rPr>
          <w:sz w:val="24"/>
          <w:szCs w:val="24"/>
        </w:rPr>
        <w:t>,</w:t>
      </w:r>
      <w:r w:rsidRPr="00BD1B6F">
        <w:rPr>
          <w:sz w:val="24"/>
          <w:szCs w:val="24"/>
        </w:rPr>
        <w:t xml:space="preserve"> ukupne procijenjene vrijednosti ulaganja od 170,84 milijuna eura. Reforme i ulaganja predviđeni Nacionalnim planom financiraju se sredstvima NPOO-a u okviru podkomponente „Digitalna transformacija društva i javne uprave” (</w:t>
      </w:r>
      <w:r w:rsidRPr="00603FC6">
        <w:rPr>
          <w:sz w:val="24"/>
          <w:szCs w:val="24"/>
        </w:rPr>
        <w:t>C2.3.)</w:t>
      </w:r>
      <w:r w:rsidRPr="00BD1B6F">
        <w:rPr>
          <w:sz w:val="24"/>
          <w:szCs w:val="24"/>
        </w:rPr>
        <w:t xml:space="preserve"> a usmjeren</w:t>
      </w:r>
      <w:r>
        <w:rPr>
          <w:sz w:val="24"/>
          <w:szCs w:val="24"/>
        </w:rPr>
        <w:t>e</w:t>
      </w:r>
      <w:r w:rsidRPr="00BD1B6F">
        <w:rPr>
          <w:sz w:val="24"/>
          <w:szCs w:val="24"/>
        </w:rPr>
        <w:t xml:space="preserve"> su na </w:t>
      </w:r>
      <w:r>
        <w:rPr>
          <w:sz w:val="24"/>
          <w:szCs w:val="24"/>
        </w:rPr>
        <w:t>4</w:t>
      </w:r>
      <w:r w:rsidRPr="00BD1B6F">
        <w:rPr>
          <w:sz w:val="24"/>
          <w:szCs w:val="24"/>
        </w:rPr>
        <w:t xml:space="preserve"> prioritetna područja: pružanje javnih e-usluga, </w:t>
      </w:r>
      <w:r w:rsidRPr="00BB28E0">
        <w:rPr>
          <w:sz w:val="24"/>
          <w:szCs w:val="24"/>
        </w:rPr>
        <w:t>digitalizacij</w:t>
      </w:r>
      <w:r>
        <w:rPr>
          <w:sz w:val="24"/>
          <w:szCs w:val="24"/>
        </w:rPr>
        <w:t>a</w:t>
      </w:r>
      <w:r w:rsidRPr="00BD1B6F">
        <w:rPr>
          <w:sz w:val="24"/>
          <w:szCs w:val="24"/>
        </w:rPr>
        <w:t xml:space="preserve"> procesa u javnoj upravi, </w:t>
      </w:r>
      <w:r w:rsidRPr="00BB28E0">
        <w:rPr>
          <w:sz w:val="24"/>
          <w:szCs w:val="24"/>
        </w:rPr>
        <w:t>digitaln</w:t>
      </w:r>
      <w:r>
        <w:rPr>
          <w:sz w:val="24"/>
          <w:szCs w:val="24"/>
        </w:rPr>
        <w:t>a</w:t>
      </w:r>
      <w:r w:rsidRPr="00BB28E0">
        <w:rPr>
          <w:sz w:val="24"/>
          <w:szCs w:val="24"/>
        </w:rPr>
        <w:t xml:space="preserve"> razmjen</w:t>
      </w:r>
      <w:r>
        <w:rPr>
          <w:sz w:val="24"/>
          <w:szCs w:val="24"/>
        </w:rPr>
        <w:t>a</w:t>
      </w:r>
      <w:r w:rsidRPr="00BD1B6F">
        <w:rPr>
          <w:sz w:val="24"/>
          <w:szCs w:val="24"/>
        </w:rPr>
        <w:t xml:space="preserve"> podataka i </w:t>
      </w:r>
      <w:r w:rsidRPr="00BB28E0">
        <w:rPr>
          <w:sz w:val="24"/>
          <w:szCs w:val="24"/>
        </w:rPr>
        <w:t>digitalizacij</w:t>
      </w:r>
      <w:r>
        <w:rPr>
          <w:sz w:val="24"/>
          <w:szCs w:val="24"/>
        </w:rPr>
        <w:t>a</w:t>
      </w:r>
      <w:r w:rsidRPr="00BD1B6F">
        <w:rPr>
          <w:sz w:val="24"/>
          <w:szCs w:val="24"/>
        </w:rPr>
        <w:t xml:space="preserve"> upravnog postupanja. Tijekom 2022. nastavljena je provedba 8 investicija usmjerenih na procese digitalne transformacije javne uprave, života građana, poslovnih subjekata i društva u cjelini. </w:t>
      </w:r>
    </w:p>
    <w:p w14:paraId="44B5C339" w14:textId="77777777" w:rsidR="0010365F" w:rsidRPr="00BD1B6F" w:rsidRDefault="0010365F" w:rsidP="0010365F">
      <w:pPr>
        <w:spacing w:before="165" w:after="240" w:line="276" w:lineRule="auto"/>
        <w:jc w:val="both"/>
        <w:rPr>
          <w:sz w:val="24"/>
          <w:szCs w:val="24"/>
        </w:rPr>
      </w:pPr>
      <w:r w:rsidRPr="00BD1B6F">
        <w:rPr>
          <w:sz w:val="24"/>
          <w:szCs w:val="24"/>
        </w:rPr>
        <w:t xml:space="preserve">U skladu sa strateškim okvirom za digitalnu transformaciju gospodarstva, u 2022. usvojen je </w:t>
      </w:r>
      <w:r w:rsidRPr="00223355">
        <w:rPr>
          <w:sz w:val="24"/>
          <w:szCs w:val="24"/>
        </w:rPr>
        <w:t>P</w:t>
      </w:r>
      <w:r>
        <w:rPr>
          <w:sz w:val="24"/>
          <w:szCs w:val="24"/>
        </w:rPr>
        <w:t xml:space="preserve">KK </w:t>
      </w:r>
      <w:r w:rsidRPr="00223355">
        <w:rPr>
          <w:sz w:val="24"/>
          <w:szCs w:val="24"/>
        </w:rPr>
        <w:t>2021.</w:t>
      </w:r>
      <w:r>
        <w:rPr>
          <w:sz w:val="24"/>
          <w:szCs w:val="24"/>
        </w:rPr>
        <w:t xml:space="preserve"> </w:t>
      </w:r>
      <w:r w:rsidRPr="00BD1B6F">
        <w:rPr>
          <w:sz w:val="24"/>
          <w:szCs w:val="24"/>
        </w:rPr>
        <w:t>-</w:t>
      </w:r>
      <w:r>
        <w:rPr>
          <w:sz w:val="24"/>
          <w:szCs w:val="24"/>
        </w:rPr>
        <w:t xml:space="preserve"> </w:t>
      </w:r>
      <w:r w:rsidRPr="00BD1B6F">
        <w:rPr>
          <w:sz w:val="24"/>
          <w:szCs w:val="24"/>
        </w:rPr>
        <w:t>2027. U okviru politike PO</w:t>
      </w:r>
      <w:r>
        <w:rPr>
          <w:sz w:val="24"/>
          <w:szCs w:val="24"/>
        </w:rPr>
        <w:t xml:space="preserve"> </w:t>
      </w:r>
      <w:r w:rsidRPr="00BD1B6F">
        <w:rPr>
          <w:sz w:val="24"/>
          <w:szCs w:val="24"/>
        </w:rPr>
        <w:t xml:space="preserve">1 „Pametnija Europa promicanjem inovativne i pametne gospodarske preobrazbe“ osigurana je alokacija za provedbu operacija s aktivnostima daljnje podrške nacionalnom inovacijskom sustavu i </w:t>
      </w:r>
      <w:r w:rsidRPr="00BD1B6F">
        <w:rPr>
          <w:sz w:val="24"/>
          <w:szCs w:val="24"/>
        </w:rPr>
        <w:lastRenderedPageBreak/>
        <w:t>dugoročnom razvoju digitalizacije gospodarstva</w:t>
      </w:r>
      <w:r>
        <w:rPr>
          <w:sz w:val="24"/>
          <w:szCs w:val="24"/>
        </w:rPr>
        <w:t>,</w:t>
      </w:r>
      <w:r w:rsidRPr="00BD1B6F">
        <w:rPr>
          <w:sz w:val="24"/>
          <w:szCs w:val="24"/>
        </w:rPr>
        <w:t xml:space="preserve"> kroz izradu i pružanje savjetodavnih i stručnih usluga korisnicima u procesu digitalne transformacije, a posebno mikro, malim i srednjim poduzećima. Ukupan iznos predviđen za provedbu navedenih operacija u okviru PKK 2021.</w:t>
      </w:r>
      <w:r>
        <w:rPr>
          <w:sz w:val="24"/>
          <w:szCs w:val="24"/>
        </w:rPr>
        <w:t xml:space="preserve"> </w:t>
      </w:r>
      <w:r w:rsidRPr="00BD1B6F">
        <w:rPr>
          <w:sz w:val="24"/>
          <w:szCs w:val="24"/>
        </w:rPr>
        <w:t>-</w:t>
      </w:r>
      <w:r>
        <w:rPr>
          <w:sz w:val="24"/>
          <w:szCs w:val="24"/>
        </w:rPr>
        <w:t xml:space="preserve"> </w:t>
      </w:r>
      <w:r w:rsidRPr="00BD1B6F">
        <w:rPr>
          <w:sz w:val="24"/>
          <w:szCs w:val="24"/>
        </w:rPr>
        <w:t>2027. iznosi 45,12 milijuna eura.</w:t>
      </w:r>
    </w:p>
    <w:p w14:paraId="0C0F48D0" w14:textId="77777777" w:rsidR="0010365F" w:rsidRPr="00BD1B6F" w:rsidRDefault="0010365F" w:rsidP="0010365F">
      <w:pPr>
        <w:spacing w:before="165" w:after="240" w:line="276" w:lineRule="auto"/>
        <w:jc w:val="both"/>
        <w:rPr>
          <w:sz w:val="24"/>
          <w:szCs w:val="24"/>
        </w:rPr>
      </w:pPr>
      <w:r w:rsidRPr="00BD1B6F">
        <w:rPr>
          <w:sz w:val="24"/>
          <w:szCs w:val="24"/>
        </w:rPr>
        <w:t>U 2022. pokrenuta je provedba NPOO investicije „Nadogradnja Centra dijeljenih usluga</w:t>
      </w:r>
      <w:r>
        <w:rPr>
          <w:sz w:val="24"/>
          <w:szCs w:val="24"/>
        </w:rPr>
        <w:t xml:space="preserve"> (</w:t>
      </w:r>
      <w:r w:rsidRPr="00BD1B6F">
        <w:rPr>
          <w:sz w:val="24"/>
          <w:szCs w:val="24"/>
        </w:rPr>
        <w:t>CDU</w:t>
      </w:r>
      <w:r>
        <w:rPr>
          <w:sz w:val="24"/>
          <w:szCs w:val="24"/>
        </w:rPr>
        <w:t>)</w:t>
      </w:r>
      <w:r w:rsidRPr="00BD1B6F">
        <w:rPr>
          <w:sz w:val="24"/>
          <w:szCs w:val="24"/>
        </w:rPr>
        <w:t xml:space="preserve"> (</w:t>
      </w:r>
      <w:r w:rsidRPr="00DB2FB2">
        <w:rPr>
          <w:sz w:val="24"/>
          <w:szCs w:val="24"/>
        </w:rPr>
        <w:t>C2.3.</w:t>
      </w:r>
      <w:r w:rsidRPr="00BD1B6F">
        <w:rPr>
          <w:sz w:val="24"/>
          <w:szCs w:val="24"/>
        </w:rPr>
        <w:t xml:space="preserve"> R3-I1)</w:t>
      </w:r>
      <w:r>
        <w:rPr>
          <w:sz w:val="24"/>
          <w:szCs w:val="24"/>
        </w:rPr>
        <w:t>“</w:t>
      </w:r>
      <w:r w:rsidRPr="00BD1B6F">
        <w:rPr>
          <w:sz w:val="24"/>
          <w:szCs w:val="24"/>
        </w:rPr>
        <w:t xml:space="preserve">. Daljnjim razvojem postojećeg </w:t>
      </w:r>
      <w:r w:rsidRPr="00684710">
        <w:rPr>
          <w:sz w:val="24"/>
          <w:szCs w:val="24"/>
        </w:rPr>
        <w:t>C</w:t>
      </w:r>
      <w:r>
        <w:rPr>
          <w:sz w:val="24"/>
          <w:szCs w:val="24"/>
        </w:rPr>
        <w:t>DU-a</w:t>
      </w:r>
      <w:r w:rsidRPr="00BD1B6F">
        <w:rPr>
          <w:sz w:val="24"/>
          <w:szCs w:val="24"/>
        </w:rPr>
        <w:t xml:space="preserve"> uspostavit će se najmodernija razvojna okolina za postojeći državni oblak u sklopu </w:t>
      </w:r>
      <w:r w:rsidRPr="00684710">
        <w:rPr>
          <w:sz w:val="24"/>
          <w:szCs w:val="24"/>
        </w:rPr>
        <w:t>koje</w:t>
      </w:r>
      <w:r>
        <w:rPr>
          <w:sz w:val="24"/>
          <w:szCs w:val="24"/>
        </w:rPr>
        <w:t>g</w:t>
      </w:r>
      <w:r w:rsidRPr="00BD1B6F">
        <w:rPr>
          <w:sz w:val="24"/>
          <w:szCs w:val="24"/>
        </w:rPr>
        <w:t xml:space="preserve"> će korisnicima biti dostupne nove funkcionalnosti. </w:t>
      </w:r>
      <w:r>
        <w:rPr>
          <w:sz w:val="24"/>
          <w:szCs w:val="24"/>
        </w:rPr>
        <w:t xml:space="preserve">Njima će se </w:t>
      </w:r>
      <w:r w:rsidRPr="00BD1B6F">
        <w:rPr>
          <w:sz w:val="24"/>
          <w:szCs w:val="24"/>
        </w:rPr>
        <w:t>poboljšati interoperabilnost platforme CDU, unaprijediti njena kvaliteta i sigurnost u radu, korisnicima olakšati razvoj i implementacija aplikacija</w:t>
      </w:r>
      <w:r>
        <w:rPr>
          <w:sz w:val="24"/>
          <w:szCs w:val="24"/>
        </w:rPr>
        <w:t xml:space="preserve"> te</w:t>
      </w:r>
      <w:r w:rsidRPr="00BD1B6F">
        <w:rPr>
          <w:sz w:val="24"/>
          <w:szCs w:val="24"/>
        </w:rPr>
        <w:t xml:space="preserve"> omogućiti napredno skladištenje podataka i </w:t>
      </w:r>
      <w:r>
        <w:rPr>
          <w:sz w:val="24"/>
          <w:szCs w:val="24"/>
        </w:rPr>
        <w:t>njihova analiza,</w:t>
      </w:r>
      <w:r w:rsidRPr="00BD1B6F">
        <w:rPr>
          <w:sz w:val="24"/>
          <w:szCs w:val="24"/>
        </w:rPr>
        <w:t xml:space="preserve"> uz primjenu alata umjetne inteligencije. Temeljem novih funkcionalnosti, do kraja 2023</w:t>
      </w:r>
      <w:r>
        <w:rPr>
          <w:sz w:val="24"/>
          <w:szCs w:val="24"/>
        </w:rPr>
        <w:t>.</w:t>
      </w:r>
      <w:r w:rsidRPr="00BD1B6F">
        <w:rPr>
          <w:sz w:val="24"/>
          <w:szCs w:val="24"/>
        </w:rPr>
        <w:t xml:space="preserve"> u okviru CDU</w:t>
      </w:r>
      <w:r>
        <w:rPr>
          <w:sz w:val="24"/>
          <w:szCs w:val="24"/>
        </w:rPr>
        <w:t>-a</w:t>
      </w:r>
      <w:r w:rsidRPr="00BD1B6F">
        <w:rPr>
          <w:sz w:val="24"/>
          <w:szCs w:val="24"/>
        </w:rPr>
        <w:t xml:space="preserve"> osigurat</w:t>
      </w:r>
      <w:r>
        <w:rPr>
          <w:sz w:val="24"/>
          <w:szCs w:val="24"/>
        </w:rPr>
        <w:t xml:space="preserve"> će se </w:t>
      </w:r>
      <w:r w:rsidRPr="00BD1B6F">
        <w:rPr>
          <w:sz w:val="24"/>
          <w:szCs w:val="24"/>
        </w:rPr>
        <w:t xml:space="preserve">interoperabilnost s više od 300 institucija u Hrvatskoj. </w:t>
      </w:r>
    </w:p>
    <w:p w14:paraId="416904A4" w14:textId="77777777" w:rsidR="0010365F" w:rsidRDefault="0010365F" w:rsidP="0010365F">
      <w:pPr>
        <w:spacing w:before="165" w:after="240" w:line="276" w:lineRule="auto"/>
        <w:jc w:val="both"/>
        <w:rPr>
          <w:sz w:val="24"/>
          <w:szCs w:val="24"/>
        </w:rPr>
      </w:pPr>
      <w:r>
        <w:rPr>
          <w:sz w:val="24"/>
          <w:szCs w:val="24"/>
        </w:rPr>
        <w:t>Radi nastavka d</w:t>
      </w:r>
      <w:r w:rsidRPr="000E16DD">
        <w:rPr>
          <w:sz w:val="24"/>
          <w:szCs w:val="24"/>
        </w:rPr>
        <w:t>igital</w:t>
      </w:r>
      <w:r>
        <w:rPr>
          <w:sz w:val="24"/>
          <w:szCs w:val="24"/>
        </w:rPr>
        <w:t xml:space="preserve">ne transformacije </w:t>
      </w:r>
      <w:r w:rsidRPr="000E16DD">
        <w:rPr>
          <w:sz w:val="24"/>
          <w:szCs w:val="24"/>
        </w:rPr>
        <w:t>usluga državne i javne administracij</w:t>
      </w:r>
      <w:r>
        <w:rPr>
          <w:sz w:val="24"/>
          <w:szCs w:val="24"/>
        </w:rPr>
        <w:t>e</w:t>
      </w:r>
      <w:r w:rsidRPr="000E16DD">
        <w:rPr>
          <w:sz w:val="24"/>
          <w:szCs w:val="24"/>
        </w:rPr>
        <w:t xml:space="preserve"> </w:t>
      </w:r>
      <w:r>
        <w:rPr>
          <w:sz w:val="24"/>
          <w:szCs w:val="24"/>
        </w:rPr>
        <w:t>za</w:t>
      </w:r>
      <w:r w:rsidRPr="000E16DD">
        <w:rPr>
          <w:sz w:val="24"/>
          <w:szCs w:val="24"/>
        </w:rPr>
        <w:t xml:space="preserve"> poslovn</w:t>
      </w:r>
      <w:r>
        <w:rPr>
          <w:sz w:val="24"/>
          <w:szCs w:val="24"/>
        </w:rPr>
        <w:t>i</w:t>
      </w:r>
      <w:r w:rsidRPr="000E16DD">
        <w:rPr>
          <w:sz w:val="24"/>
          <w:szCs w:val="24"/>
        </w:rPr>
        <w:t xml:space="preserve"> sektor</w:t>
      </w:r>
      <w:r>
        <w:rPr>
          <w:sz w:val="24"/>
          <w:szCs w:val="24"/>
        </w:rPr>
        <w:t xml:space="preserve"> i poticanja većeg broja poslovnih korisnika na korištenje usluga mrežnog pokretanja poslovanja u Hrvatskoj, pokrenuta je provedba investicije</w:t>
      </w:r>
      <w:r w:rsidRPr="000E16DD" w:rsidDel="00D164CD">
        <w:rPr>
          <w:sz w:val="24"/>
          <w:szCs w:val="24"/>
        </w:rPr>
        <w:t xml:space="preserve"> </w:t>
      </w:r>
      <w:r>
        <w:rPr>
          <w:sz w:val="24"/>
          <w:szCs w:val="24"/>
        </w:rPr>
        <w:t>„</w:t>
      </w:r>
      <w:r w:rsidRPr="00273DDE">
        <w:rPr>
          <w:sz w:val="24"/>
          <w:szCs w:val="24"/>
        </w:rPr>
        <w:t>Digitalizacija usluga državne i javne administracija prema poslovnom sektoru (G2B)</w:t>
      </w:r>
      <w:r>
        <w:rPr>
          <w:sz w:val="24"/>
          <w:szCs w:val="24"/>
        </w:rPr>
        <w:t>“ (</w:t>
      </w:r>
      <w:r w:rsidRPr="00273DDE">
        <w:rPr>
          <w:sz w:val="24"/>
          <w:szCs w:val="24"/>
        </w:rPr>
        <w:t>C1.1.1. R1-I1</w:t>
      </w:r>
      <w:r>
        <w:rPr>
          <w:sz w:val="24"/>
          <w:szCs w:val="24"/>
        </w:rPr>
        <w:t>). U okviru investicije provode se aktivnosti</w:t>
      </w:r>
      <w:r w:rsidRPr="00273DDE">
        <w:rPr>
          <w:sz w:val="24"/>
          <w:szCs w:val="24"/>
        </w:rPr>
        <w:t xml:space="preserve"> </w:t>
      </w:r>
      <w:r>
        <w:rPr>
          <w:sz w:val="24"/>
          <w:szCs w:val="24"/>
        </w:rPr>
        <w:t>u</w:t>
      </w:r>
      <w:r w:rsidRPr="000C52F6">
        <w:rPr>
          <w:sz w:val="24"/>
          <w:szCs w:val="24"/>
        </w:rPr>
        <w:t>napr</w:t>
      </w:r>
      <w:r>
        <w:rPr>
          <w:sz w:val="24"/>
          <w:szCs w:val="24"/>
        </w:rPr>
        <w:t>j</w:t>
      </w:r>
      <w:r w:rsidRPr="000C52F6">
        <w:rPr>
          <w:sz w:val="24"/>
          <w:szCs w:val="24"/>
        </w:rPr>
        <w:t>eđenj</w:t>
      </w:r>
      <w:r>
        <w:rPr>
          <w:sz w:val="24"/>
          <w:szCs w:val="24"/>
        </w:rPr>
        <w:t>a</w:t>
      </w:r>
      <w:r w:rsidRPr="000C52F6">
        <w:rPr>
          <w:sz w:val="24"/>
          <w:szCs w:val="24"/>
        </w:rPr>
        <w:t xml:space="preserve"> platforme START</w:t>
      </w:r>
      <w:r>
        <w:rPr>
          <w:sz w:val="24"/>
          <w:szCs w:val="24"/>
        </w:rPr>
        <w:t xml:space="preserve">, koja je pokrenuta 2019. s ograničenim opsegom usluga zbog čega se određeni regulatorni postupci ne mogu dovršiti putem platforme. Kako bi se omogućila cjelovita digitalizacija javnih usluga za poslovni sektor putem platforme START, provest će se povezivanje i integriranje s javnim </w:t>
      </w:r>
      <w:r w:rsidRPr="00AF2A3F">
        <w:rPr>
          <w:sz w:val="24"/>
          <w:szCs w:val="24"/>
        </w:rPr>
        <w:t>registr</w:t>
      </w:r>
      <w:r>
        <w:rPr>
          <w:sz w:val="24"/>
          <w:szCs w:val="24"/>
        </w:rPr>
        <w:t>ima</w:t>
      </w:r>
      <w:r w:rsidRPr="00AF2A3F">
        <w:rPr>
          <w:sz w:val="24"/>
          <w:szCs w:val="24"/>
        </w:rPr>
        <w:t xml:space="preserve"> </w:t>
      </w:r>
      <w:r>
        <w:rPr>
          <w:sz w:val="24"/>
          <w:szCs w:val="24"/>
        </w:rPr>
        <w:t xml:space="preserve">i bazama podataka, nadograditi nove funkcionalnosti za plaćanje javnih naknada te implementirati paket novih potpuno </w:t>
      </w:r>
      <w:r w:rsidRPr="000C52F6">
        <w:rPr>
          <w:sz w:val="24"/>
          <w:szCs w:val="24"/>
        </w:rPr>
        <w:t>digitaliz</w:t>
      </w:r>
      <w:r>
        <w:rPr>
          <w:sz w:val="24"/>
          <w:szCs w:val="24"/>
        </w:rPr>
        <w:t xml:space="preserve">iranih javnih </w:t>
      </w:r>
      <w:r w:rsidRPr="000C52F6">
        <w:rPr>
          <w:sz w:val="24"/>
          <w:szCs w:val="24"/>
        </w:rPr>
        <w:t>uslug</w:t>
      </w:r>
      <w:r>
        <w:rPr>
          <w:sz w:val="24"/>
          <w:szCs w:val="24"/>
        </w:rPr>
        <w:t>a za poslovne korisnike.</w:t>
      </w:r>
    </w:p>
    <w:p w14:paraId="74E3E071" w14:textId="77777777" w:rsidR="0010365F" w:rsidRPr="00BD1B6F" w:rsidRDefault="0010365F" w:rsidP="0010365F">
      <w:pPr>
        <w:spacing w:before="165" w:after="240" w:line="276" w:lineRule="auto"/>
        <w:jc w:val="both"/>
        <w:rPr>
          <w:sz w:val="24"/>
          <w:szCs w:val="24"/>
        </w:rPr>
      </w:pPr>
      <w:r w:rsidRPr="00BD1B6F">
        <w:rPr>
          <w:sz w:val="24"/>
          <w:szCs w:val="24"/>
        </w:rPr>
        <w:t xml:space="preserve">U skladu sa Zakonom o provedbi Uredbe (EU) br. 910/2014 Europskog parlamenta i Vijeća o elektroničkoj identifikaciji i uslugama povjerenja za elektroničke transakcije na unutarnjem tržištu </w:t>
      </w:r>
      <w:r>
        <w:rPr>
          <w:sz w:val="24"/>
          <w:szCs w:val="24"/>
        </w:rPr>
        <w:t>(„</w:t>
      </w:r>
      <w:r w:rsidRPr="007A601C">
        <w:rPr>
          <w:sz w:val="24"/>
          <w:szCs w:val="24"/>
        </w:rPr>
        <w:t>N</w:t>
      </w:r>
      <w:r>
        <w:rPr>
          <w:sz w:val="24"/>
          <w:szCs w:val="24"/>
        </w:rPr>
        <w:t xml:space="preserve">arodne </w:t>
      </w:r>
      <w:r w:rsidRPr="007A601C">
        <w:rPr>
          <w:sz w:val="24"/>
          <w:szCs w:val="24"/>
        </w:rPr>
        <w:t>N</w:t>
      </w:r>
      <w:r>
        <w:rPr>
          <w:sz w:val="24"/>
          <w:szCs w:val="24"/>
        </w:rPr>
        <w:t>ovine“, broj:</w:t>
      </w:r>
      <w:r w:rsidRPr="00BD1B6F">
        <w:rPr>
          <w:sz w:val="24"/>
          <w:szCs w:val="24"/>
        </w:rPr>
        <w:t xml:space="preserve"> 62/17),</w:t>
      </w:r>
      <w:r w:rsidRPr="00BD1B6F" w:rsidDel="00151CA3">
        <w:rPr>
          <w:sz w:val="24"/>
          <w:szCs w:val="24"/>
        </w:rPr>
        <w:t xml:space="preserve"> </w:t>
      </w:r>
      <w:r w:rsidRPr="00BD1B6F">
        <w:rPr>
          <w:sz w:val="24"/>
          <w:szCs w:val="24"/>
        </w:rPr>
        <w:t xml:space="preserve">Hrvatska je dosad, putem uspostavljenog eIDAS (eng. </w:t>
      </w:r>
      <w:r w:rsidRPr="00BD1B6F">
        <w:rPr>
          <w:i/>
          <w:iCs/>
          <w:sz w:val="24"/>
          <w:szCs w:val="24"/>
        </w:rPr>
        <w:t>electronic Identification Autentification Security</w:t>
      </w:r>
      <w:r w:rsidRPr="00BD1B6F">
        <w:rPr>
          <w:sz w:val="24"/>
          <w:szCs w:val="24"/>
        </w:rPr>
        <w:t>) čvora</w:t>
      </w:r>
      <w:r>
        <w:rPr>
          <w:sz w:val="24"/>
          <w:szCs w:val="24"/>
        </w:rPr>
        <w:t>,</w:t>
      </w:r>
      <w:r w:rsidRPr="00BD1B6F">
        <w:rPr>
          <w:sz w:val="24"/>
          <w:szCs w:val="24"/>
        </w:rPr>
        <w:t xml:space="preserve"> omogućila državljanima 22 države članice EU-a prijavljivanje na elektroničke usluge </w:t>
      </w:r>
      <w:r>
        <w:rPr>
          <w:sz w:val="24"/>
          <w:szCs w:val="24"/>
        </w:rPr>
        <w:t xml:space="preserve">u </w:t>
      </w:r>
      <w:r w:rsidRPr="00BD1B6F">
        <w:rPr>
          <w:sz w:val="24"/>
          <w:szCs w:val="24"/>
        </w:rPr>
        <w:t>Hrvatsk</w:t>
      </w:r>
      <w:r>
        <w:rPr>
          <w:sz w:val="24"/>
          <w:szCs w:val="24"/>
        </w:rPr>
        <w:t>oj</w:t>
      </w:r>
      <w:r w:rsidRPr="00BD1B6F">
        <w:rPr>
          <w:sz w:val="24"/>
          <w:szCs w:val="24"/>
        </w:rPr>
        <w:t xml:space="preserve"> s njihovim nacionalnim vjerodajnicama. Kako bi se uspješno završio proces otvaranja eIDAS notifikacije NIAS sustava i vjerodajnice elektroničke osobne iskaznice državama članicama EU</w:t>
      </w:r>
      <w:r>
        <w:rPr>
          <w:sz w:val="24"/>
          <w:szCs w:val="24"/>
        </w:rPr>
        <w:t>,</w:t>
      </w:r>
      <w:r w:rsidRPr="00BD1B6F">
        <w:rPr>
          <w:sz w:val="24"/>
          <w:szCs w:val="24"/>
        </w:rPr>
        <w:t xml:space="preserve"> te kako bi se hrvatskim građanima omogućilo korištenje naših nacionalnih vjerodajnica za prijavu na javne e-usluge koje se pružaju u drugim državama članicama, nastavljeni su napori na spajanju s Francuskom, Islandom, Lihtenštajnom i Rumunjskom, dok je spajanje s Mađarskom, Irskom i Bugarskom u testnoj fazi.</w:t>
      </w:r>
    </w:p>
    <w:p w14:paraId="65263939" w14:textId="77777777" w:rsidR="0010365F" w:rsidRDefault="0010365F" w:rsidP="0010365F">
      <w:pPr>
        <w:spacing w:before="165" w:after="240" w:line="276" w:lineRule="auto"/>
        <w:jc w:val="both"/>
        <w:rPr>
          <w:sz w:val="24"/>
          <w:szCs w:val="24"/>
        </w:rPr>
      </w:pPr>
      <w:r>
        <w:rPr>
          <w:sz w:val="24"/>
          <w:szCs w:val="24"/>
        </w:rPr>
        <w:t>Nastavljeni su napori na unaprjeđivanju j</w:t>
      </w:r>
      <w:r w:rsidRPr="209D92D9">
        <w:rPr>
          <w:sz w:val="24"/>
          <w:szCs w:val="24"/>
        </w:rPr>
        <w:t>avn</w:t>
      </w:r>
      <w:r>
        <w:rPr>
          <w:sz w:val="24"/>
          <w:szCs w:val="24"/>
        </w:rPr>
        <w:t>ih</w:t>
      </w:r>
      <w:r w:rsidRPr="209D92D9">
        <w:rPr>
          <w:sz w:val="24"/>
          <w:szCs w:val="24"/>
        </w:rPr>
        <w:t xml:space="preserve"> e-uslug</w:t>
      </w:r>
      <w:r>
        <w:rPr>
          <w:sz w:val="24"/>
          <w:szCs w:val="24"/>
        </w:rPr>
        <w:t>a</w:t>
      </w:r>
      <w:r w:rsidRPr="209D92D9">
        <w:rPr>
          <w:sz w:val="24"/>
          <w:szCs w:val="24"/>
        </w:rPr>
        <w:t xml:space="preserve"> </w:t>
      </w:r>
      <w:r>
        <w:rPr>
          <w:sz w:val="24"/>
          <w:szCs w:val="24"/>
        </w:rPr>
        <w:t>kao i</w:t>
      </w:r>
      <w:r w:rsidRPr="209D92D9">
        <w:rPr>
          <w:sz w:val="24"/>
          <w:szCs w:val="24"/>
        </w:rPr>
        <w:t xml:space="preserve"> povezivanj</w:t>
      </w:r>
      <w:r>
        <w:rPr>
          <w:sz w:val="24"/>
          <w:szCs w:val="24"/>
        </w:rPr>
        <w:t>u</w:t>
      </w:r>
      <w:r w:rsidRPr="209D92D9">
        <w:rPr>
          <w:sz w:val="24"/>
          <w:szCs w:val="24"/>
        </w:rPr>
        <w:t xml:space="preserve"> </w:t>
      </w:r>
      <w:r>
        <w:rPr>
          <w:sz w:val="24"/>
          <w:szCs w:val="24"/>
        </w:rPr>
        <w:t xml:space="preserve">srodnih </w:t>
      </w:r>
      <w:r>
        <w:rPr>
          <w:sz w:val="24"/>
          <w:szCs w:val="24"/>
        </w:rPr>
        <w:lastRenderedPageBreak/>
        <w:t xml:space="preserve">regulatornih </w:t>
      </w:r>
      <w:r w:rsidRPr="209D92D9">
        <w:rPr>
          <w:sz w:val="24"/>
          <w:szCs w:val="24"/>
        </w:rPr>
        <w:t xml:space="preserve">postupaka koje provode različita državna i javna tijela u jednu uslugu u </w:t>
      </w:r>
      <w:r>
        <w:rPr>
          <w:sz w:val="24"/>
          <w:szCs w:val="24"/>
        </w:rPr>
        <w:t>okviru</w:t>
      </w:r>
      <w:r w:rsidRPr="209D92D9">
        <w:rPr>
          <w:sz w:val="24"/>
          <w:szCs w:val="24"/>
        </w:rPr>
        <w:t xml:space="preserve"> </w:t>
      </w:r>
      <w:r>
        <w:rPr>
          <w:sz w:val="24"/>
          <w:szCs w:val="24"/>
        </w:rPr>
        <w:t>platforme e-građani</w:t>
      </w:r>
      <w:r w:rsidRPr="209D92D9">
        <w:rPr>
          <w:sz w:val="24"/>
          <w:szCs w:val="24"/>
        </w:rPr>
        <w:t xml:space="preserve">. </w:t>
      </w:r>
      <w:r>
        <w:rPr>
          <w:sz w:val="24"/>
          <w:szCs w:val="24"/>
        </w:rPr>
        <w:t>Rezultati navedenih unaprjeđenja vidljivi su i u povećanju broja hrvatskih građana koji redovno koriste javne e-usluge usluge putem p</w:t>
      </w:r>
      <w:r w:rsidRPr="00DF2D84">
        <w:rPr>
          <w:sz w:val="24"/>
          <w:szCs w:val="24"/>
        </w:rPr>
        <w:t>ortal</w:t>
      </w:r>
      <w:r>
        <w:rPr>
          <w:sz w:val="24"/>
          <w:szCs w:val="24"/>
        </w:rPr>
        <w:t>a</w:t>
      </w:r>
      <w:r w:rsidRPr="00DF2D84">
        <w:rPr>
          <w:sz w:val="24"/>
          <w:szCs w:val="24"/>
        </w:rPr>
        <w:t xml:space="preserve"> e</w:t>
      </w:r>
      <w:r>
        <w:rPr>
          <w:sz w:val="24"/>
          <w:szCs w:val="24"/>
        </w:rPr>
        <w:t>-g</w:t>
      </w:r>
      <w:r w:rsidRPr="00DF2D84">
        <w:rPr>
          <w:sz w:val="24"/>
          <w:szCs w:val="24"/>
        </w:rPr>
        <w:t>rađani</w:t>
      </w:r>
      <w:r>
        <w:rPr>
          <w:sz w:val="24"/>
          <w:szCs w:val="24"/>
        </w:rPr>
        <w:t>. Tijekom</w:t>
      </w:r>
      <w:r w:rsidRPr="00DF2D84">
        <w:rPr>
          <w:sz w:val="24"/>
          <w:szCs w:val="24"/>
        </w:rPr>
        <w:t xml:space="preserve"> 2022. </w:t>
      </w:r>
      <w:r>
        <w:rPr>
          <w:sz w:val="24"/>
          <w:szCs w:val="24"/>
        </w:rPr>
        <w:t>bilo ih je ukupno</w:t>
      </w:r>
      <w:r w:rsidRPr="00DF2D84">
        <w:rPr>
          <w:sz w:val="24"/>
          <w:szCs w:val="24"/>
        </w:rPr>
        <w:t xml:space="preserve"> 1,7 milijuna</w:t>
      </w:r>
      <w:r>
        <w:rPr>
          <w:sz w:val="24"/>
          <w:szCs w:val="24"/>
        </w:rPr>
        <w:t xml:space="preserve">, </w:t>
      </w:r>
      <w:r w:rsidRPr="00DF2D84">
        <w:rPr>
          <w:sz w:val="24"/>
          <w:szCs w:val="24"/>
        </w:rPr>
        <w:t xml:space="preserve">što </w:t>
      </w:r>
      <w:r>
        <w:rPr>
          <w:sz w:val="24"/>
          <w:szCs w:val="24"/>
        </w:rPr>
        <w:t>predstavlja</w:t>
      </w:r>
      <w:r w:rsidRPr="00DF2D84">
        <w:rPr>
          <w:sz w:val="24"/>
          <w:szCs w:val="24"/>
        </w:rPr>
        <w:t xml:space="preserve"> povećanje od 13% u odnosu na 2021.</w:t>
      </w:r>
      <w:r>
        <w:rPr>
          <w:sz w:val="24"/>
          <w:szCs w:val="24"/>
        </w:rPr>
        <w:t>, a putem portala omogućeno im je korištenje više od 100 javnih usluga.</w:t>
      </w:r>
    </w:p>
    <w:p w14:paraId="066E2863" w14:textId="77777777" w:rsidR="0010365F" w:rsidRPr="008115FB" w:rsidRDefault="0010365F" w:rsidP="0010365F">
      <w:pPr>
        <w:spacing w:before="165" w:after="240" w:line="276" w:lineRule="auto"/>
        <w:jc w:val="both"/>
        <w:rPr>
          <w:sz w:val="24"/>
          <w:szCs w:val="24"/>
        </w:rPr>
      </w:pPr>
      <w:r w:rsidRPr="00BD1B6F">
        <w:rPr>
          <w:sz w:val="24"/>
          <w:szCs w:val="24"/>
        </w:rPr>
        <w:t>Kao dio napora u području digitalne transformacije rada javne uprave, uvodi se hibridni model rada u sva državna tijela. Uvođenje hibridnog modela rada temelji se na fleksibilnim radnim uvjetima sukladno Direktivi (EU) 2019/1158 Europskog parlamenta i Vijeća od 20. lipnja 2019</w:t>
      </w:r>
      <w:r w:rsidRPr="00483475">
        <w:rPr>
          <w:sz w:val="24"/>
          <w:szCs w:val="24"/>
        </w:rPr>
        <w:t>.</w:t>
      </w:r>
      <w:r w:rsidRPr="00BD1B6F">
        <w:rPr>
          <w:sz w:val="24"/>
          <w:szCs w:val="24"/>
        </w:rPr>
        <w:t xml:space="preserve"> o ravnoteži između poslovnog i privatnog života roditelja i skrbnika. </w:t>
      </w:r>
    </w:p>
    <w:p w14:paraId="797D3656" w14:textId="7045A0C5" w:rsidR="28E0714A" w:rsidRPr="00BD1B6F" w:rsidRDefault="0010365F" w:rsidP="007F105F">
      <w:pPr>
        <w:spacing w:before="165" w:after="240" w:line="276" w:lineRule="auto"/>
        <w:jc w:val="both"/>
      </w:pPr>
      <w:r w:rsidRPr="00BD1B6F">
        <w:rPr>
          <w:sz w:val="24"/>
          <w:szCs w:val="24"/>
        </w:rPr>
        <w:t>Pokrenute su aktivnosti na provedbi investicije „Provedba projekata u sklopu Okvirnog nacionalnog programa za razvoj infrastrukture širokopojasnog pristupa u područjima u kojima ne postoji dostatan komercijalni interes za ulaganja“ (</w:t>
      </w:r>
      <w:r w:rsidRPr="00242D55">
        <w:rPr>
          <w:sz w:val="24"/>
          <w:szCs w:val="24"/>
        </w:rPr>
        <w:t>C2.3.</w:t>
      </w:r>
      <w:r w:rsidRPr="00BD1B6F">
        <w:rPr>
          <w:sz w:val="24"/>
          <w:szCs w:val="24"/>
        </w:rPr>
        <w:t xml:space="preserve"> R4-I1). U okviru investicije </w:t>
      </w:r>
      <w:r w:rsidRPr="008115FB">
        <w:rPr>
          <w:sz w:val="24"/>
          <w:szCs w:val="24"/>
        </w:rPr>
        <w:t>u</w:t>
      </w:r>
      <w:r w:rsidRPr="00BD1B6F">
        <w:rPr>
          <w:sz w:val="24"/>
          <w:szCs w:val="24"/>
        </w:rPr>
        <w:t xml:space="preserve"> 2023. </w:t>
      </w:r>
      <w:r w:rsidRPr="008115FB">
        <w:rPr>
          <w:sz w:val="24"/>
          <w:szCs w:val="24"/>
        </w:rPr>
        <w:t xml:space="preserve">će se provesti </w:t>
      </w:r>
      <w:r w:rsidRPr="00BD1B6F">
        <w:rPr>
          <w:sz w:val="24"/>
          <w:szCs w:val="24"/>
        </w:rPr>
        <w:t xml:space="preserve">javni </w:t>
      </w:r>
      <w:r>
        <w:rPr>
          <w:sz w:val="24"/>
          <w:szCs w:val="24"/>
        </w:rPr>
        <w:t>p</w:t>
      </w:r>
      <w:r w:rsidRPr="00BD1B6F">
        <w:rPr>
          <w:sz w:val="24"/>
          <w:szCs w:val="24"/>
        </w:rPr>
        <w:t xml:space="preserve">oziv za provedbu projekata razvoja infrastrukture širokopojasnog pristupa, ukupne predviđene alokacije u iznosu većem od 106 milijuna eura. Provedbom ulaganja u okviru </w:t>
      </w:r>
      <w:r>
        <w:rPr>
          <w:sz w:val="24"/>
          <w:szCs w:val="24"/>
        </w:rPr>
        <w:t>p</w:t>
      </w:r>
      <w:r w:rsidRPr="00BD1B6F">
        <w:rPr>
          <w:sz w:val="24"/>
          <w:szCs w:val="24"/>
        </w:rPr>
        <w:t xml:space="preserve">oziva </w:t>
      </w:r>
      <w:r>
        <w:rPr>
          <w:sz w:val="24"/>
          <w:szCs w:val="24"/>
        </w:rPr>
        <w:t>omogućit</w:t>
      </w:r>
      <w:r w:rsidRPr="00BD1B6F">
        <w:rPr>
          <w:sz w:val="24"/>
          <w:szCs w:val="24"/>
        </w:rPr>
        <w:t xml:space="preserve"> će se povezivost mrežama vrlo velikog kapaciteta za 100.000 hrvatskih kućanstava (700.000 stanovnika) i dostupnost usluga pristupa s brzinama od najmanje 1 Gbit, za škole, sveučilišta, istraživačke centre, prometna čvorišta, bolnice te javna tijela i institucije. U skladu s uvjetima poziva, 55% kućanstava koja će biti obuhvaćena ulaganjima nalazi se u ruralnim područjima, 26% u prigradskim područjima, a 19% u urbanim područjima. Očekuje se da će se</w:t>
      </w:r>
      <w:r>
        <w:rPr>
          <w:sz w:val="24"/>
          <w:szCs w:val="24"/>
        </w:rPr>
        <w:t>,</w:t>
      </w:r>
      <w:r w:rsidRPr="00BD1B6F">
        <w:rPr>
          <w:sz w:val="24"/>
          <w:szCs w:val="24"/>
        </w:rPr>
        <w:t xml:space="preserve"> provedbom Okvirnog nacionalnog programa za razvoj infrastrukture širokopojasnog pristupa</w:t>
      </w:r>
      <w:r>
        <w:rPr>
          <w:sz w:val="24"/>
          <w:szCs w:val="24"/>
        </w:rPr>
        <w:t>,</w:t>
      </w:r>
      <w:r w:rsidRPr="00BD1B6F">
        <w:rPr>
          <w:sz w:val="24"/>
          <w:szCs w:val="24"/>
        </w:rPr>
        <w:t xml:space="preserve"> omogućiti da do kraja 2023. mrežama vrlo velikog kapaciteta bude pokriveno ukupno 240.000 kućanstava. Planira se javnim financiranjem nadopuniti privatna ulaganja kako bi se dodatnih 210.000 kućanstava pokrilo svjetlovodnom mrežom. </w:t>
      </w:r>
      <w:r w:rsidR="001B6E2C" w:rsidRPr="00BD1B6F">
        <w:rPr>
          <w:sz w:val="24"/>
          <w:szCs w:val="24"/>
        </w:rPr>
        <w:t xml:space="preserve"> </w:t>
      </w:r>
    </w:p>
    <w:p w14:paraId="3E1CD4B9" w14:textId="2871CC10" w:rsidR="00A5608B" w:rsidRPr="00BD1B6F" w:rsidRDefault="000501D7" w:rsidP="0020412E">
      <w:pPr>
        <w:rPr>
          <w:color w:val="000000" w:themeColor="text1"/>
          <w:spacing w:val="-7"/>
        </w:rPr>
      </w:pPr>
      <w:r w:rsidRPr="00BD1B6F">
        <w:rPr>
          <w:color w:val="000000" w:themeColor="text1"/>
        </w:rPr>
        <w:br w:type="page"/>
      </w:r>
    </w:p>
    <w:p w14:paraId="7A37A67C" w14:textId="563681DE" w:rsidR="641EA8A0" w:rsidRPr="00BD1B6F" w:rsidRDefault="641EA8A0" w:rsidP="657D6FF2">
      <w:pPr>
        <w:pStyle w:val="Heading2"/>
        <w:spacing w:line="360" w:lineRule="auto"/>
        <w:ind w:left="-1" w:firstLine="0"/>
        <w:rPr>
          <w:sz w:val="24"/>
          <w:szCs w:val="24"/>
        </w:rPr>
      </w:pPr>
      <w:bookmarkStart w:id="108" w:name="_Toc156819402"/>
      <w:r w:rsidRPr="00BD1B6F">
        <w:rPr>
          <w:sz w:val="24"/>
          <w:szCs w:val="24"/>
        </w:rPr>
        <w:lastRenderedPageBreak/>
        <w:t>12. Razvoj potpomognutih područja i područja s razvojnim posebnostima</w:t>
      </w:r>
      <w:bookmarkEnd w:id="108"/>
      <w:r w:rsidRPr="00BD1B6F">
        <w:rPr>
          <w:sz w:val="24"/>
          <w:szCs w:val="24"/>
        </w:rPr>
        <w:t xml:space="preserve"> </w:t>
      </w:r>
    </w:p>
    <w:p w14:paraId="70E27CB8" w14:textId="4ECB72AF" w:rsidR="641EA8A0" w:rsidRPr="00BD1B6F" w:rsidRDefault="641EA8A0" w:rsidP="004C1D5B">
      <w:pPr>
        <w:pStyle w:val="Heading3"/>
        <w:ind w:left="709"/>
        <w:rPr>
          <w:sz w:val="24"/>
          <w:szCs w:val="24"/>
        </w:rPr>
      </w:pPr>
      <w:bookmarkStart w:id="109" w:name="_Toc156819403"/>
      <w:r w:rsidRPr="00BD1B6F">
        <w:rPr>
          <w:sz w:val="24"/>
          <w:szCs w:val="24"/>
        </w:rPr>
        <w:t>12.1. Ostvarene vrijednosti pokazatelja uspješnosti</w:t>
      </w:r>
      <w:bookmarkEnd w:id="109"/>
      <w:r w:rsidRPr="00BD1B6F">
        <w:rPr>
          <w:sz w:val="24"/>
          <w:szCs w:val="24"/>
        </w:rPr>
        <w:t xml:space="preserve"> </w:t>
      </w:r>
    </w:p>
    <w:p w14:paraId="5B06D0AF" w14:textId="27D53606" w:rsidR="641EA8A0" w:rsidRPr="00BD1B6F" w:rsidRDefault="641EA8A0">
      <w:r w:rsidRPr="00BD1B6F">
        <w:rPr>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970"/>
        <w:gridCol w:w="2265"/>
        <w:gridCol w:w="2130"/>
        <w:gridCol w:w="1680"/>
      </w:tblGrid>
      <w:tr w:rsidR="6E43F78E" w:rsidRPr="008115FB" w14:paraId="3066D258" w14:textId="77777777" w:rsidTr="00FD2238">
        <w:trPr>
          <w:trHeight w:val="705"/>
        </w:trPr>
        <w:tc>
          <w:tcPr>
            <w:tcW w:w="2970"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60974E46" w14:textId="3DE1F034" w:rsidR="6E43F78E" w:rsidRPr="00BD1B6F" w:rsidRDefault="6E43F78E" w:rsidP="6E43F78E">
            <w:pPr>
              <w:jc w:val="center"/>
            </w:pPr>
            <w:r w:rsidRPr="00BD1B6F">
              <w:rPr>
                <w:b/>
                <w:bCs/>
                <w:color w:val="000000" w:themeColor="text1"/>
                <w:sz w:val="24"/>
                <w:szCs w:val="24"/>
              </w:rPr>
              <w:t>Pokazatelj uspješnosti</w:t>
            </w:r>
            <w:r w:rsidRPr="00BD1B6F">
              <w:rPr>
                <w:color w:val="000000" w:themeColor="text1"/>
                <w:sz w:val="24"/>
                <w:szCs w:val="24"/>
              </w:rPr>
              <w:t xml:space="preserve"> </w:t>
            </w:r>
          </w:p>
        </w:tc>
        <w:tc>
          <w:tcPr>
            <w:tcW w:w="2265"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33982CF3" w14:textId="4E1F463E" w:rsidR="6E43F78E" w:rsidRPr="00BD1B6F" w:rsidRDefault="6E43F78E" w:rsidP="6E43F78E">
            <w:pPr>
              <w:jc w:val="center"/>
            </w:pPr>
            <w:r w:rsidRPr="00BD1B6F">
              <w:rPr>
                <w:b/>
                <w:bCs/>
                <w:color w:val="000000" w:themeColor="text1"/>
                <w:sz w:val="24"/>
                <w:szCs w:val="24"/>
              </w:rPr>
              <w:t>Početna vrijednost</w:t>
            </w:r>
            <w:r w:rsidRPr="00BD1B6F">
              <w:rPr>
                <w:color w:val="000000" w:themeColor="text1"/>
                <w:sz w:val="24"/>
                <w:szCs w:val="24"/>
              </w:rPr>
              <w:t xml:space="preserve"> </w:t>
            </w:r>
          </w:p>
        </w:tc>
        <w:tc>
          <w:tcPr>
            <w:tcW w:w="2130"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638A0409" w14:textId="7F090A19" w:rsidR="6E43F78E" w:rsidRPr="00BD1B6F" w:rsidRDefault="6E43F78E" w:rsidP="6E43F78E">
            <w:pPr>
              <w:jc w:val="center"/>
            </w:pPr>
            <w:r w:rsidRPr="00BD1B6F">
              <w:rPr>
                <w:b/>
                <w:bCs/>
                <w:color w:val="000000" w:themeColor="text1"/>
                <w:sz w:val="24"/>
                <w:szCs w:val="24"/>
              </w:rPr>
              <w:t xml:space="preserve">Ciljna </w:t>
            </w:r>
          </w:p>
          <w:p w14:paraId="24DBEE20" w14:textId="6DC53750" w:rsidR="6E43F78E" w:rsidRPr="00BD1B6F" w:rsidRDefault="6E43F78E" w:rsidP="6E43F78E">
            <w:pPr>
              <w:jc w:val="center"/>
            </w:pPr>
            <w:r w:rsidRPr="00BD1B6F">
              <w:rPr>
                <w:b/>
                <w:bCs/>
                <w:color w:val="000000" w:themeColor="text1"/>
                <w:sz w:val="24"/>
                <w:szCs w:val="24"/>
              </w:rPr>
              <w:t>vrijednost</w:t>
            </w:r>
            <w:r w:rsidRPr="00BD1B6F">
              <w:rPr>
                <w:color w:val="000000" w:themeColor="text1"/>
                <w:sz w:val="24"/>
                <w:szCs w:val="24"/>
              </w:rPr>
              <w:t xml:space="preserve"> </w:t>
            </w:r>
          </w:p>
        </w:tc>
        <w:tc>
          <w:tcPr>
            <w:tcW w:w="1680"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5C89E0AE" w14:textId="3822BACC" w:rsidR="6E43F78E" w:rsidRPr="00BD1B6F" w:rsidRDefault="6E43F78E" w:rsidP="6E43F78E">
            <w:pPr>
              <w:jc w:val="center"/>
            </w:pPr>
            <w:r w:rsidRPr="00BD1B6F">
              <w:rPr>
                <w:b/>
                <w:bCs/>
                <w:color w:val="000000" w:themeColor="text1"/>
                <w:sz w:val="24"/>
                <w:szCs w:val="24"/>
              </w:rPr>
              <w:t xml:space="preserve">Ostvarena </w:t>
            </w:r>
          </w:p>
          <w:p w14:paraId="720C853B" w14:textId="138770AB" w:rsidR="6E43F78E" w:rsidRPr="00BD1B6F" w:rsidRDefault="6E43F78E" w:rsidP="6E43F78E">
            <w:pPr>
              <w:jc w:val="center"/>
            </w:pPr>
            <w:r w:rsidRPr="00BD1B6F">
              <w:rPr>
                <w:b/>
                <w:bCs/>
                <w:color w:val="000000" w:themeColor="text1"/>
                <w:sz w:val="24"/>
                <w:szCs w:val="24"/>
              </w:rPr>
              <w:t>vrijednost</w:t>
            </w:r>
            <w:r w:rsidRPr="00BD1B6F">
              <w:rPr>
                <w:color w:val="000000" w:themeColor="text1"/>
                <w:sz w:val="24"/>
                <w:szCs w:val="24"/>
              </w:rPr>
              <w:t xml:space="preserve"> </w:t>
            </w:r>
          </w:p>
        </w:tc>
      </w:tr>
      <w:tr w:rsidR="6E43F78E" w:rsidRPr="008115FB" w14:paraId="0C277D38" w14:textId="77777777" w:rsidTr="00FD2238">
        <w:trPr>
          <w:trHeight w:val="721"/>
        </w:trPr>
        <w:tc>
          <w:tcPr>
            <w:tcW w:w="2970" w:type="dxa"/>
            <w:tcBorders>
              <w:top w:val="dotted" w:sz="8" w:space="0" w:color="auto"/>
              <w:left w:val="dotted" w:sz="8" w:space="0" w:color="auto"/>
              <w:bottom w:val="dotted" w:sz="8" w:space="0" w:color="auto"/>
              <w:right w:val="nil"/>
            </w:tcBorders>
            <w:vAlign w:val="center"/>
          </w:tcPr>
          <w:p w14:paraId="3AE7BF07" w14:textId="421C8FBA" w:rsidR="6E43F78E" w:rsidRPr="00BD1B6F" w:rsidRDefault="6E43F78E" w:rsidP="4CB62513">
            <w:pPr>
              <w:rPr>
                <w:sz w:val="24"/>
                <w:szCs w:val="24"/>
                <w:vertAlign w:val="superscript"/>
              </w:rPr>
            </w:pPr>
            <w:r w:rsidRPr="00BD1B6F">
              <w:rPr>
                <w:color w:val="000000" w:themeColor="text1"/>
                <w:sz w:val="24"/>
                <w:szCs w:val="24"/>
              </w:rPr>
              <w:t>Razlika u regionalnom BDP-u po stanovniku</w:t>
            </w:r>
          </w:p>
        </w:tc>
        <w:tc>
          <w:tcPr>
            <w:tcW w:w="2265" w:type="dxa"/>
            <w:tcBorders>
              <w:top w:val="dotted" w:sz="8" w:space="0" w:color="auto"/>
              <w:left w:val="nil"/>
              <w:bottom w:val="dotted" w:sz="8" w:space="0" w:color="auto"/>
              <w:right w:val="nil"/>
            </w:tcBorders>
            <w:shd w:val="clear" w:color="auto" w:fill="DAEEF3" w:themeFill="accent5" w:themeFillTint="33"/>
            <w:vAlign w:val="center"/>
          </w:tcPr>
          <w:p w14:paraId="1F00D445" w14:textId="3836A734" w:rsidR="6E43F78E" w:rsidRPr="00BD1B6F" w:rsidRDefault="6E43F78E" w:rsidP="6E43F78E">
            <w:pPr>
              <w:jc w:val="center"/>
            </w:pPr>
            <w:r w:rsidRPr="00BD1B6F">
              <w:rPr>
                <w:color w:val="000000" w:themeColor="text1"/>
                <w:sz w:val="24"/>
                <w:szCs w:val="24"/>
              </w:rPr>
              <w:t xml:space="preserve">3,10 </w:t>
            </w:r>
            <w:r w:rsidRPr="00BD1B6F">
              <w:br/>
            </w:r>
            <w:r w:rsidRPr="00BD1B6F">
              <w:rPr>
                <w:color w:val="000000" w:themeColor="text1"/>
                <w:sz w:val="24"/>
                <w:szCs w:val="24"/>
              </w:rPr>
              <w:t xml:space="preserve"> (2017.) </w:t>
            </w:r>
          </w:p>
        </w:tc>
        <w:tc>
          <w:tcPr>
            <w:tcW w:w="2130" w:type="dxa"/>
            <w:tcBorders>
              <w:top w:val="dotted" w:sz="8" w:space="0" w:color="auto"/>
              <w:left w:val="nil"/>
              <w:bottom w:val="dotted" w:sz="8" w:space="0" w:color="auto"/>
              <w:right w:val="nil"/>
            </w:tcBorders>
            <w:vAlign w:val="center"/>
          </w:tcPr>
          <w:p w14:paraId="6BB8D640" w14:textId="7A8C0E99" w:rsidR="6E43F78E" w:rsidRPr="00BD1B6F" w:rsidRDefault="6E43F78E" w:rsidP="6E43F78E">
            <w:pPr>
              <w:jc w:val="center"/>
            </w:pPr>
            <w:r w:rsidRPr="00BD1B6F">
              <w:rPr>
                <w:color w:val="000000" w:themeColor="text1"/>
                <w:sz w:val="24"/>
                <w:szCs w:val="24"/>
              </w:rPr>
              <w:t xml:space="preserve">2,5 </w:t>
            </w:r>
          </w:p>
        </w:tc>
        <w:tc>
          <w:tcPr>
            <w:tcW w:w="1680" w:type="dxa"/>
            <w:tcBorders>
              <w:top w:val="dotted" w:sz="8" w:space="0" w:color="auto"/>
              <w:left w:val="nil"/>
              <w:bottom w:val="dotted" w:sz="8" w:space="0" w:color="auto"/>
              <w:right w:val="dotted" w:sz="8" w:space="0" w:color="auto"/>
            </w:tcBorders>
            <w:shd w:val="clear" w:color="auto" w:fill="DAEEF3" w:themeFill="accent5" w:themeFillTint="33"/>
            <w:vAlign w:val="center"/>
          </w:tcPr>
          <w:p w14:paraId="11EE8CE2" w14:textId="77777777" w:rsidR="001F1B9D" w:rsidRPr="00BD1B6F" w:rsidRDefault="6E43F78E" w:rsidP="001F1B9D">
            <w:pPr>
              <w:jc w:val="center"/>
              <w:rPr>
                <w:color w:val="000000" w:themeColor="text1"/>
                <w:sz w:val="24"/>
                <w:szCs w:val="24"/>
              </w:rPr>
            </w:pPr>
            <w:r w:rsidRPr="00BD1B6F">
              <w:rPr>
                <w:color w:val="000000" w:themeColor="text1"/>
                <w:sz w:val="24"/>
                <w:szCs w:val="24"/>
              </w:rPr>
              <w:t>2,90</w:t>
            </w:r>
          </w:p>
          <w:p w14:paraId="1913D349" w14:textId="091385C3" w:rsidR="6E43F78E" w:rsidRPr="00BD1B6F" w:rsidRDefault="6E43F78E" w:rsidP="001F1B9D">
            <w:pPr>
              <w:jc w:val="center"/>
            </w:pPr>
            <w:r w:rsidRPr="00BD1B6F">
              <w:rPr>
                <w:color w:val="000000" w:themeColor="text1"/>
                <w:sz w:val="24"/>
                <w:szCs w:val="24"/>
              </w:rPr>
              <w:t>(2020.)</w:t>
            </w:r>
            <w:r w:rsidRPr="00BD1B6F">
              <w:rPr>
                <w:rStyle w:val="FootnoteReference"/>
                <w:color w:val="000000" w:themeColor="text1"/>
                <w:sz w:val="24"/>
                <w:szCs w:val="24"/>
              </w:rPr>
              <w:footnoteReference w:id="8"/>
            </w:r>
          </w:p>
        </w:tc>
      </w:tr>
    </w:tbl>
    <w:p w14:paraId="2E7D7309" w14:textId="77777777" w:rsidR="00246164" w:rsidRPr="00BD1B6F" w:rsidRDefault="00246164"/>
    <w:p w14:paraId="0CF5C9FE" w14:textId="5C3B6009" w:rsidR="641EA8A0" w:rsidRPr="00BD1B6F" w:rsidRDefault="641EA8A0" w:rsidP="004C1D5B">
      <w:pPr>
        <w:pStyle w:val="Heading3"/>
        <w:spacing w:line="276" w:lineRule="auto"/>
        <w:ind w:left="709"/>
        <w:rPr>
          <w:sz w:val="24"/>
          <w:szCs w:val="24"/>
        </w:rPr>
      </w:pPr>
      <w:bookmarkStart w:id="110" w:name="_Toc156819404"/>
      <w:r w:rsidRPr="00BD1B6F">
        <w:rPr>
          <w:sz w:val="24"/>
          <w:szCs w:val="24"/>
        </w:rPr>
        <w:t>12.</w:t>
      </w:r>
      <w:r w:rsidR="00E21EA4">
        <w:rPr>
          <w:sz w:val="24"/>
          <w:szCs w:val="24"/>
        </w:rPr>
        <w:t>2</w:t>
      </w:r>
      <w:r w:rsidRPr="00BD1B6F">
        <w:rPr>
          <w:sz w:val="24"/>
          <w:szCs w:val="24"/>
        </w:rPr>
        <w:t>.</w:t>
      </w:r>
      <w:r w:rsidR="00246164">
        <w:rPr>
          <w:sz w:val="24"/>
          <w:szCs w:val="24"/>
        </w:rPr>
        <w:t xml:space="preserve"> </w:t>
      </w:r>
      <w:r w:rsidR="4553209C" w:rsidRPr="00BD1B6F">
        <w:rPr>
          <w:sz w:val="24"/>
          <w:szCs w:val="24"/>
        </w:rPr>
        <w:t>Opis napretka u provedbi strateškog cilja</w:t>
      </w:r>
      <w:r w:rsidRPr="00BD1B6F">
        <w:rPr>
          <w:sz w:val="24"/>
          <w:szCs w:val="24"/>
        </w:rPr>
        <w:t xml:space="preserve"> </w:t>
      </w:r>
      <w:r w:rsidR="17320405" w:rsidRPr="00BD1B6F">
        <w:rPr>
          <w:sz w:val="24"/>
          <w:szCs w:val="24"/>
        </w:rPr>
        <w:t>Razvoj potpomognutih područja i područja s razvojnim posebnostima</w:t>
      </w:r>
      <w:bookmarkEnd w:id="110"/>
      <w:r w:rsidR="17320405" w:rsidRPr="00BD1B6F">
        <w:rPr>
          <w:sz w:val="24"/>
          <w:szCs w:val="24"/>
        </w:rPr>
        <w:t xml:space="preserve"> </w:t>
      </w:r>
    </w:p>
    <w:p w14:paraId="7A3F44E3" w14:textId="77777777" w:rsidR="007F4C8D" w:rsidRPr="00BD1B6F" w:rsidRDefault="007F4C8D" w:rsidP="007F4C8D">
      <w:pPr>
        <w:spacing w:before="240" w:line="276" w:lineRule="auto"/>
        <w:ind w:firstLine="720"/>
        <w:jc w:val="both"/>
        <w:rPr>
          <w:b/>
          <w:bCs/>
          <w:sz w:val="24"/>
          <w:szCs w:val="24"/>
        </w:rPr>
      </w:pPr>
      <w:r w:rsidRPr="00BD1B6F">
        <w:rPr>
          <w:b/>
          <w:bCs/>
          <w:sz w:val="24"/>
          <w:szCs w:val="24"/>
        </w:rPr>
        <w:t xml:space="preserve">Razvoj potpomognutih i brdsko-planinskih područja </w:t>
      </w:r>
    </w:p>
    <w:p w14:paraId="6842B1B2" w14:textId="77777777" w:rsidR="007F4C8D" w:rsidRDefault="007F4C8D" w:rsidP="007F4C8D">
      <w:pPr>
        <w:spacing w:before="240" w:line="276" w:lineRule="auto"/>
        <w:jc w:val="both"/>
        <w:rPr>
          <w:sz w:val="24"/>
          <w:szCs w:val="24"/>
        </w:rPr>
      </w:pPr>
      <w:r w:rsidRPr="00E308C3">
        <w:rPr>
          <w:sz w:val="24"/>
          <w:szCs w:val="24"/>
        </w:rPr>
        <w:t xml:space="preserve">Prema </w:t>
      </w:r>
      <w:r>
        <w:rPr>
          <w:sz w:val="24"/>
          <w:szCs w:val="24"/>
        </w:rPr>
        <w:t xml:space="preserve">važećoj </w:t>
      </w:r>
      <w:r w:rsidRPr="00E308C3">
        <w:rPr>
          <w:sz w:val="24"/>
          <w:szCs w:val="24"/>
        </w:rPr>
        <w:t>Odluci o obuhvatu i razvrstavanju jedinica lokalne samouprave koje stječu status brdsko-planinskog područja (</w:t>
      </w:r>
      <w:r>
        <w:rPr>
          <w:sz w:val="24"/>
          <w:szCs w:val="24"/>
        </w:rPr>
        <w:t>NN</w:t>
      </w:r>
      <w:r w:rsidRPr="00E308C3">
        <w:rPr>
          <w:sz w:val="24"/>
          <w:szCs w:val="24"/>
        </w:rPr>
        <w:t xml:space="preserve"> 24/19)</w:t>
      </w:r>
      <w:r>
        <w:rPr>
          <w:sz w:val="24"/>
          <w:szCs w:val="24"/>
        </w:rPr>
        <w:t>, ukupno</w:t>
      </w:r>
      <w:r w:rsidRPr="00E308C3">
        <w:rPr>
          <w:sz w:val="24"/>
          <w:szCs w:val="24"/>
        </w:rPr>
        <w:t xml:space="preserve"> 85 jedinica</w:t>
      </w:r>
      <w:r>
        <w:rPr>
          <w:sz w:val="24"/>
          <w:szCs w:val="24"/>
        </w:rPr>
        <w:t xml:space="preserve"> lokalne samouprave ima status brdsko-planinskog područja. </w:t>
      </w:r>
      <w:r w:rsidRPr="004C373D">
        <w:rPr>
          <w:sz w:val="24"/>
          <w:szCs w:val="24"/>
        </w:rPr>
        <w:t>Brdsko-planinska područja dugoročno su suočena s iznadprosječnim gubitkom stanovništva, nepovoljnim ekonomskim procesima, kao i s nepovoljnim prometnim položajem zbog svojih geomorfoloških i klimatskih specifičnosti.</w:t>
      </w:r>
      <w:r>
        <w:rPr>
          <w:sz w:val="24"/>
          <w:szCs w:val="24"/>
        </w:rPr>
        <w:t xml:space="preserve"> </w:t>
      </w:r>
      <w:r w:rsidRPr="00293781">
        <w:rPr>
          <w:sz w:val="24"/>
          <w:szCs w:val="24"/>
        </w:rPr>
        <w:t xml:space="preserve">Zbog </w:t>
      </w:r>
      <w:r>
        <w:rPr>
          <w:sz w:val="24"/>
          <w:szCs w:val="24"/>
        </w:rPr>
        <w:t>navedenog,</w:t>
      </w:r>
      <w:r w:rsidRPr="00293781">
        <w:rPr>
          <w:sz w:val="24"/>
          <w:szCs w:val="24"/>
        </w:rPr>
        <w:t xml:space="preserve"> imaju status područja od interesa i pod posebnom su zaštitom Republike Hrvatske.</w:t>
      </w:r>
    </w:p>
    <w:p w14:paraId="61A7F5D2" w14:textId="77777777" w:rsidR="007F4C8D" w:rsidRPr="00BD1B6F" w:rsidRDefault="007F4C8D" w:rsidP="007F4C8D">
      <w:pPr>
        <w:spacing w:before="240" w:line="276" w:lineRule="auto"/>
        <w:jc w:val="both"/>
        <w:rPr>
          <w:sz w:val="24"/>
          <w:szCs w:val="24"/>
        </w:rPr>
      </w:pPr>
      <w:r w:rsidRPr="00BD1B6F">
        <w:rPr>
          <w:sz w:val="24"/>
          <w:szCs w:val="24"/>
        </w:rPr>
        <w:t>Cilj upravljanja razvojem brdsko-planinskih područja je osigurati preduvjete za jačanje konkurentnosti i ostvarenje razvojnih potencijala tih područja</w:t>
      </w:r>
      <w:r w:rsidRPr="00BD1B6F">
        <w:t xml:space="preserve"> </w:t>
      </w:r>
      <w:r w:rsidRPr="00BD1B6F">
        <w:rPr>
          <w:sz w:val="24"/>
          <w:szCs w:val="24"/>
        </w:rPr>
        <w:t>u skladu s njihovim posebnostima. Takvim se pristupom doprinosi održivom gospodarskom razvoju hrvatskih regija, ali i smanjenju regionalnih razlika te teritorijalnoj, gospodarskoj i društvenoj koheziji uz poboljšanje pristupa i dostupnosti infrastrukture na brdsko-planinskim područjima.</w:t>
      </w:r>
    </w:p>
    <w:p w14:paraId="038E524F" w14:textId="77777777" w:rsidR="007F4C8D" w:rsidRPr="00BD1B6F" w:rsidRDefault="007F4C8D" w:rsidP="007F4C8D">
      <w:pPr>
        <w:spacing w:before="240" w:line="276" w:lineRule="auto"/>
        <w:jc w:val="both"/>
        <w:rPr>
          <w:sz w:val="24"/>
          <w:szCs w:val="24"/>
        </w:rPr>
      </w:pPr>
      <w:r w:rsidRPr="00BD1B6F">
        <w:rPr>
          <w:sz w:val="24"/>
          <w:szCs w:val="24"/>
        </w:rPr>
        <w:t xml:space="preserve">S ciljem učinkovitog upravljanja te definiranja relevantnih mjera za poticanje razvoja brdsko-planinskih područja, u veljači 2022. donesen </w:t>
      </w:r>
      <w:r>
        <w:rPr>
          <w:sz w:val="24"/>
          <w:szCs w:val="24"/>
        </w:rPr>
        <w:t xml:space="preserve">je </w:t>
      </w:r>
      <w:r w:rsidRPr="00BD1B6F">
        <w:rPr>
          <w:sz w:val="24"/>
          <w:szCs w:val="24"/>
        </w:rPr>
        <w:t>Program razvoja brdsko-planinskog područja za razdoblje 2022.</w:t>
      </w:r>
      <w:r>
        <w:rPr>
          <w:sz w:val="24"/>
          <w:szCs w:val="24"/>
        </w:rPr>
        <w:t xml:space="preserve"> </w:t>
      </w:r>
      <w:r w:rsidRPr="00BD1B6F">
        <w:rPr>
          <w:sz w:val="24"/>
          <w:szCs w:val="24"/>
        </w:rPr>
        <w:t>-</w:t>
      </w:r>
      <w:r>
        <w:rPr>
          <w:sz w:val="24"/>
          <w:szCs w:val="24"/>
        </w:rPr>
        <w:t xml:space="preserve"> </w:t>
      </w:r>
      <w:r w:rsidRPr="00BD1B6F">
        <w:rPr>
          <w:sz w:val="24"/>
          <w:szCs w:val="24"/>
        </w:rPr>
        <w:t xml:space="preserve">2025. U okviru Programa provedena je opsežna analiza dosadašnjeg sustava poticanja jedinica sa statusom brdsko-planinskog područja te je temeljem rezultata analize utvrđen četverogodišnji okvir za djelovanje svih ključnih dionika razvoja brdsko-planinskih područja i poticanja jačanja specifičnih sektora karakterističnih za brdsko-planinska područja. Sredstva podrške u okviru Programa namijenjena su za provedbu projekata s područja 85 jedinica lokalne samouprave </w:t>
      </w:r>
      <w:r w:rsidRPr="00CD61F4">
        <w:rPr>
          <w:sz w:val="24"/>
          <w:szCs w:val="24"/>
        </w:rPr>
        <w:t>koj</w:t>
      </w:r>
      <w:r>
        <w:rPr>
          <w:sz w:val="24"/>
          <w:szCs w:val="24"/>
        </w:rPr>
        <w:t>a</w:t>
      </w:r>
      <w:r w:rsidRPr="00BD1B6F">
        <w:rPr>
          <w:sz w:val="24"/>
          <w:szCs w:val="24"/>
        </w:rPr>
        <w:t xml:space="preserve"> imaju status brdsko-planinskog područja. Provedbom mjera i ulaganja predviđenih Programom </w:t>
      </w:r>
      <w:r>
        <w:rPr>
          <w:sz w:val="24"/>
          <w:szCs w:val="24"/>
        </w:rPr>
        <w:t>doprinijet</w:t>
      </w:r>
      <w:r w:rsidRPr="00BD1B6F">
        <w:rPr>
          <w:sz w:val="24"/>
          <w:szCs w:val="24"/>
        </w:rPr>
        <w:t xml:space="preserve"> će se povećanju zaposlenosti, demografskoj revitalizaciji te ublažavanju specifičnih geomorfoloških, klimatskih i prometnih ograničenja </w:t>
      </w:r>
      <w:r w:rsidRPr="00BD1B6F">
        <w:rPr>
          <w:sz w:val="24"/>
          <w:szCs w:val="24"/>
        </w:rPr>
        <w:lastRenderedPageBreak/>
        <w:t xml:space="preserve">brdsko-planinskih područja. </w:t>
      </w:r>
      <w:bookmarkStart w:id="111" w:name="_Hlk145977273"/>
      <w:r w:rsidRPr="00BD1B6F">
        <w:rPr>
          <w:sz w:val="24"/>
          <w:szCs w:val="24"/>
        </w:rPr>
        <w:t xml:space="preserve">Indikativna financijska sredstva za provedbu mjera i ulaganja predviđenih Programom iznosi 127 milijuna eura, a </w:t>
      </w:r>
      <w:r w:rsidRPr="00CD61F4">
        <w:rPr>
          <w:sz w:val="24"/>
          <w:szCs w:val="24"/>
        </w:rPr>
        <w:t>financirat</w:t>
      </w:r>
      <w:r w:rsidRPr="00BD1B6F">
        <w:rPr>
          <w:sz w:val="24"/>
          <w:szCs w:val="24"/>
        </w:rPr>
        <w:t xml:space="preserve"> će se sredstvima </w:t>
      </w:r>
      <w:r w:rsidRPr="6E43F78E">
        <w:rPr>
          <w:sz w:val="24"/>
          <w:szCs w:val="24"/>
        </w:rPr>
        <w:t xml:space="preserve">Integriranog teritorijalnog programa </w:t>
      </w:r>
      <w:r w:rsidRPr="00CD61F4">
        <w:rPr>
          <w:sz w:val="24"/>
          <w:szCs w:val="24"/>
        </w:rPr>
        <w:t>2021</w:t>
      </w:r>
      <w:r>
        <w:rPr>
          <w:sz w:val="24"/>
          <w:szCs w:val="24"/>
        </w:rPr>
        <w:t xml:space="preserve">. - </w:t>
      </w:r>
      <w:r w:rsidRPr="00CD61F4">
        <w:rPr>
          <w:sz w:val="24"/>
          <w:szCs w:val="24"/>
        </w:rPr>
        <w:t>2027</w:t>
      </w:r>
      <w:r>
        <w:rPr>
          <w:sz w:val="24"/>
          <w:szCs w:val="24"/>
        </w:rPr>
        <w:t xml:space="preserve">. (u daljnjem tekstu: </w:t>
      </w:r>
      <w:r w:rsidRPr="00CD61F4">
        <w:rPr>
          <w:sz w:val="24"/>
          <w:szCs w:val="24"/>
        </w:rPr>
        <w:t>ITP 2021.</w:t>
      </w:r>
      <w:r>
        <w:rPr>
          <w:sz w:val="24"/>
          <w:szCs w:val="24"/>
        </w:rPr>
        <w:t xml:space="preserve"> </w:t>
      </w:r>
      <w:r w:rsidRPr="00BD1B6F">
        <w:rPr>
          <w:sz w:val="24"/>
          <w:szCs w:val="24"/>
        </w:rPr>
        <w:t>-</w:t>
      </w:r>
      <w:r>
        <w:rPr>
          <w:sz w:val="24"/>
          <w:szCs w:val="24"/>
        </w:rPr>
        <w:t xml:space="preserve"> </w:t>
      </w:r>
      <w:r w:rsidRPr="00BD1B6F">
        <w:rPr>
          <w:sz w:val="24"/>
          <w:szCs w:val="24"/>
        </w:rPr>
        <w:t>2027</w:t>
      </w:r>
      <w:r w:rsidRPr="00CD61F4">
        <w:rPr>
          <w:sz w:val="24"/>
          <w:szCs w:val="24"/>
        </w:rPr>
        <w:t>.</w:t>
      </w:r>
      <w:r>
        <w:rPr>
          <w:sz w:val="24"/>
          <w:szCs w:val="24"/>
        </w:rPr>
        <w:t>)</w:t>
      </w:r>
      <w:r w:rsidRPr="00CD61F4">
        <w:rPr>
          <w:sz w:val="24"/>
          <w:szCs w:val="24"/>
        </w:rPr>
        <w:t>,</w:t>
      </w:r>
      <w:r w:rsidRPr="00BD1B6F">
        <w:rPr>
          <w:sz w:val="24"/>
          <w:szCs w:val="24"/>
        </w:rPr>
        <w:t xml:space="preserve"> kao i sredstvima Državnog proračuna</w:t>
      </w:r>
      <w:bookmarkEnd w:id="111"/>
      <w:r w:rsidRPr="00BD1B6F">
        <w:rPr>
          <w:sz w:val="24"/>
          <w:szCs w:val="24"/>
        </w:rPr>
        <w:t>.</w:t>
      </w:r>
    </w:p>
    <w:p w14:paraId="05F84C16" w14:textId="77777777" w:rsidR="007F4C8D" w:rsidRPr="00BD1B6F" w:rsidRDefault="007F4C8D" w:rsidP="007F4C8D">
      <w:pPr>
        <w:spacing w:before="240" w:line="276" w:lineRule="auto"/>
        <w:jc w:val="both"/>
        <w:rPr>
          <w:sz w:val="24"/>
          <w:szCs w:val="24"/>
        </w:rPr>
      </w:pPr>
      <w:r w:rsidRPr="00BD1B6F">
        <w:rPr>
          <w:sz w:val="24"/>
          <w:szCs w:val="24"/>
        </w:rPr>
        <w:t>Tijekom 2022.</w:t>
      </w:r>
      <w:r>
        <w:rPr>
          <w:sz w:val="24"/>
          <w:szCs w:val="24"/>
        </w:rPr>
        <w:t>,</w:t>
      </w:r>
      <w:r w:rsidRPr="00BD1B6F">
        <w:rPr>
          <w:sz w:val="24"/>
          <w:szCs w:val="24"/>
        </w:rPr>
        <w:t xml:space="preserve"> u okviru </w:t>
      </w:r>
      <w:r>
        <w:rPr>
          <w:sz w:val="24"/>
          <w:szCs w:val="24"/>
        </w:rPr>
        <w:t>p</w:t>
      </w:r>
      <w:r w:rsidRPr="00BD1B6F">
        <w:rPr>
          <w:sz w:val="24"/>
          <w:szCs w:val="24"/>
        </w:rPr>
        <w:t>oziva iz Programa podrške brdsko-planinskim područjima</w:t>
      </w:r>
      <w:r>
        <w:rPr>
          <w:sz w:val="24"/>
          <w:szCs w:val="24"/>
        </w:rPr>
        <w:t>,</w:t>
      </w:r>
      <w:r w:rsidRPr="00BD1B6F">
        <w:rPr>
          <w:sz w:val="24"/>
          <w:szCs w:val="24"/>
        </w:rPr>
        <w:t xml:space="preserve"> ugovorena </w:t>
      </w:r>
      <w:r>
        <w:rPr>
          <w:sz w:val="24"/>
          <w:szCs w:val="24"/>
        </w:rPr>
        <w:t xml:space="preserve">je </w:t>
      </w:r>
      <w:r w:rsidRPr="00BD1B6F">
        <w:rPr>
          <w:sz w:val="24"/>
          <w:szCs w:val="24"/>
        </w:rPr>
        <w:t>provedba 86 infrastrukturnih projekata ukupne vrijednosti 4,43 milijuna eura. Podržanim projektima se, osim izgradnje i održavanja prioritetne prometne infrastrukture, sufinancira i izgradnja te modernizacija ukupno 25 objekata društvene i socijalne infrastrukture jedinica lokalne samouprave na brdsko-planinskim područjima.</w:t>
      </w:r>
    </w:p>
    <w:p w14:paraId="218BA1FD" w14:textId="77777777" w:rsidR="007F4C8D" w:rsidRPr="00BD1B6F" w:rsidRDefault="007F4C8D" w:rsidP="007F4C8D">
      <w:pPr>
        <w:spacing w:before="240" w:line="276" w:lineRule="auto"/>
        <w:jc w:val="both"/>
        <w:rPr>
          <w:sz w:val="24"/>
          <w:szCs w:val="24"/>
        </w:rPr>
      </w:pPr>
      <w:r w:rsidRPr="00BD1B6F">
        <w:rPr>
          <w:sz w:val="24"/>
          <w:szCs w:val="24"/>
        </w:rPr>
        <w:t xml:space="preserve">Prema Odluci o razvrstavanju </w:t>
      </w:r>
      <w:r w:rsidRPr="008115FB">
        <w:rPr>
          <w:sz w:val="24"/>
          <w:szCs w:val="24"/>
        </w:rPr>
        <w:t xml:space="preserve">JLP(R)S-ova </w:t>
      </w:r>
      <w:r w:rsidRPr="00BD1B6F">
        <w:rPr>
          <w:sz w:val="24"/>
          <w:szCs w:val="24"/>
        </w:rPr>
        <w:t>prema stupnju razvijenosti (</w:t>
      </w:r>
      <w:r>
        <w:rPr>
          <w:sz w:val="24"/>
          <w:szCs w:val="24"/>
        </w:rPr>
        <w:t>NN</w:t>
      </w:r>
      <w:r w:rsidRPr="00BD1B6F">
        <w:rPr>
          <w:sz w:val="24"/>
          <w:szCs w:val="24"/>
        </w:rPr>
        <w:t xml:space="preserve"> br</w:t>
      </w:r>
      <w:r>
        <w:rPr>
          <w:sz w:val="24"/>
          <w:szCs w:val="24"/>
        </w:rPr>
        <w:t>.</w:t>
      </w:r>
      <w:r w:rsidRPr="008115FB">
        <w:rPr>
          <w:sz w:val="24"/>
          <w:szCs w:val="24"/>
        </w:rPr>
        <w:t xml:space="preserve"> 1</w:t>
      </w:r>
      <w:r w:rsidRPr="00BD1B6F">
        <w:rPr>
          <w:sz w:val="24"/>
          <w:szCs w:val="24"/>
        </w:rPr>
        <w:t>32/17), ukupno  303 jedinice lokalne samouprave i 12 jedinica regionalne samouprave u Hrvatskoj ocijenjene</w:t>
      </w:r>
      <w:r>
        <w:rPr>
          <w:sz w:val="24"/>
          <w:szCs w:val="24"/>
        </w:rPr>
        <w:t xml:space="preserve"> su</w:t>
      </w:r>
      <w:r w:rsidRPr="00BD1B6F">
        <w:rPr>
          <w:sz w:val="24"/>
          <w:szCs w:val="24"/>
        </w:rPr>
        <w:t xml:space="preserve"> kao potpomognuta područja. </w:t>
      </w:r>
      <w:r w:rsidRPr="00620C37">
        <w:rPr>
          <w:sz w:val="24"/>
          <w:szCs w:val="24"/>
        </w:rPr>
        <w:t xml:space="preserve">U </w:t>
      </w:r>
      <w:r>
        <w:rPr>
          <w:sz w:val="24"/>
          <w:szCs w:val="24"/>
        </w:rPr>
        <w:t>većini</w:t>
      </w:r>
      <w:r w:rsidRPr="00620C37">
        <w:rPr>
          <w:sz w:val="24"/>
          <w:szCs w:val="24"/>
        </w:rPr>
        <w:t xml:space="preserve"> potpomognuti</w:t>
      </w:r>
      <w:r>
        <w:rPr>
          <w:sz w:val="24"/>
          <w:szCs w:val="24"/>
        </w:rPr>
        <w:t>h</w:t>
      </w:r>
      <w:r w:rsidRPr="00620C37">
        <w:rPr>
          <w:sz w:val="24"/>
          <w:szCs w:val="24"/>
        </w:rPr>
        <w:t xml:space="preserve"> područj</w:t>
      </w:r>
      <w:r>
        <w:rPr>
          <w:sz w:val="24"/>
          <w:szCs w:val="24"/>
        </w:rPr>
        <w:t>a</w:t>
      </w:r>
      <w:r w:rsidRPr="00BD1B6F">
        <w:rPr>
          <w:sz w:val="24"/>
          <w:szCs w:val="24"/>
        </w:rPr>
        <w:t xml:space="preserve"> bilježe se negativna demografska, gospodarska i socijalna kretanja</w:t>
      </w:r>
      <w:r>
        <w:rPr>
          <w:sz w:val="24"/>
          <w:szCs w:val="24"/>
        </w:rPr>
        <w:t>, zbog</w:t>
      </w:r>
      <w:r w:rsidRPr="00BD1B6F">
        <w:rPr>
          <w:sz w:val="24"/>
          <w:szCs w:val="24"/>
        </w:rPr>
        <w:t xml:space="preserve"> čega se nastavljaju napori u </w:t>
      </w:r>
      <w:r>
        <w:rPr>
          <w:sz w:val="24"/>
          <w:szCs w:val="24"/>
        </w:rPr>
        <w:t>podršci</w:t>
      </w:r>
      <w:r w:rsidRPr="00BD1B6F">
        <w:rPr>
          <w:sz w:val="24"/>
          <w:szCs w:val="24"/>
        </w:rPr>
        <w:t xml:space="preserve"> </w:t>
      </w:r>
      <w:r>
        <w:rPr>
          <w:sz w:val="24"/>
          <w:szCs w:val="24"/>
        </w:rPr>
        <w:t>u</w:t>
      </w:r>
      <w:r w:rsidRPr="7B325CDC">
        <w:rPr>
          <w:sz w:val="24"/>
          <w:szCs w:val="24"/>
        </w:rPr>
        <w:t>laganj</w:t>
      </w:r>
      <w:r>
        <w:rPr>
          <w:sz w:val="24"/>
          <w:szCs w:val="24"/>
        </w:rPr>
        <w:t>ima</w:t>
      </w:r>
      <w:r w:rsidRPr="00BD1B6F">
        <w:rPr>
          <w:sz w:val="24"/>
          <w:szCs w:val="24"/>
        </w:rPr>
        <w:t xml:space="preserve"> u potpomognuta područja i područja s razvojnim posebnostima, kojima se doprinosi njihovom razvoju u skladu s razvojnim posebnostima i načelima održivog razvoja, uz omogućavanje preduvjeta za razvoj gospodarstva, demografsku revitalizaciju i poboljšanje kvalitete života lokalnog stanovništva. </w:t>
      </w:r>
    </w:p>
    <w:p w14:paraId="04D23105" w14:textId="77777777" w:rsidR="007F4C8D" w:rsidRPr="00BD1B6F" w:rsidRDefault="007F4C8D" w:rsidP="007F4C8D">
      <w:pPr>
        <w:spacing w:before="240" w:line="276" w:lineRule="auto"/>
        <w:jc w:val="both"/>
        <w:rPr>
          <w:sz w:val="24"/>
          <w:szCs w:val="24"/>
        </w:rPr>
      </w:pPr>
      <w:r w:rsidRPr="00BD1B6F">
        <w:rPr>
          <w:sz w:val="24"/>
          <w:szCs w:val="24"/>
        </w:rPr>
        <w:t>S ciljem utvrđivanja konkretnih mjera i projekata za razvoj potpomognutih područja, kao i izvora sredstava za njihovu provedbu, tijekom 2022. donesen</w:t>
      </w:r>
      <w:r w:rsidRPr="00BD1B6F" w:rsidDel="000D39F3">
        <w:rPr>
          <w:sz w:val="24"/>
          <w:szCs w:val="24"/>
        </w:rPr>
        <w:t xml:space="preserve"> </w:t>
      </w:r>
      <w:r>
        <w:rPr>
          <w:sz w:val="24"/>
          <w:szCs w:val="24"/>
        </w:rPr>
        <w:t xml:space="preserve">je </w:t>
      </w:r>
      <w:r w:rsidRPr="00BD1B6F">
        <w:rPr>
          <w:sz w:val="24"/>
          <w:szCs w:val="24"/>
        </w:rPr>
        <w:t>Program održivog društvenog i gospodarskog razvoja potpomognutih područja 2022.</w:t>
      </w:r>
      <w:r>
        <w:rPr>
          <w:sz w:val="24"/>
          <w:szCs w:val="24"/>
        </w:rPr>
        <w:t xml:space="preserve"> </w:t>
      </w:r>
      <w:r w:rsidRPr="00BD1B6F">
        <w:rPr>
          <w:sz w:val="24"/>
          <w:szCs w:val="24"/>
        </w:rPr>
        <w:t>-</w:t>
      </w:r>
      <w:r>
        <w:rPr>
          <w:sz w:val="24"/>
          <w:szCs w:val="24"/>
        </w:rPr>
        <w:t xml:space="preserve"> </w:t>
      </w:r>
      <w:r w:rsidRPr="00BD1B6F">
        <w:rPr>
          <w:sz w:val="24"/>
          <w:szCs w:val="24"/>
        </w:rPr>
        <w:t xml:space="preserve">2025. Svrha donošenja Programa je osigurati sustavno djelovanje kroz provedbu mjera i politika koje će omogućiti demografski i gospodarski oporavak potpomognutih područja, poticanjem rasta i razvoja investicija, poticanjem zadržavanja i povratka raseljenog te poticanjem naseljavanja stanovništva na potpomognuta područja, posebno one dobi i onih zanimanja koji obavljanjem svoje djelatnosti mogu </w:t>
      </w:r>
      <w:r>
        <w:rPr>
          <w:sz w:val="24"/>
          <w:szCs w:val="24"/>
        </w:rPr>
        <w:t>doprinijeti</w:t>
      </w:r>
      <w:r w:rsidRPr="00BD1B6F">
        <w:rPr>
          <w:sz w:val="24"/>
          <w:szCs w:val="24"/>
        </w:rPr>
        <w:t xml:space="preserve"> gospodarskom i društvenom razvoju potpomognutih područja. U okviru Programa utvrđeno je </w:t>
      </w:r>
      <w:r>
        <w:rPr>
          <w:sz w:val="24"/>
          <w:szCs w:val="24"/>
        </w:rPr>
        <w:t>7</w:t>
      </w:r>
      <w:r w:rsidRPr="00BD1B6F">
        <w:rPr>
          <w:sz w:val="24"/>
          <w:szCs w:val="24"/>
        </w:rPr>
        <w:t xml:space="preserve"> skupina poticajnih mjera: gospodarske, socijalne, fiskalne, demografske, mjere stambenog zbrinjavanja, mjere jačanja administrativnih kapaciteta</w:t>
      </w:r>
      <w:r>
        <w:rPr>
          <w:sz w:val="24"/>
          <w:szCs w:val="24"/>
        </w:rPr>
        <w:t xml:space="preserve">, </w:t>
      </w:r>
      <w:r w:rsidRPr="00BD1B6F">
        <w:rPr>
          <w:sz w:val="24"/>
          <w:szCs w:val="24"/>
        </w:rPr>
        <w:t xml:space="preserve"> te mjere za provedbu programa integriranih teritorijalnih ulaganja. Indikativna financijska sredstva za provedbu mjera i projekata predviđenih Programom iznose 126 milijuna eura, a </w:t>
      </w:r>
      <w:r w:rsidRPr="007C3653">
        <w:rPr>
          <w:sz w:val="24"/>
          <w:szCs w:val="24"/>
        </w:rPr>
        <w:t>financirat</w:t>
      </w:r>
      <w:r w:rsidRPr="00BD1B6F">
        <w:rPr>
          <w:sz w:val="24"/>
          <w:szCs w:val="24"/>
        </w:rPr>
        <w:t xml:space="preserve"> će se sredstvima ITP 2021.</w:t>
      </w:r>
      <w:r>
        <w:rPr>
          <w:sz w:val="24"/>
          <w:szCs w:val="24"/>
        </w:rPr>
        <w:t xml:space="preserve"> </w:t>
      </w:r>
      <w:r w:rsidRPr="00BD1B6F">
        <w:rPr>
          <w:sz w:val="24"/>
          <w:szCs w:val="24"/>
        </w:rPr>
        <w:t>-</w:t>
      </w:r>
      <w:r>
        <w:rPr>
          <w:sz w:val="24"/>
          <w:szCs w:val="24"/>
        </w:rPr>
        <w:t xml:space="preserve"> </w:t>
      </w:r>
      <w:r w:rsidRPr="00BD1B6F">
        <w:rPr>
          <w:sz w:val="24"/>
          <w:szCs w:val="24"/>
        </w:rPr>
        <w:t xml:space="preserve">2027., kao i sredstvima Državnog proračuna. </w:t>
      </w:r>
    </w:p>
    <w:p w14:paraId="0EAF3295" w14:textId="77777777" w:rsidR="007F4C8D" w:rsidRPr="00BD1B6F" w:rsidRDefault="007F4C8D" w:rsidP="007F4C8D">
      <w:pPr>
        <w:spacing w:before="240" w:line="276" w:lineRule="auto"/>
        <w:jc w:val="both"/>
      </w:pPr>
      <w:r w:rsidRPr="00BD1B6F">
        <w:rPr>
          <w:sz w:val="24"/>
          <w:szCs w:val="24"/>
        </w:rPr>
        <w:t>Tijekom 2022.</w:t>
      </w:r>
      <w:r>
        <w:rPr>
          <w:sz w:val="24"/>
          <w:szCs w:val="24"/>
        </w:rPr>
        <w:t>,</w:t>
      </w:r>
      <w:r w:rsidRPr="00BD1B6F">
        <w:rPr>
          <w:sz w:val="24"/>
          <w:szCs w:val="24"/>
        </w:rPr>
        <w:t xml:space="preserve"> osim pripreme poziva za nadolazeće </w:t>
      </w:r>
      <w:r>
        <w:rPr>
          <w:sz w:val="24"/>
          <w:szCs w:val="24"/>
        </w:rPr>
        <w:t xml:space="preserve">financijsko </w:t>
      </w:r>
      <w:r w:rsidRPr="00BD1B6F">
        <w:rPr>
          <w:sz w:val="24"/>
          <w:szCs w:val="24"/>
        </w:rPr>
        <w:t xml:space="preserve">razdoblje, nastavljeni su napori na provedbi javnih poziva u okviru nacionalnih programa </w:t>
      </w:r>
      <w:r>
        <w:rPr>
          <w:sz w:val="24"/>
          <w:szCs w:val="24"/>
        </w:rPr>
        <w:t>radi</w:t>
      </w:r>
      <w:r w:rsidRPr="00BD1B6F">
        <w:rPr>
          <w:sz w:val="24"/>
          <w:szCs w:val="24"/>
        </w:rPr>
        <w:t xml:space="preserve"> osiguravanj</w:t>
      </w:r>
      <w:r>
        <w:rPr>
          <w:sz w:val="24"/>
          <w:szCs w:val="24"/>
        </w:rPr>
        <w:t>a</w:t>
      </w:r>
      <w:r w:rsidRPr="00BD1B6F">
        <w:rPr>
          <w:sz w:val="24"/>
          <w:szCs w:val="24"/>
        </w:rPr>
        <w:t xml:space="preserve"> preduvjeta za </w:t>
      </w:r>
      <w:r>
        <w:rPr>
          <w:sz w:val="24"/>
          <w:szCs w:val="24"/>
        </w:rPr>
        <w:t xml:space="preserve">nastavak </w:t>
      </w:r>
      <w:r w:rsidRPr="00BD1B6F">
        <w:rPr>
          <w:sz w:val="24"/>
          <w:szCs w:val="24"/>
        </w:rPr>
        <w:t>gospodarsk</w:t>
      </w:r>
      <w:r>
        <w:rPr>
          <w:sz w:val="24"/>
          <w:szCs w:val="24"/>
        </w:rPr>
        <w:t>e</w:t>
      </w:r>
      <w:r w:rsidRPr="00BD1B6F">
        <w:rPr>
          <w:sz w:val="24"/>
          <w:szCs w:val="24"/>
        </w:rPr>
        <w:t xml:space="preserve"> i socijaln</w:t>
      </w:r>
      <w:r>
        <w:rPr>
          <w:sz w:val="24"/>
          <w:szCs w:val="24"/>
        </w:rPr>
        <w:t>e</w:t>
      </w:r>
      <w:r w:rsidRPr="00BD1B6F">
        <w:rPr>
          <w:sz w:val="24"/>
          <w:szCs w:val="24"/>
        </w:rPr>
        <w:t xml:space="preserve"> revitalizacij</w:t>
      </w:r>
      <w:r>
        <w:rPr>
          <w:sz w:val="24"/>
          <w:szCs w:val="24"/>
        </w:rPr>
        <w:t>e</w:t>
      </w:r>
      <w:r w:rsidRPr="00BD1B6F">
        <w:rPr>
          <w:sz w:val="24"/>
          <w:szCs w:val="24"/>
        </w:rPr>
        <w:t xml:space="preserve">. U 2022. objavljeni </w:t>
      </w:r>
      <w:r>
        <w:rPr>
          <w:sz w:val="24"/>
          <w:szCs w:val="24"/>
        </w:rPr>
        <w:t xml:space="preserve">su </w:t>
      </w:r>
      <w:r w:rsidRPr="00BD1B6F">
        <w:rPr>
          <w:sz w:val="24"/>
          <w:szCs w:val="24"/>
        </w:rPr>
        <w:t xml:space="preserve">javni pozivi u okviru sljedećih nacionalnih programa: Programa održivog </w:t>
      </w:r>
      <w:r w:rsidRPr="00BD1B6F">
        <w:rPr>
          <w:sz w:val="24"/>
          <w:szCs w:val="24"/>
        </w:rPr>
        <w:lastRenderedPageBreak/>
        <w:t>razvoja lokalne zajednice,</w:t>
      </w:r>
      <w:r w:rsidRPr="00BD1B6F">
        <w:rPr>
          <w:color w:val="000000" w:themeColor="text1"/>
          <w:sz w:val="24"/>
          <w:szCs w:val="24"/>
        </w:rPr>
        <w:t xml:space="preserve"> Programa održivog razvoja lokalne zajednice za područje Sisačko-moslavačke županije</w:t>
      </w:r>
      <w:r w:rsidRPr="00BD1B6F">
        <w:rPr>
          <w:sz w:val="24"/>
          <w:szCs w:val="24"/>
        </w:rPr>
        <w:t>,</w:t>
      </w:r>
      <w:r w:rsidRPr="00BD1B6F">
        <w:rPr>
          <w:color w:val="000000" w:themeColor="text1"/>
          <w:sz w:val="24"/>
          <w:szCs w:val="24"/>
        </w:rPr>
        <w:t xml:space="preserve"> Programa za poboljšanje infrastrukture na područjima naseljenim pripadnicima nacionalnih manjina, Programa za unaprjeđenje infrastrukture na područjima naseljenim pripadnicima romske nacionalne manjine,</w:t>
      </w:r>
      <w:r w:rsidRPr="00BD1B6F">
        <w:t xml:space="preserve"> </w:t>
      </w:r>
      <w:r w:rsidRPr="00BD1B6F">
        <w:rPr>
          <w:color w:val="000000" w:themeColor="text1"/>
          <w:sz w:val="24"/>
          <w:szCs w:val="24"/>
        </w:rPr>
        <w:t xml:space="preserve">Programa regionalni razvojni projekti te </w:t>
      </w:r>
      <w:r w:rsidRPr="00BD1B6F">
        <w:rPr>
          <w:sz w:val="24"/>
          <w:szCs w:val="24"/>
        </w:rPr>
        <w:t xml:space="preserve">Programa podrške gospodarskoj revitalizaciji Slavonije, Baranje i Srijema. U okviru javnih poziva provedenih </w:t>
      </w:r>
      <w:r>
        <w:rPr>
          <w:sz w:val="24"/>
          <w:szCs w:val="24"/>
        </w:rPr>
        <w:t>putem</w:t>
      </w:r>
      <w:r w:rsidRPr="00BD1B6F">
        <w:rPr>
          <w:sz w:val="24"/>
          <w:szCs w:val="24"/>
        </w:rPr>
        <w:t xml:space="preserve"> navedenih Programa, </w:t>
      </w:r>
      <w:r>
        <w:rPr>
          <w:sz w:val="24"/>
          <w:szCs w:val="24"/>
        </w:rPr>
        <w:t xml:space="preserve">tijekom 2022. </w:t>
      </w:r>
      <w:r w:rsidRPr="00BD1B6F">
        <w:rPr>
          <w:sz w:val="24"/>
          <w:szCs w:val="24"/>
        </w:rPr>
        <w:t xml:space="preserve">ugovorena </w:t>
      </w:r>
      <w:r>
        <w:rPr>
          <w:sz w:val="24"/>
          <w:szCs w:val="24"/>
        </w:rPr>
        <w:t xml:space="preserve">je </w:t>
      </w:r>
      <w:r w:rsidRPr="00BD1B6F">
        <w:rPr>
          <w:sz w:val="24"/>
          <w:szCs w:val="24"/>
        </w:rPr>
        <w:t xml:space="preserve">dodjela bespovratnih sredstava za provedbu 639 infrastrukturnih projekata ukupne vrijednosti 41,13 milijuna eura. U </w:t>
      </w:r>
      <w:r>
        <w:rPr>
          <w:sz w:val="24"/>
          <w:szCs w:val="24"/>
        </w:rPr>
        <w:t>sklopu</w:t>
      </w:r>
      <w:r w:rsidRPr="00BD1B6F">
        <w:rPr>
          <w:sz w:val="24"/>
          <w:szCs w:val="24"/>
        </w:rPr>
        <w:t xml:space="preserve"> ugovorenih projekata predviđene su investicije u izgradnju, modernizaciju i dogradnju objekata javne namjene iz područja društvene, komunalne, socijalne i prometne te gospodarske infrastrukture, čime se </w:t>
      </w:r>
      <w:r>
        <w:rPr>
          <w:sz w:val="24"/>
          <w:szCs w:val="24"/>
        </w:rPr>
        <w:t>doprinosi</w:t>
      </w:r>
      <w:r w:rsidRPr="00BD1B6F">
        <w:rPr>
          <w:sz w:val="24"/>
          <w:szCs w:val="24"/>
        </w:rPr>
        <w:t xml:space="preserve"> poboljšanju životnih uvjeta, gospodarskom oporavku te jačanju konkurentnosti jedinica lokalne samouprave na potpomognutim područjima.</w:t>
      </w:r>
    </w:p>
    <w:p w14:paraId="72344695" w14:textId="77777777" w:rsidR="007F4C8D" w:rsidRPr="00BD1B6F" w:rsidRDefault="007F4C8D" w:rsidP="007F4C8D">
      <w:pPr>
        <w:spacing w:before="240" w:line="276" w:lineRule="auto"/>
        <w:jc w:val="both"/>
        <w:rPr>
          <w:sz w:val="24"/>
          <w:szCs w:val="24"/>
        </w:rPr>
      </w:pPr>
      <w:r w:rsidRPr="00BD1B6F">
        <w:rPr>
          <w:sz w:val="24"/>
          <w:szCs w:val="24"/>
        </w:rPr>
        <w:t>Također, nastavljeni su napori u okviru Fonda za obnovu i razvoj grada Vukovara</w:t>
      </w:r>
      <w:r>
        <w:rPr>
          <w:sz w:val="24"/>
          <w:szCs w:val="24"/>
        </w:rPr>
        <w:t xml:space="preserve"> </w:t>
      </w:r>
      <w:r w:rsidRPr="00BD1B6F">
        <w:rPr>
          <w:sz w:val="24"/>
          <w:szCs w:val="24"/>
        </w:rPr>
        <w:t xml:space="preserve">na pružanju financijske potpore za institucije, organizacije civilnog društva, poduzetnike i građane u provedbi razvojnih projekata na području Vukovara. Tijekom 2022. u okviru potpora koje osigurava Fond, ugovoreno je sufinanciranje provedbe 104 projekta usmjerena na razvoj gospodarstva i izgradnju prateće infrastrukture. Dodijeljena je potpora za sufinanciranje projekata u iznosu od 9,34 milijuna eura za podržavanje postojećih i otvaranje novih radnih mjesta, razvoja prometne, komunalne i društvene infrastrukture te omogućavanja uvjeta za društveni i gospodarski oporavak Grada Vukovara. </w:t>
      </w:r>
    </w:p>
    <w:p w14:paraId="5A84B4C5" w14:textId="77777777" w:rsidR="007F4C8D" w:rsidRPr="00BD1B6F" w:rsidRDefault="007F4C8D" w:rsidP="007F4C8D">
      <w:pPr>
        <w:spacing w:before="240" w:line="276" w:lineRule="auto"/>
        <w:jc w:val="both"/>
      </w:pPr>
      <w:r w:rsidRPr="00BD1B6F">
        <w:rPr>
          <w:b/>
          <w:bCs/>
          <w:color w:val="000000" w:themeColor="text1"/>
          <w:sz w:val="24"/>
          <w:szCs w:val="24"/>
        </w:rPr>
        <w:t xml:space="preserve">Razvoj pametnih i održivih otoka </w:t>
      </w:r>
    </w:p>
    <w:p w14:paraId="3017BFF6" w14:textId="77777777" w:rsidR="007F4C8D" w:rsidRPr="00BD1B6F" w:rsidRDefault="007F4C8D" w:rsidP="007F4C8D">
      <w:pPr>
        <w:spacing w:before="240" w:line="276" w:lineRule="auto"/>
        <w:jc w:val="both"/>
        <w:rPr>
          <w:sz w:val="24"/>
          <w:szCs w:val="24"/>
        </w:rPr>
      </w:pPr>
      <w:r w:rsidRPr="00BD1B6F">
        <w:rPr>
          <w:sz w:val="24"/>
          <w:szCs w:val="24"/>
        </w:rPr>
        <w:t>Iako su pojedini otoci, odnosno njihova područja, dosegli značajan nivo razvijenosti u odnosu na prethodno razdoblje</w:t>
      </w:r>
      <w:r>
        <w:rPr>
          <w:sz w:val="24"/>
          <w:szCs w:val="24"/>
        </w:rPr>
        <w:t>,</w:t>
      </w:r>
      <w:r w:rsidRPr="00BD1B6F">
        <w:rPr>
          <w:sz w:val="24"/>
          <w:szCs w:val="24"/>
        </w:rPr>
        <w:t xml:space="preserve"> i dalje je potrebno ulagati velike napore u njihov daljnji razvoj kako bi se otočno stanovništvo </w:t>
      </w:r>
      <w:r w:rsidRPr="008115FB">
        <w:rPr>
          <w:sz w:val="24"/>
          <w:szCs w:val="24"/>
        </w:rPr>
        <w:t xml:space="preserve">motiviralo </w:t>
      </w:r>
      <w:r w:rsidRPr="00BD1B6F">
        <w:rPr>
          <w:sz w:val="24"/>
          <w:szCs w:val="24"/>
        </w:rPr>
        <w:t xml:space="preserve">na ostanak na otocima i po mogućnosti povećao broj, naročito mladih i radno sposobnih otočana. Stoga je tijekom 2022., </w:t>
      </w:r>
      <w:r w:rsidRPr="008115FB">
        <w:rPr>
          <w:sz w:val="24"/>
          <w:szCs w:val="24"/>
        </w:rPr>
        <w:t>st</w:t>
      </w:r>
      <w:r w:rsidRPr="00BD1B6F">
        <w:rPr>
          <w:sz w:val="24"/>
          <w:szCs w:val="24"/>
        </w:rPr>
        <w:t xml:space="preserve">varanjem prilika i mogućnosti za jačanje gospodarstva, poboljšanjem životnih uvjeta te poticanjem razvoja gospodarskih aktivnosti i održivog korištenja otočnih resursa, nastavljeno stvaranje preduvjeta za ostanak stanovništva na otocima i njihov održiv razvoj. </w:t>
      </w:r>
    </w:p>
    <w:p w14:paraId="1A2C0468" w14:textId="77777777" w:rsidR="007F4C8D" w:rsidRPr="008115FB" w:rsidRDefault="007F4C8D" w:rsidP="007F4C8D">
      <w:pPr>
        <w:spacing w:before="240" w:line="276" w:lineRule="auto"/>
        <w:jc w:val="both"/>
        <w:rPr>
          <w:sz w:val="24"/>
          <w:szCs w:val="24"/>
        </w:rPr>
      </w:pPr>
      <w:r w:rsidRPr="00BD1B6F">
        <w:rPr>
          <w:sz w:val="24"/>
          <w:szCs w:val="24"/>
        </w:rPr>
        <w:t xml:space="preserve">Radi poboljšanja održivosti i samodostatnosti zajednica na otocima, proveden je javni </w:t>
      </w:r>
      <w:r>
        <w:rPr>
          <w:sz w:val="24"/>
          <w:szCs w:val="24"/>
        </w:rPr>
        <w:t>p</w:t>
      </w:r>
      <w:r w:rsidRPr="00BD1B6F">
        <w:rPr>
          <w:sz w:val="24"/>
          <w:szCs w:val="24"/>
        </w:rPr>
        <w:t xml:space="preserve">oziv u okviru Programa razvoja otoka za 2022. U okviru </w:t>
      </w:r>
      <w:r>
        <w:rPr>
          <w:sz w:val="24"/>
          <w:szCs w:val="24"/>
        </w:rPr>
        <w:t>p</w:t>
      </w:r>
      <w:r w:rsidRPr="00BD1B6F">
        <w:rPr>
          <w:sz w:val="24"/>
          <w:szCs w:val="24"/>
        </w:rPr>
        <w:t xml:space="preserve">oziva </w:t>
      </w:r>
      <w:r>
        <w:rPr>
          <w:sz w:val="24"/>
          <w:szCs w:val="24"/>
        </w:rPr>
        <w:t>sklopljeno</w:t>
      </w:r>
      <w:r w:rsidRPr="00BD1B6F">
        <w:rPr>
          <w:sz w:val="24"/>
          <w:szCs w:val="24"/>
        </w:rPr>
        <w:t xml:space="preserve"> je</w:t>
      </w:r>
      <w:r w:rsidRPr="008115FB">
        <w:rPr>
          <w:sz w:val="24"/>
          <w:szCs w:val="24"/>
        </w:rPr>
        <w:t xml:space="preserve"> 55 </w:t>
      </w:r>
      <w:r w:rsidRPr="00BD1B6F">
        <w:rPr>
          <w:sz w:val="24"/>
          <w:szCs w:val="24"/>
        </w:rPr>
        <w:t xml:space="preserve">ugovora malih infrastrukturnih projekata koji se odnose na izgradnju, rekonstrukciju, obnovu i adaptaciju komunalne, društvene, i poduzetničke infrastrukture, kao i projekata </w:t>
      </w:r>
      <w:r w:rsidRPr="008115FB">
        <w:rPr>
          <w:sz w:val="24"/>
          <w:szCs w:val="24"/>
        </w:rPr>
        <w:t xml:space="preserve">poboljšanja </w:t>
      </w:r>
      <w:r w:rsidRPr="00BD1B6F">
        <w:rPr>
          <w:sz w:val="24"/>
          <w:szCs w:val="24"/>
        </w:rPr>
        <w:t>energetske učinkovitosti, u ukupnoj vrijednosti od 2,4</w:t>
      </w:r>
      <w:r w:rsidRPr="008115FB">
        <w:rPr>
          <w:sz w:val="24"/>
          <w:szCs w:val="24"/>
        </w:rPr>
        <w:t>1</w:t>
      </w:r>
      <w:r w:rsidRPr="00BD1B6F">
        <w:rPr>
          <w:sz w:val="24"/>
          <w:szCs w:val="24"/>
        </w:rPr>
        <w:t xml:space="preserve"> milijun eura.</w:t>
      </w:r>
    </w:p>
    <w:p w14:paraId="25B1BA90" w14:textId="77777777" w:rsidR="007F4C8D" w:rsidRPr="008115FB" w:rsidRDefault="007F4C8D" w:rsidP="007F4C8D">
      <w:pPr>
        <w:spacing w:before="240" w:line="276" w:lineRule="auto"/>
        <w:jc w:val="both"/>
        <w:rPr>
          <w:sz w:val="24"/>
          <w:szCs w:val="24"/>
        </w:rPr>
      </w:pPr>
      <w:r w:rsidRPr="008115FB">
        <w:rPr>
          <w:sz w:val="24"/>
          <w:szCs w:val="24"/>
        </w:rPr>
        <w:lastRenderedPageBreak/>
        <w:t xml:space="preserve">Radi poticanja gospodarskih aktivnosti i očuvanja radnih mjesta na otocima, proveden je </w:t>
      </w:r>
      <w:r>
        <w:rPr>
          <w:sz w:val="24"/>
          <w:szCs w:val="24"/>
        </w:rPr>
        <w:t>p</w:t>
      </w:r>
      <w:r w:rsidRPr="008115FB">
        <w:rPr>
          <w:sz w:val="24"/>
          <w:szCs w:val="24"/>
        </w:rPr>
        <w:t>oziv za dodjelu potpora male vrijednosti gospodarstvenicima koji djelatnost obavljaju na otocima</w:t>
      </w:r>
      <w:r w:rsidRPr="008115FB" w:rsidDel="00090F1A">
        <w:rPr>
          <w:sz w:val="24"/>
          <w:szCs w:val="24"/>
        </w:rPr>
        <w:t xml:space="preserve"> </w:t>
      </w:r>
      <w:r w:rsidRPr="008115FB">
        <w:rPr>
          <w:sz w:val="24"/>
          <w:szCs w:val="24"/>
        </w:rPr>
        <w:t xml:space="preserve">za 2022. Tijekom izvještajnog razdoblja, u okviru </w:t>
      </w:r>
      <w:r>
        <w:rPr>
          <w:sz w:val="24"/>
          <w:szCs w:val="24"/>
        </w:rPr>
        <w:t>p</w:t>
      </w:r>
      <w:r w:rsidRPr="008115FB">
        <w:rPr>
          <w:sz w:val="24"/>
          <w:szCs w:val="24"/>
        </w:rPr>
        <w:t xml:space="preserve">oziva odobreno je korištenje potpore male vrijednosti za 505 otočnih poslodavaca za što je izdvojeno ukupno 1,09 milijuna eura. </w:t>
      </w:r>
    </w:p>
    <w:p w14:paraId="2E4EE34E" w14:textId="77777777" w:rsidR="007F4C8D" w:rsidRPr="00FD2238" w:rsidRDefault="007F4C8D" w:rsidP="007F4C8D">
      <w:pPr>
        <w:spacing w:before="240" w:line="276" w:lineRule="auto"/>
        <w:jc w:val="both"/>
        <w:rPr>
          <w:sz w:val="24"/>
          <w:szCs w:val="24"/>
        </w:rPr>
      </w:pPr>
      <w:r w:rsidRPr="008115FB">
        <w:rPr>
          <w:sz w:val="24"/>
          <w:szCs w:val="24"/>
        </w:rPr>
        <w:t xml:space="preserve">Nadalje, </w:t>
      </w:r>
      <w:r w:rsidRPr="00FD2238">
        <w:rPr>
          <w:sz w:val="24"/>
          <w:szCs w:val="24"/>
        </w:rPr>
        <w:t>proveden</w:t>
      </w:r>
      <w:r w:rsidRPr="008115FB">
        <w:rPr>
          <w:sz w:val="24"/>
          <w:szCs w:val="24"/>
        </w:rPr>
        <w:t xml:space="preserve"> </w:t>
      </w:r>
      <w:r>
        <w:rPr>
          <w:sz w:val="24"/>
          <w:szCs w:val="24"/>
        </w:rPr>
        <w:t>je j</w:t>
      </w:r>
      <w:r w:rsidRPr="00FD2238">
        <w:rPr>
          <w:sz w:val="24"/>
          <w:szCs w:val="24"/>
        </w:rPr>
        <w:t>avni poziv za prijavu projekata poticanja razvoja civilnog društva na otocima</w:t>
      </w:r>
      <w:r w:rsidRPr="00BD1B6F">
        <w:rPr>
          <w:sz w:val="24"/>
          <w:szCs w:val="24"/>
        </w:rPr>
        <w:t xml:space="preserve">. </w:t>
      </w:r>
      <w:r>
        <w:rPr>
          <w:sz w:val="24"/>
          <w:szCs w:val="24"/>
        </w:rPr>
        <w:t>Z</w:t>
      </w:r>
      <w:r w:rsidRPr="00FD2238">
        <w:rPr>
          <w:sz w:val="24"/>
          <w:szCs w:val="24"/>
        </w:rPr>
        <w:t xml:space="preserve">a provedbu 35 projekata </w:t>
      </w:r>
      <w:r w:rsidRPr="00BD1B6F">
        <w:rPr>
          <w:sz w:val="24"/>
          <w:szCs w:val="24"/>
        </w:rPr>
        <w:t xml:space="preserve">organizacija civilnog društva </w:t>
      </w:r>
      <w:r w:rsidRPr="00FD2238">
        <w:rPr>
          <w:sz w:val="24"/>
          <w:szCs w:val="24"/>
        </w:rPr>
        <w:t xml:space="preserve">dodijeljena </w:t>
      </w:r>
      <w:r w:rsidRPr="00BD1B6F">
        <w:rPr>
          <w:sz w:val="24"/>
          <w:szCs w:val="24"/>
        </w:rPr>
        <w:t xml:space="preserve">je </w:t>
      </w:r>
      <w:r w:rsidRPr="00FD2238">
        <w:rPr>
          <w:sz w:val="24"/>
          <w:szCs w:val="24"/>
        </w:rPr>
        <w:t>financijska po</w:t>
      </w:r>
      <w:r w:rsidRPr="00BD1B6F">
        <w:rPr>
          <w:sz w:val="24"/>
          <w:szCs w:val="24"/>
        </w:rPr>
        <w:t>tpora</w:t>
      </w:r>
      <w:r w:rsidRPr="00FD2238">
        <w:rPr>
          <w:sz w:val="24"/>
          <w:szCs w:val="24"/>
        </w:rPr>
        <w:t xml:space="preserve"> u iznosu od 99.542 eura</w:t>
      </w:r>
      <w:r w:rsidRPr="00BD1B6F">
        <w:rPr>
          <w:sz w:val="24"/>
          <w:szCs w:val="24"/>
        </w:rPr>
        <w:t>, s ciljem</w:t>
      </w:r>
      <w:r w:rsidRPr="00FD2238">
        <w:rPr>
          <w:sz w:val="24"/>
          <w:szCs w:val="24"/>
        </w:rPr>
        <w:t xml:space="preserve"> poti</w:t>
      </w:r>
      <w:r w:rsidRPr="00BD1B6F">
        <w:rPr>
          <w:sz w:val="24"/>
          <w:szCs w:val="24"/>
        </w:rPr>
        <w:t>canja</w:t>
      </w:r>
      <w:r w:rsidRPr="00FD2238">
        <w:rPr>
          <w:sz w:val="24"/>
          <w:szCs w:val="24"/>
        </w:rPr>
        <w:t xml:space="preserve"> razvoj</w:t>
      </w:r>
      <w:r w:rsidRPr="00BD1B6F">
        <w:rPr>
          <w:sz w:val="24"/>
          <w:szCs w:val="24"/>
        </w:rPr>
        <w:t>a</w:t>
      </w:r>
      <w:r w:rsidRPr="00FD2238">
        <w:rPr>
          <w:sz w:val="24"/>
          <w:szCs w:val="24"/>
        </w:rPr>
        <w:t xml:space="preserve"> i jača</w:t>
      </w:r>
      <w:r w:rsidRPr="00BD1B6F">
        <w:rPr>
          <w:sz w:val="24"/>
          <w:szCs w:val="24"/>
        </w:rPr>
        <w:t>nja</w:t>
      </w:r>
      <w:r w:rsidRPr="00FD2238">
        <w:rPr>
          <w:sz w:val="24"/>
          <w:szCs w:val="24"/>
        </w:rPr>
        <w:t xml:space="preserve"> kapacitet</w:t>
      </w:r>
      <w:r w:rsidRPr="00BD1B6F">
        <w:rPr>
          <w:sz w:val="24"/>
          <w:szCs w:val="24"/>
        </w:rPr>
        <w:t>a</w:t>
      </w:r>
      <w:r w:rsidRPr="00FD2238">
        <w:rPr>
          <w:sz w:val="24"/>
          <w:szCs w:val="24"/>
        </w:rPr>
        <w:t xml:space="preserve"> organizacija civilnog društva na otocima te podržava</w:t>
      </w:r>
      <w:r w:rsidRPr="00BD1B6F">
        <w:rPr>
          <w:sz w:val="24"/>
          <w:szCs w:val="24"/>
        </w:rPr>
        <w:t>nja</w:t>
      </w:r>
      <w:r w:rsidRPr="00FD2238">
        <w:rPr>
          <w:sz w:val="24"/>
          <w:szCs w:val="24"/>
        </w:rPr>
        <w:t xml:space="preserve"> njihovo</w:t>
      </w:r>
      <w:r w:rsidRPr="00BD1B6F">
        <w:rPr>
          <w:sz w:val="24"/>
          <w:szCs w:val="24"/>
        </w:rPr>
        <w:t>g</w:t>
      </w:r>
      <w:r w:rsidRPr="00FD2238">
        <w:rPr>
          <w:sz w:val="24"/>
          <w:szCs w:val="24"/>
        </w:rPr>
        <w:t xml:space="preserve"> umrežavanj</w:t>
      </w:r>
      <w:r w:rsidRPr="00BD1B6F">
        <w:rPr>
          <w:sz w:val="24"/>
          <w:szCs w:val="24"/>
        </w:rPr>
        <w:t>a u</w:t>
      </w:r>
      <w:r w:rsidRPr="00FD2238">
        <w:rPr>
          <w:sz w:val="24"/>
          <w:szCs w:val="24"/>
        </w:rPr>
        <w:t xml:space="preserve"> područj</w:t>
      </w:r>
      <w:r w:rsidRPr="00BD1B6F">
        <w:rPr>
          <w:sz w:val="24"/>
          <w:szCs w:val="24"/>
        </w:rPr>
        <w:t>u</w:t>
      </w:r>
      <w:r w:rsidRPr="00FD2238">
        <w:rPr>
          <w:sz w:val="24"/>
          <w:szCs w:val="24"/>
        </w:rPr>
        <w:t xml:space="preserve"> očuvanj</w:t>
      </w:r>
      <w:r w:rsidRPr="00BD1B6F">
        <w:rPr>
          <w:sz w:val="24"/>
          <w:szCs w:val="24"/>
        </w:rPr>
        <w:t>a</w:t>
      </w:r>
      <w:r w:rsidRPr="00FD2238">
        <w:rPr>
          <w:sz w:val="24"/>
          <w:szCs w:val="24"/>
        </w:rPr>
        <w:t xml:space="preserve"> prirodne i kulturne baštine otoka, jačanja obrazovnih kapaciteta i provedbe sportskih aktivnosti, pružanja i jačanja socijalne i zdravstvene skrbi</w:t>
      </w:r>
      <w:r w:rsidRPr="00BD1B6F">
        <w:rPr>
          <w:sz w:val="24"/>
          <w:szCs w:val="24"/>
        </w:rPr>
        <w:t xml:space="preserve"> te</w:t>
      </w:r>
      <w:r w:rsidRPr="008115FB">
        <w:rPr>
          <w:sz w:val="24"/>
          <w:szCs w:val="24"/>
        </w:rPr>
        <w:t xml:space="preserve"> </w:t>
      </w:r>
      <w:r w:rsidRPr="00FD2238">
        <w:rPr>
          <w:sz w:val="24"/>
          <w:szCs w:val="24"/>
        </w:rPr>
        <w:t>postizanja uključivog i održivog gospodarskog razvoja.</w:t>
      </w:r>
    </w:p>
    <w:p w14:paraId="2372FBA2" w14:textId="77777777" w:rsidR="007F4C8D" w:rsidRPr="00BD1B6F" w:rsidRDefault="007F4C8D" w:rsidP="007F4C8D">
      <w:pPr>
        <w:spacing w:before="240" w:line="276" w:lineRule="auto"/>
        <w:jc w:val="both"/>
        <w:rPr>
          <w:sz w:val="24"/>
          <w:szCs w:val="24"/>
        </w:rPr>
      </w:pPr>
      <w:r w:rsidRPr="00BD1B6F">
        <w:rPr>
          <w:sz w:val="24"/>
          <w:szCs w:val="24"/>
        </w:rPr>
        <w:t xml:space="preserve">Radi poticanja proizvodnje i plasmana te promocije izvornih i inovativnih otočnih proizvoda, proveden je </w:t>
      </w:r>
      <w:r>
        <w:rPr>
          <w:sz w:val="24"/>
          <w:szCs w:val="24"/>
        </w:rPr>
        <w:t>j</w:t>
      </w:r>
      <w:r w:rsidRPr="00BD1B6F">
        <w:rPr>
          <w:sz w:val="24"/>
          <w:szCs w:val="24"/>
        </w:rPr>
        <w:t xml:space="preserve">avni poziv za dodjelu prava korištenja oznake </w:t>
      </w:r>
      <w:r>
        <w:rPr>
          <w:sz w:val="24"/>
          <w:szCs w:val="24"/>
        </w:rPr>
        <w:t>„</w:t>
      </w:r>
      <w:r w:rsidRPr="00BD1B6F">
        <w:rPr>
          <w:sz w:val="24"/>
          <w:szCs w:val="24"/>
        </w:rPr>
        <w:t>Hrvatski otočni proizvod</w:t>
      </w:r>
      <w:r>
        <w:rPr>
          <w:sz w:val="24"/>
          <w:szCs w:val="24"/>
        </w:rPr>
        <w:t>“</w:t>
      </w:r>
      <w:r w:rsidRPr="00BD1B6F">
        <w:rPr>
          <w:sz w:val="24"/>
          <w:szCs w:val="24"/>
        </w:rPr>
        <w:t xml:space="preserve"> za 2022. Dodjelom </w:t>
      </w:r>
      <w:r>
        <w:rPr>
          <w:sz w:val="24"/>
          <w:szCs w:val="24"/>
        </w:rPr>
        <w:t xml:space="preserve">ove </w:t>
      </w:r>
      <w:r w:rsidRPr="00C17DBC">
        <w:rPr>
          <w:sz w:val="24"/>
          <w:szCs w:val="24"/>
        </w:rPr>
        <w:t>oznake</w:t>
      </w:r>
      <w:r w:rsidRPr="00BD1B6F">
        <w:rPr>
          <w:sz w:val="24"/>
          <w:szCs w:val="24"/>
        </w:rPr>
        <w:t xml:space="preserve"> potiče se očuvanje izvornih otočnih proizvoda dobivenih iz otočnih sirovina, afirmira se tradicionalna proizvodnja i daje se poticaj samozapošljavanju, kreativnom i inovativnom poduzetništvu te zaštiti otočnog okoliša. Temeljem provedenog </w:t>
      </w:r>
      <w:r>
        <w:rPr>
          <w:sz w:val="24"/>
          <w:szCs w:val="24"/>
        </w:rPr>
        <w:t>p</w:t>
      </w:r>
      <w:r w:rsidRPr="00BD1B6F">
        <w:rPr>
          <w:sz w:val="24"/>
          <w:szCs w:val="24"/>
        </w:rPr>
        <w:t>oziva, pravo korištenja oznake „Hrvatski otočni proizvod“ dobilo je 14 otočnih subjekata (proizvođača) za 21 proizvod. Dosad je ova oznaka dodijeljena 351 otočnom subjektu za 1.265 proizvoda s 26 otoka i poluotoka Pelješca.</w:t>
      </w:r>
    </w:p>
    <w:p w14:paraId="0D2C3698" w14:textId="77777777" w:rsidR="007F4C8D" w:rsidRPr="00BD1B6F" w:rsidRDefault="007F4C8D" w:rsidP="007F4C8D">
      <w:pPr>
        <w:spacing w:before="240" w:line="276" w:lineRule="auto"/>
        <w:jc w:val="both"/>
        <w:rPr>
          <w:sz w:val="24"/>
          <w:szCs w:val="24"/>
        </w:rPr>
      </w:pPr>
      <w:r w:rsidRPr="00BD1B6F">
        <w:rPr>
          <w:sz w:val="24"/>
          <w:szCs w:val="24"/>
        </w:rPr>
        <w:t xml:space="preserve">Radi poboljšanja uvjeta života stanovništva i poslovanja gospodarstvenika u naseljima/dijelovima otočnih naselja koji nisu priključeni na sustav javne vodoopskrbe, nastavljeno je sufinanciranje troškova prijevoza i opskrbe stanovnika na otocima koji nisu priključeni </w:t>
      </w:r>
      <w:r>
        <w:rPr>
          <w:sz w:val="24"/>
          <w:szCs w:val="24"/>
        </w:rPr>
        <w:t xml:space="preserve">na </w:t>
      </w:r>
      <w:r w:rsidRPr="00BD1B6F">
        <w:rPr>
          <w:sz w:val="24"/>
          <w:szCs w:val="24"/>
        </w:rPr>
        <w:t xml:space="preserve">sustav javne vodoopskrbe zdravstveno ispravnom vodom za ljudsku potrošnju. Tijekom 2022. sufinanciranje troškova prijevoza vode bilo </w:t>
      </w:r>
      <w:r>
        <w:rPr>
          <w:sz w:val="24"/>
          <w:szCs w:val="24"/>
        </w:rPr>
        <w:t xml:space="preserve">je </w:t>
      </w:r>
      <w:r w:rsidRPr="00BD1B6F">
        <w:rPr>
          <w:sz w:val="24"/>
          <w:szCs w:val="24"/>
        </w:rPr>
        <w:t xml:space="preserve">omogućeno za stanovnike na 28 otoka, za što je izdvojeno ukupno 2,44 milijuna eura. </w:t>
      </w:r>
    </w:p>
    <w:p w14:paraId="7437164B" w14:textId="77777777" w:rsidR="007F4C8D" w:rsidRPr="00BD1B6F" w:rsidRDefault="007F4C8D" w:rsidP="007F4C8D">
      <w:pPr>
        <w:spacing w:before="240" w:line="276" w:lineRule="auto"/>
        <w:jc w:val="both"/>
        <w:rPr>
          <w:sz w:val="24"/>
          <w:szCs w:val="24"/>
        </w:rPr>
      </w:pPr>
      <w:r w:rsidRPr="00BD1B6F">
        <w:rPr>
          <w:sz w:val="24"/>
          <w:szCs w:val="24"/>
        </w:rPr>
        <w:t xml:space="preserve">Otočne specifičnosti prepoznate </w:t>
      </w:r>
      <w:r>
        <w:rPr>
          <w:sz w:val="24"/>
          <w:szCs w:val="24"/>
        </w:rPr>
        <w:t xml:space="preserve">su </w:t>
      </w:r>
      <w:r w:rsidRPr="00BD1B6F">
        <w:rPr>
          <w:sz w:val="24"/>
          <w:szCs w:val="24"/>
        </w:rPr>
        <w:t>i dodatno naglašene u Višegodišnjem financijskom okviru Europske unije za razdoblje od 2021. do 2027. u kojem je</w:t>
      </w:r>
      <w:r>
        <w:rPr>
          <w:sz w:val="24"/>
          <w:szCs w:val="24"/>
        </w:rPr>
        <w:t>,</w:t>
      </w:r>
      <w:r w:rsidRPr="00BD1B6F">
        <w:rPr>
          <w:sz w:val="24"/>
          <w:szCs w:val="24"/>
        </w:rPr>
        <w:t xml:space="preserve"> za provedbu ciljanih intervencija na otocima i korištenje sredstava EU</w:t>
      </w:r>
      <w:r>
        <w:rPr>
          <w:sz w:val="24"/>
          <w:szCs w:val="24"/>
        </w:rPr>
        <w:t>-a</w:t>
      </w:r>
      <w:r w:rsidRPr="00BD1B6F">
        <w:rPr>
          <w:sz w:val="24"/>
          <w:szCs w:val="24"/>
        </w:rPr>
        <w:t xml:space="preserve"> namijenjenih isključivo otočnim razvojnim projektima, u okviru </w:t>
      </w:r>
      <w:r w:rsidRPr="6E43F78E">
        <w:rPr>
          <w:sz w:val="24"/>
          <w:szCs w:val="24"/>
        </w:rPr>
        <w:t>I</w:t>
      </w:r>
      <w:r>
        <w:rPr>
          <w:sz w:val="24"/>
          <w:szCs w:val="24"/>
        </w:rPr>
        <w:t xml:space="preserve">TP-a </w:t>
      </w:r>
      <w:r w:rsidRPr="6E43F78E">
        <w:rPr>
          <w:sz w:val="24"/>
          <w:szCs w:val="24"/>
        </w:rPr>
        <w:t>2021.</w:t>
      </w:r>
      <w:r>
        <w:rPr>
          <w:sz w:val="24"/>
          <w:szCs w:val="24"/>
        </w:rPr>
        <w:t xml:space="preserve"> - </w:t>
      </w:r>
      <w:r w:rsidRPr="00BD1B6F">
        <w:rPr>
          <w:sz w:val="24"/>
          <w:szCs w:val="24"/>
        </w:rPr>
        <w:t>2027</w:t>
      </w:r>
      <w:r w:rsidRPr="6E43F78E">
        <w:rPr>
          <w:sz w:val="24"/>
          <w:szCs w:val="24"/>
        </w:rPr>
        <w:t>.</w:t>
      </w:r>
      <w:r w:rsidRPr="00BD1B6F">
        <w:rPr>
          <w:sz w:val="24"/>
          <w:szCs w:val="24"/>
        </w:rPr>
        <w:t xml:space="preserve"> osigurano 150 milijuna eura. Ovime su otoci dobili dodatnu mogućnost financiranja otočnih projekata lokalnog i regionalnog značaja pored onih mogućnosti koje imaju i iz drugih programa financiranih sredstvima EU</w:t>
      </w:r>
      <w:r>
        <w:rPr>
          <w:sz w:val="24"/>
          <w:szCs w:val="24"/>
        </w:rPr>
        <w:t>-a</w:t>
      </w:r>
      <w:r w:rsidRPr="00BD1B6F">
        <w:rPr>
          <w:sz w:val="24"/>
          <w:szCs w:val="24"/>
        </w:rPr>
        <w:t>, kao i iz nacionalnih izvora putem mjera i programa koje se provode u okviru Zakona o otocima. Operacije namijenjene otocima unutar ITP-a utvrđene su na način da pokrivaju specifične potrebe otoka u području druš</w:t>
      </w:r>
      <w:r w:rsidRPr="00BD1B6F">
        <w:rPr>
          <w:sz w:val="24"/>
          <w:szCs w:val="24"/>
        </w:rPr>
        <w:lastRenderedPageBreak/>
        <w:t>tvene, javne i poslovne infrastrukture, zaštite okoliša, prilagodbe klimatskim promjenama, valorizacije kulturne baštine i usluga, poticanja energetske učinkovitosti i korištenja obnovljivih izvora energije. Tijekom 2022. pokrenute su aktivnosti obalno-otočnih županija na izradi županijskih teritorijalnih strategija za razvoj otoka</w:t>
      </w:r>
      <w:r w:rsidRPr="00BD1B6F">
        <w:rPr>
          <w:rFonts w:ascii="Calibri" w:eastAsia="Calibri" w:hAnsi="Calibri" w:cs="Calibri"/>
        </w:rPr>
        <w:t xml:space="preserve">, </w:t>
      </w:r>
      <w:r w:rsidRPr="00BD1B6F">
        <w:rPr>
          <w:sz w:val="24"/>
          <w:szCs w:val="24"/>
        </w:rPr>
        <w:t xml:space="preserve">glavnih preduvjeta za korištenje sredstava u okviru ITP-a na otocima, te se njihovo </w:t>
      </w:r>
      <w:r w:rsidRPr="007C679E">
        <w:rPr>
          <w:sz w:val="24"/>
          <w:szCs w:val="24"/>
        </w:rPr>
        <w:t xml:space="preserve">usvajanje </w:t>
      </w:r>
      <w:r w:rsidRPr="00BD1B6F">
        <w:rPr>
          <w:sz w:val="24"/>
          <w:szCs w:val="24"/>
        </w:rPr>
        <w:t xml:space="preserve">očekuje </w:t>
      </w:r>
      <w:r w:rsidRPr="007C679E">
        <w:rPr>
          <w:sz w:val="24"/>
          <w:szCs w:val="24"/>
        </w:rPr>
        <w:t>u narednom razdoblju</w:t>
      </w:r>
      <w:r w:rsidRPr="00BD1B6F">
        <w:rPr>
          <w:sz w:val="24"/>
          <w:szCs w:val="24"/>
        </w:rPr>
        <w:t xml:space="preserve"> </w:t>
      </w:r>
    </w:p>
    <w:p w14:paraId="005F3A7B" w14:textId="77777777" w:rsidR="007F4C8D" w:rsidRPr="00BD1B6F" w:rsidRDefault="007F4C8D" w:rsidP="007F4C8D">
      <w:pPr>
        <w:spacing w:before="240" w:line="276" w:lineRule="auto"/>
        <w:jc w:val="both"/>
        <w:rPr>
          <w:sz w:val="24"/>
          <w:szCs w:val="24"/>
        </w:rPr>
      </w:pPr>
      <w:r w:rsidRPr="00BD1B6F">
        <w:rPr>
          <w:sz w:val="24"/>
          <w:szCs w:val="24"/>
        </w:rPr>
        <w:t>Prema podacima za 2022</w:t>
      </w:r>
      <w:r>
        <w:rPr>
          <w:sz w:val="24"/>
          <w:szCs w:val="24"/>
        </w:rPr>
        <w:t>.,</w:t>
      </w:r>
      <w:r w:rsidRPr="00BD1B6F">
        <w:rPr>
          <w:sz w:val="24"/>
          <w:szCs w:val="24"/>
        </w:rPr>
        <w:t xml:space="preserve"> broj gospodars</w:t>
      </w:r>
      <w:r>
        <w:rPr>
          <w:sz w:val="24"/>
          <w:szCs w:val="24"/>
        </w:rPr>
        <w:t>kih</w:t>
      </w:r>
      <w:r w:rsidRPr="00BD1B6F">
        <w:rPr>
          <w:sz w:val="24"/>
          <w:szCs w:val="24"/>
        </w:rPr>
        <w:t xml:space="preserve"> subjekata koji obavljaju djelatnost na otocima iznosio je 5.480 i bio je veći za 4,4% u odnosu na 2021. </w:t>
      </w:r>
      <w:r>
        <w:rPr>
          <w:sz w:val="24"/>
          <w:szCs w:val="24"/>
        </w:rPr>
        <w:t>P</w:t>
      </w:r>
      <w:r w:rsidRPr="00BD1B6F">
        <w:rPr>
          <w:sz w:val="24"/>
          <w:szCs w:val="24"/>
        </w:rPr>
        <w:t xml:space="preserve">rihodi otočnih gospodarstvenika iznosili su u 2022. ukupno 2,146 milijardi eura, </w:t>
      </w:r>
      <w:r>
        <w:rPr>
          <w:sz w:val="24"/>
          <w:szCs w:val="24"/>
        </w:rPr>
        <w:t xml:space="preserve">odnosno </w:t>
      </w:r>
      <w:r w:rsidRPr="00BD1B6F">
        <w:rPr>
          <w:sz w:val="24"/>
          <w:szCs w:val="24"/>
        </w:rPr>
        <w:t xml:space="preserve">27,64% </w:t>
      </w:r>
      <w:r>
        <w:rPr>
          <w:sz w:val="24"/>
          <w:szCs w:val="24"/>
        </w:rPr>
        <w:t>više</w:t>
      </w:r>
      <w:r w:rsidRPr="00BD1B6F">
        <w:rPr>
          <w:sz w:val="24"/>
          <w:szCs w:val="24"/>
        </w:rPr>
        <w:t xml:space="preserve"> u odnosu na 2021. Zaposlenost </w:t>
      </w:r>
      <w:r w:rsidRPr="008115FB">
        <w:rPr>
          <w:sz w:val="24"/>
          <w:szCs w:val="24"/>
        </w:rPr>
        <w:t xml:space="preserve">u trgovačkim društvima sa sjedištem </w:t>
      </w:r>
      <w:r w:rsidRPr="00BD1B6F">
        <w:rPr>
          <w:sz w:val="24"/>
          <w:szCs w:val="24"/>
        </w:rPr>
        <w:t>na otocima je u 2022. bila najveća dosad zabilježena</w:t>
      </w:r>
      <w:r w:rsidRPr="008115FB">
        <w:rPr>
          <w:sz w:val="24"/>
          <w:szCs w:val="24"/>
        </w:rPr>
        <w:t>,</w:t>
      </w:r>
      <w:r w:rsidRPr="00BD1B6F">
        <w:rPr>
          <w:sz w:val="24"/>
          <w:szCs w:val="24"/>
        </w:rPr>
        <w:t xml:space="preserve"> a iznosila je 25.729 zaposlenih, </w:t>
      </w:r>
      <w:r>
        <w:rPr>
          <w:sz w:val="24"/>
          <w:szCs w:val="24"/>
        </w:rPr>
        <w:t xml:space="preserve">odnosno </w:t>
      </w:r>
      <w:r w:rsidRPr="00BD1B6F">
        <w:rPr>
          <w:sz w:val="24"/>
          <w:szCs w:val="24"/>
        </w:rPr>
        <w:t xml:space="preserve">11,7% više u odnosu na 2021. Prosječna mjesečna neto plaća na otocima u 2022. porasla </w:t>
      </w:r>
      <w:r>
        <w:rPr>
          <w:sz w:val="24"/>
          <w:szCs w:val="24"/>
        </w:rPr>
        <w:t xml:space="preserve">je </w:t>
      </w:r>
      <w:r w:rsidRPr="00BD1B6F">
        <w:rPr>
          <w:sz w:val="24"/>
          <w:szCs w:val="24"/>
        </w:rPr>
        <w:t xml:space="preserve">na 812,53 eura </w:t>
      </w:r>
      <w:r w:rsidRPr="008115FB">
        <w:rPr>
          <w:sz w:val="24"/>
          <w:szCs w:val="24"/>
        </w:rPr>
        <w:t>(</w:t>
      </w:r>
      <w:r w:rsidRPr="00BD1B6F">
        <w:rPr>
          <w:sz w:val="24"/>
          <w:szCs w:val="24"/>
        </w:rPr>
        <w:t>9,2% veća nego 2021</w:t>
      </w:r>
      <w:r w:rsidRPr="00BB13C1">
        <w:rPr>
          <w:sz w:val="24"/>
          <w:szCs w:val="24"/>
        </w:rPr>
        <w:t>.</w:t>
      </w:r>
      <w:r>
        <w:rPr>
          <w:sz w:val="24"/>
          <w:szCs w:val="24"/>
        </w:rPr>
        <w:t>),</w:t>
      </w:r>
      <w:r w:rsidRPr="00BD1B6F">
        <w:rPr>
          <w:sz w:val="24"/>
          <w:szCs w:val="24"/>
        </w:rPr>
        <w:t xml:space="preserve"> ali</w:t>
      </w:r>
      <w:r w:rsidRPr="008115FB">
        <w:rPr>
          <w:sz w:val="24"/>
          <w:szCs w:val="24"/>
        </w:rPr>
        <w:t xml:space="preserve"> je</w:t>
      </w:r>
      <w:r w:rsidRPr="00BD1B6F">
        <w:rPr>
          <w:sz w:val="24"/>
          <w:szCs w:val="24"/>
        </w:rPr>
        <w:t xml:space="preserve"> i dalje 25% niža od prosječne neto plaće u Hrvatskoj (1.015,73 eura). Prema </w:t>
      </w:r>
      <w:r w:rsidRPr="008115FB">
        <w:rPr>
          <w:sz w:val="24"/>
          <w:szCs w:val="24"/>
        </w:rPr>
        <w:t>konačnim rezultatima Popisa stanovništva, kućanstava i stanova u Republici Hrvatskoj</w:t>
      </w:r>
      <w:r w:rsidRPr="008115FB" w:rsidDel="00983BCC">
        <w:rPr>
          <w:sz w:val="24"/>
          <w:szCs w:val="24"/>
        </w:rPr>
        <w:t xml:space="preserve"> </w:t>
      </w:r>
      <w:r>
        <w:rPr>
          <w:sz w:val="24"/>
          <w:szCs w:val="24"/>
        </w:rPr>
        <w:t>iz</w:t>
      </w:r>
      <w:r w:rsidRPr="00BD1B6F">
        <w:rPr>
          <w:sz w:val="24"/>
          <w:szCs w:val="24"/>
        </w:rPr>
        <w:t xml:space="preserve"> 2021</w:t>
      </w:r>
      <w:r>
        <w:rPr>
          <w:sz w:val="24"/>
          <w:szCs w:val="24"/>
        </w:rPr>
        <w:t>.,</w:t>
      </w:r>
      <w:r w:rsidRPr="00BD1B6F">
        <w:rPr>
          <w:sz w:val="24"/>
          <w:szCs w:val="24"/>
        </w:rPr>
        <w:t xml:space="preserve"> na 53 naseljena otoka živi ukupno 127.838 stanovnika, što u odnosu na podatke iz </w:t>
      </w:r>
      <w:r w:rsidRPr="008115FB">
        <w:rPr>
          <w:sz w:val="24"/>
          <w:szCs w:val="24"/>
        </w:rPr>
        <w:t xml:space="preserve">Popisa provedenog </w:t>
      </w:r>
      <w:r w:rsidRPr="00BD1B6F">
        <w:rPr>
          <w:sz w:val="24"/>
          <w:szCs w:val="24"/>
        </w:rPr>
        <w:t>2011. predstavlja smanjenje od</w:t>
      </w:r>
      <w:r w:rsidRPr="008115FB">
        <w:rPr>
          <w:sz w:val="24"/>
          <w:szCs w:val="24"/>
        </w:rPr>
        <w:t xml:space="preserve"> 3,7% (</w:t>
      </w:r>
      <w:r w:rsidRPr="00BD1B6F">
        <w:rPr>
          <w:sz w:val="24"/>
          <w:szCs w:val="24"/>
        </w:rPr>
        <w:t>4.918 stanovnika</w:t>
      </w:r>
      <w:r w:rsidRPr="008115FB">
        <w:rPr>
          <w:sz w:val="24"/>
          <w:szCs w:val="24"/>
        </w:rPr>
        <w:t xml:space="preserve"> manje),</w:t>
      </w:r>
      <w:r w:rsidRPr="00BD1B6F">
        <w:rPr>
          <w:sz w:val="24"/>
          <w:szCs w:val="24"/>
        </w:rPr>
        <w:t xml:space="preserve"> no značajno je manje od pada stanovništva koji je zabilježen na nacionalnoj razini (9,64%). Navedeni podaci pokazuju kako se provedbom politika prilagođenih otocima, odnosno </w:t>
      </w:r>
      <w:r>
        <w:rPr>
          <w:sz w:val="24"/>
          <w:szCs w:val="24"/>
        </w:rPr>
        <w:t>s</w:t>
      </w:r>
      <w:r w:rsidRPr="00BD1B6F">
        <w:rPr>
          <w:sz w:val="24"/>
          <w:szCs w:val="24"/>
        </w:rPr>
        <w:t>tvaranjem prilika i mogućnosti za jačanje gospodarstva, poboljšanjem životnih uvjeta te poticanjem razvoja gospodarskih aktivnosti i održivog korištenja otočnih resursa, mogu umanjiti negativni demografski trendovi te o</w:t>
      </w:r>
      <w:r w:rsidRPr="008115FB">
        <w:rPr>
          <w:sz w:val="24"/>
          <w:szCs w:val="24"/>
        </w:rPr>
        <w:t>mogućiti</w:t>
      </w:r>
      <w:r w:rsidRPr="00BD1B6F">
        <w:rPr>
          <w:sz w:val="24"/>
          <w:szCs w:val="24"/>
        </w:rPr>
        <w:t xml:space="preserve"> uvjet</w:t>
      </w:r>
      <w:r w:rsidRPr="008115FB">
        <w:rPr>
          <w:sz w:val="24"/>
          <w:szCs w:val="24"/>
        </w:rPr>
        <w:t>i</w:t>
      </w:r>
      <w:r w:rsidRPr="00BD1B6F">
        <w:rPr>
          <w:sz w:val="24"/>
          <w:szCs w:val="24"/>
        </w:rPr>
        <w:t xml:space="preserve"> za ostanak stanovništva na otocima i osigurati njihov održiv društveni i gospodarski razvoj</w:t>
      </w:r>
      <w:r w:rsidRPr="008115FB">
        <w:rPr>
          <w:sz w:val="24"/>
          <w:szCs w:val="24"/>
        </w:rPr>
        <w:t xml:space="preserve"> u budućnosti</w:t>
      </w:r>
      <w:r w:rsidRPr="00BD1B6F">
        <w:rPr>
          <w:sz w:val="24"/>
          <w:szCs w:val="24"/>
        </w:rPr>
        <w:t>.</w:t>
      </w:r>
      <w:r w:rsidRPr="00BD1B6F" w:rsidDel="00F01317">
        <w:rPr>
          <w:sz w:val="24"/>
          <w:szCs w:val="24"/>
        </w:rPr>
        <w:t xml:space="preserve"> </w:t>
      </w:r>
    </w:p>
    <w:p w14:paraId="5690FCC0" w14:textId="250E3F13" w:rsidR="00817E5B" w:rsidRPr="007F4C8D" w:rsidRDefault="000B4B6D" w:rsidP="007F4C8D">
      <w:pPr>
        <w:spacing w:before="120" w:after="120" w:line="360" w:lineRule="auto"/>
      </w:pPr>
      <w:r w:rsidRPr="00BD1B6F" w:rsidDel="00F01317">
        <w:rPr>
          <w:sz w:val="24"/>
          <w:szCs w:val="24"/>
        </w:rPr>
        <w:t xml:space="preserve"> </w:t>
      </w:r>
    </w:p>
    <w:p w14:paraId="5933D535" w14:textId="78C8F4FF" w:rsidR="00D34D99" w:rsidRPr="00BD1B6F" w:rsidRDefault="00D34D99" w:rsidP="00B01B8D">
      <w:pPr>
        <w:spacing w:before="120" w:after="120" w:line="360" w:lineRule="auto"/>
      </w:pPr>
      <w:r w:rsidRPr="00BD1B6F">
        <w:br w:type="page"/>
      </w:r>
    </w:p>
    <w:p w14:paraId="47970E62" w14:textId="25AB36E6" w:rsidR="39F852F0" w:rsidRPr="00BD1B6F" w:rsidRDefault="39F852F0" w:rsidP="00C723DF">
      <w:pPr>
        <w:pStyle w:val="Heading2"/>
        <w:rPr>
          <w:sz w:val="28"/>
          <w:szCs w:val="28"/>
        </w:rPr>
      </w:pPr>
      <w:bookmarkStart w:id="112" w:name="_Toc156819405"/>
      <w:r w:rsidRPr="00BD1B6F">
        <w:rPr>
          <w:sz w:val="28"/>
          <w:szCs w:val="28"/>
        </w:rPr>
        <w:lastRenderedPageBreak/>
        <w:t>13. Jačanje regionalne konkurentnosti</w:t>
      </w:r>
      <w:bookmarkEnd w:id="112"/>
    </w:p>
    <w:p w14:paraId="47E4479F" w14:textId="1A34462A" w:rsidR="39F852F0" w:rsidRPr="00BD1B6F" w:rsidRDefault="39F852F0" w:rsidP="004C1D5B">
      <w:pPr>
        <w:pStyle w:val="Heading3"/>
        <w:ind w:left="709"/>
        <w:rPr>
          <w:sz w:val="24"/>
          <w:szCs w:val="24"/>
        </w:rPr>
      </w:pPr>
      <w:bookmarkStart w:id="113" w:name="_Toc156819406"/>
      <w:r w:rsidRPr="00BD1B6F">
        <w:rPr>
          <w:sz w:val="24"/>
          <w:szCs w:val="24"/>
        </w:rPr>
        <w:t>13.1. Ostvarene vrijednosti pokazatelja uspješnosti</w:t>
      </w:r>
      <w:bookmarkEnd w:id="113"/>
      <w:r w:rsidRPr="00BD1B6F">
        <w:rPr>
          <w:sz w:val="24"/>
          <w:szCs w:val="24"/>
        </w:rPr>
        <w:t xml:space="preserve"> </w:t>
      </w:r>
    </w:p>
    <w:p w14:paraId="1BE4309B" w14:textId="77777777" w:rsidR="00D93DA7" w:rsidRPr="00C723DF" w:rsidRDefault="00D93DA7" w:rsidP="009E6612">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05"/>
        <w:gridCol w:w="1695"/>
        <w:gridCol w:w="1980"/>
        <w:gridCol w:w="2265"/>
      </w:tblGrid>
      <w:tr w:rsidR="506EEE25" w:rsidRPr="008115FB" w14:paraId="07E891FC" w14:textId="77777777" w:rsidTr="00FD2238">
        <w:trPr>
          <w:trHeight w:val="300"/>
        </w:trPr>
        <w:tc>
          <w:tcPr>
            <w:tcW w:w="3105"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6E337489" w14:textId="2BE57261" w:rsidR="506EEE25" w:rsidRPr="00BD1B6F" w:rsidRDefault="506EEE25" w:rsidP="506EEE25">
            <w:pPr>
              <w:jc w:val="center"/>
            </w:pPr>
            <w:r w:rsidRPr="00BD1B6F">
              <w:rPr>
                <w:b/>
                <w:bCs/>
                <w:color w:val="000000" w:themeColor="text1"/>
                <w:sz w:val="24"/>
                <w:szCs w:val="24"/>
              </w:rPr>
              <w:t>Pokazatelj uspješnosti</w:t>
            </w:r>
            <w:r w:rsidRPr="00BD1B6F">
              <w:rPr>
                <w:color w:val="000000" w:themeColor="text1"/>
                <w:sz w:val="24"/>
                <w:szCs w:val="24"/>
              </w:rPr>
              <w:t xml:space="preserve"> </w:t>
            </w:r>
          </w:p>
        </w:tc>
        <w:tc>
          <w:tcPr>
            <w:tcW w:w="1695"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676340B0" w14:textId="0CDCCB6D" w:rsidR="506EEE25" w:rsidRPr="00BD1B6F" w:rsidRDefault="506EEE25" w:rsidP="506EEE25">
            <w:pPr>
              <w:jc w:val="center"/>
            </w:pPr>
            <w:r w:rsidRPr="00BD1B6F">
              <w:rPr>
                <w:b/>
                <w:bCs/>
                <w:color w:val="000000" w:themeColor="text1"/>
                <w:sz w:val="24"/>
                <w:szCs w:val="24"/>
              </w:rPr>
              <w:t>Početna vrijednost</w:t>
            </w:r>
            <w:r w:rsidRPr="00BD1B6F">
              <w:rPr>
                <w:color w:val="000000" w:themeColor="text1"/>
                <w:sz w:val="24"/>
                <w:szCs w:val="24"/>
              </w:rPr>
              <w:t xml:space="preserve"> </w:t>
            </w:r>
          </w:p>
        </w:tc>
        <w:tc>
          <w:tcPr>
            <w:tcW w:w="1980"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41201B36" w14:textId="1476485F" w:rsidR="506EEE25" w:rsidRPr="00BD1B6F" w:rsidRDefault="506EEE25" w:rsidP="506EEE25">
            <w:pPr>
              <w:jc w:val="center"/>
            </w:pPr>
            <w:r w:rsidRPr="00BD1B6F">
              <w:rPr>
                <w:b/>
                <w:bCs/>
                <w:color w:val="000000" w:themeColor="text1"/>
                <w:sz w:val="24"/>
                <w:szCs w:val="24"/>
              </w:rPr>
              <w:t>Ciljna</w:t>
            </w:r>
            <w:r w:rsidRPr="00BD1B6F">
              <w:rPr>
                <w:color w:val="000000" w:themeColor="text1"/>
                <w:sz w:val="24"/>
                <w:szCs w:val="24"/>
              </w:rPr>
              <w:t xml:space="preserve"> </w:t>
            </w:r>
          </w:p>
          <w:p w14:paraId="525AD28F" w14:textId="06DE0D8C" w:rsidR="506EEE25" w:rsidRPr="00BD1B6F" w:rsidRDefault="506EEE25" w:rsidP="506EEE25">
            <w:pPr>
              <w:jc w:val="center"/>
            </w:pPr>
            <w:r w:rsidRPr="00BD1B6F">
              <w:rPr>
                <w:b/>
                <w:bCs/>
                <w:color w:val="000000" w:themeColor="text1"/>
                <w:sz w:val="24"/>
                <w:szCs w:val="24"/>
              </w:rPr>
              <w:t>vrijednost</w:t>
            </w:r>
            <w:r w:rsidRPr="00BD1B6F">
              <w:rPr>
                <w:color w:val="000000" w:themeColor="text1"/>
                <w:sz w:val="24"/>
                <w:szCs w:val="24"/>
              </w:rPr>
              <w:t xml:space="preserve"> </w:t>
            </w:r>
          </w:p>
        </w:tc>
        <w:tc>
          <w:tcPr>
            <w:tcW w:w="2265" w:type="dxa"/>
            <w:tcBorders>
              <w:top w:val="dotted" w:sz="8" w:space="0" w:color="auto"/>
              <w:left w:val="dotted" w:sz="8" w:space="0" w:color="auto"/>
              <w:bottom w:val="dotted" w:sz="8" w:space="0" w:color="auto"/>
              <w:right w:val="dotted" w:sz="8" w:space="0" w:color="auto"/>
            </w:tcBorders>
            <w:shd w:val="clear" w:color="auto" w:fill="B6DDE8" w:themeFill="accent5" w:themeFillTint="66"/>
            <w:vAlign w:val="center"/>
          </w:tcPr>
          <w:p w14:paraId="39112951" w14:textId="0E682300" w:rsidR="506EEE25" w:rsidRPr="00BD1B6F" w:rsidRDefault="506EEE25" w:rsidP="506EEE25">
            <w:pPr>
              <w:jc w:val="center"/>
            </w:pPr>
            <w:r w:rsidRPr="00BD1B6F">
              <w:rPr>
                <w:b/>
                <w:bCs/>
                <w:color w:val="000000" w:themeColor="text1"/>
                <w:sz w:val="24"/>
                <w:szCs w:val="24"/>
              </w:rPr>
              <w:t>Ostvarena</w:t>
            </w:r>
          </w:p>
          <w:p w14:paraId="76582977" w14:textId="57412182" w:rsidR="506EEE25" w:rsidRPr="00BD1B6F" w:rsidRDefault="506EEE25" w:rsidP="506EEE25">
            <w:pPr>
              <w:jc w:val="center"/>
            </w:pPr>
            <w:r w:rsidRPr="00BD1B6F">
              <w:rPr>
                <w:b/>
                <w:bCs/>
                <w:color w:val="000000" w:themeColor="text1"/>
                <w:sz w:val="24"/>
                <w:szCs w:val="24"/>
              </w:rPr>
              <w:t>vrijednost</w:t>
            </w:r>
            <w:r w:rsidRPr="00BD1B6F">
              <w:rPr>
                <w:color w:val="000000" w:themeColor="text1"/>
                <w:sz w:val="24"/>
                <w:szCs w:val="24"/>
              </w:rPr>
              <w:t xml:space="preserve"> </w:t>
            </w:r>
          </w:p>
        </w:tc>
      </w:tr>
      <w:tr w:rsidR="506EEE25" w:rsidRPr="008115FB" w14:paraId="65BE33F0" w14:textId="77777777" w:rsidTr="00FD2238">
        <w:trPr>
          <w:trHeight w:val="810"/>
        </w:trPr>
        <w:tc>
          <w:tcPr>
            <w:tcW w:w="3105" w:type="dxa"/>
            <w:tcBorders>
              <w:top w:val="dotted" w:sz="8" w:space="0" w:color="auto"/>
              <w:left w:val="dotted" w:sz="8" w:space="0" w:color="auto"/>
              <w:bottom w:val="dotted" w:sz="8" w:space="0" w:color="auto"/>
              <w:right w:val="nil"/>
            </w:tcBorders>
            <w:vAlign w:val="center"/>
          </w:tcPr>
          <w:p w14:paraId="19B2189E" w14:textId="6CF4CB71" w:rsidR="506EEE25" w:rsidRPr="00BD1B6F" w:rsidRDefault="506EEE25" w:rsidP="506EEE25">
            <w:pPr>
              <w:rPr>
                <w:sz w:val="24"/>
                <w:szCs w:val="24"/>
                <w:vertAlign w:val="superscript"/>
              </w:rPr>
            </w:pPr>
            <w:r w:rsidRPr="00BD1B6F">
              <w:rPr>
                <w:color w:val="000000" w:themeColor="text1"/>
                <w:sz w:val="24"/>
                <w:szCs w:val="24"/>
              </w:rPr>
              <w:t>Regionalni indeks konkurentnosti RCI 2.0 (EU)</w:t>
            </w:r>
            <w:r w:rsidRPr="00BD1B6F">
              <w:rPr>
                <w:rStyle w:val="FootnoteReference"/>
                <w:sz w:val="24"/>
                <w:szCs w:val="24"/>
              </w:rPr>
              <w:footnoteReference w:id="9"/>
            </w:r>
          </w:p>
        </w:tc>
        <w:tc>
          <w:tcPr>
            <w:tcW w:w="1695" w:type="dxa"/>
            <w:tcBorders>
              <w:top w:val="dotted" w:sz="8" w:space="0" w:color="auto"/>
              <w:left w:val="nil"/>
              <w:bottom w:val="dotted" w:sz="8" w:space="0" w:color="auto"/>
              <w:right w:val="nil"/>
            </w:tcBorders>
            <w:shd w:val="clear" w:color="auto" w:fill="DAEEF3" w:themeFill="accent5" w:themeFillTint="33"/>
            <w:vAlign w:val="center"/>
          </w:tcPr>
          <w:p w14:paraId="14BC5C50" w14:textId="3A9518D5" w:rsidR="506EEE25" w:rsidRPr="00BD1B6F" w:rsidRDefault="506EEE25" w:rsidP="506EEE25">
            <w:pPr>
              <w:jc w:val="center"/>
            </w:pPr>
            <w:r w:rsidRPr="00BD1B6F">
              <w:rPr>
                <w:color w:val="000000" w:themeColor="text1"/>
                <w:sz w:val="24"/>
                <w:szCs w:val="24"/>
              </w:rPr>
              <w:t xml:space="preserve">73,8 </w:t>
            </w:r>
            <w:r w:rsidRPr="00BD1B6F">
              <w:br/>
            </w:r>
            <w:r w:rsidRPr="00BD1B6F">
              <w:rPr>
                <w:color w:val="000000" w:themeColor="text1"/>
                <w:sz w:val="24"/>
                <w:szCs w:val="24"/>
              </w:rPr>
              <w:t xml:space="preserve">(2019.) </w:t>
            </w:r>
          </w:p>
        </w:tc>
        <w:tc>
          <w:tcPr>
            <w:tcW w:w="1980" w:type="dxa"/>
            <w:tcBorders>
              <w:top w:val="dotted" w:sz="8" w:space="0" w:color="auto"/>
              <w:left w:val="nil"/>
              <w:bottom w:val="dotted" w:sz="8" w:space="0" w:color="auto"/>
              <w:right w:val="nil"/>
            </w:tcBorders>
            <w:vAlign w:val="center"/>
          </w:tcPr>
          <w:p w14:paraId="0F0E7801" w14:textId="05B9BCCE" w:rsidR="506EEE25" w:rsidRPr="00BD1B6F" w:rsidRDefault="506EEE25" w:rsidP="506EEE25">
            <w:pPr>
              <w:jc w:val="center"/>
            </w:pPr>
            <w:r w:rsidRPr="00BD1B6F">
              <w:rPr>
                <w:color w:val="000000" w:themeColor="text1"/>
                <w:sz w:val="24"/>
                <w:szCs w:val="24"/>
              </w:rPr>
              <w:t>87,64</w:t>
            </w:r>
          </w:p>
        </w:tc>
        <w:tc>
          <w:tcPr>
            <w:tcW w:w="2265" w:type="dxa"/>
            <w:tcBorders>
              <w:top w:val="dotted" w:sz="8" w:space="0" w:color="auto"/>
              <w:left w:val="nil"/>
              <w:bottom w:val="dotted" w:sz="8" w:space="0" w:color="auto"/>
              <w:right w:val="dotted" w:sz="8" w:space="0" w:color="auto"/>
            </w:tcBorders>
            <w:shd w:val="clear" w:color="auto" w:fill="DAEEF3" w:themeFill="accent5" w:themeFillTint="33"/>
            <w:vAlign w:val="center"/>
          </w:tcPr>
          <w:p w14:paraId="441311C5" w14:textId="2FF06D5A" w:rsidR="506EEE25" w:rsidRPr="00BD1B6F" w:rsidRDefault="506EEE25" w:rsidP="506EEE25">
            <w:r w:rsidRPr="00BD1B6F">
              <w:rPr>
                <w:sz w:val="24"/>
                <w:szCs w:val="24"/>
              </w:rPr>
              <w:t xml:space="preserve"> </w:t>
            </w:r>
          </w:p>
          <w:p w14:paraId="402BC53F" w14:textId="5496C274" w:rsidR="007238E3" w:rsidRPr="00BD1B6F" w:rsidRDefault="00CE3001" w:rsidP="506EEE25">
            <w:pPr>
              <w:jc w:val="center"/>
              <w:rPr>
                <w:color w:val="000000" w:themeColor="text1"/>
                <w:sz w:val="24"/>
                <w:szCs w:val="24"/>
              </w:rPr>
            </w:pPr>
            <w:r>
              <w:rPr>
                <w:color w:val="000000" w:themeColor="text1"/>
                <w:sz w:val="24"/>
                <w:szCs w:val="24"/>
              </w:rPr>
              <w:t>8</w:t>
            </w:r>
            <w:r w:rsidR="00C25230">
              <w:rPr>
                <w:color w:val="000000" w:themeColor="text1"/>
                <w:sz w:val="24"/>
                <w:szCs w:val="24"/>
              </w:rPr>
              <w:t>0,6</w:t>
            </w:r>
          </w:p>
          <w:p w14:paraId="16A60CE3" w14:textId="6A3AD069" w:rsidR="506EEE25" w:rsidRPr="00BD1B6F" w:rsidRDefault="506EEE25" w:rsidP="506EEE25">
            <w:pPr>
              <w:jc w:val="center"/>
              <w:rPr>
                <w:sz w:val="24"/>
                <w:szCs w:val="24"/>
                <w:vertAlign w:val="superscript"/>
              </w:rPr>
            </w:pPr>
            <w:r w:rsidRPr="00BD1B6F">
              <w:rPr>
                <w:color w:val="000000" w:themeColor="text1"/>
                <w:sz w:val="24"/>
                <w:szCs w:val="24"/>
              </w:rPr>
              <w:t>(2022.)</w:t>
            </w:r>
            <w:r w:rsidRPr="00BD1B6F">
              <w:rPr>
                <w:rStyle w:val="FootnoteReference"/>
                <w:sz w:val="24"/>
                <w:szCs w:val="24"/>
              </w:rPr>
              <w:footnoteReference w:id="10"/>
            </w:r>
          </w:p>
          <w:p w14:paraId="3EAE611D" w14:textId="706A8A36" w:rsidR="506EEE25" w:rsidRPr="00BD1B6F" w:rsidRDefault="506EEE25" w:rsidP="506EEE25">
            <w:r w:rsidRPr="00BD1B6F">
              <w:rPr>
                <w:color w:val="000000" w:themeColor="text1"/>
                <w:sz w:val="24"/>
                <w:szCs w:val="24"/>
              </w:rPr>
              <w:t xml:space="preserve"> </w:t>
            </w:r>
          </w:p>
        </w:tc>
      </w:tr>
    </w:tbl>
    <w:p w14:paraId="7093FE6E" w14:textId="4401166C" w:rsidR="006B37EF" w:rsidRPr="00BD1B6F" w:rsidRDefault="006B37EF" w:rsidP="506EEE25">
      <w:pPr>
        <w:jc w:val="both"/>
      </w:pPr>
    </w:p>
    <w:p w14:paraId="1A8CE9AC" w14:textId="4E33BA47" w:rsidR="39F852F0" w:rsidRPr="00BD1B6F" w:rsidRDefault="39F852F0" w:rsidP="004C1D5B">
      <w:pPr>
        <w:pStyle w:val="Heading3"/>
        <w:ind w:left="709"/>
        <w:rPr>
          <w:sz w:val="24"/>
          <w:szCs w:val="24"/>
        </w:rPr>
      </w:pPr>
      <w:bookmarkStart w:id="114" w:name="_Toc156819407"/>
      <w:r w:rsidRPr="00BD1B6F">
        <w:rPr>
          <w:sz w:val="24"/>
          <w:szCs w:val="24"/>
        </w:rPr>
        <w:t>13.</w:t>
      </w:r>
      <w:r w:rsidR="00EC3A0A">
        <w:rPr>
          <w:sz w:val="24"/>
          <w:szCs w:val="24"/>
        </w:rPr>
        <w:t>2</w:t>
      </w:r>
      <w:r w:rsidR="00720B6C" w:rsidRPr="00BD1B6F">
        <w:rPr>
          <w:sz w:val="24"/>
          <w:szCs w:val="24"/>
        </w:rPr>
        <w:t>.</w:t>
      </w:r>
      <w:r w:rsidRPr="00BD1B6F">
        <w:rPr>
          <w:sz w:val="24"/>
          <w:szCs w:val="24"/>
        </w:rPr>
        <w:t xml:space="preserve"> Opis napretka u provedbi strateškog cilja Jačanje regionalne konkurentnosti</w:t>
      </w:r>
      <w:bookmarkEnd w:id="114"/>
    </w:p>
    <w:p w14:paraId="1A3EBE2E" w14:textId="77777777" w:rsidR="00243C18" w:rsidRPr="00BD1B6F" w:rsidRDefault="00243C18" w:rsidP="00243C18">
      <w:pPr>
        <w:spacing w:before="240" w:line="276" w:lineRule="auto"/>
        <w:ind w:left="720"/>
        <w:jc w:val="both"/>
      </w:pPr>
      <w:r w:rsidRPr="00BD1B6F">
        <w:rPr>
          <w:b/>
          <w:bCs/>
          <w:sz w:val="24"/>
          <w:szCs w:val="24"/>
        </w:rPr>
        <w:t>Pametna specijalizacija i jačanje pozicije regionalnoga gospodarstva u globalnim lancima vrijednosti</w:t>
      </w:r>
    </w:p>
    <w:p w14:paraId="7412AB4C" w14:textId="77777777" w:rsidR="00243C18" w:rsidRPr="00BD1B6F" w:rsidRDefault="00243C18" w:rsidP="00243C18">
      <w:pPr>
        <w:spacing w:before="240" w:line="276" w:lineRule="auto"/>
        <w:jc w:val="both"/>
      </w:pPr>
      <w:r w:rsidRPr="00BD1B6F">
        <w:rPr>
          <w:sz w:val="24"/>
          <w:szCs w:val="24"/>
        </w:rPr>
        <w:t>Prema podacima revidiranog Regionalnog indeksa konkurentnosti (RCI 2.0), Hrvatska je unatoč posljedicama pandemije COVID-19, rat</w:t>
      </w:r>
      <w:r>
        <w:rPr>
          <w:sz w:val="24"/>
          <w:szCs w:val="24"/>
        </w:rPr>
        <w:t>u</w:t>
      </w:r>
      <w:r w:rsidRPr="00BD1B6F">
        <w:rPr>
          <w:sz w:val="24"/>
          <w:szCs w:val="24"/>
        </w:rPr>
        <w:t xml:space="preserve"> u Ukrajini i narušenoj stabilnosti dobavnih lanaca, poboljšala regionalnu konkurentnost te je sukladno novoj metodologiji izračuna u 2022. ostvarila vrijednost </w:t>
      </w:r>
      <w:r>
        <w:rPr>
          <w:sz w:val="24"/>
          <w:szCs w:val="24"/>
        </w:rPr>
        <w:t>80,6</w:t>
      </w:r>
      <w:r w:rsidRPr="00BD1B6F">
        <w:rPr>
          <w:sz w:val="24"/>
          <w:szCs w:val="24"/>
        </w:rPr>
        <w:t xml:space="preserve"> (Panonska Hrvatska 71, Jadranska Hrvatska 77, Grad Zagreb i Sjeverna Hrvatska 90). </w:t>
      </w:r>
    </w:p>
    <w:p w14:paraId="0B42727B" w14:textId="77777777" w:rsidR="00243C18" w:rsidRPr="00BD1B6F" w:rsidRDefault="00243C18" w:rsidP="00243C18">
      <w:pPr>
        <w:spacing w:before="240" w:line="276" w:lineRule="auto"/>
        <w:jc w:val="both"/>
      </w:pPr>
      <w:r w:rsidRPr="00BD1B6F">
        <w:rPr>
          <w:sz w:val="24"/>
          <w:szCs w:val="24"/>
        </w:rPr>
        <w:t>Međutim, vidljive razlike u konkurentnosti ukazuju na potrebu da se javnim politikama i daljnjim ulaganjima nastavi promicati uzlazna konvergencija</w:t>
      </w:r>
      <w:r>
        <w:rPr>
          <w:sz w:val="24"/>
          <w:szCs w:val="24"/>
        </w:rPr>
        <w:t>,</w:t>
      </w:r>
      <w:r w:rsidRPr="00BD1B6F">
        <w:rPr>
          <w:sz w:val="24"/>
          <w:szCs w:val="24"/>
        </w:rPr>
        <w:t xml:space="preserve"> čime se manje konkurentnim regijama pomaže u poboljšavanju rezultata, istodobno osiguravajući da svi dijelovi Hrvatske imaju jednake razvojne šanse. Ravnomjerni regionalni razvoj okosnica je javnih politika u Hrvatskoj, a potpisivanjem Sporazuma o partnerstvu s Europskom komisijom u rujnu 2022., Hrvatska je </w:t>
      </w:r>
      <w:r>
        <w:rPr>
          <w:sz w:val="24"/>
          <w:szCs w:val="24"/>
        </w:rPr>
        <w:t>za</w:t>
      </w:r>
      <w:r w:rsidRPr="00BD1B6F">
        <w:rPr>
          <w:sz w:val="24"/>
          <w:szCs w:val="24"/>
        </w:rPr>
        <w:t xml:space="preserve"> promicanj</w:t>
      </w:r>
      <w:r>
        <w:rPr>
          <w:sz w:val="24"/>
          <w:szCs w:val="24"/>
        </w:rPr>
        <w:t>e</w:t>
      </w:r>
      <w:r w:rsidRPr="00BD1B6F">
        <w:rPr>
          <w:sz w:val="24"/>
          <w:szCs w:val="24"/>
        </w:rPr>
        <w:t xml:space="preserve"> gospodarske, socijalne i teritorijalne kohezije svojih regija te provedb</w:t>
      </w:r>
      <w:r>
        <w:rPr>
          <w:sz w:val="24"/>
          <w:szCs w:val="24"/>
        </w:rPr>
        <w:t>u</w:t>
      </w:r>
      <w:r w:rsidRPr="00BD1B6F">
        <w:rPr>
          <w:sz w:val="24"/>
          <w:szCs w:val="24"/>
        </w:rPr>
        <w:t xml:space="preserve"> zelene </w:t>
      </w:r>
      <w:r>
        <w:rPr>
          <w:sz w:val="24"/>
          <w:szCs w:val="24"/>
        </w:rPr>
        <w:t xml:space="preserve">tranzicije </w:t>
      </w:r>
      <w:r w:rsidRPr="00BD1B6F">
        <w:rPr>
          <w:sz w:val="24"/>
          <w:szCs w:val="24"/>
        </w:rPr>
        <w:t>i digitalne tran</w:t>
      </w:r>
      <w:r>
        <w:rPr>
          <w:sz w:val="24"/>
          <w:szCs w:val="24"/>
        </w:rPr>
        <w:t>sformacije</w:t>
      </w:r>
      <w:r w:rsidRPr="00BD1B6F">
        <w:rPr>
          <w:sz w:val="24"/>
          <w:szCs w:val="24"/>
        </w:rPr>
        <w:t xml:space="preserve">, za razdoblje od 2021. do 2027. godine osigurala ukupno 9 milijardi eura sredstava kohezijske politike. </w:t>
      </w:r>
    </w:p>
    <w:p w14:paraId="0F2E9381" w14:textId="77777777" w:rsidR="00243C18" w:rsidRPr="00BD1B6F" w:rsidRDefault="00243C18" w:rsidP="00243C18">
      <w:pPr>
        <w:spacing w:before="240" w:line="276" w:lineRule="auto"/>
        <w:jc w:val="both"/>
        <w:rPr>
          <w:color w:val="000000" w:themeColor="text1"/>
          <w:sz w:val="24"/>
          <w:szCs w:val="24"/>
        </w:rPr>
      </w:pPr>
      <w:r w:rsidRPr="00BD1B6F">
        <w:rPr>
          <w:color w:val="000000" w:themeColor="text1"/>
          <w:sz w:val="24"/>
          <w:szCs w:val="24"/>
        </w:rPr>
        <w:lastRenderedPageBreak/>
        <w:t>Početkom 2022. na snagu je stupila nova Karta regionalnih potpora Republike Hrvatske za razdoblje od 2022. do 2027. godine.</w:t>
      </w:r>
      <w:r>
        <w:rPr>
          <w:color w:val="000000" w:themeColor="text1"/>
          <w:sz w:val="24"/>
          <w:szCs w:val="24"/>
        </w:rPr>
        <w:t xml:space="preserve"> </w:t>
      </w:r>
      <w:r w:rsidRPr="00BD1B6F">
        <w:rPr>
          <w:sz w:val="24"/>
          <w:szCs w:val="24"/>
        </w:rPr>
        <w:t>Ranije izvršena podjela na dvije NUTS regije pokazala se tijekom primjene neadekvatnom i nepravednom za vođenje regionalne politike</w:t>
      </w:r>
      <w:r>
        <w:rPr>
          <w:sz w:val="24"/>
          <w:szCs w:val="24"/>
        </w:rPr>
        <w:t>,</w:t>
      </w:r>
      <w:r w:rsidRPr="00BD1B6F">
        <w:rPr>
          <w:sz w:val="24"/>
          <w:szCs w:val="24"/>
        </w:rPr>
        <w:t xml:space="preserve"> </w:t>
      </w:r>
      <w:r>
        <w:rPr>
          <w:sz w:val="24"/>
          <w:szCs w:val="24"/>
        </w:rPr>
        <w:t xml:space="preserve">s </w:t>
      </w:r>
      <w:r w:rsidRPr="00BD1B6F">
        <w:rPr>
          <w:sz w:val="24"/>
          <w:szCs w:val="24"/>
        </w:rPr>
        <w:t xml:space="preserve">obzirom </w:t>
      </w:r>
      <w:r>
        <w:rPr>
          <w:sz w:val="24"/>
          <w:szCs w:val="24"/>
        </w:rPr>
        <w:t xml:space="preserve">na to </w:t>
      </w:r>
      <w:r w:rsidRPr="00BD1B6F">
        <w:rPr>
          <w:sz w:val="24"/>
          <w:szCs w:val="24"/>
        </w:rPr>
        <w:t>da je intenzitet potpore bio 25</w:t>
      </w:r>
      <w:r w:rsidRPr="00A24411">
        <w:rPr>
          <w:sz w:val="24"/>
          <w:szCs w:val="24"/>
        </w:rPr>
        <w:t>%</w:t>
      </w:r>
      <w:r>
        <w:rPr>
          <w:sz w:val="24"/>
          <w:szCs w:val="24"/>
        </w:rPr>
        <w:t>,</w:t>
      </w:r>
      <w:r w:rsidRPr="00BD1B6F">
        <w:rPr>
          <w:sz w:val="24"/>
          <w:szCs w:val="24"/>
        </w:rPr>
        <w:t xml:space="preserve"> bez obzira na regiju ulaganja. </w:t>
      </w:r>
      <w:r w:rsidRPr="00BD1B6F">
        <w:rPr>
          <w:color w:val="000000" w:themeColor="text1"/>
          <w:sz w:val="24"/>
          <w:szCs w:val="24"/>
        </w:rPr>
        <w:t>Prema novoj Karti regionalnih potpora</w:t>
      </w:r>
      <w:r>
        <w:rPr>
          <w:color w:val="000000" w:themeColor="text1"/>
          <w:sz w:val="24"/>
          <w:szCs w:val="24"/>
        </w:rPr>
        <w:t>,</w:t>
      </w:r>
      <w:r w:rsidRPr="00BD1B6F">
        <w:rPr>
          <w:color w:val="000000" w:themeColor="text1"/>
          <w:sz w:val="24"/>
          <w:szCs w:val="24"/>
        </w:rPr>
        <w:t xml:space="preserve"> administrativne jedinice Panonska Hrvatska, Jadranska Hrvatska i Sjeverna Hrvatska utvrđene su kao „A“ područja, a administrativna jedinica Grad Zagreb kao „C“ područje, na kojima se mogu dodjeljivati regionalne potpore.</w:t>
      </w:r>
      <w:r w:rsidRPr="00BD1B6F">
        <w:rPr>
          <w:sz w:val="24"/>
          <w:szCs w:val="24"/>
        </w:rPr>
        <w:t xml:space="preserve"> </w:t>
      </w:r>
      <w:r w:rsidRPr="00BD1B6F">
        <w:rPr>
          <w:color w:val="000000" w:themeColor="text1"/>
          <w:sz w:val="24"/>
          <w:szCs w:val="24"/>
        </w:rPr>
        <w:t xml:space="preserve">Primjenom nove Karte koja sadrži </w:t>
      </w:r>
      <w:r>
        <w:rPr>
          <w:color w:val="000000" w:themeColor="text1"/>
          <w:sz w:val="24"/>
          <w:szCs w:val="24"/>
        </w:rPr>
        <w:t>4</w:t>
      </w:r>
      <w:r w:rsidRPr="00BD1B6F">
        <w:rPr>
          <w:color w:val="000000" w:themeColor="text1"/>
          <w:sz w:val="24"/>
          <w:szCs w:val="24"/>
        </w:rPr>
        <w:t xml:space="preserve"> NUTS2 regije, omogućuje se značajno povišenje stopa sufinanciranja investicija primjenom regionalnih potpora. To konkretno znači gotovo dvostruko podizanje razine dopuštenih maksimalnih intenziteta potpora za ulaganje, </w:t>
      </w:r>
      <w:r w:rsidRPr="506EEE25">
        <w:rPr>
          <w:color w:val="000000" w:themeColor="text1"/>
          <w:sz w:val="24"/>
          <w:szCs w:val="24"/>
        </w:rPr>
        <w:t>s</w:t>
      </w:r>
      <w:r w:rsidRPr="00BD1B6F">
        <w:rPr>
          <w:color w:val="000000" w:themeColor="text1"/>
          <w:sz w:val="24"/>
          <w:szCs w:val="24"/>
        </w:rPr>
        <w:t xml:space="preserve"> prijašnjih unificiranih 25% za područje cijele Hrvatske, na 35% za Grad Zagreb (10% više), 40% za Jadransku Hrvatsku (15% više), odnosno na 50% za Panonsku i Sjevernu Hrvatsku (25% više). Također, Zaključkom Vlade o prihvaćanju Prijedloga izmjene Karte regionalnih potpora za razdoblje od 2022.</w:t>
      </w:r>
      <w:r>
        <w:rPr>
          <w:color w:val="000000" w:themeColor="text1"/>
          <w:sz w:val="24"/>
          <w:szCs w:val="24"/>
        </w:rPr>
        <w:t xml:space="preserve"> </w:t>
      </w:r>
      <w:r w:rsidRPr="00BD1B6F">
        <w:rPr>
          <w:color w:val="000000" w:themeColor="text1"/>
          <w:sz w:val="24"/>
          <w:szCs w:val="24"/>
        </w:rPr>
        <w:t>-</w:t>
      </w:r>
      <w:r>
        <w:rPr>
          <w:color w:val="000000" w:themeColor="text1"/>
          <w:sz w:val="24"/>
          <w:szCs w:val="24"/>
        </w:rPr>
        <w:t xml:space="preserve"> </w:t>
      </w:r>
      <w:r w:rsidRPr="00BD1B6F">
        <w:rPr>
          <w:color w:val="000000" w:themeColor="text1"/>
          <w:sz w:val="24"/>
          <w:szCs w:val="24"/>
        </w:rPr>
        <w:t>2027. godine, iz prosinca 2022., uvećan je maksimalni intenzitet potpora na 60% za Sisačko-moslavačku županiju (10% više)</w:t>
      </w:r>
      <w:r>
        <w:rPr>
          <w:color w:val="000000" w:themeColor="text1"/>
          <w:sz w:val="24"/>
          <w:szCs w:val="24"/>
        </w:rPr>
        <w:t xml:space="preserve"> </w:t>
      </w:r>
      <w:r w:rsidRPr="00BD1B6F">
        <w:rPr>
          <w:color w:val="000000" w:themeColor="text1"/>
          <w:sz w:val="24"/>
          <w:szCs w:val="24"/>
        </w:rPr>
        <w:t>zbog činjenice kako se radi o jednoj od najslabije razvijenih županija, dodatno pogođenoj i oslabljenoj učincima razornog potresa iz prosinca 2020.</w:t>
      </w:r>
    </w:p>
    <w:p w14:paraId="08DD85E5" w14:textId="77777777" w:rsidR="00243C18" w:rsidRPr="00BD1B6F" w:rsidRDefault="00243C18" w:rsidP="00243C18">
      <w:pPr>
        <w:spacing w:before="240" w:line="276" w:lineRule="auto"/>
        <w:jc w:val="both"/>
        <w:rPr>
          <w:sz w:val="24"/>
          <w:szCs w:val="24"/>
        </w:rPr>
      </w:pPr>
      <w:r w:rsidRPr="00BD1B6F">
        <w:rPr>
          <w:sz w:val="24"/>
          <w:szCs w:val="24"/>
        </w:rPr>
        <w:t>S ciljem jačanja atraktivnosti i pozicije regionalnog gospodarstva u globalnim lancima vrijednosti, kroz proces industrijske tranzicije hrvatskih NUTS 2 regija, u koji su uključene Panonska Hrvatska, Jadranska Hrvatska i Sjeverna Hrvatska</w:t>
      </w:r>
      <w:r>
        <w:rPr>
          <w:sz w:val="24"/>
          <w:szCs w:val="24"/>
        </w:rPr>
        <w:t>,</w:t>
      </w:r>
      <w:r w:rsidRPr="00BD1B6F">
        <w:rPr>
          <w:sz w:val="24"/>
          <w:szCs w:val="24"/>
        </w:rPr>
        <w:t xml:space="preserve"> u studenom 2021. doneseni su Planovi za industrijsku tranziciju Panonske, Jadranske i Sjeverne Hrvatske. Planovima za industrijsku tranziciju definirani su i smjerovi promjena te transformacijski </w:t>
      </w:r>
      <w:r w:rsidRPr="007C679E">
        <w:rPr>
          <w:i/>
          <w:iCs/>
          <w:sz w:val="24"/>
          <w:szCs w:val="24"/>
        </w:rPr>
        <w:t xml:space="preserve">roadmap </w:t>
      </w:r>
      <w:r w:rsidRPr="00BD1B6F">
        <w:rPr>
          <w:sz w:val="24"/>
          <w:szCs w:val="24"/>
        </w:rPr>
        <w:t xml:space="preserve">koji će se financirati u okviru </w:t>
      </w:r>
      <w:r w:rsidRPr="00A12087">
        <w:rPr>
          <w:sz w:val="24"/>
          <w:szCs w:val="24"/>
        </w:rPr>
        <w:t>I</w:t>
      </w:r>
      <w:r>
        <w:rPr>
          <w:sz w:val="24"/>
          <w:szCs w:val="24"/>
        </w:rPr>
        <w:t xml:space="preserve">TP-a </w:t>
      </w:r>
      <w:r w:rsidRPr="00A12087">
        <w:rPr>
          <w:sz w:val="24"/>
          <w:szCs w:val="24"/>
        </w:rPr>
        <w:t>2021.</w:t>
      </w:r>
      <w:r>
        <w:rPr>
          <w:sz w:val="24"/>
          <w:szCs w:val="24"/>
        </w:rPr>
        <w:t xml:space="preserve"> - </w:t>
      </w:r>
      <w:r w:rsidRPr="00BD1B6F">
        <w:rPr>
          <w:sz w:val="24"/>
          <w:szCs w:val="24"/>
        </w:rPr>
        <w:t>2027. iz specifičnih ciljeva 1.1. Razvoj i jačanje istraživačkih i inovacijskih kapaciteta te prihvaćanje naprednih tehnologija, 1.3. Jačanje održivog rasta i konkurentnosti MSP-ova i otvaranje radnih mjesta u njima, među ostalim i kroz produktivna ulaganja</w:t>
      </w:r>
      <w:r>
        <w:rPr>
          <w:sz w:val="24"/>
          <w:szCs w:val="24"/>
        </w:rPr>
        <w:t>,</w:t>
      </w:r>
      <w:r w:rsidRPr="00BD1B6F">
        <w:rPr>
          <w:sz w:val="24"/>
          <w:szCs w:val="24"/>
        </w:rPr>
        <w:t xml:space="preserve"> te 1.4. Razvoj vještina za pametnu specijalizaciju, industrijsku tranziciju i poduzetništvo, u ukupnoj alokaciji od 536 milijuna EUR-a.</w:t>
      </w:r>
      <w:r w:rsidRPr="00BD1B6F" w:rsidDel="00A12087">
        <w:rPr>
          <w:sz w:val="24"/>
          <w:szCs w:val="24"/>
        </w:rPr>
        <w:t xml:space="preserve"> </w:t>
      </w:r>
      <w:r w:rsidRPr="00BD1B6F">
        <w:rPr>
          <w:sz w:val="24"/>
          <w:szCs w:val="24"/>
        </w:rPr>
        <w:t>U 2022.</w:t>
      </w:r>
      <w:r>
        <w:rPr>
          <w:sz w:val="24"/>
          <w:szCs w:val="24"/>
        </w:rPr>
        <w:t>,</w:t>
      </w:r>
      <w:r w:rsidRPr="00BD1B6F">
        <w:rPr>
          <w:sz w:val="24"/>
          <w:szCs w:val="24"/>
        </w:rPr>
        <w:t xml:space="preserve"> u suradnji s dionicima regionalnih lanaca vrijednosti</w:t>
      </w:r>
      <w:r>
        <w:rPr>
          <w:sz w:val="24"/>
          <w:szCs w:val="24"/>
        </w:rPr>
        <w:t>,</w:t>
      </w:r>
      <w:r w:rsidRPr="00BD1B6F">
        <w:rPr>
          <w:sz w:val="24"/>
          <w:szCs w:val="24"/>
        </w:rPr>
        <w:t xml:space="preserve"> izrađeno je 14 akcijskih planova </w:t>
      </w:r>
      <w:r>
        <w:rPr>
          <w:sz w:val="24"/>
          <w:szCs w:val="24"/>
        </w:rPr>
        <w:t>regionalnih lanaca vrijednosti</w:t>
      </w:r>
      <w:r w:rsidRPr="00BD1B6F">
        <w:rPr>
          <w:sz w:val="24"/>
          <w:szCs w:val="24"/>
        </w:rPr>
        <w:t xml:space="preserve"> te je provedeno ažuriranje Planova za industrijsku tranziciju</w:t>
      </w:r>
      <w:r>
        <w:rPr>
          <w:sz w:val="24"/>
          <w:szCs w:val="24"/>
        </w:rPr>
        <w:t>,</w:t>
      </w:r>
      <w:r w:rsidRPr="00BD1B6F">
        <w:rPr>
          <w:sz w:val="24"/>
          <w:szCs w:val="24"/>
        </w:rPr>
        <w:t xml:space="preserve"> sukladno donesenom ITP 2021.</w:t>
      </w:r>
      <w:r>
        <w:rPr>
          <w:sz w:val="24"/>
          <w:szCs w:val="24"/>
        </w:rPr>
        <w:t xml:space="preserve"> </w:t>
      </w:r>
      <w:r w:rsidRPr="00BD1B6F">
        <w:rPr>
          <w:sz w:val="24"/>
          <w:szCs w:val="24"/>
        </w:rPr>
        <w:t>-</w:t>
      </w:r>
      <w:r>
        <w:rPr>
          <w:sz w:val="24"/>
          <w:szCs w:val="24"/>
        </w:rPr>
        <w:t xml:space="preserve"> </w:t>
      </w:r>
      <w:r w:rsidRPr="00BD1B6F">
        <w:rPr>
          <w:sz w:val="24"/>
          <w:szCs w:val="24"/>
        </w:rPr>
        <w:t>2027.</w:t>
      </w:r>
    </w:p>
    <w:p w14:paraId="3566675A" w14:textId="77777777" w:rsidR="00243C18" w:rsidRPr="00BD1B6F" w:rsidRDefault="00243C18" w:rsidP="00243C18">
      <w:pPr>
        <w:spacing w:before="240" w:line="276" w:lineRule="auto"/>
        <w:jc w:val="both"/>
        <w:rPr>
          <w:sz w:val="24"/>
          <w:szCs w:val="24"/>
        </w:rPr>
      </w:pPr>
      <w:r w:rsidRPr="00BD1B6F">
        <w:rPr>
          <w:sz w:val="24"/>
          <w:szCs w:val="24"/>
        </w:rPr>
        <w:t xml:space="preserve">U skladu s provedbenim okvirom Planova za industrijsku tranziciju, za sve </w:t>
      </w:r>
      <w:r>
        <w:rPr>
          <w:sz w:val="24"/>
          <w:szCs w:val="24"/>
        </w:rPr>
        <w:t>3</w:t>
      </w:r>
      <w:r w:rsidRPr="00BD1B6F">
        <w:rPr>
          <w:sz w:val="24"/>
          <w:szCs w:val="24"/>
        </w:rPr>
        <w:t xml:space="preserve"> regije će se provesti ciljani javni pozivi za poslovni sektor kojim</w:t>
      </w:r>
      <w:r>
        <w:rPr>
          <w:sz w:val="24"/>
          <w:szCs w:val="24"/>
        </w:rPr>
        <w:t>a</w:t>
      </w:r>
      <w:r w:rsidRPr="00BD1B6F">
        <w:rPr>
          <w:sz w:val="24"/>
          <w:szCs w:val="24"/>
        </w:rPr>
        <w:t xml:space="preserve"> će se dionike podržati u jačanju konkurentnosti i tranziciji prema tržišnim nišama više dodane vrijednosti u okviru regionalnih lanaca vrijednosti</w:t>
      </w:r>
      <w:r>
        <w:rPr>
          <w:sz w:val="24"/>
          <w:szCs w:val="24"/>
        </w:rPr>
        <w:t xml:space="preserve"> (u daljnjem tekstu: RLV)</w:t>
      </w:r>
      <w:r w:rsidRPr="00BD1B6F">
        <w:rPr>
          <w:sz w:val="24"/>
          <w:szCs w:val="24"/>
        </w:rPr>
        <w:t xml:space="preserve">. </w:t>
      </w:r>
      <w:r>
        <w:rPr>
          <w:sz w:val="24"/>
          <w:szCs w:val="24"/>
        </w:rPr>
        <w:t>P</w:t>
      </w:r>
      <w:r w:rsidRPr="00BD1B6F">
        <w:rPr>
          <w:sz w:val="24"/>
          <w:szCs w:val="24"/>
        </w:rPr>
        <w:t xml:space="preserve">ružit će se podrška strateškim partnerstvima za inovacije u okviru regionalnih lanaca vrijednosti (320 milijuna eura), inovacijskim klasterima (10 milijuna eura), MSP-ovima u svrhu rasta </w:t>
      </w:r>
      <w:r w:rsidRPr="00BD1B6F">
        <w:rPr>
          <w:sz w:val="24"/>
          <w:szCs w:val="24"/>
        </w:rPr>
        <w:lastRenderedPageBreak/>
        <w:t xml:space="preserve">i razvoja prema nišama više dodane vrijednosti (90 milijuna eura) te razvoju pametnih vještina za industrijsku tranziciju (15 milijuna eura). </w:t>
      </w:r>
      <w:r>
        <w:rPr>
          <w:sz w:val="24"/>
          <w:szCs w:val="24"/>
        </w:rPr>
        <w:t>Također</w:t>
      </w:r>
      <w:r w:rsidRPr="00BD1B6F">
        <w:rPr>
          <w:sz w:val="24"/>
          <w:szCs w:val="24"/>
        </w:rPr>
        <w:t xml:space="preserve">, za ulaganje u poduzetničku i poslovnu infrastrukturu dodijelit će se alokacija od 66 milijuna eura (za potpomognuta i brdsko-planinska područja) te alokacija od 30 milijuna eura (za ITU urbana područja), sve s ciljem </w:t>
      </w:r>
      <w:r w:rsidRPr="002B1321">
        <w:rPr>
          <w:sz w:val="24"/>
          <w:szCs w:val="24"/>
        </w:rPr>
        <w:t>jačanj</w:t>
      </w:r>
      <w:r>
        <w:rPr>
          <w:sz w:val="24"/>
          <w:szCs w:val="24"/>
        </w:rPr>
        <w:t>a</w:t>
      </w:r>
      <w:r w:rsidRPr="00BD1B6F">
        <w:rPr>
          <w:sz w:val="24"/>
          <w:szCs w:val="24"/>
        </w:rPr>
        <w:t xml:space="preserve"> ekosustava za poduzetnike te poticanja rasta i razvoja </w:t>
      </w:r>
      <w:r w:rsidRPr="007C679E">
        <w:rPr>
          <w:i/>
          <w:iCs/>
          <w:sz w:val="24"/>
          <w:szCs w:val="24"/>
        </w:rPr>
        <w:t>startup</w:t>
      </w:r>
      <w:r w:rsidRPr="00BD1B6F">
        <w:rPr>
          <w:sz w:val="24"/>
          <w:szCs w:val="24"/>
        </w:rPr>
        <w:t xml:space="preserve">-ova i MSP-ova u nišama više dodane vrijednosti u okviru RLV-ova u </w:t>
      </w:r>
      <w:r>
        <w:rPr>
          <w:sz w:val="24"/>
          <w:szCs w:val="24"/>
        </w:rPr>
        <w:t>navedenim</w:t>
      </w:r>
      <w:r w:rsidRPr="00BD1B6F">
        <w:rPr>
          <w:sz w:val="24"/>
          <w:szCs w:val="24"/>
        </w:rPr>
        <w:t xml:space="preserve"> područjima. </w:t>
      </w:r>
    </w:p>
    <w:p w14:paraId="3497B446" w14:textId="77777777" w:rsidR="00243C18" w:rsidRPr="00BD1B6F" w:rsidRDefault="00243C18" w:rsidP="00243C18">
      <w:pPr>
        <w:spacing w:before="240" w:line="276" w:lineRule="auto"/>
        <w:jc w:val="both"/>
      </w:pPr>
      <w:r w:rsidRPr="00BD1B6F">
        <w:t xml:space="preserve">Ministarstvo </w:t>
      </w:r>
      <w:r w:rsidRPr="00BD1B6F">
        <w:rPr>
          <w:sz w:val="24"/>
          <w:szCs w:val="24"/>
        </w:rPr>
        <w:t xml:space="preserve">regionalnoga razvoja i fondova Europske unije provodi mapiranje ključnih dionika regionalnih lanaca vrijednosti u svrhu stvaranja strateških foruma te nastavka procesa kontinuiranog poduzetničkog otkrivanja. U RLV-ove Panonske, Sjeverne i Jadranske Hrvatske </w:t>
      </w:r>
      <w:r>
        <w:rPr>
          <w:sz w:val="24"/>
          <w:szCs w:val="24"/>
        </w:rPr>
        <w:t xml:space="preserve">trenutno je </w:t>
      </w:r>
      <w:r w:rsidRPr="00BD1B6F">
        <w:rPr>
          <w:sz w:val="24"/>
          <w:szCs w:val="24"/>
        </w:rPr>
        <w:t xml:space="preserve">prijavljeno više od </w:t>
      </w:r>
      <w:r w:rsidRPr="0020412E">
        <w:rPr>
          <w:sz w:val="24"/>
          <w:szCs w:val="24"/>
        </w:rPr>
        <w:t>1</w:t>
      </w:r>
      <w:r>
        <w:rPr>
          <w:sz w:val="24"/>
          <w:szCs w:val="24"/>
        </w:rPr>
        <w:t>.</w:t>
      </w:r>
      <w:r w:rsidRPr="0020412E">
        <w:rPr>
          <w:sz w:val="24"/>
          <w:szCs w:val="24"/>
        </w:rPr>
        <w:t>200</w:t>
      </w:r>
      <w:r w:rsidRPr="00BD1B6F">
        <w:rPr>
          <w:sz w:val="24"/>
          <w:szCs w:val="24"/>
        </w:rPr>
        <w:t xml:space="preserve"> poduzetnika, znanstveno-istraživačkih organizacija, klastera te drugih dionika koji svojim djelovanjem aktivno doprinose razvoju RLV-ova.</w:t>
      </w:r>
    </w:p>
    <w:p w14:paraId="3AEBAD55" w14:textId="77777777" w:rsidR="00243C18" w:rsidRPr="00BD1B6F" w:rsidRDefault="00243C18" w:rsidP="00243C18">
      <w:pPr>
        <w:spacing w:before="240" w:line="276" w:lineRule="auto"/>
        <w:ind w:firstLine="720"/>
        <w:jc w:val="both"/>
      </w:pPr>
      <w:r w:rsidRPr="00BD1B6F">
        <w:rPr>
          <w:b/>
          <w:bCs/>
          <w:sz w:val="24"/>
          <w:szCs w:val="24"/>
        </w:rPr>
        <w:t>Razvoj pametnih i održivih gradova</w:t>
      </w:r>
    </w:p>
    <w:p w14:paraId="7E656FCA" w14:textId="77777777" w:rsidR="00243C18" w:rsidRPr="00BD1B6F" w:rsidRDefault="00243C18" w:rsidP="00243C18">
      <w:pPr>
        <w:spacing w:before="240" w:line="276" w:lineRule="auto"/>
        <w:jc w:val="both"/>
      </w:pPr>
      <w:r w:rsidRPr="00BD1B6F">
        <w:rPr>
          <w:sz w:val="24"/>
          <w:szCs w:val="24"/>
        </w:rPr>
        <w:t>Za razvoj pametnih i održivih gradova s naglaskom na boljem upravljanju, čistom okolišu i prometu, visokotehnološkom gospodarstvu te kvaliteti življenja, korištenjem mehanizma Integriranih teritorijalnih ulaganja (</w:t>
      </w:r>
      <w:r>
        <w:rPr>
          <w:sz w:val="24"/>
          <w:szCs w:val="24"/>
        </w:rPr>
        <w:t xml:space="preserve">u daljnjem tekstu: </w:t>
      </w:r>
      <w:r w:rsidRPr="00BD1B6F">
        <w:rPr>
          <w:sz w:val="24"/>
          <w:szCs w:val="24"/>
        </w:rPr>
        <w:t>ITU), u financijskom razdoblju 2014.</w:t>
      </w:r>
      <w:r>
        <w:rPr>
          <w:sz w:val="24"/>
          <w:szCs w:val="24"/>
        </w:rPr>
        <w:t xml:space="preserve"> </w:t>
      </w:r>
      <w:r w:rsidRPr="008115FB">
        <w:rPr>
          <w:sz w:val="24"/>
          <w:szCs w:val="24"/>
        </w:rPr>
        <w:t>-</w:t>
      </w:r>
      <w:r>
        <w:rPr>
          <w:sz w:val="24"/>
          <w:szCs w:val="24"/>
        </w:rPr>
        <w:t xml:space="preserve"> </w:t>
      </w:r>
      <w:r w:rsidRPr="00BD1B6F">
        <w:rPr>
          <w:sz w:val="24"/>
          <w:szCs w:val="24"/>
        </w:rPr>
        <w:t>2020. provode se mjere održivog urbanog razvoja u 8 velikih gradova (Zagreb, Split, Rijeka, Osijek, Zadar, Slavonski Brod, Pula i Karlovac)</w:t>
      </w:r>
      <w:r w:rsidRPr="00BD1B6F">
        <w:rPr>
          <w:rStyle w:val="FootnoteReference"/>
          <w:sz w:val="24"/>
          <w:szCs w:val="24"/>
        </w:rPr>
        <w:footnoteReference w:id="11"/>
      </w:r>
      <w:r w:rsidRPr="00BD1B6F">
        <w:rPr>
          <w:sz w:val="24"/>
          <w:szCs w:val="24"/>
        </w:rPr>
        <w:t xml:space="preserve">. Ulaganja su usmjerena na razvoj poduzetništva, unaprjeđenje kulturne baštine u svrhu razvoja turizma, revitalizaciju zapuštenih </w:t>
      </w:r>
      <w:r w:rsidRPr="007C679E">
        <w:rPr>
          <w:i/>
          <w:iCs/>
          <w:sz w:val="24"/>
          <w:szCs w:val="24"/>
        </w:rPr>
        <w:t xml:space="preserve">brownfield </w:t>
      </w:r>
      <w:r w:rsidRPr="00BD1B6F">
        <w:rPr>
          <w:sz w:val="24"/>
          <w:szCs w:val="24"/>
        </w:rPr>
        <w:t>područja, poboljšanje usluga javnog prijevoza, obnovu sustava toplinarstva, borbu protiv siromaštva i socijalne isključenosti</w:t>
      </w:r>
      <w:r>
        <w:rPr>
          <w:sz w:val="24"/>
          <w:szCs w:val="24"/>
        </w:rPr>
        <w:t>,</w:t>
      </w:r>
      <w:r w:rsidRPr="00BD1B6F">
        <w:rPr>
          <w:sz w:val="24"/>
          <w:szCs w:val="24"/>
        </w:rPr>
        <w:t xml:space="preserve"> te poboljšanje pristupa visokokvalitetnim socijalnim uslugama.</w:t>
      </w:r>
    </w:p>
    <w:p w14:paraId="147E9764" w14:textId="77777777" w:rsidR="00243C18" w:rsidRPr="00BD1B6F" w:rsidRDefault="00243C18" w:rsidP="00243C18">
      <w:pPr>
        <w:spacing w:before="240" w:line="276" w:lineRule="auto"/>
        <w:jc w:val="both"/>
      </w:pPr>
      <w:r w:rsidRPr="00BD1B6F">
        <w:rPr>
          <w:sz w:val="24"/>
          <w:szCs w:val="24"/>
        </w:rPr>
        <w:t>Do kraja 2022. ukupno je iz OPKK 2014.</w:t>
      </w:r>
      <w:r>
        <w:rPr>
          <w:sz w:val="24"/>
          <w:szCs w:val="24"/>
        </w:rPr>
        <w:t xml:space="preserve"> </w:t>
      </w:r>
      <w:r w:rsidRPr="00BD1B6F">
        <w:rPr>
          <w:sz w:val="24"/>
          <w:szCs w:val="24"/>
        </w:rPr>
        <w:t>-</w:t>
      </w:r>
      <w:r>
        <w:rPr>
          <w:sz w:val="24"/>
          <w:szCs w:val="24"/>
        </w:rPr>
        <w:t xml:space="preserve"> </w:t>
      </w:r>
      <w:r w:rsidRPr="00BD1B6F">
        <w:rPr>
          <w:sz w:val="24"/>
          <w:szCs w:val="24"/>
        </w:rPr>
        <w:t>2020. u okviru ITU mehanizma sklopljeno 128 ugovora, ukupne vrijednosti bespovratnih sredstava 311,72 milijuna eura, odnosno 104% ukupne alokacije dostupne</w:t>
      </w:r>
      <w:r>
        <w:rPr>
          <w:sz w:val="24"/>
          <w:szCs w:val="24"/>
        </w:rPr>
        <w:t xml:space="preserve"> </w:t>
      </w:r>
      <w:r w:rsidRPr="00F03587">
        <w:rPr>
          <w:sz w:val="24"/>
          <w:szCs w:val="24"/>
        </w:rPr>
        <w:t>H</w:t>
      </w:r>
      <w:r>
        <w:rPr>
          <w:sz w:val="24"/>
          <w:szCs w:val="24"/>
        </w:rPr>
        <w:t>rvatskoj</w:t>
      </w:r>
      <w:r w:rsidRPr="00BD1B6F">
        <w:rPr>
          <w:sz w:val="24"/>
          <w:szCs w:val="24"/>
        </w:rPr>
        <w:t xml:space="preserve"> za provedbu ITU mehanizma u financijskom razdoblju 2014.</w:t>
      </w:r>
      <w:r>
        <w:rPr>
          <w:sz w:val="24"/>
          <w:szCs w:val="24"/>
        </w:rPr>
        <w:t xml:space="preserve"> </w:t>
      </w:r>
      <w:r w:rsidRPr="00BD1B6F">
        <w:rPr>
          <w:sz w:val="24"/>
          <w:szCs w:val="24"/>
        </w:rPr>
        <w:t>-</w:t>
      </w:r>
      <w:r>
        <w:rPr>
          <w:sz w:val="24"/>
          <w:szCs w:val="24"/>
        </w:rPr>
        <w:t xml:space="preserve"> </w:t>
      </w:r>
      <w:r w:rsidRPr="00BD1B6F">
        <w:rPr>
          <w:sz w:val="24"/>
          <w:szCs w:val="24"/>
        </w:rPr>
        <w:t>2020. Od navedenog iznosa, korisnicima je isplaćeno ukupno 129,66 milijuna eura, odnosno 42% ugovorenih bespovratnih sredstava, od čega je tijekom 2022. korisnicima isplaćeno 62 milijuna eura. Do kraja 2022.</w:t>
      </w:r>
      <w:r>
        <w:rPr>
          <w:sz w:val="24"/>
          <w:szCs w:val="24"/>
        </w:rPr>
        <w:t>,</w:t>
      </w:r>
      <w:r w:rsidRPr="00BD1B6F">
        <w:rPr>
          <w:sz w:val="24"/>
          <w:szCs w:val="24"/>
        </w:rPr>
        <w:t xml:space="preserve"> u okviru OPULJP 2014.</w:t>
      </w:r>
      <w:r>
        <w:rPr>
          <w:sz w:val="24"/>
          <w:szCs w:val="24"/>
        </w:rPr>
        <w:t xml:space="preserve"> </w:t>
      </w:r>
      <w:r w:rsidRPr="00BD1B6F">
        <w:rPr>
          <w:sz w:val="24"/>
          <w:szCs w:val="24"/>
        </w:rPr>
        <w:t>-</w:t>
      </w:r>
      <w:r>
        <w:rPr>
          <w:sz w:val="24"/>
          <w:szCs w:val="24"/>
        </w:rPr>
        <w:t xml:space="preserve"> </w:t>
      </w:r>
      <w:r w:rsidRPr="00BD1B6F">
        <w:rPr>
          <w:sz w:val="24"/>
          <w:szCs w:val="24"/>
        </w:rPr>
        <w:t xml:space="preserve">2020. ugovoreno je ukupno 88 ITU projekata, za što je korisnicima isplaćeno više od 7 milijuna eura. </w:t>
      </w:r>
    </w:p>
    <w:p w14:paraId="5782864F" w14:textId="77777777" w:rsidR="00243C18" w:rsidRPr="008115FB" w:rsidRDefault="00243C18" w:rsidP="00243C18">
      <w:pPr>
        <w:spacing w:before="240" w:after="160" w:line="276" w:lineRule="auto"/>
        <w:jc w:val="both"/>
        <w:rPr>
          <w:sz w:val="24"/>
          <w:szCs w:val="24"/>
        </w:rPr>
      </w:pPr>
      <w:r w:rsidRPr="00BD1B6F">
        <w:rPr>
          <w:sz w:val="24"/>
          <w:szCs w:val="24"/>
        </w:rPr>
        <w:lastRenderedPageBreak/>
        <w:t>U okviru višegodišnjeg financijskog okvira EU za financijsko razdoblje 2021.</w:t>
      </w:r>
      <w:r>
        <w:rPr>
          <w:sz w:val="24"/>
          <w:szCs w:val="24"/>
        </w:rPr>
        <w:t xml:space="preserve"> </w:t>
      </w:r>
      <w:r w:rsidRPr="00BD1B6F">
        <w:rPr>
          <w:sz w:val="24"/>
          <w:szCs w:val="24"/>
        </w:rPr>
        <w:t>-</w:t>
      </w:r>
      <w:r>
        <w:rPr>
          <w:sz w:val="24"/>
          <w:szCs w:val="24"/>
        </w:rPr>
        <w:t xml:space="preserve"> </w:t>
      </w:r>
      <w:r w:rsidRPr="00BD1B6F">
        <w:rPr>
          <w:sz w:val="24"/>
          <w:szCs w:val="24"/>
        </w:rPr>
        <w:t xml:space="preserve">2027. planirano je proširenje ITU mehanizma na 22 grada (Bjelovar, Dubrovnik, Čakovec, Gospić, Karlovac, Koprivnica, Krapina, Osijek, Pazin, Požega, Pula, Rijeka, Sisak, Slavonski Brod, Split, Šibenik, Virovitica, Varaždin, Vinkovci, Vukovar, Zadar i Zagreb), a ulaganja će biti usmjerena upravo na provedbu javnih politika za razvoj pametnih i održivih gradova. U tom kontekstu, u prosincu 2022. donesen je </w:t>
      </w:r>
      <w:r w:rsidRPr="506EEE25">
        <w:rPr>
          <w:sz w:val="24"/>
          <w:szCs w:val="24"/>
        </w:rPr>
        <w:t>I</w:t>
      </w:r>
      <w:r>
        <w:rPr>
          <w:sz w:val="24"/>
          <w:szCs w:val="24"/>
        </w:rPr>
        <w:t>TP</w:t>
      </w:r>
      <w:r w:rsidRPr="00BD1B6F">
        <w:rPr>
          <w:sz w:val="24"/>
          <w:szCs w:val="24"/>
        </w:rPr>
        <w:t xml:space="preserve"> 2021.</w:t>
      </w:r>
      <w:r>
        <w:rPr>
          <w:sz w:val="24"/>
          <w:szCs w:val="24"/>
        </w:rPr>
        <w:t xml:space="preserve"> </w:t>
      </w:r>
      <w:r w:rsidRPr="00BD1B6F">
        <w:rPr>
          <w:sz w:val="24"/>
          <w:szCs w:val="24"/>
        </w:rPr>
        <w:t>-</w:t>
      </w:r>
      <w:r>
        <w:rPr>
          <w:sz w:val="24"/>
          <w:szCs w:val="24"/>
        </w:rPr>
        <w:t xml:space="preserve"> </w:t>
      </w:r>
      <w:r w:rsidRPr="00BD1B6F">
        <w:rPr>
          <w:sz w:val="24"/>
          <w:szCs w:val="24"/>
        </w:rPr>
        <w:t>2027</w:t>
      </w:r>
      <w:r w:rsidRPr="506EEE25">
        <w:rPr>
          <w:sz w:val="24"/>
          <w:szCs w:val="24"/>
        </w:rPr>
        <w:t>.</w:t>
      </w:r>
      <w:r w:rsidRPr="00BD1B6F">
        <w:rPr>
          <w:sz w:val="24"/>
          <w:szCs w:val="24"/>
        </w:rPr>
        <w:t xml:space="preserve"> ukupne vrijednosti 1,67 milijardi eura, u okviru kojeg je za provedbu javnih politika za razvoj pametnih i održivih gradova osigurano 681,3 milijuna eura. Kako </w:t>
      </w:r>
      <w:r w:rsidRPr="00E61B92">
        <w:rPr>
          <w:sz w:val="24"/>
          <w:szCs w:val="24"/>
        </w:rPr>
        <w:t>bi se utvrdilo ispunjavaju li potencijalni gradovi središta urbanih područja preduvjete za provedbu ITU mehanizma u razdoblju 2021.</w:t>
      </w:r>
      <w:r>
        <w:rPr>
          <w:sz w:val="24"/>
          <w:szCs w:val="24"/>
        </w:rPr>
        <w:t xml:space="preserve"> </w:t>
      </w:r>
      <w:r w:rsidRPr="00E61B92">
        <w:rPr>
          <w:sz w:val="24"/>
          <w:szCs w:val="24"/>
        </w:rPr>
        <w:t>-</w:t>
      </w:r>
      <w:r>
        <w:rPr>
          <w:sz w:val="24"/>
          <w:szCs w:val="24"/>
        </w:rPr>
        <w:t xml:space="preserve"> </w:t>
      </w:r>
      <w:r w:rsidRPr="00E61B92">
        <w:rPr>
          <w:sz w:val="24"/>
          <w:szCs w:val="24"/>
        </w:rPr>
        <w:t xml:space="preserve">2027., u prosincu 2022. objavljen je ograničeni </w:t>
      </w:r>
      <w:r>
        <w:rPr>
          <w:sz w:val="24"/>
          <w:szCs w:val="24"/>
        </w:rPr>
        <w:t>p</w:t>
      </w:r>
      <w:r w:rsidRPr="00E61B92">
        <w:rPr>
          <w:sz w:val="24"/>
          <w:szCs w:val="24"/>
        </w:rPr>
        <w:t>oziv temeljem kojeg su ciljani gradovi dostavili nacrte svojih Strategija razvoja urbanih područja (u daljnjem tekstu: SRUP), akata kojim</w:t>
      </w:r>
      <w:r>
        <w:rPr>
          <w:sz w:val="24"/>
          <w:szCs w:val="24"/>
        </w:rPr>
        <w:t>a</w:t>
      </w:r>
      <w:r w:rsidRPr="00E61B92">
        <w:rPr>
          <w:sz w:val="24"/>
          <w:szCs w:val="24"/>
        </w:rPr>
        <w:t xml:space="preserve"> se ispunjavaju preduvjeti za korištenje ITU mehanizma u skladu s Višegodišnjim financijskim okvirom za razdoblje 2021.</w:t>
      </w:r>
      <w:r>
        <w:rPr>
          <w:sz w:val="24"/>
          <w:szCs w:val="24"/>
        </w:rPr>
        <w:t xml:space="preserve"> </w:t>
      </w:r>
      <w:r w:rsidRPr="00E61B92">
        <w:rPr>
          <w:sz w:val="24"/>
          <w:szCs w:val="24"/>
        </w:rPr>
        <w:t>-</w:t>
      </w:r>
      <w:r>
        <w:rPr>
          <w:sz w:val="24"/>
          <w:szCs w:val="24"/>
        </w:rPr>
        <w:t xml:space="preserve"> </w:t>
      </w:r>
      <w:r w:rsidRPr="00E61B92">
        <w:rPr>
          <w:sz w:val="24"/>
          <w:szCs w:val="24"/>
        </w:rPr>
        <w:t xml:space="preserve">2027. Usvajanje SRUP-ova za sve gradove središta urbanih područja </w:t>
      </w:r>
      <w:r>
        <w:rPr>
          <w:sz w:val="24"/>
          <w:szCs w:val="24"/>
        </w:rPr>
        <w:t>kao i</w:t>
      </w:r>
      <w:r w:rsidRPr="00E61B92">
        <w:rPr>
          <w:sz w:val="24"/>
          <w:szCs w:val="24"/>
        </w:rPr>
        <w:t xml:space="preserve"> sklapanje Sporazuma o provedbi ITU mehanizma s odabranim gradovima središtima urbanih područja u </w:t>
      </w:r>
      <w:r>
        <w:rPr>
          <w:sz w:val="24"/>
          <w:szCs w:val="24"/>
        </w:rPr>
        <w:t>očekuje se u narednom razdoblju.</w:t>
      </w:r>
    </w:p>
    <w:p w14:paraId="7D8BFFB3" w14:textId="7C0BE8C4" w:rsidR="006C00DA" w:rsidRPr="00243C18" w:rsidRDefault="00F45BB3" w:rsidP="00243C18">
      <w:pPr>
        <w:rPr>
          <w:sz w:val="24"/>
          <w:szCs w:val="24"/>
        </w:rPr>
      </w:pPr>
      <w:r w:rsidRPr="00BD1B6F">
        <w:br w:type="page"/>
      </w:r>
    </w:p>
    <w:p w14:paraId="60A5A96D" w14:textId="4645DA69" w:rsidR="006C00DA" w:rsidRPr="008115FB" w:rsidRDefault="006C00DA">
      <w:pPr>
        <w:rPr>
          <w:sz w:val="24"/>
          <w:szCs w:val="24"/>
        </w:rPr>
      </w:pPr>
    </w:p>
    <w:p w14:paraId="32E0B2FA" w14:textId="77777777" w:rsidR="00704348" w:rsidRPr="00FD2238" w:rsidRDefault="00704348" w:rsidP="00FD2238">
      <w:pPr>
        <w:spacing w:before="76"/>
        <w:ind w:left="495" w:hanging="361"/>
        <w:jc w:val="center"/>
        <w:outlineLvl w:val="1"/>
        <w:rPr>
          <w:sz w:val="24"/>
          <w:szCs w:val="24"/>
        </w:rPr>
      </w:pPr>
      <w:bookmarkStart w:id="115" w:name="_Toc156819408"/>
      <w:r w:rsidRPr="00FD2238">
        <w:rPr>
          <w:b/>
          <w:bCs/>
          <w:sz w:val="24"/>
          <w:szCs w:val="24"/>
        </w:rPr>
        <w:t>Napredak u provedbi horizontalnih prioriteta Nacionalne razvojne strategije</w:t>
      </w:r>
      <w:bookmarkEnd w:id="115"/>
    </w:p>
    <w:p w14:paraId="713EFB42" w14:textId="457754E6" w:rsidR="00704348" w:rsidRPr="00704348" w:rsidRDefault="00704348" w:rsidP="00FD2238">
      <w:pPr>
        <w:spacing w:before="240" w:line="276" w:lineRule="auto"/>
        <w:jc w:val="both"/>
      </w:pPr>
      <w:r w:rsidRPr="00704348">
        <w:rPr>
          <w:sz w:val="24"/>
          <w:szCs w:val="24"/>
        </w:rPr>
        <w:t xml:space="preserve">Nastavljeni su napori na provedbi javnih politika kojima se jamče i osiguravaju ravnopravnost, slobode i prava svakog čovjeka, uz unaprjeđivanje cjelokupnog sustava zaštite i promicanja ljudskih prava i prava nacionalnih manjina u Hrvatskoj. </w:t>
      </w:r>
    </w:p>
    <w:p w14:paraId="1839F609" w14:textId="7CC8B21E" w:rsidR="00704348" w:rsidRPr="00704348" w:rsidRDefault="00704348" w:rsidP="00FD2238">
      <w:pPr>
        <w:spacing w:before="240" w:line="276" w:lineRule="auto"/>
        <w:jc w:val="both"/>
      </w:pPr>
      <w:r w:rsidRPr="00704348">
        <w:rPr>
          <w:sz w:val="24"/>
          <w:szCs w:val="24"/>
        </w:rPr>
        <w:t xml:space="preserve">Tijekom 2022. Ured za ljudska prava i prava nacionalnih manjina, u suradnji s predstavnicima tijela državne uprave, organizacijama civilnog društva, neovisnim tijelima za zaštitu ljudskih prava i predstavnicima akademske zajednice, izradio je Prijedlog Nacionalnog plana zaštite i promicanja ljudskih prava i suzbijanja diskriminacije za razdoblje do 2027. godine, zajedno s dva pripadajuća </w:t>
      </w:r>
      <w:r w:rsidR="00AD6BF6">
        <w:rPr>
          <w:sz w:val="24"/>
          <w:szCs w:val="24"/>
        </w:rPr>
        <w:t>a</w:t>
      </w:r>
      <w:r w:rsidRPr="00704348">
        <w:rPr>
          <w:sz w:val="24"/>
          <w:szCs w:val="24"/>
        </w:rPr>
        <w:t xml:space="preserve">kcijska plana za 2023. Nacionalnim planom će se kroz višegodišnje planiranje osigurati koordinirano djelovanje tijela državne uprave na području zaštite ljudskih prava i suzbijanju diskriminacije te će se nadopuniti postojeće sektorske politike i podignuti razinu znanja i svijesti o jednakosti, kako bi svi građani mogli ostvarivati svoja prava zajamčena Ustavom i međunarodnim ugovorima za zaštitu ljudskih prava i suzbijanje diskriminacije. Nacionalni plan i pripadajući </w:t>
      </w:r>
      <w:r w:rsidR="00AD6BF6">
        <w:rPr>
          <w:sz w:val="24"/>
          <w:szCs w:val="24"/>
        </w:rPr>
        <w:t>a</w:t>
      </w:r>
      <w:r w:rsidRPr="00704348">
        <w:rPr>
          <w:sz w:val="24"/>
          <w:szCs w:val="24"/>
        </w:rPr>
        <w:t xml:space="preserve">kcijski planovi su prosincu 2022. upućeni u postupak javnog savjetovanja sa zainteresiranom javnošću te </w:t>
      </w:r>
      <w:r w:rsidR="00591C25">
        <w:rPr>
          <w:sz w:val="24"/>
          <w:szCs w:val="24"/>
        </w:rPr>
        <w:t>je</w:t>
      </w:r>
      <w:r w:rsidRPr="00704348">
        <w:rPr>
          <w:sz w:val="24"/>
          <w:szCs w:val="24"/>
        </w:rPr>
        <w:t xml:space="preserve"> </w:t>
      </w:r>
      <w:r w:rsidR="00591C25">
        <w:rPr>
          <w:sz w:val="24"/>
          <w:szCs w:val="24"/>
        </w:rPr>
        <w:t>usvajanje planirano za prvi kvartal 2023. godine</w:t>
      </w:r>
    </w:p>
    <w:p w14:paraId="02A06FB2" w14:textId="1603B390" w:rsidR="00704348" w:rsidRDefault="00704348" w:rsidP="00FD2238">
      <w:pPr>
        <w:spacing w:before="240" w:line="276" w:lineRule="auto"/>
        <w:jc w:val="both"/>
        <w:rPr>
          <w:sz w:val="24"/>
          <w:szCs w:val="24"/>
        </w:rPr>
      </w:pPr>
      <w:r w:rsidRPr="00704348">
        <w:rPr>
          <w:sz w:val="24"/>
          <w:szCs w:val="24"/>
        </w:rPr>
        <w:t>U veljači 2022., temeljem Odluke Vlade, pokrenut je postupak izrade Nacionalnog plana za suzbijanje trgovanja ljudima za razdoblje od 2022. do 2027. i pratećeg Akcijskog plana za razdoblje do 2025. Nacionalni plan će biti u potpunosti usklađen s EU strategijom suzbijanja trgovanja ljudima za razdoblje od 2021. do 2025. te relevantnim preporukama međunarodnih organizacija upućenih Hrvatskoj na području suzbijanja trgovinom ljudima (OESS, Vijeće Europe - GRETA, Državno tajništvo SAD-a - TIP Report), kao i preporukama iz Evaluacije nacionalnog referalnog sustava suzbijanja trgovanja ljudima iz listopada 2021. Za potrebe izrade Nacionalnog plana formirana je Radna skupina s 24 člana predstavnika nadležnih tijela i institucija uključenih u suzbijanje trgovine ljudima, pod vodstvom Ureda za ljudska prava i prava nacionalnih manjina.</w:t>
      </w:r>
    </w:p>
    <w:p w14:paraId="2B9BFE65" w14:textId="6A1D9D53" w:rsidR="00A35D6A" w:rsidRPr="00A35D6A" w:rsidRDefault="00A35D6A" w:rsidP="00FD2238">
      <w:pPr>
        <w:spacing w:before="240" w:line="276" w:lineRule="auto"/>
        <w:jc w:val="both"/>
        <w:rPr>
          <w:sz w:val="24"/>
          <w:szCs w:val="24"/>
        </w:rPr>
      </w:pPr>
      <w:r w:rsidRPr="00A35D6A">
        <w:rPr>
          <w:sz w:val="24"/>
          <w:szCs w:val="24"/>
        </w:rPr>
        <w:t xml:space="preserve">Tijekom 2022. godine dovršena je izrada Nacionalnog plana za ravnopravnost spolova za razdoblje od 2022. do 2027. godine te pripadajućeg Akcijskog plana za provedbu Nacionalnog plana za razdoblje do 2024. godine, nositelj kojih je Ured za ravnopravnost spolova. Na tekstu je radila Radna skupina koja je brojila 21 člana, predstavnike tijela državne uprave, jedinica lokalne/regionalne samouprave, znanstvene zajednice i nevladinog sektora. Budući da je ravnopravnost spolova kao područje navedeno u Nacionalnoj razvojnoj strategiji Republike Hrvatske do 2030. godine kao </w:t>
      </w:r>
      <w:r w:rsidRPr="00A35D6A">
        <w:rPr>
          <w:sz w:val="24"/>
          <w:szCs w:val="24"/>
        </w:rPr>
        <w:lastRenderedPageBreak/>
        <w:t>horizontalni prioritet, u tom smislu sve javne politike i prioriteti u Nacionalnoj razvojnoj strategiji te u aktima strateškog planiranja koji proizlaze iz Strategije provod</w:t>
      </w:r>
      <w:r w:rsidR="00180730">
        <w:rPr>
          <w:sz w:val="24"/>
          <w:szCs w:val="24"/>
        </w:rPr>
        <w:t>e se</w:t>
      </w:r>
      <w:r w:rsidRPr="00A35D6A">
        <w:rPr>
          <w:sz w:val="24"/>
          <w:szCs w:val="24"/>
        </w:rPr>
        <w:t xml:space="preserve"> s ciljem uspostavljanja ravnopravnosti i promicanja jednakih mogućnosti. Nacionalni plan komplementaran je i s prioritetima Strategije za ravnopravnost spolova Vijeća Europe od 2018. do 2023. godine te s prioritetima Strategije za rodnu ravnopravnost Europske komisije od 2020. do 2025. godine, a podupire i Ciljeve održivog razvoja UN-a (podcilj 5: ravnopravnost spolova).</w:t>
      </w:r>
    </w:p>
    <w:p w14:paraId="5FE9AA85" w14:textId="03950803" w:rsidR="00704348" w:rsidRPr="00704348" w:rsidRDefault="00704348" w:rsidP="00FD2238">
      <w:pPr>
        <w:spacing w:before="240" w:line="276" w:lineRule="auto"/>
        <w:jc w:val="both"/>
      </w:pPr>
      <w:r w:rsidRPr="00704348">
        <w:rPr>
          <w:sz w:val="24"/>
          <w:szCs w:val="24"/>
        </w:rPr>
        <w:t xml:space="preserve">Nastavljeni su napori u okviru provedbe Nacionalnog plana za uključivanje Roma za razdoblje od 2021. do 2027. godine. U 2022. se u odnosu na početne vrijednosti neznatno povećao obuhvat djece pripadnika romske nacionalne manjine (3-6 godina) predškolskim odgojem i obrazovanjem na 24%, dok je udio djece pripadnika romske nacionalne manjine koja pohađaju razrede u kojima je većina ili su svi učenici Romi, nažalost nastavio negativan trend te sada iznosi visokih 53%. U području zapošljavanja zabilježen je značajan pomak prema ciljanim vrijednostima u odnosu na udio zaposlenih pripadnika romske nacionalne manjine (s 18,3% na 41%), kao i u odnosu na smanjenje udjela mladih koji se ne obrazuju, ne rade niti ne usavršavaju (s 63,30% na 49%). No, i dalje zabrinjava jaz između Roma i Romkinja u zapošljavanju, koji se u međuvremenu gotovo udvostručio (s 21,40% na 40%) te ukazuje na potrebu snažnijeg djelovanja u smjeru zapošljavanja Romkinja kako bi se vrijednost jaza smanjila na planiranih 10,7%. Nadalje, u kontekstu prijavljivanja diskriminacije, vidljivo je kako pokrenute mjere i aktivnosti proizvode </w:t>
      </w:r>
      <w:r w:rsidR="00E80068">
        <w:rPr>
          <w:sz w:val="24"/>
          <w:szCs w:val="24"/>
        </w:rPr>
        <w:t xml:space="preserve">samo ograničene </w:t>
      </w:r>
      <w:r w:rsidRPr="00704348">
        <w:rPr>
          <w:sz w:val="24"/>
          <w:szCs w:val="24"/>
        </w:rPr>
        <w:t xml:space="preserve">ishode te je udio Roma koji su doživjeli diskriminaciju u posljednjih 12 mjeseci, u 2022. neznatno smanjen na 27% (s 28,2% u 2021.). </w:t>
      </w:r>
    </w:p>
    <w:p w14:paraId="223FACA0" w14:textId="77777777" w:rsidR="00704348" w:rsidRPr="00704348" w:rsidRDefault="00704348" w:rsidP="00FD2238">
      <w:pPr>
        <w:spacing w:line="276" w:lineRule="auto"/>
        <w:jc w:val="both"/>
      </w:pPr>
    </w:p>
    <w:p w14:paraId="7FCE4DB6" w14:textId="77777777" w:rsidR="00704348" w:rsidRPr="00704348" w:rsidRDefault="00704348" w:rsidP="00FD2238">
      <w:pPr>
        <w:spacing w:after="240" w:line="276" w:lineRule="auto"/>
        <w:jc w:val="both"/>
      </w:pPr>
      <w:r w:rsidRPr="00704348">
        <w:rPr>
          <w:sz w:val="24"/>
          <w:szCs w:val="24"/>
        </w:rPr>
        <w:t xml:space="preserve">Nadalje, ostvareni su značajni pomaci u smanjenju stopa materijalne i stambene deprivacije i to kako kod opće populacije Roma tako i kod populacije romske djece. U odnosu na stopu teške materijalne deprivacije opće populacije Roma, koja je smanjena na 29%, premašena je ciljana vrijednost (35%), dok je kod populacije romske djece ostvaren značajan pomak u dostizanju ciljne vrijednosti pokazatelja (smanjenje sa 76% na 29%). Navedeno se može dovesti u vezu s provedbom aktivnosti Godišnjeg programa unapređenja životnih uvjeta pripadnika romske nacionalne manjine putem kojeg je pripadnicima romske nacionalne manjine od 2019. nadalje bilo osigurano opremanje domova sanitarnom opremom i aparatima bijele tehnike. </w:t>
      </w:r>
    </w:p>
    <w:p w14:paraId="28884C49" w14:textId="076115C3" w:rsidR="00704348" w:rsidRPr="00704348" w:rsidRDefault="00704348" w:rsidP="00FD2238">
      <w:pPr>
        <w:spacing w:after="240" w:line="276" w:lineRule="auto"/>
        <w:jc w:val="both"/>
      </w:pPr>
      <w:r w:rsidRPr="00704348">
        <w:rPr>
          <w:sz w:val="24"/>
          <w:szCs w:val="24"/>
        </w:rPr>
        <w:t xml:space="preserve">U 2022. je zabilježeno poboljšanje i u odnosu na stopu rizika od siromaštva opće populacije Roma koja je smanjena na 86% (93% u 2021.), dok je stopa rizika od siromaštva kod romske djece smanjena na 91% (95% u 2021.). Navedeno poboljšanje se može smatrati zadovoljavajućim, pogotovo imajući u vidu da je početak provedbe ključnih aktivnosti Nacionalnog plana usmjerenih na smanjenje rizika od siromaštva </w:t>
      </w:r>
      <w:r w:rsidRPr="00704348">
        <w:rPr>
          <w:sz w:val="24"/>
          <w:szCs w:val="24"/>
        </w:rPr>
        <w:lastRenderedPageBreak/>
        <w:t xml:space="preserve">Roma i romske djece planiran za 2024. U području stanovanja, ostvareni su primjetni pomaci prema ciljanim vrijednostima pokazatelja uspješnosti. Smanjio se udio stambeno depriviranih Roma (s 69% na 55%), a povećao se i udio romske populacije koje u kućanstvu ima priključak na sustav javne vodoopskrbe (s 66% na 80%). Jedini pokazatelj ishoda u području stanovanja na koji se u izvještajnom razdoblju nije uspjelo značajnije djelovati jest „udio romskog stanovništva koji živi u prenapučenim prostorima“, a koji i dalje iznosi visokih 84%. Podaci vezani uz razlike u očekivanom životom vijeku Roma i Romkinja na razini populacije, ukazuju na negativan trend povećanja u odnosu na opću populaciju, a zabrinjavajuća je razlika u očekivanom životnom vijeku žena pripadnica romske nacionalne manjine kojima je prosječan životni vijek 15,7 godina kraći od opće populacije hrvatskih građana te 5 godina kraći od muških pripadnika romske zajednice. Posebno zabrinjava smanjivanje udjela osoba romske pripadnosti koje su incident diskriminacije spremne prijaviti nadležnim tijelima, koji se s relativno visokih 18% u 2021. smanjio na samo 5% u 2022. </w:t>
      </w:r>
    </w:p>
    <w:p w14:paraId="0FE34817" w14:textId="77777777" w:rsidR="00704348" w:rsidRPr="00704348" w:rsidRDefault="00704348" w:rsidP="00FD2238">
      <w:pPr>
        <w:spacing w:line="274" w:lineRule="auto"/>
        <w:jc w:val="both"/>
      </w:pPr>
      <w:r w:rsidRPr="00704348">
        <w:rPr>
          <w:sz w:val="24"/>
          <w:szCs w:val="24"/>
        </w:rPr>
        <w:t xml:space="preserve">Dostupni podaci upućuju na zaključak kako je potrebno intenzivirati napore u području odgoja i obrazovanja djece pripadnika romske manjine, smanjivanju rizika od siromaštva romske djece, većem zapošljavanju Romkinja, borbi protiv diskriminacije te smanjenju prenapučenosti u romskim kućanstvima i poboljšanju očekivanog trajanja životnog vijeka. Kako bi se doprinijelo uvjetima za poboljšanja u navedenim područjima, u listopadu 2022. pokrenut je postupak izrade drugog Akcijskog plana za provedbu Nacionalnog plana za uključivanje Roma, za razdoblje 2023.-2025. Oformljena je Radna skupina za izradu Akcijskog plana, sastavljena od predstavnika nadležnih tijela, predstavnika romske nacionalne manjine, organizacija civilnog društva, akademske zajednice i pravobraniteljstva te je u studenom 2022. održan prvi sastanak Radne skupine, a donošenje Akcijskog plana se očekuje tijekom 2023. </w:t>
      </w:r>
    </w:p>
    <w:p w14:paraId="1D515D58" w14:textId="77777777" w:rsidR="00704348" w:rsidRPr="00704348" w:rsidRDefault="00704348" w:rsidP="00FD2238">
      <w:pPr>
        <w:spacing w:before="240" w:line="274" w:lineRule="auto"/>
        <w:jc w:val="both"/>
      </w:pPr>
      <w:r w:rsidRPr="00704348">
        <w:rPr>
          <w:sz w:val="24"/>
          <w:szCs w:val="24"/>
        </w:rPr>
        <w:t>Nadalje, tijekom 2022. je pokrenut postupak prilagodbe Akcijskog plana za integraciju osoba kojima je odobrena međunarodna zaštita, novom Nacionalnom programu za integraciju osoba kojima je odobrena međunarodna zaštita za razdoblje 2023.-2025. Nacionalnim programom osigurava se operativna primjena prava zajamčenih Zakonom o međunarodnoj i privremenoj zaštiti te se unaprjeđuju postojeće procedure i integracije osoba kojima je odobrena međunarodna zaštita. U skladu sa strateškim ciljevima zaštite i promicanja ljudskih prava te načelima višerazinske i međusektorske suradnje, nastaviti će se senzibilizacija opće i stručne javnosti.</w:t>
      </w:r>
    </w:p>
    <w:p w14:paraId="5576BB48" w14:textId="77777777" w:rsidR="00704348" w:rsidRPr="00704348" w:rsidRDefault="00704348" w:rsidP="00FD2238">
      <w:pPr>
        <w:spacing w:before="240" w:after="240" w:line="274" w:lineRule="auto"/>
        <w:jc w:val="both"/>
      </w:pPr>
      <w:r w:rsidRPr="00704348">
        <w:rPr>
          <w:sz w:val="24"/>
          <w:szCs w:val="24"/>
        </w:rPr>
        <w:t xml:space="preserve">Nastavljeno je ugovaranje i potpora projektima u okviru prihvata Poziva “Jačanje kapaciteta OCD-a za odgovaranje na potrebe lokalne zajednice” čime su udruge aktivne na lokalnim razinama prepoznate kao važni akteri demokratskog društva, te podržane u pronalaženju najboljih rješenja, uzimajući u obzir lokalne potrebe i interese. </w:t>
      </w:r>
      <w:r w:rsidRPr="00704348">
        <w:rPr>
          <w:sz w:val="24"/>
          <w:szCs w:val="24"/>
        </w:rPr>
        <w:lastRenderedPageBreak/>
        <w:t>Problemi s kojima se susreću lokalne zajednice su određeni specifičnim geografskim faktorima, ali i političkim i ekonomskim čimbenicima. Obzirom da su Organizacije civilnoga društva (u daljnjem tekstu: OCD) značajna karika u upravljanju i prevladavanju kriznih situacija, u 2022. je ugovoreno 164 projekta OCD-ova u ukupne vrijednosti 9,7 milijuna eura, od čega je isplaćeno 6,8 milijuna eura za ugovorene projekte. Na taj način se nastavila pružati pomoć i potpora OCD-ima na potresom razorenim područjima Grada Zagreba, Sisačko-moslavačke županije i Zagrebačke županije.</w:t>
      </w:r>
    </w:p>
    <w:p w14:paraId="46FB897B" w14:textId="270C6A37" w:rsidR="00704348" w:rsidRPr="00704348" w:rsidRDefault="00704348" w:rsidP="00FD2238">
      <w:pPr>
        <w:spacing w:before="240" w:after="240" w:line="274" w:lineRule="auto"/>
        <w:jc w:val="both"/>
      </w:pPr>
      <w:r w:rsidRPr="00704348">
        <w:rPr>
          <w:sz w:val="24"/>
          <w:szCs w:val="24"/>
        </w:rPr>
        <w:t>Tijekom 2022. nastavljeni su napori na izradi Nacionalnog plana stvaranja poticajnog okruženja za razvoj civilnog društva 2023.-2030. godine. Nacionalni plan predstavlja akt strateškog planiranja kojim se utvrđuje politika Vlade u poticanju i daljnjem unapređenju normativnog, financijskog i institucionalnog okruženja za razvoj civilnoga društva te osiguravanju potpore djelovanju OCD-ova kao važnih čimbenika društveno-ekonomskog razvoja Hrvatske. Temeljem rada Radne skupine, sastavljene od predstavnika tijela javne uprave, akademske zajednice i predstavnika organizacija civilnoga društva, utvrđeni su posebni ciljevi i mjere Nacionalnog plana koji će se provoditi u razdoblju do 2030. godine, a donošenje Nacionalnog plana s pripadajućim Akcijskim planom se očekuje tijekom 2023.</w:t>
      </w:r>
    </w:p>
    <w:p w14:paraId="3AD602BC" w14:textId="5894DFE6" w:rsidR="00704348" w:rsidRPr="00704348" w:rsidRDefault="00704348" w:rsidP="00FD2238">
      <w:pPr>
        <w:spacing w:line="274" w:lineRule="auto"/>
        <w:jc w:val="both"/>
        <w:rPr>
          <w:b/>
          <w:bCs/>
          <w:color w:val="000000" w:themeColor="text1"/>
          <w:sz w:val="32"/>
          <w:szCs w:val="32"/>
        </w:rPr>
      </w:pPr>
      <w:r w:rsidRPr="00704348">
        <w:rPr>
          <w:sz w:val="24"/>
          <w:szCs w:val="24"/>
        </w:rPr>
        <w:t>Važnost prenošenja znanja i vještina na svim obrazovnim razinama i svim vidovima obrazovanja (formalnom, neformalnom i informalnom) je ključna društvena i gospodarska investicija, nužna za postizanje održivog razvoja gospodarstva i društva. Obzirom da se zbog prilagodbe društva visokotehnološkom razvoju, očekuje daljnji rast potreba za vještinama iz STEM područja znanosti, Vlada je prepoznala potrebu za popularizacijom znanja u STEM područjima znanosti, uz pristup prilagođen ciljanim skupinama, ponajviše najmlađim generacijama. Stoga je Ured za udruge u 2022. nastavio provedbu Poziva „Jačanje kapaciteta organizacija civilnoga društva za popularizaciju STEM-a“, financiranog sredstvima iz OPULJP-a 2014.-2020. Tijekom 2022. su donesene su odluke o financiranju te je s korisnicima potpisano 10 ugovora o financiranju projekata OCD-ova ukupne vrijednosti 2,8 milijuna eura. Dosad su u okviru navedenog poziva provedena ukupno 63 projekta OCD-ova, ukupne vrijednosti 4,6 milijuna eura, kojima je podržana provedba više od 7.700 radionica u STEM područjima znanosti, na kojima je više od 52.000 djece i mladih dobilo priliku razviti prirodoznanstvenu pismenost. Također, postavljeno je 118 trajnih postava u obrazovnim ustanovama na području Hrvatske i provedeno je 95 studijskih putovanja na kojima su uspostavljeni kontakti za nastavak suradnje i daljnje jačanje kapaciteta OCD-ova u području promoviranja vještina u STEM područjima znanosti. Obzirom na pozitivna iskustva i ostvarene rezultate u dosad provedenim projektima, planiran je nastavak aktivnosti popularizacije STEM područja znanosti i u novom financij</w:t>
      </w:r>
      <w:r w:rsidRPr="00704348">
        <w:rPr>
          <w:sz w:val="24"/>
          <w:szCs w:val="24"/>
        </w:rPr>
        <w:lastRenderedPageBreak/>
        <w:t>skom razdoblju EU-a 2021.-2027., uz nadogradnju poziva u modalitet otvorenog privremenog poziva, kojim će se dodatno poboljšati kvaliteta projektnih prijedloga.</w:t>
      </w:r>
      <w:r w:rsidRPr="00704348">
        <w:rPr>
          <w:b/>
          <w:bCs/>
          <w:color w:val="000000" w:themeColor="text1"/>
          <w:sz w:val="32"/>
          <w:szCs w:val="32"/>
        </w:rPr>
        <w:br w:type="page"/>
      </w:r>
    </w:p>
    <w:p w14:paraId="201529D0" w14:textId="2F208E07" w:rsidR="0513231A" w:rsidRPr="00BD1B6F" w:rsidRDefault="1AAD8E9E" w:rsidP="00FD2238">
      <w:pPr>
        <w:pStyle w:val="Heading2"/>
        <w:jc w:val="center"/>
        <w:rPr>
          <w:sz w:val="24"/>
          <w:szCs w:val="24"/>
        </w:rPr>
      </w:pPr>
      <w:bookmarkStart w:id="116" w:name="_Toc156819409"/>
      <w:r w:rsidRPr="00BD1B6F">
        <w:rPr>
          <w:color w:val="000000" w:themeColor="text1"/>
          <w:sz w:val="24"/>
          <w:szCs w:val="24"/>
        </w:rPr>
        <w:lastRenderedPageBreak/>
        <w:t xml:space="preserve">Zaključak </w:t>
      </w:r>
      <w:r w:rsidRPr="00BD1B6F">
        <w:rPr>
          <w:sz w:val="24"/>
          <w:szCs w:val="24"/>
        </w:rPr>
        <w:t>o napretku</w:t>
      </w:r>
      <w:r w:rsidR="457005C4" w:rsidRPr="00BD1B6F">
        <w:rPr>
          <w:sz w:val="24"/>
          <w:szCs w:val="24"/>
        </w:rPr>
        <w:t xml:space="preserve"> u</w:t>
      </w:r>
      <w:r w:rsidRPr="00BD1B6F">
        <w:rPr>
          <w:sz w:val="24"/>
          <w:szCs w:val="24"/>
        </w:rPr>
        <w:t xml:space="preserve"> </w:t>
      </w:r>
      <w:r w:rsidR="009306E4" w:rsidRPr="00BD1B6F">
        <w:rPr>
          <w:sz w:val="24"/>
          <w:szCs w:val="24"/>
        </w:rPr>
        <w:t>provedbi Nacionalne razvojne strategije</w:t>
      </w:r>
      <w:r w:rsidR="29126E5B" w:rsidRPr="00BD1B6F">
        <w:rPr>
          <w:sz w:val="24"/>
          <w:szCs w:val="24"/>
        </w:rPr>
        <w:t xml:space="preserve"> Republike Hrvatske do 2030. godine, tijekom 2022. godine</w:t>
      </w:r>
      <w:bookmarkEnd w:id="116"/>
    </w:p>
    <w:p w14:paraId="471F5A10" w14:textId="77777777" w:rsidR="00055E2B" w:rsidRPr="00BD1B6F" w:rsidRDefault="00055E2B" w:rsidP="00055E2B">
      <w:pPr>
        <w:spacing w:before="240" w:after="240" w:line="276" w:lineRule="auto"/>
        <w:jc w:val="both"/>
      </w:pPr>
      <w:r w:rsidRPr="00FD2238">
        <w:rPr>
          <w:sz w:val="24"/>
          <w:szCs w:val="24"/>
        </w:rPr>
        <w:t>Provedba NRS-a 2030</w:t>
      </w:r>
      <w:r>
        <w:rPr>
          <w:sz w:val="24"/>
          <w:szCs w:val="24"/>
        </w:rPr>
        <w:t>.</w:t>
      </w:r>
      <w:r w:rsidRPr="00FD2238">
        <w:rPr>
          <w:sz w:val="24"/>
          <w:szCs w:val="24"/>
        </w:rPr>
        <w:t xml:space="preserve"> tijekom 2022. odvijala se u značajno izmijenjenim političkim i gospodarskim okolnostima. Otvaranje gospodarstava nakon pandemije COVID-19 i oporavak globalne potražnje za robama, doveli su do izraženih pritisaka na globalne opskrbne lance te uzrokovali porast cijena i produljivanje rokova isporuke. Dodatni pritisak na rast cijena, kako poljoprivrednih</w:t>
      </w:r>
      <w:r>
        <w:rPr>
          <w:sz w:val="24"/>
          <w:szCs w:val="24"/>
        </w:rPr>
        <w:t>,</w:t>
      </w:r>
      <w:r w:rsidRPr="00FD2238">
        <w:rPr>
          <w:sz w:val="24"/>
          <w:szCs w:val="24"/>
        </w:rPr>
        <w:t xml:space="preserve"> tako i industrijskih proizvoda</w:t>
      </w:r>
      <w:r>
        <w:rPr>
          <w:sz w:val="24"/>
          <w:szCs w:val="24"/>
        </w:rPr>
        <w:t>,</w:t>
      </w:r>
      <w:r w:rsidRPr="00FD2238">
        <w:rPr>
          <w:sz w:val="24"/>
          <w:szCs w:val="24"/>
        </w:rPr>
        <w:t xml:space="preserve"> </w:t>
      </w:r>
      <w:r>
        <w:rPr>
          <w:sz w:val="24"/>
          <w:szCs w:val="24"/>
        </w:rPr>
        <w:t>uzročna je posljedica</w:t>
      </w:r>
      <w:r w:rsidRPr="00FD2238" w:rsidDel="005252DD">
        <w:rPr>
          <w:sz w:val="24"/>
          <w:szCs w:val="24"/>
        </w:rPr>
        <w:t xml:space="preserve"> </w:t>
      </w:r>
      <w:r w:rsidRPr="00FD2238">
        <w:rPr>
          <w:sz w:val="24"/>
          <w:szCs w:val="24"/>
        </w:rPr>
        <w:t>rat</w:t>
      </w:r>
      <w:r>
        <w:rPr>
          <w:sz w:val="24"/>
          <w:szCs w:val="24"/>
        </w:rPr>
        <w:t>a</w:t>
      </w:r>
      <w:r w:rsidRPr="00FD2238">
        <w:rPr>
          <w:sz w:val="24"/>
          <w:szCs w:val="24"/>
        </w:rPr>
        <w:t xml:space="preserve"> u Ukrajini. Tijekom 2022. zabilježeno je snažno ubrzanje inflacije, s 5,7% u siječnju</w:t>
      </w:r>
      <w:r>
        <w:rPr>
          <w:sz w:val="24"/>
          <w:szCs w:val="24"/>
        </w:rPr>
        <w:t>,</w:t>
      </w:r>
      <w:r w:rsidRPr="00FD2238">
        <w:rPr>
          <w:sz w:val="24"/>
          <w:szCs w:val="24"/>
        </w:rPr>
        <w:t xml:space="preserve"> na prosječnu razinu od 13,3% u posljednjem tromjesečju 2022., ponajviše pod utjecajem povećanja cijena energenata i većine drugih kategorija primarnih sirovina na svjetskom tržištu.</w:t>
      </w:r>
    </w:p>
    <w:p w14:paraId="2E049638" w14:textId="77777777" w:rsidR="00F077D6" w:rsidRPr="00BD1B6F" w:rsidRDefault="00F077D6" w:rsidP="00F077D6">
      <w:pPr>
        <w:spacing w:before="240" w:after="240" w:line="276" w:lineRule="auto"/>
        <w:jc w:val="both"/>
      </w:pPr>
      <w:r w:rsidRPr="00BD1B6F">
        <w:rPr>
          <w:sz w:val="24"/>
          <w:szCs w:val="24"/>
        </w:rPr>
        <w:t>Unatoč gotovo konstantnim kriznim razdobljima u posljednjih nekoliko godina, ostvaren je realni rast BDP-a od 6,</w:t>
      </w:r>
      <w:r>
        <w:rPr>
          <w:sz w:val="24"/>
          <w:szCs w:val="24"/>
        </w:rPr>
        <w:t>3</w:t>
      </w:r>
      <w:r w:rsidRPr="00BD1B6F">
        <w:rPr>
          <w:sz w:val="24"/>
          <w:szCs w:val="24"/>
        </w:rPr>
        <w:t>%</w:t>
      </w:r>
      <w:r>
        <w:rPr>
          <w:sz w:val="24"/>
          <w:szCs w:val="24"/>
        </w:rPr>
        <w:t>,</w:t>
      </w:r>
      <w:r w:rsidRPr="00BD1B6F">
        <w:rPr>
          <w:sz w:val="24"/>
          <w:szCs w:val="24"/>
        </w:rPr>
        <w:t xml:space="preserve"> a zabilježen je i proračunski višak u iznosu od 0,4% BDP-a, uz smanjenje javnog duga od 10 postotnih bodova na 68,4% u odnosu na prethodnu godinu</w:t>
      </w:r>
      <w:r w:rsidRPr="00FD2238">
        <w:rPr>
          <w:sz w:val="24"/>
          <w:szCs w:val="24"/>
        </w:rPr>
        <w:t>. Realni je rast hrvatskog</w:t>
      </w:r>
      <w:r>
        <w:rPr>
          <w:sz w:val="24"/>
          <w:szCs w:val="24"/>
        </w:rPr>
        <w:t xml:space="preserve"> robnog</w:t>
      </w:r>
      <w:r w:rsidRPr="00FD2238">
        <w:rPr>
          <w:sz w:val="24"/>
          <w:szCs w:val="24"/>
        </w:rPr>
        <w:t xml:space="preserve"> izvoza bio najviši od svih država članica EU-a</w:t>
      </w:r>
      <w:r>
        <w:rPr>
          <w:sz w:val="24"/>
          <w:szCs w:val="24"/>
        </w:rPr>
        <w:t xml:space="preserve"> te je ukupni izvoz robe i usluga</w:t>
      </w:r>
      <w:r w:rsidRPr="00FD2238">
        <w:rPr>
          <w:sz w:val="24"/>
          <w:szCs w:val="24"/>
        </w:rPr>
        <w:t xml:space="preserve"> doseg</w:t>
      </w:r>
      <w:r>
        <w:rPr>
          <w:sz w:val="24"/>
          <w:szCs w:val="24"/>
        </w:rPr>
        <w:t>ao</w:t>
      </w:r>
      <w:r w:rsidRPr="00FD2238">
        <w:rPr>
          <w:sz w:val="24"/>
          <w:szCs w:val="24"/>
        </w:rPr>
        <w:t xml:space="preserve"> razinu od 6</w:t>
      </w:r>
      <w:r>
        <w:rPr>
          <w:sz w:val="24"/>
          <w:szCs w:val="24"/>
        </w:rPr>
        <w:t>0,2</w:t>
      </w:r>
      <w:r w:rsidRPr="00FD2238">
        <w:rPr>
          <w:sz w:val="24"/>
          <w:szCs w:val="24"/>
        </w:rPr>
        <w:t xml:space="preserve">% BDP-a, dok je udio </w:t>
      </w:r>
      <w:r w:rsidRPr="00BD1B6F">
        <w:rPr>
          <w:sz w:val="24"/>
          <w:szCs w:val="24"/>
        </w:rPr>
        <w:t>BDP-a po stanovniku prema paritetu kupovne moći dosegao razinu od 73% prosjeka EU-a.</w:t>
      </w:r>
    </w:p>
    <w:p w14:paraId="4ACFCBF6" w14:textId="506C61EB" w:rsidR="002D2CFF" w:rsidRDefault="002D2CFF" w:rsidP="002D2CFF">
      <w:pPr>
        <w:spacing w:before="240" w:after="240" w:line="276" w:lineRule="auto"/>
        <w:jc w:val="both"/>
        <w:rPr>
          <w:sz w:val="24"/>
          <w:szCs w:val="24"/>
        </w:rPr>
      </w:pPr>
      <w:r w:rsidRPr="00BD1B6F">
        <w:rPr>
          <w:sz w:val="24"/>
          <w:szCs w:val="24"/>
        </w:rPr>
        <w:t xml:space="preserve">Tijekom 2022., uz značajan rast izvoza roba i usluga, </w:t>
      </w:r>
      <w:r>
        <w:rPr>
          <w:sz w:val="24"/>
          <w:szCs w:val="24"/>
        </w:rPr>
        <w:t xml:space="preserve">jačanje </w:t>
      </w:r>
      <w:r w:rsidRPr="00BD1B6F">
        <w:rPr>
          <w:sz w:val="24"/>
          <w:szCs w:val="24"/>
        </w:rPr>
        <w:t>konkurentnosti te</w:t>
      </w:r>
      <w:r>
        <w:rPr>
          <w:sz w:val="24"/>
          <w:szCs w:val="24"/>
        </w:rPr>
        <w:t xml:space="preserve"> poboljšanje</w:t>
      </w:r>
      <w:r w:rsidRPr="00BD1B6F">
        <w:rPr>
          <w:sz w:val="24"/>
          <w:szCs w:val="24"/>
        </w:rPr>
        <w:t xml:space="preserve"> djelotvornosti javnog i gospodarskog sektora,  ostvaren </w:t>
      </w:r>
      <w:r w:rsidR="008C19EE">
        <w:rPr>
          <w:sz w:val="24"/>
          <w:szCs w:val="24"/>
        </w:rPr>
        <w:t xml:space="preserve">je </w:t>
      </w:r>
      <w:r w:rsidR="008C19EE" w:rsidRPr="00BD1B6F">
        <w:rPr>
          <w:sz w:val="24"/>
          <w:szCs w:val="24"/>
        </w:rPr>
        <w:t xml:space="preserve">napredak </w:t>
      </w:r>
      <w:r w:rsidRPr="00BD1B6F">
        <w:rPr>
          <w:sz w:val="24"/>
          <w:szCs w:val="24"/>
        </w:rPr>
        <w:t xml:space="preserve">u provedbi ciljeva NRS-a. Zbog nedostupnosti podataka o </w:t>
      </w:r>
      <w:r>
        <w:rPr>
          <w:sz w:val="24"/>
          <w:szCs w:val="24"/>
        </w:rPr>
        <w:t xml:space="preserve">regionalnom </w:t>
      </w:r>
      <w:r w:rsidRPr="00BD1B6F">
        <w:rPr>
          <w:sz w:val="24"/>
          <w:szCs w:val="24"/>
        </w:rPr>
        <w:t>BDP-</w:t>
      </w:r>
      <w:r>
        <w:rPr>
          <w:sz w:val="24"/>
          <w:szCs w:val="24"/>
        </w:rPr>
        <w:t>u</w:t>
      </w:r>
      <w:r w:rsidRPr="00BD1B6F">
        <w:rPr>
          <w:sz w:val="24"/>
          <w:szCs w:val="24"/>
        </w:rPr>
        <w:t xml:space="preserve"> </w:t>
      </w:r>
      <w:r>
        <w:rPr>
          <w:sz w:val="24"/>
          <w:szCs w:val="24"/>
        </w:rPr>
        <w:t>po stanovniku za izvještajno razdoblje,</w:t>
      </w:r>
      <w:r w:rsidRPr="00BD1B6F">
        <w:rPr>
          <w:sz w:val="24"/>
          <w:szCs w:val="24"/>
        </w:rPr>
        <w:t xml:space="preserve"> nije moguće utvrditi razinu uspješnosti provedbe strateškog cilja </w:t>
      </w:r>
      <w:r>
        <w:rPr>
          <w:sz w:val="24"/>
          <w:szCs w:val="24"/>
        </w:rPr>
        <w:t>„</w:t>
      </w:r>
      <w:r w:rsidRPr="00BD1B6F">
        <w:rPr>
          <w:sz w:val="24"/>
          <w:szCs w:val="24"/>
        </w:rPr>
        <w:t>Razvoj potpomognutih područja i područja s razvojnim posebnostima</w:t>
      </w:r>
      <w:r>
        <w:rPr>
          <w:sz w:val="24"/>
          <w:szCs w:val="24"/>
        </w:rPr>
        <w:t>“</w:t>
      </w:r>
      <w:r w:rsidR="00995EFB">
        <w:rPr>
          <w:sz w:val="24"/>
          <w:szCs w:val="24"/>
        </w:rPr>
        <w:t xml:space="preserve"> kroz pokazatelj</w:t>
      </w:r>
      <w:r w:rsidR="00354F6C">
        <w:rPr>
          <w:sz w:val="24"/>
          <w:szCs w:val="24"/>
        </w:rPr>
        <w:t xml:space="preserve"> uspješnosti</w:t>
      </w:r>
      <w:r w:rsidRPr="00BD1B6F">
        <w:rPr>
          <w:sz w:val="24"/>
          <w:szCs w:val="24"/>
        </w:rPr>
        <w:t xml:space="preserve">, no prema </w:t>
      </w:r>
      <w:r>
        <w:rPr>
          <w:sz w:val="24"/>
          <w:szCs w:val="24"/>
        </w:rPr>
        <w:t xml:space="preserve">podacima navedenima u </w:t>
      </w:r>
      <w:r w:rsidRPr="00BD1B6F">
        <w:rPr>
          <w:sz w:val="24"/>
          <w:szCs w:val="24"/>
        </w:rPr>
        <w:t xml:space="preserve">opisu napretka </w:t>
      </w:r>
      <w:r>
        <w:rPr>
          <w:sz w:val="24"/>
          <w:szCs w:val="24"/>
        </w:rPr>
        <w:t xml:space="preserve">pripadajućih prioritetnih područja javnih politika, </w:t>
      </w:r>
      <w:r w:rsidR="00995EFB">
        <w:rPr>
          <w:sz w:val="24"/>
          <w:szCs w:val="24"/>
        </w:rPr>
        <w:t xml:space="preserve">može se zaključiti da je </w:t>
      </w:r>
      <w:r>
        <w:rPr>
          <w:sz w:val="24"/>
          <w:szCs w:val="24"/>
        </w:rPr>
        <w:t xml:space="preserve">uspješno </w:t>
      </w:r>
      <w:r w:rsidRPr="00BD1B6F">
        <w:rPr>
          <w:sz w:val="24"/>
          <w:szCs w:val="24"/>
        </w:rPr>
        <w:t xml:space="preserve">nastavljena provedba javnih politika </w:t>
      </w:r>
      <w:r w:rsidR="00995EFB">
        <w:rPr>
          <w:sz w:val="24"/>
          <w:szCs w:val="24"/>
        </w:rPr>
        <w:t>i u navedenom cilju.</w:t>
      </w:r>
      <w:r w:rsidRPr="00BD1B6F">
        <w:rPr>
          <w:sz w:val="24"/>
          <w:szCs w:val="24"/>
        </w:rPr>
        <w:t xml:space="preserve"> </w:t>
      </w:r>
    </w:p>
    <w:p w14:paraId="71BC78B7" w14:textId="74A7790B" w:rsidR="39676F00" w:rsidRPr="00BD1B6F" w:rsidRDefault="0513231A" w:rsidP="0076382C">
      <w:pPr>
        <w:spacing w:before="240" w:after="240" w:line="276" w:lineRule="auto"/>
        <w:jc w:val="both"/>
        <w:rPr>
          <w:sz w:val="24"/>
          <w:szCs w:val="24"/>
        </w:rPr>
      </w:pPr>
      <w:r w:rsidRPr="00BD1B6F">
        <w:rPr>
          <w:sz w:val="24"/>
          <w:szCs w:val="24"/>
        </w:rPr>
        <w:t xml:space="preserve">Hrvatska je u odnosu na 2021. blago nazadovala na ukupnoj ljestvici Indeksa (DESI) kojom se prati uspješnost Digitalne transformacije društva i gospodarstva, ali važno je istaknuti da je zabilježila snažan napredak u području ljudskog kapitala te pozitivan pomak u području </w:t>
      </w:r>
      <w:r w:rsidR="00970AEB">
        <w:rPr>
          <w:sz w:val="24"/>
          <w:szCs w:val="24"/>
        </w:rPr>
        <w:t xml:space="preserve">digitalnih </w:t>
      </w:r>
      <w:r w:rsidRPr="00BD1B6F">
        <w:rPr>
          <w:sz w:val="24"/>
          <w:szCs w:val="24"/>
        </w:rPr>
        <w:t xml:space="preserve">javnih usluga. </w:t>
      </w:r>
    </w:p>
    <w:p w14:paraId="4323C161" w14:textId="2151ACE1" w:rsidR="0513231A" w:rsidRPr="00BD1B6F" w:rsidRDefault="0513231A" w:rsidP="0076382C">
      <w:pPr>
        <w:spacing w:before="240" w:after="240" w:line="276" w:lineRule="auto"/>
        <w:jc w:val="both"/>
        <w:rPr>
          <w:sz w:val="24"/>
          <w:szCs w:val="24"/>
        </w:rPr>
      </w:pPr>
      <w:r w:rsidRPr="00FD2238">
        <w:rPr>
          <w:sz w:val="24"/>
          <w:szCs w:val="24"/>
        </w:rPr>
        <w:t xml:space="preserve">Hrvatsko tržište rada pokazalo se izuzetno otpornim te bilježi kontinuiran oporavak. </w:t>
      </w:r>
      <w:r w:rsidRPr="00BD1B6F">
        <w:rPr>
          <w:sz w:val="24"/>
          <w:szCs w:val="24"/>
        </w:rPr>
        <w:t>Stopa zaposlenosti u dobnoj skupini od 20 do 64 godine</w:t>
      </w:r>
      <w:r w:rsidR="00B92F81">
        <w:rPr>
          <w:sz w:val="24"/>
          <w:szCs w:val="24"/>
        </w:rPr>
        <w:t>,</w:t>
      </w:r>
      <w:r w:rsidRPr="00BD1B6F">
        <w:rPr>
          <w:sz w:val="24"/>
          <w:szCs w:val="24"/>
        </w:rPr>
        <w:t xml:space="preserve"> u odnosu na 2021.</w:t>
      </w:r>
      <w:r w:rsidR="00B92F81">
        <w:rPr>
          <w:sz w:val="24"/>
          <w:szCs w:val="24"/>
        </w:rPr>
        <w:t>,</w:t>
      </w:r>
      <w:r w:rsidRPr="00BD1B6F">
        <w:rPr>
          <w:sz w:val="24"/>
          <w:szCs w:val="24"/>
        </w:rPr>
        <w:t xml:space="preserve"> porasla je za 1,5 postotni bod </w:t>
      </w:r>
      <w:r w:rsidR="00742336">
        <w:rPr>
          <w:sz w:val="24"/>
          <w:szCs w:val="24"/>
        </w:rPr>
        <w:t>te je</w:t>
      </w:r>
      <w:r w:rsidRPr="00BD1B6F">
        <w:rPr>
          <w:sz w:val="24"/>
          <w:szCs w:val="24"/>
        </w:rPr>
        <w:t xml:space="preserve"> za 2022. iznosila 69,7%, prosječni broj nezaposlenih osoba u odnosu na 2021. niži je za 15,1%, a udio privremeno zaposlenih u ukupno zaposlenima </w:t>
      </w:r>
      <w:r w:rsidR="00AC25DE">
        <w:rPr>
          <w:sz w:val="24"/>
          <w:szCs w:val="24"/>
        </w:rPr>
        <w:t xml:space="preserve">je </w:t>
      </w:r>
      <w:r w:rsidRPr="00BD1B6F">
        <w:rPr>
          <w:sz w:val="24"/>
          <w:szCs w:val="24"/>
        </w:rPr>
        <w:t xml:space="preserve">smanjen na 14,6%. </w:t>
      </w:r>
      <w:r w:rsidRPr="00FD2238">
        <w:rPr>
          <w:sz w:val="24"/>
          <w:szCs w:val="24"/>
        </w:rPr>
        <w:t xml:space="preserve">Uz višu aktivnost i nižu nezaposlenost na domaćem tržištu rada, </w:t>
      </w:r>
      <w:r w:rsidRPr="00BD1B6F">
        <w:rPr>
          <w:sz w:val="24"/>
          <w:szCs w:val="24"/>
        </w:rPr>
        <w:t xml:space="preserve">u 2022. </w:t>
      </w:r>
      <w:r w:rsidRPr="00FD2238">
        <w:rPr>
          <w:sz w:val="24"/>
          <w:szCs w:val="24"/>
        </w:rPr>
        <w:t xml:space="preserve">zabilježena je i niža </w:t>
      </w:r>
      <w:r w:rsidRPr="00BD1B6F">
        <w:rPr>
          <w:sz w:val="24"/>
          <w:szCs w:val="24"/>
        </w:rPr>
        <w:t xml:space="preserve">stopa rizika od siromaštva, a smanjen je i udio </w:t>
      </w:r>
      <w:r w:rsidRPr="00BD1B6F">
        <w:rPr>
          <w:sz w:val="24"/>
          <w:szCs w:val="24"/>
        </w:rPr>
        <w:lastRenderedPageBreak/>
        <w:t xml:space="preserve">osoba </w:t>
      </w:r>
      <w:r w:rsidRPr="00BD1B6F">
        <w:rPr>
          <w:color w:val="000000" w:themeColor="text1"/>
          <w:sz w:val="24"/>
          <w:szCs w:val="24"/>
        </w:rPr>
        <w:t>u riziku od siromaštva ili socijalne isključenosti</w:t>
      </w:r>
      <w:r w:rsidR="00D00AF5">
        <w:rPr>
          <w:color w:val="000000" w:themeColor="text1"/>
          <w:sz w:val="24"/>
          <w:szCs w:val="24"/>
        </w:rPr>
        <w:t xml:space="preserve"> na 19,9%</w:t>
      </w:r>
      <w:r w:rsidRPr="00BD1B6F">
        <w:rPr>
          <w:color w:val="000000" w:themeColor="text1"/>
          <w:sz w:val="24"/>
          <w:szCs w:val="24"/>
        </w:rPr>
        <w:t xml:space="preserve">. Iako je u 2021. Hrvatska zabilježila rast stope fertiliteta na 1,62 koji je premašio prosjek EU-a, </w:t>
      </w:r>
      <w:r w:rsidR="00C92A0B">
        <w:rPr>
          <w:color w:val="000000" w:themeColor="text1"/>
          <w:sz w:val="24"/>
          <w:szCs w:val="24"/>
        </w:rPr>
        <w:t>p</w:t>
      </w:r>
      <w:r w:rsidRPr="00BD1B6F">
        <w:rPr>
          <w:color w:val="000000" w:themeColor="text1"/>
          <w:sz w:val="24"/>
          <w:szCs w:val="24"/>
        </w:rPr>
        <w:t>rema podacima Državnog zavoda za statistiku za 2022., u odnosu na prethodnu godinu</w:t>
      </w:r>
      <w:r w:rsidR="0007683E" w:rsidRPr="00BD1B6F">
        <w:rPr>
          <w:color w:val="000000" w:themeColor="text1"/>
          <w:sz w:val="24"/>
          <w:szCs w:val="24"/>
        </w:rPr>
        <w:t>,</w:t>
      </w:r>
      <w:r w:rsidRPr="00BD1B6F">
        <w:rPr>
          <w:color w:val="000000" w:themeColor="text1"/>
          <w:sz w:val="24"/>
          <w:szCs w:val="24"/>
        </w:rPr>
        <w:t xml:space="preserve"> broj živorođene djece pao je za 7,2%, a Hrvatska </w:t>
      </w:r>
      <w:r w:rsidR="00D00AF5">
        <w:rPr>
          <w:color w:val="000000" w:themeColor="text1"/>
          <w:sz w:val="24"/>
          <w:szCs w:val="24"/>
        </w:rPr>
        <w:t>je za</w:t>
      </w:r>
      <w:r w:rsidRPr="00BD1B6F">
        <w:rPr>
          <w:color w:val="000000" w:themeColor="text1"/>
          <w:sz w:val="24"/>
          <w:szCs w:val="24"/>
        </w:rPr>
        <w:t>bilježi</w:t>
      </w:r>
      <w:r w:rsidR="00D00AF5">
        <w:rPr>
          <w:color w:val="000000" w:themeColor="text1"/>
          <w:sz w:val="24"/>
          <w:szCs w:val="24"/>
        </w:rPr>
        <w:t>la</w:t>
      </w:r>
      <w:r w:rsidRPr="00BD1B6F">
        <w:rPr>
          <w:color w:val="000000" w:themeColor="text1"/>
          <w:sz w:val="24"/>
          <w:szCs w:val="24"/>
        </w:rPr>
        <w:t xml:space="preserve"> negativan prirodni prirast. </w:t>
      </w:r>
      <w:r w:rsidRPr="00BD1B6F">
        <w:rPr>
          <w:sz w:val="24"/>
          <w:szCs w:val="24"/>
        </w:rPr>
        <w:t>Ukupan pad broja stanovnika djelomično je ublažen pojačanim useljavanjem, a prvi put od 2008.</w:t>
      </w:r>
      <w:r w:rsidR="00B45553">
        <w:rPr>
          <w:sz w:val="24"/>
          <w:szCs w:val="24"/>
        </w:rPr>
        <w:t>,</w:t>
      </w:r>
      <w:r w:rsidR="0007683E" w:rsidRPr="00BD1B6F">
        <w:rPr>
          <w:sz w:val="24"/>
          <w:szCs w:val="24"/>
        </w:rPr>
        <w:t xml:space="preserve"> </w:t>
      </w:r>
      <w:r w:rsidRPr="00BD1B6F">
        <w:rPr>
          <w:sz w:val="24"/>
          <w:szCs w:val="24"/>
        </w:rPr>
        <w:t xml:space="preserve">Hrvatska je </w:t>
      </w:r>
      <w:r w:rsidR="00184C14">
        <w:rPr>
          <w:sz w:val="24"/>
          <w:szCs w:val="24"/>
        </w:rPr>
        <w:t xml:space="preserve">u </w:t>
      </w:r>
      <w:r w:rsidRPr="00BD1B6F">
        <w:rPr>
          <w:sz w:val="24"/>
          <w:szCs w:val="24"/>
        </w:rPr>
        <w:t>2022. zabilježila pozitivan migracijski saldo.</w:t>
      </w:r>
    </w:p>
    <w:p w14:paraId="4CB2F66E" w14:textId="1D3ECBA0" w:rsidR="0513231A" w:rsidRPr="00BD1B6F" w:rsidRDefault="0513231A" w:rsidP="0076382C">
      <w:pPr>
        <w:spacing w:before="240" w:after="240" w:line="276" w:lineRule="auto"/>
        <w:jc w:val="both"/>
      </w:pPr>
      <w:r w:rsidRPr="00BD1B6F">
        <w:rPr>
          <w:sz w:val="24"/>
          <w:szCs w:val="24"/>
        </w:rPr>
        <w:t xml:space="preserve">Dobro makroekonomsko upravljanje i reforma javnog sektora rezultirali su i značajnim napretkom u konkurentnosti. Hrvatska je u 2022., među 63 analizirane zemlje, zabilježila najveći napredak na Svjetskoj ljestvici konkurentnosti (WCR) Instituta za razvoj poslovnog upravljanja (IMD) iz Lausannea, a najveća poboljšanja zabilježena su u području gospodarskih rezultata te u djelotvornosti javnog i poslovnog sektora. </w:t>
      </w:r>
    </w:p>
    <w:p w14:paraId="7F18994B" w14:textId="0CA6C09F" w:rsidR="00D06323" w:rsidRPr="00BD1B6F" w:rsidRDefault="0513231A" w:rsidP="0076382C">
      <w:pPr>
        <w:spacing w:before="240" w:after="240" w:line="276" w:lineRule="auto"/>
        <w:jc w:val="both"/>
        <w:rPr>
          <w:sz w:val="24"/>
          <w:szCs w:val="24"/>
        </w:rPr>
      </w:pPr>
      <w:r w:rsidRPr="70B6AE73">
        <w:rPr>
          <w:sz w:val="24"/>
          <w:szCs w:val="24"/>
        </w:rPr>
        <w:t>Tijekom 2022. doneseno je ukupno 19, a izrađivano 2</w:t>
      </w:r>
      <w:r w:rsidR="00884BB3">
        <w:rPr>
          <w:sz w:val="24"/>
          <w:szCs w:val="24"/>
        </w:rPr>
        <w:t>4</w:t>
      </w:r>
      <w:r w:rsidRPr="70B6AE73">
        <w:rPr>
          <w:sz w:val="24"/>
          <w:szCs w:val="24"/>
        </w:rPr>
        <w:t xml:space="preserve"> dugoročn</w:t>
      </w:r>
      <w:r w:rsidR="00437CF0">
        <w:rPr>
          <w:sz w:val="24"/>
          <w:szCs w:val="24"/>
        </w:rPr>
        <w:t>a</w:t>
      </w:r>
      <w:r w:rsidRPr="70B6AE73">
        <w:rPr>
          <w:sz w:val="24"/>
          <w:szCs w:val="24"/>
        </w:rPr>
        <w:t xml:space="preserve"> i srednjoročn</w:t>
      </w:r>
      <w:r w:rsidR="004F6317">
        <w:rPr>
          <w:sz w:val="24"/>
          <w:szCs w:val="24"/>
        </w:rPr>
        <w:t>a</w:t>
      </w:r>
      <w:r w:rsidRPr="70B6AE73">
        <w:rPr>
          <w:sz w:val="24"/>
          <w:szCs w:val="24"/>
        </w:rPr>
        <w:t xml:space="preserve"> akta strateškog planiranja od nacionalnog značaja koji će izravno poduprijeti provedbu razvojnih politika i ostvarenje strateških ciljeva NRS-a 2030, a krajem rujna potpisan je Sporazum o partnerstvu između Europske komisije i Republike Hrvatske, pravni okvir za korištenje bespovratnih sredstava fondova Europske unije iz Višegodišnjeg financijskog okvira u razdoblju 2021. do 2027. godine. Hrvatska je temeljem Sporazuma, za provedbu N</w:t>
      </w:r>
      <w:r w:rsidR="008F0EA4" w:rsidRPr="70B6AE73">
        <w:rPr>
          <w:sz w:val="24"/>
          <w:szCs w:val="24"/>
        </w:rPr>
        <w:t>RS-a 2030</w:t>
      </w:r>
      <w:r w:rsidRPr="70B6AE73">
        <w:rPr>
          <w:sz w:val="24"/>
          <w:szCs w:val="24"/>
        </w:rPr>
        <w:t xml:space="preserve">, iz proračuna Europske unije osigurala 9 milijardi eura (5,2 milijardi eura </w:t>
      </w:r>
      <w:r w:rsidR="003D46CF" w:rsidRPr="70B6AE73">
        <w:rPr>
          <w:sz w:val="24"/>
          <w:szCs w:val="24"/>
        </w:rPr>
        <w:t>iz</w:t>
      </w:r>
      <w:r w:rsidRPr="70B6AE73">
        <w:rPr>
          <w:sz w:val="24"/>
          <w:szCs w:val="24"/>
        </w:rPr>
        <w:t xml:space="preserve"> P</w:t>
      </w:r>
      <w:r w:rsidR="001E3519" w:rsidRPr="70B6AE73">
        <w:rPr>
          <w:sz w:val="24"/>
          <w:szCs w:val="24"/>
        </w:rPr>
        <w:t>KK</w:t>
      </w:r>
      <w:r w:rsidR="00283BE7" w:rsidRPr="70B6AE73">
        <w:rPr>
          <w:sz w:val="24"/>
          <w:szCs w:val="24"/>
        </w:rPr>
        <w:t xml:space="preserve"> 2021.-2027.</w:t>
      </w:r>
      <w:r w:rsidRPr="70B6AE73">
        <w:rPr>
          <w:sz w:val="24"/>
          <w:szCs w:val="24"/>
        </w:rPr>
        <w:t>,</w:t>
      </w:r>
      <w:r w:rsidR="002127AA" w:rsidRPr="70B6AE73">
        <w:rPr>
          <w:sz w:val="24"/>
          <w:szCs w:val="24"/>
        </w:rPr>
        <w:t xml:space="preserve"> 1,93 milijard</w:t>
      </w:r>
      <w:r w:rsidR="003D46CF" w:rsidRPr="70B6AE73">
        <w:rPr>
          <w:sz w:val="24"/>
          <w:szCs w:val="24"/>
        </w:rPr>
        <w:t>e</w:t>
      </w:r>
      <w:r w:rsidR="002127AA" w:rsidRPr="70B6AE73">
        <w:rPr>
          <w:sz w:val="24"/>
          <w:szCs w:val="24"/>
        </w:rPr>
        <w:t xml:space="preserve"> eura </w:t>
      </w:r>
      <w:r w:rsidR="00283BE7" w:rsidRPr="70B6AE73">
        <w:rPr>
          <w:sz w:val="24"/>
          <w:szCs w:val="24"/>
        </w:rPr>
        <w:t>iz</w:t>
      </w:r>
      <w:r w:rsidR="002127AA" w:rsidRPr="70B6AE73">
        <w:rPr>
          <w:sz w:val="24"/>
          <w:szCs w:val="24"/>
        </w:rPr>
        <w:t xml:space="preserve"> PULJP</w:t>
      </w:r>
      <w:r w:rsidR="00283BE7" w:rsidRPr="70B6AE73">
        <w:rPr>
          <w:sz w:val="24"/>
          <w:szCs w:val="24"/>
        </w:rPr>
        <w:t xml:space="preserve"> 2021.-2027.,</w:t>
      </w:r>
      <w:r w:rsidR="002127AA" w:rsidRPr="70B6AE73">
        <w:rPr>
          <w:sz w:val="24"/>
          <w:szCs w:val="24"/>
        </w:rPr>
        <w:t xml:space="preserve"> </w:t>
      </w:r>
      <w:r w:rsidRPr="70B6AE73">
        <w:rPr>
          <w:sz w:val="24"/>
          <w:szCs w:val="24"/>
        </w:rPr>
        <w:t>1,5</w:t>
      </w:r>
      <w:r w:rsidR="003D46CF" w:rsidRPr="70B6AE73">
        <w:rPr>
          <w:sz w:val="24"/>
          <w:szCs w:val="24"/>
        </w:rPr>
        <w:t>7</w:t>
      </w:r>
      <w:r w:rsidRPr="70B6AE73">
        <w:rPr>
          <w:sz w:val="24"/>
          <w:szCs w:val="24"/>
        </w:rPr>
        <w:t xml:space="preserve"> milijardi eura </w:t>
      </w:r>
      <w:r w:rsidR="003D46CF" w:rsidRPr="70B6AE73">
        <w:rPr>
          <w:sz w:val="24"/>
          <w:szCs w:val="24"/>
        </w:rPr>
        <w:t>iz</w:t>
      </w:r>
      <w:r w:rsidRPr="70B6AE73">
        <w:rPr>
          <w:sz w:val="24"/>
          <w:szCs w:val="24"/>
        </w:rPr>
        <w:t xml:space="preserve"> I</w:t>
      </w:r>
      <w:r w:rsidR="00EC08E4" w:rsidRPr="70B6AE73">
        <w:rPr>
          <w:sz w:val="24"/>
          <w:szCs w:val="24"/>
        </w:rPr>
        <w:t>TP</w:t>
      </w:r>
      <w:r w:rsidR="003D46CF" w:rsidRPr="70B6AE73">
        <w:rPr>
          <w:sz w:val="24"/>
          <w:szCs w:val="24"/>
        </w:rPr>
        <w:t xml:space="preserve"> 2021.-2027. </w:t>
      </w:r>
      <w:r w:rsidR="007A0C8A" w:rsidRPr="70B6AE73">
        <w:rPr>
          <w:sz w:val="24"/>
          <w:szCs w:val="24"/>
        </w:rPr>
        <w:t xml:space="preserve">te </w:t>
      </w:r>
      <w:r w:rsidRPr="70B6AE73">
        <w:rPr>
          <w:sz w:val="24"/>
          <w:szCs w:val="24"/>
        </w:rPr>
        <w:t xml:space="preserve">243,7 milijuna eura </w:t>
      </w:r>
      <w:r w:rsidR="007A0C8A" w:rsidRPr="70B6AE73">
        <w:rPr>
          <w:sz w:val="24"/>
          <w:szCs w:val="24"/>
        </w:rPr>
        <w:t>iz</w:t>
      </w:r>
      <w:r w:rsidRPr="70B6AE73">
        <w:rPr>
          <w:sz w:val="24"/>
          <w:szCs w:val="24"/>
        </w:rPr>
        <w:t xml:space="preserve"> Program</w:t>
      </w:r>
      <w:r w:rsidR="798E1DFF" w:rsidRPr="70B6AE73">
        <w:rPr>
          <w:sz w:val="24"/>
          <w:szCs w:val="24"/>
        </w:rPr>
        <w:t>a</w:t>
      </w:r>
      <w:r w:rsidRPr="70B6AE73">
        <w:rPr>
          <w:sz w:val="24"/>
          <w:szCs w:val="24"/>
        </w:rPr>
        <w:t xml:space="preserve"> za ribarstvo i akvakulturu).</w:t>
      </w:r>
    </w:p>
    <w:p w14:paraId="5B06584F" w14:textId="77777777" w:rsidR="00D06323" w:rsidRPr="008115FB" w:rsidRDefault="00D06323">
      <w:pPr>
        <w:rPr>
          <w:sz w:val="24"/>
          <w:szCs w:val="24"/>
        </w:rPr>
      </w:pPr>
      <w:r w:rsidRPr="008115FB">
        <w:rPr>
          <w:sz w:val="24"/>
          <w:szCs w:val="24"/>
        </w:rPr>
        <w:br w:type="page"/>
      </w:r>
    </w:p>
    <w:p w14:paraId="49E31F37" w14:textId="77777777" w:rsidR="00B62218" w:rsidRPr="004C1D5B" w:rsidRDefault="00B62218" w:rsidP="00343B4E">
      <w:pPr>
        <w:pStyle w:val="Heading2"/>
        <w:spacing w:after="240"/>
        <w:ind w:left="426"/>
        <w:rPr>
          <w:color w:val="000000" w:themeColor="text1"/>
          <w:sz w:val="28"/>
          <w:szCs w:val="28"/>
        </w:rPr>
      </w:pPr>
      <w:bookmarkStart w:id="117" w:name="_Toc133420988"/>
      <w:bookmarkStart w:id="118" w:name="_Toc156819410"/>
      <w:r w:rsidRPr="004C1D5B">
        <w:rPr>
          <w:color w:val="000000" w:themeColor="text1"/>
          <w:sz w:val="28"/>
          <w:szCs w:val="28"/>
        </w:rPr>
        <w:lastRenderedPageBreak/>
        <w:t xml:space="preserve">Prilog </w:t>
      </w:r>
      <w:r w:rsidR="000F2948" w:rsidRPr="004C1D5B">
        <w:rPr>
          <w:color w:val="000000" w:themeColor="text1"/>
          <w:sz w:val="28"/>
          <w:szCs w:val="28"/>
        </w:rPr>
        <w:t>1</w:t>
      </w:r>
      <w:r w:rsidRPr="004C1D5B">
        <w:rPr>
          <w:color w:val="000000" w:themeColor="text1"/>
          <w:sz w:val="28"/>
          <w:szCs w:val="28"/>
        </w:rPr>
        <w:t xml:space="preserve"> Zakonodavni okvir </w:t>
      </w:r>
      <w:r w:rsidR="00E417B2" w:rsidRPr="004C1D5B">
        <w:rPr>
          <w:color w:val="000000" w:themeColor="text1"/>
          <w:sz w:val="28"/>
          <w:szCs w:val="28"/>
        </w:rPr>
        <w:t>I</w:t>
      </w:r>
      <w:r w:rsidRPr="004C1D5B">
        <w:rPr>
          <w:color w:val="000000" w:themeColor="text1"/>
          <w:sz w:val="28"/>
          <w:szCs w:val="28"/>
        </w:rPr>
        <w:t>zvješća i primjena načela transparentnosti</w:t>
      </w:r>
      <w:bookmarkEnd w:id="117"/>
      <w:bookmarkEnd w:id="118"/>
    </w:p>
    <w:p w14:paraId="112F3D46" w14:textId="27D630B2" w:rsidR="6346E02F" w:rsidRPr="00BD1B6F" w:rsidRDefault="6346E02F" w:rsidP="5587C066">
      <w:pPr>
        <w:spacing w:before="164" w:after="240" w:line="276" w:lineRule="auto"/>
        <w:jc w:val="both"/>
      </w:pPr>
      <w:r w:rsidRPr="00BD1B6F">
        <w:rPr>
          <w:sz w:val="24"/>
          <w:szCs w:val="24"/>
        </w:rPr>
        <w:t xml:space="preserve">Obveza izrade i podnošenja godišnjeg izvješća </w:t>
      </w:r>
      <w:r w:rsidRPr="00BD1B6F">
        <w:rPr>
          <w:color w:val="000000" w:themeColor="text1"/>
          <w:sz w:val="24"/>
          <w:szCs w:val="24"/>
        </w:rPr>
        <w:t>o napretku u provedbi NRS-a 2030</w:t>
      </w:r>
      <w:r w:rsidR="00970AEB">
        <w:rPr>
          <w:color w:val="000000" w:themeColor="text1"/>
          <w:sz w:val="24"/>
          <w:szCs w:val="24"/>
        </w:rPr>
        <w:t>.</w:t>
      </w:r>
      <w:r w:rsidRPr="00BD1B6F">
        <w:rPr>
          <w:color w:val="000000" w:themeColor="text1"/>
          <w:sz w:val="24"/>
          <w:szCs w:val="24"/>
        </w:rPr>
        <w:t xml:space="preserve"> propisana je odredbama zakonodavnog okvira kojeg čine Zakon o sustavu strateškog planiranja i upravljanja razvojem Republike Hrvatske </w:t>
      </w:r>
      <w:r w:rsidRPr="00BD1B6F">
        <w:rPr>
          <w:sz w:val="24"/>
          <w:szCs w:val="24"/>
        </w:rPr>
        <w:t>(</w:t>
      </w:r>
      <w:hyperlink r:id="rId14">
        <w:r w:rsidRPr="00BD1B6F">
          <w:rPr>
            <w:rStyle w:val="Hyperlink"/>
            <w:sz w:val="24"/>
            <w:szCs w:val="24"/>
          </w:rPr>
          <w:t>„Narodne novine“, br.</w:t>
        </w:r>
        <w:r w:rsidR="000E21B9" w:rsidRPr="00BD1B6F">
          <w:rPr>
            <w:rStyle w:val="Hyperlink"/>
            <w:sz w:val="24"/>
            <w:szCs w:val="24"/>
          </w:rPr>
          <w:t>:</w:t>
        </w:r>
        <w:r w:rsidRPr="00BD1B6F">
          <w:rPr>
            <w:rStyle w:val="Hyperlink"/>
            <w:sz w:val="24"/>
            <w:szCs w:val="24"/>
          </w:rPr>
          <w:t xml:space="preserve"> 123/17</w:t>
        </w:r>
      </w:hyperlink>
      <w:r w:rsidRPr="00BD1B6F">
        <w:rPr>
          <w:sz w:val="24"/>
          <w:szCs w:val="24"/>
          <w:u w:val="single"/>
        </w:rPr>
        <w:t>,</w:t>
      </w:r>
      <w:r w:rsidRPr="00BD1B6F">
        <w:rPr>
          <w:sz w:val="24"/>
          <w:szCs w:val="24"/>
        </w:rPr>
        <w:t xml:space="preserve"> </w:t>
      </w:r>
      <w:hyperlink r:id="rId15">
        <w:r w:rsidRPr="00BD1B6F">
          <w:rPr>
            <w:rStyle w:val="Hyperlink"/>
            <w:sz w:val="24"/>
            <w:szCs w:val="24"/>
          </w:rPr>
          <w:t>151/22</w:t>
        </w:r>
      </w:hyperlink>
      <w:r w:rsidRPr="00BD1B6F">
        <w:rPr>
          <w:sz w:val="24"/>
          <w:szCs w:val="24"/>
        </w:rPr>
        <w:t xml:space="preserve">) </w:t>
      </w:r>
      <w:r w:rsidRPr="00BD1B6F">
        <w:rPr>
          <w:color w:val="000000" w:themeColor="text1"/>
          <w:sz w:val="24"/>
          <w:szCs w:val="24"/>
        </w:rPr>
        <w:t xml:space="preserve">i Pravilnik o rokovima i postupcima praćenja i izvještavanja o provedbi akata strateškog planiranja od nacionalnog značaja i od značaja za jedinice lokalne i područne (regionalne) samouprave </w:t>
      </w:r>
      <w:r w:rsidRPr="00BD1B6F">
        <w:rPr>
          <w:sz w:val="24"/>
          <w:szCs w:val="24"/>
        </w:rPr>
        <w:t>(</w:t>
      </w:r>
      <w:hyperlink r:id="rId16">
        <w:r w:rsidRPr="00BD1B6F">
          <w:rPr>
            <w:rStyle w:val="Hyperlink"/>
            <w:sz w:val="24"/>
            <w:szCs w:val="24"/>
          </w:rPr>
          <w:t>„Narodne novine“, broj</w:t>
        </w:r>
        <w:r w:rsidR="0009504C" w:rsidRPr="00BD1B6F">
          <w:rPr>
            <w:rStyle w:val="Hyperlink"/>
            <w:sz w:val="24"/>
            <w:szCs w:val="24"/>
          </w:rPr>
          <w:t>:</w:t>
        </w:r>
        <w:r w:rsidRPr="00BD1B6F">
          <w:rPr>
            <w:rStyle w:val="Hyperlink"/>
            <w:sz w:val="24"/>
            <w:szCs w:val="24"/>
          </w:rPr>
          <w:t xml:space="preserve"> 44/23</w:t>
        </w:r>
      </w:hyperlink>
      <w:r w:rsidRPr="00BD1B6F">
        <w:rPr>
          <w:sz w:val="24"/>
          <w:szCs w:val="24"/>
        </w:rPr>
        <w:t>),</w:t>
      </w:r>
      <w:r w:rsidR="7511DF5C" w:rsidRPr="00BD1B6F">
        <w:rPr>
          <w:sz w:val="24"/>
          <w:szCs w:val="24"/>
        </w:rPr>
        <w:t xml:space="preserve"> </w:t>
      </w:r>
      <w:r w:rsidRPr="00BD1B6F">
        <w:rPr>
          <w:color w:val="000000" w:themeColor="text1"/>
          <w:sz w:val="24"/>
          <w:szCs w:val="24"/>
        </w:rPr>
        <w:t>(u daljnjem tekstu: zakonodavni okvir).</w:t>
      </w:r>
    </w:p>
    <w:p w14:paraId="5C1A1512" w14:textId="6328B88F" w:rsidR="6346E02F" w:rsidRPr="00BD1B6F" w:rsidRDefault="6346E02F" w:rsidP="5587C066">
      <w:pPr>
        <w:spacing w:before="164" w:line="276" w:lineRule="auto"/>
        <w:jc w:val="both"/>
      </w:pPr>
      <w:r w:rsidRPr="00BD1B6F">
        <w:rPr>
          <w:color w:val="000000" w:themeColor="text1"/>
          <w:sz w:val="24"/>
          <w:szCs w:val="24"/>
        </w:rPr>
        <w:t>U skladu s odredbama zakonodavnog okvira:</w:t>
      </w:r>
    </w:p>
    <w:p w14:paraId="7FF197E8" w14:textId="063091C7" w:rsidR="444D33AC" w:rsidRPr="00BD1B6F" w:rsidRDefault="009D60C5" w:rsidP="00BE1F57">
      <w:pPr>
        <w:pStyle w:val="ListParagraph"/>
        <w:numPr>
          <w:ilvl w:val="0"/>
          <w:numId w:val="38"/>
        </w:numPr>
        <w:spacing w:before="240" w:line="276" w:lineRule="auto"/>
        <w:jc w:val="both"/>
        <w:rPr>
          <w:color w:val="000000" w:themeColor="text1"/>
          <w:sz w:val="24"/>
          <w:szCs w:val="24"/>
        </w:rPr>
      </w:pPr>
      <w:r w:rsidRPr="00BD1B6F">
        <w:rPr>
          <w:sz w:val="24"/>
          <w:szCs w:val="24"/>
        </w:rPr>
        <w:t>G</w:t>
      </w:r>
      <w:r w:rsidR="105DE59C" w:rsidRPr="00BD1B6F">
        <w:rPr>
          <w:sz w:val="24"/>
          <w:szCs w:val="24"/>
        </w:rPr>
        <w:t xml:space="preserve">odišnje izvješće </w:t>
      </w:r>
      <w:r w:rsidR="105DE59C" w:rsidRPr="00BD1B6F">
        <w:rPr>
          <w:color w:val="000000" w:themeColor="text1"/>
          <w:sz w:val="24"/>
          <w:szCs w:val="24"/>
        </w:rPr>
        <w:t>o napretku u provedbi NRS-a 2030</w:t>
      </w:r>
      <w:r w:rsidR="00945CC3">
        <w:rPr>
          <w:color w:val="000000" w:themeColor="text1"/>
          <w:sz w:val="24"/>
          <w:szCs w:val="24"/>
        </w:rPr>
        <w:t>.</w:t>
      </w:r>
      <w:r w:rsidR="105DE59C" w:rsidRPr="00BD1B6F">
        <w:rPr>
          <w:color w:val="000000" w:themeColor="text1"/>
          <w:sz w:val="24"/>
          <w:szCs w:val="24"/>
        </w:rPr>
        <w:t xml:space="preserve"> </w:t>
      </w:r>
      <w:r w:rsidR="1661D9DE" w:rsidRPr="00BD1B6F">
        <w:rPr>
          <w:color w:val="000000" w:themeColor="text1"/>
          <w:sz w:val="24"/>
          <w:szCs w:val="24"/>
        </w:rPr>
        <w:t xml:space="preserve">sadrži </w:t>
      </w:r>
      <w:r w:rsidR="4C68CBC7" w:rsidRPr="00BD1B6F">
        <w:rPr>
          <w:color w:val="231F20"/>
          <w:sz w:val="24"/>
          <w:szCs w:val="24"/>
        </w:rPr>
        <w:t>opis napretka u provedbi svakog pojedinog strateškog cilja, podatke o ostvarenoj vrijednosti pokazatelja učinka te zaključka o provedbi tijekom izvještajnog razdoblja</w:t>
      </w:r>
    </w:p>
    <w:p w14:paraId="0AAFEE54" w14:textId="5A4791E0" w:rsidR="6346E02F" w:rsidRPr="00BD1B6F" w:rsidRDefault="6346E02F" w:rsidP="000E5684">
      <w:pPr>
        <w:pStyle w:val="ListParagraph"/>
        <w:numPr>
          <w:ilvl w:val="0"/>
          <w:numId w:val="38"/>
        </w:numPr>
        <w:spacing w:line="276" w:lineRule="auto"/>
        <w:jc w:val="both"/>
        <w:rPr>
          <w:color w:val="000000" w:themeColor="text1"/>
          <w:sz w:val="24"/>
          <w:szCs w:val="24"/>
        </w:rPr>
      </w:pPr>
      <w:r w:rsidRPr="00BD1B6F">
        <w:rPr>
          <w:color w:val="000000" w:themeColor="text1"/>
          <w:sz w:val="24"/>
          <w:szCs w:val="24"/>
        </w:rPr>
        <w:t xml:space="preserve">Koordinacijsko tijelo </w:t>
      </w:r>
      <w:r w:rsidR="450F589D" w:rsidRPr="00BD1B6F">
        <w:rPr>
          <w:color w:val="000000" w:themeColor="text1"/>
          <w:sz w:val="24"/>
          <w:szCs w:val="24"/>
        </w:rPr>
        <w:t>za</w:t>
      </w:r>
      <w:r w:rsidRPr="00BD1B6F">
        <w:rPr>
          <w:color w:val="000000" w:themeColor="text1"/>
          <w:sz w:val="24"/>
          <w:szCs w:val="24"/>
        </w:rPr>
        <w:t xml:space="preserve"> sustav strateškog planiranja i upravljanja razvojem</w:t>
      </w:r>
      <w:r w:rsidR="30C6323F" w:rsidRPr="00BD1B6F">
        <w:rPr>
          <w:color w:val="000000" w:themeColor="text1"/>
          <w:sz w:val="24"/>
          <w:szCs w:val="24"/>
        </w:rPr>
        <w:t xml:space="preserve"> Republike Hrvatske</w:t>
      </w:r>
      <w:r w:rsidRPr="00BD1B6F">
        <w:rPr>
          <w:color w:val="000000" w:themeColor="text1"/>
          <w:sz w:val="24"/>
          <w:szCs w:val="24"/>
        </w:rPr>
        <w:t xml:space="preserve"> </w:t>
      </w:r>
      <w:r w:rsidR="00ED6CEB" w:rsidRPr="00BD1B6F">
        <w:rPr>
          <w:color w:val="000000" w:themeColor="text1"/>
          <w:sz w:val="24"/>
          <w:szCs w:val="24"/>
        </w:rPr>
        <w:t>G</w:t>
      </w:r>
      <w:r w:rsidR="008B4992" w:rsidRPr="00BD1B6F">
        <w:rPr>
          <w:sz w:val="24"/>
          <w:szCs w:val="24"/>
        </w:rPr>
        <w:t>odišnje izvješć</w:t>
      </w:r>
      <w:r w:rsidR="00ED6CEB" w:rsidRPr="00BD1B6F">
        <w:rPr>
          <w:sz w:val="24"/>
          <w:szCs w:val="24"/>
        </w:rPr>
        <w:t>e</w:t>
      </w:r>
      <w:r w:rsidR="008B4992" w:rsidRPr="00BD1B6F">
        <w:rPr>
          <w:sz w:val="24"/>
          <w:szCs w:val="24"/>
        </w:rPr>
        <w:t xml:space="preserve"> </w:t>
      </w:r>
      <w:r w:rsidR="008B4992" w:rsidRPr="00BD1B6F">
        <w:rPr>
          <w:color w:val="000000" w:themeColor="text1"/>
          <w:sz w:val="24"/>
          <w:szCs w:val="24"/>
        </w:rPr>
        <w:t xml:space="preserve">o napretku </w:t>
      </w:r>
      <w:r w:rsidRPr="00BD1B6F">
        <w:rPr>
          <w:color w:val="000000" w:themeColor="text1"/>
          <w:sz w:val="24"/>
          <w:szCs w:val="24"/>
        </w:rPr>
        <w:t xml:space="preserve">u </w:t>
      </w:r>
      <w:r w:rsidR="008B4992" w:rsidRPr="00BD1B6F">
        <w:rPr>
          <w:color w:val="000000" w:themeColor="text1"/>
          <w:sz w:val="24"/>
          <w:szCs w:val="24"/>
        </w:rPr>
        <w:t>provedbi NRS-a 2030</w:t>
      </w:r>
      <w:r w:rsidR="00224DB5">
        <w:rPr>
          <w:color w:val="000000" w:themeColor="text1"/>
          <w:sz w:val="24"/>
          <w:szCs w:val="24"/>
        </w:rPr>
        <w:t>.</w:t>
      </w:r>
      <w:r w:rsidRPr="00BD1B6F">
        <w:rPr>
          <w:color w:val="000000" w:themeColor="text1"/>
          <w:sz w:val="24"/>
          <w:szCs w:val="24"/>
        </w:rPr>
        <w:t xml:space="preserve"> priprema na temelju podataka o provedbi u prethodnoj godini koje mu dostavljaju koordinatori za strateško planiranje tijela državne uprave te prema potrebi, lokalne i područne (regionalne) samouprave (regionalni i lokalni koordinatori)</w:t>
      </w:r>
    </w:p>
    <w:p w14:paraId="32F0B2BA" w14:textId="0D1682DC" w:rsidR="6346E02F" w:rsidRPr="00BD1B6F" w:rsidRDefault="6346E02F" w:rsidP="000E5684">
      <w:pPr>
        <w:pStyle w:val="ListParagraph"/>
        <w:numPr>
          <w:ilvl w:val="0"/>
          <w:numId w:val="38"/>
        </w:numPr>
        <w:spacing w:before="240" w:line="276" w:lineRule="auto"/>
        <w:contextualSpacing/>
        <w:jc w:val="both"/>
        <w:rPr>
          <w:color w:val="000000" w:themeColor="text1"/>
          <w:sz w:val="24"/>
          <w:szCs w:val="24"/>
        </w:rPr>
      </w:pPr>
      <w:r w:rsidRPr="00BD1B6F">
        <w:rPr>
          <w:color w:val="000000" w:themeColor="text1"/>
          <w:sz w:val="24"/>
          <w:szCs w:val="24"/>
        </w:rPr>
        <w:t xml:space="preserve">Koordinacijsko tijelo </w:t>
      </w:r>
      <w:r w:rsidR="000D7557" w:rsidRPr="00BD1B6F">
        <w:rPr>
          <w:color w:val="000000" w:themeColor="text1"/>
          <w:sz w:val="24"/>
          <w:szCs w:val="24"/>
        </w:rPr>
        <w:t xml:space="preserve">za sustav strateškog planiranja i upravljanja razvojem Republike Hrvatske </w:t>
      </w:r>
      <w:r w:rsidRPr="00BD1B6F">
        <w:rPr>
          <w:color w:val="000000" w:themeColor="text1"/>
          <w:sz w:val="24"/>
          <w:szCs w:val="24"/>
        </w:rPr>
        <w:t>o napretku u provedbi strateških ciljeva i ostvarivanju pokazatelja uspješnosti iz NRS-a 2030 Vladu izvješćuje jednom godišnje</w:t>
      </w:r>
    </w:p>
    <w:p w14:paraId="559812BF" w14:textId="2AECB6D5" w:rsidR="6346E02F" w:rsidRPr="00BD1B6F" w:rsidRDefault="6346E02F" w:rsidP="000E5684">
      <w:pPr>
        <w:pStyle w:val="ListParagraph"/>
        <w:numPr>
          <w:ilvl w:val="0"/>
          <w:numId w:val="38"/>
        </w:numPr>
        <w:spacing w:before="240" w:line="276" w:lineRule="auto"/>
        <w:contextualSpacing/>
        <w:jc w:val="both"/>
        <w:rPr>
          <w:color w:val="000000" w:themeColor="text1"/>
          <w:sz w:val="24"/>
          <w:szCs w:val="24"/>
        </w:rPr>
      </w:pPr>
      <w:r w:rsidRPr="00BD1B6F">
        <w:rPr>
          <w:color w:val="000000" w:themeColor="text1"/>
          <w:sz w:val="24"/>
          <w:szCs w:val="24"/>
        </w:rPr>
        <w:t>Vlada</w:t>
      </w:r>
      <w:r w:rsidR="009F4EF2" w:rsidRPr="00BD1B6F">
        <w:rPr>
          <w:color w:val="000000" w:themeColor="text1"/>
          <w:sz w:val="24"/>
          <w:szCs w:val="24"/>
        </w:rPr>
        <w:t xml:space="preserve"> </w:t>
      </w:r>
      <w:r w:rsidRPr="00BD1B6F">
        <w:rPr>
          <w:color w:val="000000" w:themeColor="text1"/>
          <w:sz w:val="24"/>
          <w:szCs w:val="24"/>
        </w:rPr>
        <w:t>o napretku u provedbi strateških ciljeva i ostvarivanju pokazatelja uspješnosti iz NRS-a 2030</w:t>
      </w:r>
      <w:r w:rsidR="00C40F3C">
        <w:rPr>
          <w:color w:val="000000" w:themeColor="text1"/>
          <w:sz w:val="24"/>
          <w:szCs w:val="24"/>
        </w:rPr>
        <w:t>.</w:t>
      </w:r>
      <w:r w:rsidRPr="00BD1B6F">
        <w:rPr>
          <w:color w:val="000000" w:themeColor="text1"/>
          <w:sz w:val="24"/>
          <w:szCs w:val="24"/>
        </w:rPr>
        <w:t xml:space="preserve"> izvješćuje </w:t>
      </w:r>
      <w:r w:rsidR="00ED4AA4" w:rsidRPr="00ED4AA4">
        <w:rPr>
          <w:color w:val="000000" w:themeColor="text1"/>
          <w:sz w:val="24"/>
          <w:szCs w:val="24"/>
        </w:rPr>
        <w:t xml:space="preserve">Hrvatski sabor </w:t>
      </w:r>
      <w:r w:rsidRPr="00BD1B6F">
        <w:rPr>
          <w:color w:val="000000" w:themeColor="text1"/>
          <w:sz w:val="24"/>
          <w:szCs w:val="24"/>
        </w:rPr>
        <w:t>jednom godišnje</w:t>
      </w:r>
    </w:p>
    <w:p w14:paraId="1F03204E" w14:textId="431FEAD6" w:rsidR="00876227" w:rsidRPr="00BD1B6F" w:rsidRDefault="0F3B1384" w:rsidP="008B4992">
      <w:pPr>
        <w:spacing w:before="240" w:line="276" w:lineRule="auto"/>
        <w:jc w:val="both"/>
        <w:rPr>
          <w:color w:val="000000" w:themeColor="text1"/>
          <w:sz w:val="24"/>
          <w:szCs w:val="24"/>
        </w:rPr>
      </w:pPr>
      <w:r w:rsidRPr="00BD1B6F">
        <w:rPr>
          <w:color w:val="000000" w:themeColor="text1"/>
          <w:sz w:val="24"/>
          <w:szCs w:val="24"/>
        </w:rPr>
        <w:t>S</w:t>
      </w:r>
      <w:r w:rsidR="5012F5CC" w:rsidRPr="00BD1B6F">
        <w:rPr>
          <w:color w:val="000000" w:themeColor="text1"/>
          <w:sz w:val="24"/>
          <w:szCs w:val="24"/>
        </w:rPr>
        <w:t xml:space="preserve"> ciljem primjene n</w:t>
      </w:r>
      <w:r w:rsidR="1661D9DE" w:rsidRPr="00BD1B6F">
        <w:rPr>
          <w:color w:val="000000" w:themeColor="text1"/>
          <w:sz w:val="24"/>
          <w:szCs w:val="24"/>
        </w:rPr>
        <w:t>ačel</w:t>
      </w:r>
      <w:r w:rsidR="26A5E3C0" w:rsidRPr="00BD1B6F">
        <w:rPr>
          <w:color w:val="000000" w:themeColor="text1"/>
          <w:sz w:val="24"/>
          <w:szCs w:val="24"/>
        </w:rPr>
        <w:t>a</w:t>
      </w:r>
      <w:r w:rsidR="6346E02F" w:rsidRPr="00BD1B6F">
        <w:rPr>
          <w:color w:val="000000" w:themeColor="text1"/>
          <w:sz w:val="24"/>
          <w:szCs w:val="24"/>
        </w:rPr>
        <w:t xml:space="preserve"> transparentnosti sustava strateškog planiranja i upravljanja razvojem, </w:t>
      </w:r>
      <w:r w:rsidR="105DE59C" w:rsidRPr="00BD1B6F">
        <w:rPr>
          <w:sz w:val="24"/>
          <w:szCs w:val="24"/>
        </w:rPr>
        <w:t>i</w:t>
      </w:r>
      <w:r w:rsidR="4A36C84C" w:rsidRPr="00BD1B6F">
        <w:rPr>
          <w:sz w:val="24"/>
          <w:szCs w:val="24"/>
        </w:rPr>
        <w:t>zvj</w:t>
      </w:r>
      <w:r w:rsidR="105DE59C" w:rsidRPr="00BD1B6F">
        <w:rPr>
          <w:sz w:val="24"/>
          <w:szCs w:val="24"/>
        </w:rPr>
        <w:t>ešć</w:t>
      </w:r>
      <w:r w:rsidR="123731E2" w:rsidRPr="00BD1B6F">
        <w:rPr>
          <w:sz w:val="24"/>
          <w:szCs w:val="24"/>
        </w:rPr>
        <w:t>a</w:t>
      </w:r>
      <w:r w:rsidR="008B4992" w:rsidRPr="00BD1B6F">
        <w:rPr>
          <w:sz w:val="24"/>
          <w:szCs w:val="24"/>
        </w:rPr>
        <w:t xml:space="preserve"> </w:t>
      </w:r>
      <w:r w:rsidR="008B4992" w:rsidRPr="00BD1B6F">
        <w:rPr>
          <w:color w:val="000000" w:themeColor="text1"/>
          <w:sz w:val="24"/>
          <w:szCs w:val="24"/>
        </w:rPr>
        <w:t xml:space="preserve">o napretku u provedbi </w:t>
      </w:r>
      <w:r w:rsidR="105DE59C" w:rsidRPr="00BD1B6F">
        <w:rPr>
          <w:color w:val="000000" w:themeColor="text1"/>
          <w:sz w:val="24"/>
          <w:szCs w:val="24"/>
        </w:rPr>
        <w:t>N</w:t>
      </w:r>
      <w:r w:rsidR="6E108458" w:rsidRPr="00BD1B6F">
        <w:rPr>
          <w:color w:val="000000" w:themeColor="text1"/>
          <w:sz w:val="24"/>
          <w:szCs w:val="24"/>
        </w:rPr>
        <w:t>acionalne razvojne strategije</w:t>
      </w:r>
      <w:r w:rsidR="105DE59C" w:rsidRPr="00BD1B6F">
        <w:rPr>
          <w:color w:val="000000" w:themeColor="text1"/>
          <w:sz w:val="24"/>
          <w:szCs w:val="24"/>
        </w:rPr>
        <w:t xml:space="preserve"> </w:t>
      </w:r>
      <w:r w:rsidR="1661D9DE" w:rsidRPr="00BD1B6F">
        <w:rPr>
          <w:color w:val="000000" w:themeColor="text1"/>
          <w:sz w:val="24"/>
          <w:szCs w:val="24"/>
        </w:rPr>
        <w:t>objavljuj</w:t>
      </w:r>
      <w:r w:rsidR="77082EFF" w:rsidRPr="00BD1B6F">
        <w:rPr>
          <w:color w:val="000000" w:themeColor="text1"/>
          <w:sz w:val="24"/>
          <w:szCs w:val="24"/>
        </w:rPr>
        <w:t>u</w:t>
      </w:r>
      <w:r w:rsidR="04598F83" w:rsidRPr="00BD1B6F">
        <w:rPr>
          <w:color w:val="000000" w:themeColor="text1"/>
          <w:sz w:val="24"/>
          <w:szCs w:val="24"/>
        </w:rPr>
        <w:t xml:space="preserve"> se</w:t>
      </w:r>
      <w:r w:rsidR="6346E02F" w:rsidRPr="00BD1B6F">
        <w:rPr>
          <w:color w:val="000000" w:themeColor="text1"/>
          <w:sz w:val="24"/>
          <w:szCs w:val="24"/>
        </w:rPr>
        <w:t xml:space="preserve"> na mrežnoj stranici </w:t>
      </w:r>
      <w:hyperlink r:id="rId17">
        <w:r w:rsidR="6346E02F" w:rsidRPr="00BD1B6F">
          <w:rPr>
            <w:rStyle w:val="Hyperlink"/>
            <w:sz w:val="24"/>
            <w:szCs w:val="24"/>
          </w:rPr>
          <w:t>www.hrvatska2030.hr</w:t>
        </w:r>
      </w:hyperlink>
      <w:r w:rsidR="6346E02F" w:rsidRPr="00BD1B6F">
        <w:rPr>
          <w:color w:val="000000" w:themeColor="text1"/>
          <w:sz w:val="24"/>
          <w:szCs w:val="24"/>
          <w:u w:val="single"/>
        </w:rPr>
        <w:t>,</w:t>
      </w:r>
      <w:r w:rsidR="6346E02F" w:rsidRPr="00BD1B6F">
        <w:rPr>
          <w:color w:val="000000" w:themeColor="text1"/>
          <w:sz w:val="24"/>
          <w:szCs w:val="24"/>
        </w:rPr>
        <w:t xml:space="preserve"> putem koje Koordinacijsko tijelo </w:t>
      </w:r>
      <w:r w:rsidR="003649BB" w:rsidRPr="00BD1B6F">
        <w:rPr>
          <w:color w:val="000000" w:themeColor="text1"/>
          <w:sz w:val="24"/>
          <w:szCs w:val="24"/>
        </w:rPr>
        <w:t>za sustav strateškog planiranja i upravljanja razvojem Republike Hrvatske</w:t>
      </w:r>
      <w:r w:rsidR="000677F9" w:rsidRPr="00BD1B6F">
        <w:rPr>
          <w:color w:val="000000" w:themeColor="text1"/>
          <w:sz w:val="24"/>
          <w:szCs w:val="24"/>
        </w:rPr>
        <w:t xml:space="preserve"> </w:t>
      </w:r>
      <w:r w:rsidR="6346E02F" w:rsidRPr="00BD1B6F">
        <w:rPr>
          <w:color w:val="000000" w:themeColor="text1"/>
          <w:sz w:val="24"/>
          <w:szCs w:val="24"/>
        </w:rPr>
        <w:t xml:space="preserve">osigurava stalnu javnu dostupnost podataka vezanih za praćenje </w:t>
      </w:r>
      <w:r w:rsidR="73F2E89A" w:rsidRPr="00BD1B6F">
        <w:rPr>
          <w:color w:val="000000" w:themeColor="text1"/>
          <w:sz w:val="24"/>
          <w:szCs w:val="24"/>
        </w:rPr>
        <w:t>provedbe,</w:t>
      </w:r>
      <w:r w:rsidR="6346E02F" w:rsidRPr="00BD1B6F">
        <w:rPr>
          <w:color w:val="000000" w:themeColor="text1"/>
          <w:sz w:val="24"/>
          <w:szCs w:val="24"/>
        </w:rPr>
        <w:t xml:space="preserve"> izvješćivanje </w:t>
      </w:r>
      <w:r w:rsidR="2EF34A43" w:rsidRPr="00BD1B6F">
        <w:rPr>
          <w:color w:val="000000" w:themeColor="text1"/>
          <w:sz w:val="24"/>
          <w:szCs w:val="24"/>
        </w:rPr>
        <w:t>i vrednovanje provedbe</w:t>
      </w:r>
      <w:r w:rsidR="6346E02F" w:rsidRPr="00BD1B6F">
        <w:rPr>
          <w:color w:val="000000" w:themeColor="text1"/>
          <w:sz w:val="24"/>
          <w:szCs w:val="24"/>
        </w:rPr>
        <w:t xml:space="preserve"> </w:t>
      </w:r>
      <w:r w:rsidR="00C40F3C">
        <w:rPr>
          <w:color w:val="000000" w:themeColor="text1"/>
          <w:sz w:val="24"/>
          <w:szCs w:val="24"/>
        </w:rPr>
        <w:t>NRS-a 2030</w:t>
      </w:r>
      <w:r w:rsidR="6346E02F" w:rsidRPr="00BD1B6F">
        <w:rPr>
          <w:color w:val="000000" w:themeColor="text1"/>
          <w:sz w:val="24"/>
          <w:szCs w:val="24"/>
        </w:rPr>
        <w:t>.</w:t>
      </w:r>
    </w:p>
    <w:p w14:paraId="6FE151B6" w14:textId="1BBC7DFE" w:rsidR="6346E02F" w:rsidRPr="00BD1B6F" w:rsidRDefault="6346E02F" w:rsidP="506EEE25">
      <w:pPr>
        <w:spacing w:before="240" w:line="276" w:lineRule="auto"/>
        <w:rPr>
          <w:color w:val="000000" w:themeColor="text1"/>
        </w:rPr>
      </w:pPr>
    </w:p>
    <w:p w14:paraId="17C3F0FE" w14:textId="27DF8C8E" w:rsidR="00F469BC" w:rsidRPr="00BD1B6F" w:rsidRDefault="00F469BC" w:rsidP="00343B4E">
      <w:pPr>
        <w:pStyle w:val="Heading2"/>
        <w:spacing w:after="240"/>
        <w:ind w:left="426"/>
        <w:rPr>
          <w:rFonts w:eastAsia="Calibri"/>
          <w:color w:val="000000" w:themeColor="text1"/>
          <w:sz w:val="24"/>
          <w:szCs w:val="24"/>
        </w:rPr>
        <w:sectPr w:rsidR="00F469BC" w:rsidRPr="00BD1B6F" w:rsidSect="00D764F9">
          <w:footerReference w:type="default" r:id="rId18"/>
          <w:footerReference w:type="first" r:id="rId19"/>
          <w:pgSz w:w="11910" w:h="16840"/>
          <w:pgMar w:top="1417" w:right="1417" w:bottom="1417" w:left="1417" w:header="0" w:footer="757" w:gutter="0"/>
          <w:pgNumType w:start="0"/>
          <w:cols w:space="720"/>
          <w:titlePg/>
          <w:docGrid w:linePitch="299"/>
        </w:sectPr>
      </w:pPr>
    </w:p>
    <w:p w14:paraId="606006A2" w14:textId="630F5E81" w:rsidR="00834F99" w:rsidRDefault="608B7F10" w:rsidP="00BE1F57">
      <w:pPr>
        <w:pStyle w:val="Heading3"/>
        <w:spacing w:after="240" w:line="276" w:lineRule="auto"/>
        <w:ind w:left="142"/>
      </w:pPr>
      <w:bookmarkStart w:id="119" w:name="_Toc156819411"/>
      <w:r w:rsidRPr="00BD1B6F">
        <w:lastRenderedPageBreak/>
        <w:t>Prilog 2 Pregled ostvarenih vrijednosti pokazatelja uspješnosti NRS-a 2030</w:t>
      </w:r>
      <w:r w:rsidR="00374F11">
        <w:t>.</w:t>
      </w:r>
      <w:bookmarkEnd w:id="119"/>
    </w:p>
    <w:p w14:paraId="3FB28EA6" w14:textId="17BBA3F6" w:rsidR="00834F99" w:rsidRPr="00BD1B6F" w:rsidRDefault="00834F99" w:rsidP="00834F99">
      <w:pPr>
        <w:spacing w:before="240" w:after="240" w:line="276" w:lineRule="auto"/>
        <w:jc w:val="both"/>
      </w:pPr>
      <w:r w:rsidRPr="00BD1B6F">
        <w:rPr>
          <w:sz w:val="24"/>
          <w:szCs w:val="24"/>
        </w:rPr>
        <w:t>U skladu s odredbama Zakona o sustavu strateškog planiranja i upravljanja razvojem Republike Hrvatske (</w:t>
      </w:r>
      <w:r w:rsidR="00BE2EF7">
        <w:rPr>
          <w:sz w:val="24"/>
          <w:szCs w:val="24"/>
        </w:rPr>
        <w:t>NN</w:t>
      </w:r>
      <w:r w:rsidRPr="00BD1B6F">
        <w:rPr>
          <w:sz w:val="24"/>
          <w:szCs w:val="24"/>
        </w:rPr>
        <w:t>, br. 123/17 i 151/22) Pravilnika o rokovima i postupcima praćenja i izvješćivanja o provedbi akata strateškog planiranja od nacionalnog značaja i od značaja za jedinice lokalne i područne (regionalne) samouprave Hrvatske (</w:t>
      </w:r>
      <w:r w:rsidR="009A2D22">
        <w:rPr>
          <w:sz w:val="24"/>
          <w:szCs w:val="24"/>
        </w:rPr>
        <w:t>NN</w:t>
      </w:r>
      <w:r w:rsidRPr="00BD1B6F">
        <w:rPr>
          <w:sz w:val="24"/>
          <w:szCs w:val="24"/>
        </w:rPr>
        <w:t>, br</w:t>
      </w:r>
      <w:r w:rsidR="0042204D">
        <w:rPr>
          <w:sz w:val="24"/>
          <w:szCs w:val="24"/>
        </w:rPr>
        <w:t>.</w:t>
      </w:r>
      <w:r w:rsidRPr="00BD1B6F">
        <w:rPr>
          <w:sz w:val="24"/>
          <w:szCs w:val="24"/>
        </w:rPr>
        <w:t xml:space="preserve"> 44/23) napredak u provedbi ciljeva N</w:t>
      </w:r>
      <w:r w:rsidR="004B0385">
        <w:rPr>
          <w:sz w:val="24"/>
          <w:szCs w:val="24"/>
        </w:rPr>
        <w:t>RS-a 2030.</w:t>
      </w:r>
      <w:r w:rsidRPr="00BD1B6F">
        <w:rPr>
          <w:sz w:val="24"/>
          <w:szCs w:val="24"/>
        </w:rPr>
        <w:t xml:space="preserve"> </w:t>
      </w:r>
      <w:r w:rsidRPr="00963C73">
        <w:rPr>
          <w:sz w:val="24"/>
          <w:szCs w:val="24"/>
        </w:rPr>
        <w:t>prati se pokazateljima učinka.</w:t>
      </w:r>
    </w:p>
    <w:p w14:paraId="40173CAA" w14:textId="22C33ED7" w:rsidR="00834F99" w:rsidRPr="00BD1B6F" w:rsidRDefault="00834F99" w:rsidP="00834F99">
      <w:pPr>
        <w:spacing w:before="240" w:after="240" w:line="276" w:lineRule="auto"/>
        <w:jc w:val="both"/>
      </w:pPr>
      <w:r w:rsidRPr="00BD1B6F">
        <w:rPr>
          <w:color w:val="000000" w:themeColor="text1"/>
          <w:sz w:val="24"/>
          <w:szCs w:val="24"/>
        </w:rPr>
        <w:t xml:space="preserve">Za potrebe pripreme </w:t>
      </w:r>
      <w:r w:rsidR="00B818E5">
        <w:rPr>
          <w:color w:val="000000" w:themeColor="text1"/>
          <w:sz w:val="24"/>
          <w:szCs w:val="24"/>
        </w:rPr>
        <w:t>I</w:t>
      </w:r>
      <w:r w:rsidRPr="00BD1B6F">
        <w:rPr>
          <w:color w:val="000000" w:themeColor="text1"/>
          <w:sz w:val="24"/>
          <w:szCs w:val="24"/>
        </w:rPr>
        <w:t>zvješća</w:t>
      </w:r>
      <w:r w:rsidR="003D1732">
        <w:rPr>
          <w:color w:val="000000" w:themeColor="text1"/>
          <w:sz w:val="24"/>
          <w:szCs w:val="24"/>
        </w:rPr>
        <w:t xml:space="preserve"> za 2022. godinu</w:t>
      </w:r>
      <w:r w:rsidRPr="00BD1B6F">
        <w:rPr>
          <w:color w:val="000000" w:themeColor="text1"/>
          <w:sz w:val="24"/>
          <w:szCs w:val="24"/>
        </w:rPr>
        <w:t xml:space="preserve">, koordinatori za strateško planiranje 23 tijela državne uprave i </w:t>
      </w:r>
      <w:r w:rsidR="004B0385">
        <w:rPr>
          <w:color w:val="000000" w:themeColor="text1"/>
          <w:sz w:val="24"/>
          <w:szCs w:val="24"/>
        </w:rPr>
        <w:t xml:space="preserve">3 </w:t>
      </w:r>
      <w:r w:rsidRPr="00BD1B6F">
        <w:rPr>
          <w:color w:val="000000" w:themeColor="text1"/>
          <w:sz w:val="24"/>
          <w:szCs w:val="24"/>
        </w:rPr>
        <w:t>Ureda Vlade</w:t>
      </w:r>
      <w:r w:rsidR="00DA7A04">
        <w:rPr>
          <w:color w:val="000000" w:themeColor="text1"/>
          <w:sz w:val="24"/>
          <w:szCs w:val="24"/>
        </w:rPr>
        <w:t>,</w:t>
      </w:r>
      <w:r w:rsidRPr="00BD1B6F">
        <w:rPr>
          <w:color w:val="000000" w:themeColor="text1"/>
          <w:sz w:val="24"/>
          <w:szCs w:val="24"/>
        </w:rPr>
        <w:t xml:space="preserve"> u skladu s nadležnostima za provedbu, prikup</w:t>
      </w:r>
      <w:r w:rsidR="00413DC6">
        <w:rPr>
          <w:color w:val="000000" w:themeColor="text1"/>
          <w:sz w:val="24"/>
          <w:szCs w:val="24"/>
        </w:rPr>
        <w:t>i</w:t>
      </w:r>
      <w:r w:rsidRPr="00BD1B6F">
        <w:rPr>
          <w:color w:val="000000" w:themeColor="text1"/>
          <w:sz w:val="24"/>
          <w:szCs w:val="24"/>
        </w:rPr>
        <w:t xml:space="preserve">li </w:t>
      </w:r>
      <w:r w:rsidR="00413DC6">
        <w:rPr>
          <w:color w:val="000000" w:themeColor="text1"/>
          <w:sz w:val="24"/>
          <w:szCs w:val="24"/>
        </w:rPr>
        <w:t xml:space="preserve">su </w:t>
      </w:r>
      <w:r w:rsidRPr="00BD1B6F">
        <w:rPr>
          <w:color w:val="000000" w:themeColor="text1"/>
          <w:sz w:val="24"/>
          <w:szCs w:val="24"/>
        </w:rPr>
        <w:t>i provjer</w:t>
      </w:r>
      <w:r w:rsidR="00413DC6">
        <w:rPr>
          <w:color w:val="000000" w:themeColor="text1"/>
          <w:sz w:val="24"/>
          <w:szCs w:val="24"/>
        </w:rPr>
        <w:t>i</w:t>
      </w:r>
      <w:r w:rsidRPr="00BD1B6F">
        <w:rPr>
          <w:color w:val="000000" w:themeColor="text1"/>
          <w:sz w:val="24"/>
          <w:szCs w:val="24"/>
        </w:rPr>
        <w:t>li podatke o ostvarenim vrijednostima za ukupno 2</w:t>
      </w:r>
      <w:r>
        <w:rPr>
          <w:color w:val="000000" w:themeColor="text1"/>
          <w:sz w:val="24"/>
          <w:szCs w:val="24"/>
        </w:rPr>
        <w:t>6</w:t>
      </w:r>
      <w:r w:rsidRPr="00BD1B6F">
        <w:rPr>
          <w:color w:val="000000" w:themeColor="text1"/>
          <w:sz w:val="24"/>
          <w:szCs w:val="24"/>
        </w:rPr>
        <w:t xml:space="preserve"> pokazatelja u</w:t>
      </w:r>
      <w:r w:rsidR="00413DC6">
        <w:rPr>
          <w:color w:val="000000" w:themeColor="text1"/>
          <w:sz w:val="24"/>
          <w:szCs w:val="24"/>
        </w:rPr>
        <w:t>spješnosti,</w:t>
      </w:r>
      <w:r w:rsidRPr="00BD1B6F">
        <w:rPr>
          <w:color w:val="000000" w:themeColor="text1"/>
          <w:sz w:val="24"/>
          <w:szCs w:val="24"/>
        </w:rPr>
        <w:t xml:space="preserve"> kojima se prati uspješnost provedbe 13 strateških ciljeva NRS-a 2030. Zaključno s </w:t>
      </w:r>
      <w:r w:rsidR="00BE1F57">
        <w:rPr>
          <w:color w:val="000000" w:themeColor="text1"/>
          <w:sz w:val="24"/>
          <w:szCs w:val="24"/>
        </w:rPr>
        <w:t>18</w:t>
      </w:r>
      <w:r w:rsidRPr="00BD1B6F">
        <w:rPr>
          <w:color w:val="000000" w:themeColor="text1"/>
          <w:sz w:val="24"/>
          <w:szCs w:val="24"/>
        </w:rPr>
        <w:t xml:space="preserve">. </w:t>
      </w:r>
      <w:r w:rsidR="00B8384F">
        <w:rPr>
          <w:color w:val="000000" w:themeColor="text1"/>
          <w:sz w:val="24"/>
          <w:szCs w:val="24"/>
        </w:rPr>
        <w:t>prosincem</w:t>
      </w:r>
      <w:r w:rsidRPr="00BD1B6F">
        <w:rPr>
          <w:color w:val="000000" w:themeColor="text1"/>
          <w:sz w:val="24"/>
          <w:szCs w:val="24"/>
        </w:rPr>
        <w:t xml:space="preserve"> 2023., podaci o ostvarenim vrijednostima za 2022. bili su dostupni za </w:t>
      </w:r>
      <w:r w:rsidR="00251CBE">
        <w:rPr>
          <w:color w:val="000000" w:themeColor="text1"/>
          <w:sz w:val="24"/>
          <w:szCs w:val="24"/>
        </w:rPr>
        <w:t>20</w:t>
      </w:r>
      <w:r w:rsidRPr="00BD1B6F">
        <w:rPr>
          <w:color w:val="000000" w:themeColor="text1"/>
          <w:sz w:val="24"/>
          <w:szCs w:val="24"/>
        </w:rPr>
        <w:t xml:space="preserve"> pokazatelja, dok se za </w:t>
      </w:r>
      <w:r w:rsidR="00251CBE">
        <w:rPr>
          <w:color w:val="000000" w:themeColor="text1"/>
          <w:sz w:val="24"/>
          <w:szCs w:val="24"/>
        </w:rPr>
        <w:t>6</w:t>
      </w:r>
      <w:r>
        <w:rPr>
          <w:color w:val="000000" w:themeColor="text1"/>
          <w:sz w:val="24"/>
          <w:szCs w:val="24"/>
        </w:rPr>
        <w:t xml:space="preserve"> </w:t>
      </w:r>
      <w:r w:rsidRPr="00BD1B6F">
        <w:rPr>
          <w:color w:val="000000" w:themeColor="text1"/>
          <w:sz w:val="24"/>
          <w:szCs w:val="24"/>
        </w:rPr>
        <w:t>pokazatelja uspješnosti</w:t>
      </w:r>
      <w:r w:rsidR="00482A42">
        <w:rPr>
          <w:color w:val="000000" w:themeColor="text1"/>
          <w:sz w:val="24"/>
          <w:szCs w:val="24"/>
        </w:rPr>
        <w:t>,</w:t>
      </w:r>
      <w:r w:rsidRPr="00BD1B6F">
        <w:rPr>
          <w:color w:val="000000" w:themeColor="text1"/>
          <w:sz w:val="24"/>
          <w:szCs w:val="24"/>
        </w:rPr>
        <w:t xml:space="preserve"> posljednji </w:t>
      </w:r>
      <w:r w:rsidR="00013658">
        <w:rPr>
          <w:color w:val="000000" w:themeColor="text1"/>
          <w:sz w:val="24"/>
          <w:szCs w:val="24"/>
        </w:rPr>
        <w:t>dostupni</w:t>
      </w:r>
      <w:r w:rsidRPr="00BD1B6F">
        <w:rPr>
          <w:color w:val="000000" w:themeColor="text1"/>
          <w:sz w:val="24"/>
          <w:szCs w:val="24"/>
        </w:rPr>
        <w:t xml:space="preserve"> podaci </w:t>
      </w:r>
      <w:r w:rsidR="00044808">
        <w:rPr>
          <w:color w:val="000000" w:themeColor="text1"/>
          <w:sz w:val="24"/>
          <w:szCs w:val="24"/>
        </w:rPr>
        <w:t xml:space="preserve">o ostvarenim vrijednostima </w:t>
      </w:r>
      <w:r w:rsidRPr="00BD1B6F">
        <w:rPr>
          <w:color w:val="000000" w:themeColor="text1"/>
          <w:sz w:val="24"/>
          <w:szCs w:val="24"/>
        </w:rPr>
        <w:t xml:space="preserve">odnose na 2021. </w:t>
      </w:r>
      <w:r w:rsidR="00251CBE">
        <w:rPr>
          <w:color w:val="000000" w:themeColor="text1"/>
          <w:sz w:val="24"/>
          <w:szCs w:val="24"/>
        </w:rPr>
        <w:t xml:space="preserve">i 2020. </w:t>
      </w:r>
      <w:r w:rsidR="004007F3">
        <w:rPr>
          <w:color w:val="000000" w:themeColor="text1"/>
          <w:sz w:val="24"/>
          <w:szCs w:val="24"/>
        </w:rPr>
        <w:t>godinu</w:t>
      </w:r>
      <w:r w:rsidR="00D74BCA">
        <w:rPr>
          <w:color w:val="000000" w:themeColor="text1"/>
          <w:sz w:val="24"/>
          <w:szCs w:val="24"/>
        </w:rPr>
        <w:t>.</w:t>
      </w:r>
      <w:r w:rsidR="002E00A2" w:rsidRPr="002E00A2">
        <w:t xml:space="preserve"> </w:t>
      </w:r>
    </w:p>
    <w:p w14:paraId="76DD8060" w14:textId="239E6A71" w:rsidR="00E12E97" w:rsidRDefault="00834F99" w:rsidP="00BE1F57">
      <w:pPr>
        <w:spacing w:before="240" w:after="240" w:line="276" w:lineRule="auto"/>
        <w:jc w:val="both"/>
        <w:rPr>
          <w:color w:val="000000" w:themeColor="text1"/>
          <w:sz w:val="24"/>
          <w:szCs w:val="24"/>
        </w:rPr>
      </w:pPr>
      <w:r w:rsidRPr="00BD1B6F">
        <w:rPr>
          <w:color w:val="000000" w:themeColor="text1"/>
          <w:sz w:val="24"/>
          <w:szCs w:val="24"/>
        </w:rPr>
        <w:t xml:space="preserve">Zbog izmjene metodologije ili uslijed kašnjenja u provođenju istraživanja i obradi podataka uzrokovanih pandemijom COVID-19, za </w:t>
      </w:r>
      <w:r w:rsidR="00EC234A">
        <w:rPr>
          <w:color w:val="000000" w:themeColor="text1"/>
          <w:sz w:val="24"/>
          <w:szCs w:val="24"/>
        </w:rPr>
        <w:t>2</w:t>
      </w:r>
      <w:r w:rsidRPr="00BD1B6F">
        <w:rPr>
          <w:color w:val="000000" w:themeColor="text1"/>
          <w:sz w:val="24"/>
          <w:szCs w:val="24"/>
        </w:rPr>
        <w:t xml:space="preserve"> pokazatelja uspješnosti nisu bili dostupni noviji podaci o ostvarenim vrijednostima, u odnosu na prošlogodišnje izvješće. Kako nedostupnost ili kašnjenje u obradi podataka ne bi otežalo praćenje i upravljanje provedbom NRS-om 2030,</w:t>
      </w:r>
      <w:r w:rsidRPr="00BD1B6F">
        <w:rPr>
          <w:sz w:val="24"/>
          <w:szCs w:val="24"/>
        </w:rPr>
        <w:t xml:space="preserve"> za potrebe praćenja provedbe i izvješćivanja o napretku u provedbi dijela ciljeva korišteni su zamjenski pokazatelji. Umjesto podataka pokazatelja uspješnosti Indeksa globalne konkurentnosti (GCI), tijekom 2022., za potrebe praćenja provedbe strateških ciljeva Konkurentno i inovativno gospodarstvo, Učinkovito i djelotvorno pravosuđe, javna uprava i upravljanje državnom imovinom, Globalna prepoznatljivost Hrvatske i Održiva mobilnost, korišteni su podaci pokazatelja </w:t>
      </w:r>
      <w:r w:rsidRPr="00BD1B6F">
        <w:rPr>
          <w:color w:val="000000" w:themeColor="text1"/>
          <w:sz w:val="24"/>
          <w:szCs w:val="24"/>
        </w:rPr>
        <w:t xml:space="preserve">Svjetska ljestvica konkurentnosti (WCR), Instituta za razvoj poslovnog upravljanja (IMD) iz Lausannea. Opis navedenog pokazatelja i pregled kriterija za izračun poretka </w:t>
      </w:r>
      <w:r w:rsidR="00F805E2" w:rsidRPr="00F805E2">
        <w:rPr>
          <w:color w:val="000000" w:themeColor="text1"/>
          <w:sz w:val="24"/>
          <w:szCs w:val="24"/>
        </w:rPr>
        <w:t>Svjetsk</w:t>
      </w:r>
      <w:r w:rsidR="00F805E2">
        <w:rPr>
          <w:color w:val="000000" w:themeColor="text1"/>
          <w:sz w:val="24"/>
          <w:szCs w:val="24"/>
        </w:rPr>
        <w:t>e</w:t>
      </w:r>
      <w:r w:rsidR="00F805E2" w:rsidRPr="00F805E2">
        <w:rPr>
          <w:color w:val="000000" w:themeColor="text1"/>
          <w:sz w:val="24"/>
          <w:szCs w:val="24"/>
        </w:rPr>
        <w:t xml:space="preserve"> ljestvic</w:t>
      </w:r>
      <w:r w:rsidR="00F805E2">
        <w:rPr>
          <w:color w:val="000000" w:themeColor="text1"/>
          <w:sz w:val="24"/>
          <w:szCs w:val="24"/>
        </w:rPr>
        <w:t>e</w:t>
      </w:r>
      <w:r w:rsidR="00F805E2" w:rsidRPr="00F805E2">
        <w:rPr>
          <w:color w:val="000000" w:themeColor="text1"/>
          <w:sz w:val="24"/>
          <w:szCs w:val="24"/>
        </w:rPr>
        <w:t xml:space="preserve"> konkurentnosti </w:t>
      </w:r>
      <w:r w:rsidRPr="00BD1B6F">
        <w:rPr>
          <w:color w:val="000000" w:themeColor="text1"/>
          <w:sz w:val="24"/>
          <w:szCs w:val="24"/>
        </w:rPr>
        <w:t xml:space="preserve">nalaze se u prilogu </w:t>
      </w:r>
      <w:r w:rsidR="003D3AEB">
        <w:rPr>
          <w:color w:val="000000" w:themeColor="text1"/>
          <w:sz w:val="24"/>
          <w:szCs w:val="24"/>
        </w:rPr>
        <w:t>5</w:t>
      </w:r>
      <w:r w:rsidR="00CB26AF">
        <w:rPr>
          <w:color w:val="000000" w:themeColor="text1"/>
          <w:sz w:val="24"/>
          <w:szCs w:val="24"/>
        </w:rPr>
        <w:t xml:space="preserve"> </w:t>
      </w:r>
      <w:r w:rsidRPr="00BD1B6F">
        <w:rPr>
          <w:color w:val="000000" w:themeColor="text1"/>
          <w:sz w:val="24"/>
          <w:szCs w:val="24"/>
        </w:rPr>
        <w:t>Izvješć</w:t>
      </w:r>
      <w:r w:rsidR="00133B1B">
        <w:rPr>
          <w:color w:val="000000" w:themeColor="text1"/>
          <w:sz w:val="24"/>
          <w:szCs w:val="24"/>
        </w:rPr>
        <w:t>a</w:t>
      </w:r>
      <w:r w:rsidRPr="00BD1B6F">
        <w:rPr>
          <w:color w:val="000000" w:themeColor="text1"/>
          <w:sz w:val="24"/>
          <w:szCs w:val="24"/>
        </w:rPr>
        <w:t>.</w:t>
      </w:r>
    </w:p>
    <w:p w14:paraId="5DC5EDD7" w14:textId="46F5781B" w:rsidR="00BE1F57" w:rsidRDefault="00BE1F57" w:rsidP="00BE1F57">
      <w:pPr>
        <w:spacing w:before="240" w:after="240" w:line="276" w:lineRule="auto"/>
        <w:jc w:val="both"/>
        <w:sectPr w:rsidR="00BE1F57" w:rsidSect="00D764F9">
          <w:pgSz w:w="11910" w:h="16840"/>
          <w:pgMar w:top="1080" w:right="1440" w:bottom="1080" w:left="1440" w:header="0" w:footer="757" w:gutter="0"/>
          <w:cols w:space="720"/>
          <w:docGrid w:linePitch="299"/>
        </w:sectPr>
      </w:pPr>
    </w:p>
    <w:p w14:paraId="7B4C4DEE" w14:textId="53CDD8E4" w:rsidR="006634F8" w:rsidRDefault="00840F22" w:rsidP="00BB4F4C">
      <w:pPr>
        <w:jc w:val="center"/>
      </w:pPr>
      <w:r w:rsidRPr="00840F22">
        <w:rPr>
          <w:noProof/>
          <w:lang w:eastAsia="hr-HR"/>
        </w:rPr>
        <w:lastRenderedPageBreak/>
        <w:drawing>
          <wp:inline distT="0" distB="0" distL="0" distR="0" wp14:anchorId="1B067CE5" wp14:editId="62F21D67">
            <wp:extent cx="8612505" cy="5734050"/>
            <wp:effectExtent l="0" t="0" r="0" b="6350"/>
            <wp:docPr id="1982746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46523" name=""/>
                    <pic:cNvPicPr/>
                  </pic:nvPicPr>
                  <pic:blipFill>
                    <a:blip r:embed="rId20"/>
                    <a:stretch>
                      <a:fillRect/>
                    </a:stretch>
                  </pic:blipFill>
                  <pic:spPr>
                    <a:xfrm>
                      <a:off x="0" y="0"/>
                      <a:ext cx="8612505" cy="5734050"/>
                    </a:xfrm>
                    <a:prstGeom prst="rect">
                      <a:avLst/>
                    </a:prstGeom>
                  </pic:spPr>
                </pic:pic>
              </a:graphicData>
            </a:graphic>
          </wp:inline>
        </w:drawing>
      </w:r>
    </w:p>
    <w:p w14:paraId="64B9EB7C" w14:textId="63CBA5FC" w:rsidR="009656FC" w:rsidRDefault="00B9581F" w:rsidP="002A6CBA">
      <w:pPr>
        <w:jc w:val="center"/>
        <w:sectPr w:rsidR="009656FC" w:rsidSect="00D764F9">
          <w:pgSz w:w="16840" w:h="11910" w:orient="landscape"/>
          <w:pgMar w:top="1440" w:right="1080" w:bottom="1440" w:left="1080" w:header="0" w:footer="757" w:gutter="0"/>
          <w:cols w:space="720"/>
          <w:docGrid w:linePitch="299"/>
        </w:sectPr>
      </w:pPr>
      <w:r w:rsidRPr="00B9581F">
        <w:rPr>
          <w:noProof/>
          <w:lang w:eastAsia="hr-HR"/>
        </w:rPr>
        <w:drawing>
          <wp:inline distT="0" distB="0" distL="0" distR="0" wp14:anchorId="16AB90A3" wp14:editId="5663E71F">
            <wp:extent cx="8548577" cy="6004484"/>
            <wp:effectExtent l="0" t="0" r="0" b="3175"/>
            <wp:docPr id="752401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401964" name=""/>
                    <pic:cNvPicPr/>
                  </pic:nvPicPr>
                  <pic:blipFill>
                    <a:blip r:embed="rId21"/>
                    <a:stretch>
                      <a:fillRect/>
                    </a:stretch>
                  </pic:blipFill>
                  <pic:spPr>
                    <a:xfrm>
                      <a:off x="0" y="0"/>
                      <a:ext cx="8550459" cy="6005806"/>
                    </a:xfrm>
                    <a:prstGeom prst="rect">
                      <a:avLst/>
                    </a:prstGeom>
                  </pic:spPr>
                </pic:pic>
              </a:graphicData>
            </a:graphic>
          </wp:inline>
        </w:drawing>
      </w:r>
      <w:r w:rsidR="002A6CBA">
        <w:rPr>
          <w:noProof/>
        </w:rPr>
        <w:br w:type="page"/>
      </w:r>
    </w:p>
    <w:p w14:paraId="2FF7ECFF" w14:textId="2CE28ADE" w:rsidR="00822141" w:rsidRDefault="00822141" w:rsidP="0085427A">
      <w:pPr>
        <w:spacing w:after="160" w:line="257" w:lineRule="auto"/>
        <w:jc w:val="both"/>
        <w:rPr>
          <w:sz w:val="24"/>
          <w:szCs w:val="24"/>
        </w:rPr>
      </w:pPr>
      <w:r w:rsidRPr="00822141">
        <w:rPr>
          <w:noProof/>
          <w:sz w:val="24"/>
          <w:szCs w:val="24"/>
          <w:lang w:eastAsia="hr-HR"/>
        </w:rPr>
        <w:lastRenderedPageBreak/>
        <w:drawing>
          <wp:inline distT="0" distB="0" distL="0" distR="0" wp14:anchorId="09F627EA" wp14:editId="24454074">
            <wp:extent cx="1386892" cy="803564"/>
            <wp:effectExtent l="0" t="0" r="0" b="0"/>
            <wp:docPr id="1423764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764996" name=""/>
                    <pic:cNvPicPr/>
                  </pic:nvPicPr>
                  <pic:blipFill>
                    <a:blip r:embed="rId22"/>
                    <a:stretch>
                      <a:fillRect/>
                    </a:stretch>
                  </pic:blipFill>
                  <pic:spPr>
                    <a:xfrm>
                      <a:off x="0" y="0"/>
                      <a:ext cx="1406397" cy="814865"/>
                    </a:xfrm>
                    <a:prstGeom prst="rect">
                      <a:avLst/>
                    </a:prstGeom>
                  </pic:spPr>
                </pic:pic>
              </a:graphicData>
            </a:graphic>
          </wp:inline>
        </w:drawing>
      </w:r>
    </w:p>
    <w:p w14:paraId="2482BAEC" w14:textId="69E5CD0A" w:rsidR="608B7F10" w:rsidRPr="00D149C5" w:rsidRDefault="001B3BBF" w:rsidP="0085427A">
      <w:pPr>
        <w:spacing w:after="160" w:line="257" w:lineRule="auto"/>
        <w:jc w:val="both"/>
        <w:rPr>
          <w:sz w:val="20"/>
          <w:szCs w:val="20"/>
        </w:rPr>
      </w:pPr>
      <w:r>
        <w:rPr>
          <w:color w:val="000000" w:themeColor="text1"/>
          <w:sz w:val="20"/>
          <w:szCs w:val="20"/>
        </w:rPr>
        <w:t>*</w:t>
      </w:r>
      <w:r w:rsidR="009E5ADD" w:rsidRPr="00D149C5">
        <w:rPr>
          <w:color w:val="000000" w:themeColor="text1"/>
          <w:sz w:val="20"/>
          <w:szCs w:val="20"/>
        </w:rPr>
        <w:t xml:space="preserve"> </w:t>
      </w:r>
      <w:r w:rsidR="608B7F10" w:rsidRPr="00D149C5">
        <w:rPr>
          <w:color w:val="000000" w:themeColor="text1"/>
          <w:sz w:val="20"/>
          <w:szCs w:val="20"/>
        </w:rPr>
        <w:t>Zbog nedostupnosti podataka</w:t>
      </w:r>
      <w:r w:rsidR="487F10F9" w:rsidRPr="00D149C5">
        <w:rPr>
          <w:color w:val="000000" w:themeColor="text1"/>
          <w:sz w:val="20"/>
          <w:szCs w:val="20"/>
        </w:rPr>
        <w:t xml:space="preserve"> Indeks</w:t>
      </w:r>
      <w:r w:rsidR="33DBC3EF" w:rsidRPr="00D149C5">
        <w:rPr>
          <w:color w:val="000000" w:themeColor="text1"/>
          <w:sz w:val="20"/>
          <w:szCs w:val="20"/>
        </w:rPr>
        <w:t>a</w:t>
      </w:r>
      <w:r w:rsidR="487F10F9" w:rsidRPr="00D149C5">
        <w:rPr>
          <w:color w:val="000000" w:themeColor="text1"/>
          <w:sz w:val="20"/>
          <w:szCs w:val="20"/>
        </w:rPr>
        <w:t xml:space="preserve"> globalne konkurentnosti (GCI) Svjetskog gospodarskog foruma (WEF)</w:t>
      </w:r>
      <w:r w:rsidR="608B7F10" w:rsidRPr="00D149C5">
        <w:rPr>
          <w:color w:val="000000" w:themeColor="text1"/>
          <w:sz w:val="20"/>
          <w:szCs w:val="20"/>
        </w:rPr>
        <w:t>, napredak</w:t>
      </w:r>
      <w:r w:rsidR="608B7F10" w:rsidRPr="00BD1B6F">
        <w:rPr>
          <w:color w:val="000000" w:themeColor="text1"/>
          <w:sz w:val="20"/>
          <w:szCs w:val="20"/>
        </w:rPr>
        <w:t xml:space="preserve"> </w:t>
      </w:r>
      <w:r w:rsidR="003559DE">
        <w:rPr>
          <w:color w:val="000000" w:themeColor="text1"/>
          <w:sz w:val="20"/>
          <w:szCs w:val="20"/>
        </w:rPr>
        <w:t>u provedbi strateških ciljeva</w:t>
      </w:r>
      <w:r w:rsidR="0051180C">
        <w:rPr>
          <w:color w:val="000000" w:themeColor="text1"/>
          <w:sz w:val="20"/>
          <w:szCs w:val="20"/>
        </w:rPr>
        <w:t xml:space="preserve"> „Konkurentno i inovativno gospodarstvo“ i „</w:t>
      </w:r>
      <w:r w:rsidR="006B5FAF">
        <w:rPr>
          <w:color w:val="000000" w:themeColor="text1"/>
          <w:sz w:val="20"/>
          <w:szCs w:val="20"/>
        </w:rPr>
        <w:t xml:space="preserve">Globalna prepoznatljivost i </w:t>
      </w:r>
      <w:r w:rsidR="00EC753F">
        <w:rPr>
          <w:color w:val="000000" w:themeColor="text1"/>
          <w:sz w:val="20"/>
          <w:szCs w:val="20"/>
        </w:rPr>
        <w:t>jačanje međunarodnog položaja i uloge Hrvatske“</w:t>
      </w:r>
      <w:r w:rsidR="608B7F10" w:rsidRPr="004C1D5B">
        <w:rPr>
          <w:color w:val="000000" w:themeColor="text1"/>
          <w:sz w:val="20"/>
          <w:szCs w:val="20"/>
        </w:rPr>
        <w:t xml:space="preserve"> </w:t>
      </w:r>
      <w:r w:rsidR="608B7F10" w:rsidRPr="00D149C5">
        <w:rPr>
          <w:color w:val="000000" w:themeColor="text1"/>
          <w:sz w:val="20"/>
          <w:szCs w:val="20"/>
        </w:rPr>
        <w:t>se prati zamjenskim pokazateljem</w:t>
      </w:r>
      <w:r w:rsidR="608B7F10" w:rsidRPr="00D149C5">
        <w:rPr>
          <w:sz w:val="20"/>
          <w:szCs w:val="20"/>
        </w:rPr>
        <w:t xml:space="preserve"> Instituta za razvoj poslovnog upravljanja iz Lausanne</w:t>
      </w:r>
      <w:r w:rsidR="3653B211" w:rsidRPr="00D149C5">
        <w:rPr>
          <w:sz w:val="20"/>
          <w:szCs w:val="20"/>
        </w:rPr>
        <w:t>a</w:t>
      </w:r>
      <w:r w:rsidR="608B7F10" w:rsidRPr="00D149C5">
        <w:rPr>
          <w:sz w:val="20"/>
          <w:szCs w:val="20"/>
        </w:rPr>
        <w:t xml:space="preserve"> (IMD)</w:t>
      </w:r>
      <w:r w:rsidR="00E564E3" w:rsidRPr="00D149C5">
        <w:rPr>
          <w:sz w:val="20"/>
          <w:szCs w:val="20"/>
        </w:rPr>
        <w:t>: Globalna ljestvica konkurentnosti (WCR)</w:t>
      </w:r>
      <w:r w:rsidR="608B7F10" w:rsidRPr="00D149C5">
        <w:rPr>
          <w:sz w:val="20"/>
          <w:szCs w:val="20"/>
        </w:rPr>
        <w:t>. Kriteriji za izračun pokazatelja nalaze se u Prilogu 5 Izvješća</w:t>
      </w:r>
      <w:r w:rsidR="00D270EF" w:rsidRPr="00D149C5">
        <w:rPr>
          <w:sz w:val="20"/>
          <w:szCs w:val="20"/>
        </w:rPr>
        <w:t>.</w:t>
      </w:r>
    </w:p>
    <w:p w14:paraId="048202BD" w14:textId="08D166CF" w:rsidR="00EC2456" w:rsidRDefault="00EC2456" w:rsidP="0085427A">
      <w:pPr>
        <w:spacing w:after="160" w:line="257" w:lineRule="auto"/>
        <w:jc w:val="both"/>
        <w:rPr>
          <w:sz w:val="20"/>
          <w:szCs w:val="20"/>
        </w:rPr>
      </w:pPr>
      <w:r>
        <w:rPr>
          <w:sz w:val="20"/>
          <w:szCs w:val="20"/>
        </w:rPr>
        <w:t xml:space="preserve">** </w:t>
      </w:r>
      <w:r w:rsidRPr="00EC2456">
        <w:rPr>
          <w:sz w:val="20"/>
          <w:szCs w:val="20"/>
        </w:rPr>
        <w:t>Zbog nedostupnosti podataka Indeksa globalne konkurentnosti (GCI)</w:t>
      </w:r>
      <w:r w:rsidR="00E564E3">
        <w:rPr>
          <w:sz w:val="20"/>
          <w:szCs w:val="20"/>
        </w:rPr>
        <w:t xml:space="preserve"> - </w:t>
      </w:r>
      <w:r w:rsidR="00771AB8">
        <w:rPr>
          <w:sz w:val="20"/>
          <w:szCs w:val="20"/>
        </w:rPr>
        <w:t>stup 1.</w:t>
      </w:r>
      <w:r w:rsidR="00A96508">
        <w:rPr>
          <w:sz w:val="20"/>
          <w:szCs w:val="20"/>
        </w:rPr>
        <w:t xml:space="preserve"> </w:t>
      </w:r>
      <w:r w:rsidR="00E564E3">
        <w:rPr>
          <w:sz w:val="20"/>
          <w:szCs w:val="20"/>
        </w:rPr>
        <w:t>„</w:t>
      </w:r>
      <w:r w:rsidR="00771AB8">
        <w:rPr>
          <w:sz w:val="20"/>
          <w:szCs w:val="20"/>
        </w:rPr>
        <w:t>Institucije</w:t>
      </w:r>
      <w:r w:rsidR="00E564E3">
        <w:rPr>
          <w:sz w:val="20"/>
          <w:szCs w:val="20"/>
        </w:rPr>
        <w:t>“</w:t>
      </w:r>
      <w:r w:rsidR="00A96508">
        <w:rPr>
          <w:sz w:val="20"/>
          <w:szCs w:val="20"/>
        </w:rPr>
        <w:t>,</w:t>
      </w:r>
      <w:r w:rsidRPr="00EC2456">
        <w:rPr>
          <w:sz w:val="20"/>
          <w:szCs w:val="20"/>
        </w:rPr>
        <w:t xml:space="preserve"> Svjetskog gospodarskog foruma (WEF), napredak se prati zamjenskim pokazateljem Instituta za razvoj poslovnog upravljanja iz Lausannea (IMD)</w:t>
      </w:r>
      <w:r w:rsidR="00E564E3" w:rsidRPr="00E564E3">
        <w:rPr>
          <w:sz w:val="20"/>
          <w:szCs w:val="20"/>
        </w:rPr>
        <w:t xml:space="preserve">: WCR </w:t>
      </w:r>
      <w:r w:rsidR="00771AB8">
        <w:rPr>
          <w:sz w:val="20"/>
          <w:szCs w:val="20"/>
        </w:rPr>
        <w:t>– kategorija „Djelotvornost javne uprave“</w:t>
      </w:r>
      <w:r w:rsidRPr="00EC2456">
        <w:rPr>
          <w:sz w:val="20"/>
          <w:szCs w:val="20"/>
        </w:rPr>
        <w:t>. Kriteriji za izračun pokazatelja nalaze se u Prilogu 5 Izvješća</w:t>
      </w:r>
    </w:p>
    <w:p w14:paraId="12026857" w14:textId="6461BA29" w:rsidR="00EC2456" w:rsidRPr="00BD1B6F" w:rsidRDefault="00EC2456" w:rsidP="0085427A">
      <w:pPr>
        <w:spacing w:after="160" w:line="257" w:lineRule="auto"/>
        <w:jc w:val="both"/>
        <w:rPr>
          <w:sz w:val="20"/>
          <w:szCs w:val="20"/>
        </w:rPr>
      </w:pPr>
      <w:r>
        <w:rPr>
          <w:sz w:val="20"/>
          <w:szCs w:val="20"/>
        </w:rPr>
        <w:t xml:space="preserve">*** </w:t>
      </w:r>
      <w:r w:rsidRPr="00EC2456">
        <w:rPr>
          <w:sz w:val="20"/>
          <w:szCs w:val="20"/>
        </w:rPr>
        <w:t>Zbog nedostupnosti podataka Indeksa globalne konkurentnosti (GCI) Svjetskog gospodarskog foruma (WEF)</w:t>
      </w:r>
      <w:r w:rsidR="00771AB8">
        <w:rPr>
          <w:sz w:val="20"/>
          <w:szCs w:val="20"/>
        </w:rPr>
        <w:t xml:space="preserve"> – stup 2. </w:t>
      </w:r>
      <w:r w:rsidR="00E564E3">
        <w:rPr>
          <w:sz w:val="20"/>
          <w:szCs w:val="20"/>
        </w:rPr>
        <w:t>„</w:t>
      </w:r>
      <w:r w:rsidR="00771AB8">
        <w:rPr>
          <w:sz w:val="20"/>
          <w:szCs w:val="20"/>
        </w:rPr>
        <w:t>Infrastruktura</w:t>
      </w:r>
      <w:r w:rsidR="00E564E3">
        <w:rPr>
          <w:sz w:val="20"/>
          <w:szCs w:val="20"/>
        </w:rPr>
        <w:t>“</w:t>
      </w:r>
      <w:r w:rsidRPr="00EC2456">
        <w:rPr>
          <w:sz w:val="20"/>
          <w:szCs w:val="20"/>
        </w:rPr>
        <w:t>, napredak se prati zamjenskim pokazateljem Instituta za razvoj poslovnog upravljanja iz Lausannea (IMD)</w:t>
      </w:r>
      <w:r w:rsidR="00E564E3">
        <w:rPr>
          <w:sz w:val="20"/>
          <w:szCs w:val="20"/>
        </w:rPr>
        <w:t>: WCR – kategorija „Infrastruktura“</w:t>
      </w:r>
      <w:r w:rsidRPr="00EC2456">
        <w:rPr>
          <w:sz w:val="20"/>
          <w:szCs w:val="20"/>
        </w:rPr>
        <w:t>. Kriteriji za izračun pokazatelja nalaze se u Prilogu 5 Izvješća</w:t>
      </w:r>
    </w:p>
    <w:p w14:paraId="6F900A1A" w14:textId="651BF31D" w:rsidR="608B7F10" w:rsidRPr="00BD1B6F" w:rsidRDefault="00EA18C3" w:rsidP="0085427A">
      <w:pPr>
        <w:spacing w:after="160" w:line="257" w:lineRule="auto"/>
        <w:jc w:val="both"/>
        <w:rPr>
          <w:sz w:val="20"/>
          <w:szCs w:val="20"/>
        </w:rPr>
      </w:pPr>
      <w:r w:rsidRPr="00BD1B6F">
        <w:rPr>
          <w:color w:val="000000" w:themeColor="text1"/>
          <w:sz w:val="20"/>
          <w:szCs w:val="20"/>
        </w:rPr>
        <w:t>**</w:t>
      </w:r>
      <w:r w:rsidR="000E14CA" w:rsidRPr="00BD1B6F">
        <w:rPr>
          <w:color w:val="000000" w:themeColor="text1"/>
          <w:sz w:val="20"/>
          <w:szCs w:val="20"/>
        </w:rPr>
        <w:t>*</w:t>
      </w:r>
      <w:r w:rsidR="00EC2456">
        <w:rPr>
          <w:color w:val="000000" w:themeColor="text1"/>
          <w:sz w:val="20"/>
          <w:szCs w:val="20"/>
        </w:rPr>
        <w:t>*</w:t>
      </w:r>
      <w:r w:rsidR="000E14CA" w:rsidRPr="00BD1B6F">
        <w:rPr>
          <w:color w:val="000000" w:themeColor="text1"/>
          <w:sz w:val="20"/>
          <w:szCs w:val="20"/>
        </w:rPr>
        <w:t xml:space="preserve"> </w:t>
      </w:r>
      <w:r w:rsidR="608B7F10" w:rsidRPr="00BD1B6F">
        <w:rPr>
          <w:sz w:val="20"/>
          <w:szCs w:val="20"/>
        </w:rPr>
        <w:t>Izdanje Indeksa regionalne kon</w:t>
      </w:r>
      <w:r w:rsidR="1B0E020E" w:rsidRPr="00BD1B6F">
        <w:rPr>
          <w:sz w:val="20"/>
          <w:szCs w:val="20"/>
        </w:rPr>
        <w:t>k</w:t>
      </w:r>
      <w:r w:rsidR="608B7F10" w:rsidRPr="00BD1B6F">
        <w:rPr>
          <w:sz w:val="20"/>
          <w:szCs w:val="20"/>
        </w:rPr>
        <w:t xml:space="preserve">urentnosti </w:t>
      </w:r>
      <w:r w:rsidR="002C62C4">
        <w:rPr>
          <w:sz w:val="20"/>
          <w:szCs w:val="20"/>
        </w:rPr>
        <w:t>za</w:t>
      </w:r>
      <w:r w:rsidR="608B7F10" w:rsidRPr="00BD1B6F">
        <w:rPr>
          <w:sz w:val="20"/>
          <w:szCs w:val="20"/>
        </w:rPr>
        <w:t xml:space="preserve"> 2022. temelji se na ažuriranoj metodologiji i stoga je uz naziv navedena oznaka RCI 2.0. </w:t>
      </w:r>
      <w:r w:rsidR="00BB4CED">
        <w:rPr>
          <w:sz w:val="20"/>
          <w:szCs w:val="20"/>
        </w:rPr>
        <w:t>Vrijednosti</w:t>
      </w:r>
      <w:r w:rsidR="608B7F10" w:rsidRPr="00BD1B6F">
        <w:rPr>
          <w:sz w:val="20"/>
          <w:szCs w:val="20"/>
        </w:rPr>
        <w:t xml:space="preserve"> za 2016. i 2019. su izračunati u</w:t>
      </w:r>
      <w:r w:rsidR="7B0A5745" w:rsidRPr="00BD1B6F">
        <w:rPr>
          <w:sz w:val="20"/>
          <w:szCs w:val="20"/>
        </w:rPr>
        <w:t xml:space="preserve"> skladu s novom</w:t>
      </w:r>
      <w:r w:rsidR="608B7F10" w:rsidRPr="00BD1B6F">
        <w:rPr>
          <w:sz w:val="20"/>
          <w:szCs w:val="20"/>
        </w:rPr>
        <w:t xml:space="preserve"> metodologij</w:t>
      </w:r>
      <w:r w:rsidR="440FB765" w:rsidRPr="00BD1B6F">
        <w:rPr>
          <w:sz w:val="20"/>
          <w:szCs w:val="20"/>
        </w:rPr>
        <w:t>om</w:t>
      </w:r>
      <w:r w:rsidR="608B7F10" w:rsidRPr="00BD1B6F">
        <w:rPr>
          <w:sz w:val="20"/>
          <w:szCs w:val="20"/>
        </w:rPr>
        <w:t xml:space="preserve"> i označeni kao RCI 2.0, izdanje 2016. i RCI 2.0, izdanje 2019</w:t>
      </w:r>
    </w:p>
    <w:p w14:paraId="55050065" w14:textId="68693D61" w:rsidR="008F5208" w:rsidRPr="00BD1B6F" w:rsidRDefault="008F5208" w:rsidP="00EE250E">
      <w:pPr>
        <w:rPr>
          <w:rFonts w:eastAsia="Calibri"/>
        </w:rPr>
      </w:pPr>
    </w:p>
    <w:p w14:paraId="6446A309" w14:textId="30B5A1C0" w:rsidR="00023163" w:rsidRDefault="00023163" w:rsidP="00E0040A">
      <w:pPr>
        <w:rPr>
          <w:rFonts w:eastAsia="Calibri"/>
          <w:b/>
          <w:bCs/>
          <w:color w:val="000000" w:themeColor="text1"/>
          <w:sz w:val="28"/>
          <w:szCs w:val="28"/>
        </w:rPr>
      </w:pPr>
      <w:r w:rsidRPr="00BD1B6F">
        <w:rPr>
          <w:rFonts w:eastAsia="Calibri"/>
          <w:b/>
          <w:bCs/>
          <w:color w:val="000000" w:themeColor="text1"/>
          <w:sz w:val="28"/>
          <w:szCs w:val="28"/>
        </w:rPr>
        <w:br w:type="page"/>
      </w:r>
    </w:p>
    <w:p w14:paraId="3322A7EB" w14:textId="77777777" w:rsidR="009656FC" w:rsidRDefault="009656FC" w:rsidP="00793CED">
      <w:pPr>
        <w:jc w:val="center"/>
        <w:rPr>
          <w:rFonts w:eastAsia="Calibri"/>
          <w:b/>
          <w:bCs/>
          <w:color w:val="000000" w:themeColor="text1"/>
          <w:sz w:val="28"/>
          <w:szCs w:val="28"/>
        </w:rPr>
        <w:sectPr w:rsidR="009656FC" w:rsidSect="00D764F9">
          <w:pgSz w:w="11910" w:h="16840"/>
          <w:pgMar w:top="1080" w:right="1440" w:bottom="1080" w:left="1440" w:header="0" w:footer="757" w:gutter="0"/>
          <w:cols w:space="720"/>
          <w:docGrid w:linePitch="299"/>
        </w:sectPr>
      </w:pPr>
    </w:p>
    <w:p w14:paraId="1FEEA865" w14:textId="305D0386" w:rsidR="008C35CA" w:rsidRPr="00BD1B6F" w:rsidRDefault="008C35CA" w:rsidP="00FB2CA2">
      <w:pPr>
        <w:pStyle w:val="Heading2"/>
        <w:spacing w:after="240"/>
        <w:ind w:firstLine="0"/>
        <w:rPr>
          <w:rFonts w:eastAsia="Calibri"/>
          <w:sz w:val="24"/>
          <w:szCs w:val="24"/>
          <w:lang w:eastAsia="en-GB"/>
        </w:rPr>
      </w:pPr>
      <w:bookmarkStart w:id="120" w:name="_Toc133420990"/>
      <w:bookmarkStart w:id="121" w:name="_Toc156819412"/>
      <w:r w:rsidRPr="00BD1B6F">
        <w:rPr>
          <w:rFonts w:eastAsia="Calibri"/>
          <w:sz w:val="24"/>
          <w:szCs w:val="24"/>
        </w:rPr>
        <w:lastRenderedPageBreak/>
        <w:t xml:space="preserve">Prilog 3 </w:t>
      </w:r>
      <w:r w:rsidRPr="00BD1B6F">
        <w:rPr>
          <w:rFonts w:eastAsia="Calibri"/>
          <w:color w:val="000000" w:themeColor="text1"/>
          <w:sz w:val="24"/>
          <w:szCs w:val="24"/>
        </w:rPr>
        <w:t xml:space="preserve">Popis </w:t>
      </w:r>
      <w:r w:rsidR="000D6095">
        <w:rPr>
          <w:rFonts w:eastAsia="Calibri"/>
          <w:color w:val="000000" w:themeColor="text1"/>
          <w:sz w:val="24"/>
          <w:szCs w:val="24"/>
        </w:rPr>
        <w:t xml:space="preserve">važećih </w:t>
      </w:r>
      <w:r w:rsidRPr="00BD1B6F">
        <w:rPr>
          <w:rFonts w:eastAsia="Calibri"/>
          <w:color w:val="000000" w:themeColor="text1"/>
          <w:sz w:val="24"/>
          <w:szCs w:val="24"/>
        </w:rPr>
        <w:t>akata strateškog planiranja</w:t>
      </w:r>
      <w:r w:rsidR="7C39AF6A" w:rsidRPr="00BD1B6F">
        <w:rPr>
          <w:sz w:val="24"/>
          <w:szCs w:val="24"/>
        </w:rPr>
        <w:t xml:space="preserve"> </w:t>
      </w:r>
      <w:r w:rsidR="7C39AF6A" w:rsidRPr="00BD1B6F">
        <w:rPr>
          <w:rFonts w:eastAsia="Calibri"/>
          <w:sz w:val="24"/>
          <w:szCs w:val="24"/>
        </w:rPr>
        <w:t>koji</w:t>
      </w:r>
      <w:r w:rsidR="00780F11" w:rsidRPr="00BD1B6F">
        <w:rPr>
          <w:rFonts w:eastAsia="Calibri"/>
          <w:sz w:val="24"/>
          <w:szCs w:val="24"/>
        </w:rPr>
        <w:t xml:space="preserve"> izravno podupiru </w:t>
      </w:r>
      <w:r w:rsidR="00286639" w:rsidRPr="00BD1B6F">
        <w:rPr>
          <w:rFonts w:eastAsia="Calibri"/>
          <w:sz w:val="24"/>
          <w:szCs w:val="24"/>
        </w:rPr>
        <w:t>provedbu strateškog okvira NRS-a 2030</w:t>
      </w:r>
      <w:bookmarkEnd w:id="120"/>
      <w:r w:rsidR="005C2CE7">
        <w:rPr>
          <w:rFonts w:eastAsia="Calibri"/>
          <w:sz w:val="24"/>
          <w:szCs w:val="24"/>
        </w:rPr>
        <w:t>.</w:t>
      </w:r>
      <w:r w:rsidR="00AC1CE0">
        <w:rPr>
          <w:rStyle w:val="FootnoteReference"/>
          <w:rFonts w:eastAsia="Calibri"/>
          <w:sz w:val="24"/>
          <w:szCs w:val="24"/>
          <w:lang w:eastAsia="en-GB"/>
        </w:rPr>
        <w:footnoteReference w:id="12"/>
      </w:r>
      <w:bookmarkEnd w:id="121"/>
    </w:p>
    <w:tbl>
      <w:tblPr>
        <w:tblStyle w:val="TableGrid"/>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972"/>
        <w:gridCol w:w="7940"/>
        <w:gridCol w:w="3036"/>
      </w:tblGrid>
      <w:tr w:rsidR="00D4696C" w:rsidRPr="00704C53" w14:paraId="4EFDAEFE" w14:textId="77777777" w:rsidTr="004C1D5B">
        <w:trPr>
          <w:trHeight w:val="558"/>
          <w:tblHeader/>
          <w:jc w:val="center"/>
        </w:trPr>
        <w:tc>
          <w:tcPr>
            <w:tcW w:w="2972" w:type="dxa"/>
            <w:shd w:val="clear" w:color="auto" w:fill="C6D9F1" w:themeFill="text2" w:themeFillTint="33"/>
            <w:vAlign w:val="center"/>
          </w:tcPr>
          <w:p w14:paraId="34CB11D7" w14:textId="77777777" w:rsidR="005602A0" w:rsidRPr="00704C53" w:rsidRDefault="005602A0">
            <w:pPr>
              <w:jc w:val="center"/>
              <w:rPr>
                <w:rFonts w:ascii="Arial" w:hAnsi="Arial" w:cs="Arial"/>
                <w:b/>
                <w:bCs/>
              </w:rPr>
            </w:pPr>
            <w:r w:rsidRPr="00704C53">
              <w:rPr>
                <w:rFonts w:ascii="Arial" w:hAnsi="Arial" w:cs="Arial"/>
                <w:b/>
                <w:bCs/>
              </w:rPr>
              <w:t>Nositelj provedbe</w:t>
            </w:r>
          </w:p>
        </w:tc>
        <w:tc>
          <w:tcPr>
            <w:tcW w:w="7940" w:type="dxa"/>
            <w:shd w:val="clear" w:color="auto" w:fill="C6D9F1" w:themeFill="text2" w:themeFillTint="33"/>
            <w:vAlign w:val="center"/>
          </w:tcPr>
          <w:p w14:paraId="6D782FF5" w14:textId="77777777" w:rsidR="005602A0" w:rsidRPr="00704C53" w:rsidRDefault="005602A0">
            <w:pPr>
              <w:jc w:val="center"/>
              <w:rPr>
                <w:rFonts w:ascii="Arial" w:hAnsi="Arial" w:cs="Arial"/>
                <w:b/>
                <w:bCs/>
              </w:rPr>
            </w:pPr>
            <w:r w:rsidRPr="00704C53">
              <w:rPr>
                <w:rFonts w:ascii="Arial" w:hAnsi="Arial" w:cs="Arial"/>
                <w:b/>
                <w:bCs/>
              </w:rPr>
              <w:t>Naziv akta strateškog planiranja</w:t>
            </w:r>
          </w:p>
        </w:tc>
        <w:tc>
          <w:tcPr>
            <w:tcW w:w="3036" w:type="dxa"/>
            <w:shd w:val="clear" w:color="auto" w:fill="C6D9F1" w:themeFill="text2" w:themeFillTint="33"/>
            <w:vAlign w:val="center"/>
          </w:tcPr>
          <w:p w14:paraId="36D4B574" w14:textId="77777777" w:rsidR="005602A0" w:rsidRPr="00704C53" w:rsidRDefault="005602A0">
            <w:pPr>
              <w:jc w:val="center"/>
              <w:rPr>
                <w:rFonts w:ascii="Arial" w:hAnsi="Arial" w:cs="Arial"/>
                <w:b/>
                <w:bCs/>
              </w:rPr>
            </w:pPr>
            <w:r>
              <w:rPr>
                <w:rFonts w:ascii="Arial" w:hAnsi="Arial" w:cs="Arial"/>
                <w:b/>
                <w:bCs/>
              </w:rPr>
              <w:t>S</w:t>
            </w:r>
            <w:r w:rsidRPr="00704C53">
              <w:rPr>
                <w:rFonts w:ascii="Arial" w:hAnsi="Arial" w:cs="Arial"/>
                <w:b/>
                <w:bCs/>
              </w:rPr>
              <w:t>tratešk</w:t>
            </w:r>
            <w:r>
              <w:rPr>
                <w:rFonts w:ascii="Arial" w:hAnsi="Arial" w:cs="Arial"/>
                <w:b/>
                <w:bCs/>
              </w:rPr>
              <w:t>i</w:t>
            </w:r>
            <w:r w:rsidRPr="00704C53">
              <w:rPr>
                <w:rFonts w:ascii="Arial" w:hAnsi="Arial" w:cs="Arial"/>
                <w:b/>
                <w:bCs/>
              </w:rPr>
              <w:t xml:space="preserve"> cilj</w:t>
            </w:r>
            <w:r>
              <w:rPr>
                <w:rFonts w:ascii="Arial" w:hAnsi="Arial" w:cs="Arial"/>
                <w:b/>
                <w:bCs/>
              </w:rPr>
              <w:t xml:space="preserve"> </w:t>
            </w:r>
            <w:r w:rsidRPr="00704C53">
              <w:rPr>
                <w:rFonts w:ascii="Arial" w:hAnsi="Arial" w:cs="Arial"/>
                <w:b/>
                <w:bCs/>
              </w:rPr>
              <w:t>NRS-a 2030.</w:t>
            </w:r>
          </w:p>
        </w:tc>
      </w:tr>
      <w:tr w:rsidR="005602A0" w:rsidRPr="00704C53" w14:paraId="007B5DBB" w14:textId="77777777" w:rsidTr="004C1D5B">
        <w:trPr>
          <w:jc w:val="center"/>
        </w:trPr>
        <w:tc>
          <w:tcPr>
            <w:tcW w:w="2972" w:type="dxa"/>
            <w:vMerge w:val="restart"/>
            <w:vAlign w:val="center"/>
          </w:tcPr>
          <w:p w14:paraId="10909D85" w14:textId="77777777" w:rsidR="005602A0" w:rsidRPr="00704C53" w:rsidRDefault="005602A0">
            <w:pPr>
              <w:rPr>
                <w:rFonts w:ascii="Arial" w:hAnsi="Arial" w:cs="Arial"/>
              </w:rPr>
            </w:pPr>
            <w:r w:rsidRPr="00704C53">
              <w:rPr>
                <w:rFonts w:ascii="Arial" w:hAnsi="Arial" w:cs="Arial"/>
                <w:color w:val="000000" w:themeColor="text1"/>
              </w:rPr>
              <w:t>Ministarstvo gospodarstva i održivog razvoja</w:t>
            </w:r>
          </w:p>
        </w:tc>
        <w:tc>
          <w:tcPr>
            <w:tcW w:w="7940" w:type="dxa"/>
            <w:shd w:val="clear" w:color="auto" w:fill="DBE5F1" w:themeFill="accent1" w:themeFillTint="33"/>
            <w:vAlign w:val="center"/>
          </w:tcPr>
          <w:p w14:paraId="16F7A241"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Višegodišnji program gradnje komunalnih vodnih građevina za razdoblje do 2030. godine </w:t>
            </w:r>
          </w:p>
        </w:tc>
        <w:tc>
          <w:tcPr>
            <w:tcW w:w="3036" w:type="dxa"/>
            <w:vMerge w:val="restart"/>
            <w:vAlign w:val="center"/>
          </w:tcPr>
          <w:p w14:paraId="35184E29" w14:textId="77777777" w:rsidR="005602A0" w:rsidRPr="00704C53" w:rsidRDefault="005602A0">
            <w:pPr>
              <w:jc w:val="center"/>
              <w:rPr>
                <w:rFonts w:ascii="Arial" w:hAnsi="Arial" w:cs="Arial"/>
              </w:rPr>
            </w:pPr>
            <w:r>
              <w:rPr>
                <w:noProof/>
                <w:lang w:eastAsia="hr-HR"/>
              </w:rPr>
              <w:drawing>
                <wp:inline distT="0" distB="0" distL="0" distR="0" wp14:anchorId="6B0EA03A" wp14:editId="2B25C7D5">
                  <wp:extent cx="5810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r>
      <w:tr w:rsidR="005602A0" w:rsidRPr="00704C53" w14:paraId="56BA5092" w14:textId="77777777" w:rsidTr="004C1D5B">
        <w:trPr>
          <w:jc w:val="center"/>
        </w:trPr>
        <w:tc>
          <w:tcPr>
            <w:tcW w:w="2972" w:type="dxa"/>
            <w:vMerge/>
            <w:vAlign w:val="center"/>
          </w:tcPr>
          <w:p w14:paraId="17C77274"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597E835D"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Strategija niskougljičnog razvoja Republike Hrvatske do 2030. s pogledom na 2050. godinu</w:t>
            </w:r>
          </w:p>
        </w:tc>
        <w:tc>
          <w:tcPr>
            <w:tcW w:w="3036" w:type="dxa"/>
            <w:vMerge/>
          </w:tcPr>
          <w:p w14:paraId="6582671A" w14:textId="77777777" w:rsidR="005602A0" w:rsidRPr="00704C53" w:rsidRDefault="005602A0">
            <w:pPr>
              <w:rPr>
                <w:rFonts w:ascii="Arial" w:hAnsi="Arial" w:cs="Arial"/>
              </w:rPr>
            </w:pPr>
          </w:p>
        </w:tc>
      </w:tr>
      <w:tr w:rsidR="005602A0" w:rsidRPr="00704C53" w14:paraId="560218ED" w14:textId="77777777" w:rsidTr="004C1D5B">
        <w:trPr>
          <w:jc w:val="center"/>
        </w:trPr>
        <w:tc>
          <w:tcPr>
            <w:tcW w:w="2972" w:type="dxa"/>
            <w:vMerge/>
            <w:vAlign w:val="center"/>
          </w:tcPr>
          <w:p w14:paraId="44B1E21B"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773C0351"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Integrirani nacionalni energetski i klimatski plan za Republiku Hrvatsku za razdoblje od 2021. do 2030. godine</w:t>
            </w:r>
          </w:p>
        </w:tc>
        <w:tc>
          <w:tcPr>
            <w:tcW w:w="3036" w:type="dxa"/>
            <w:vMerge/>
          </w:tcPr>
          <w:p w14:paraId="54582EA3" w14:textId="77777777" w:rsidR="005602A0" w:rsidRPr="00704C53" w:rsidRDefault="005602A0">
            <w:pPr>
              <w:rPr>
                <w:rFonts w:ascii="Arial" w:hAnsi="Arial" w:cs="Arial"/>
              </w:rPr>
            </w:pPr>
          </w:p>
        </w:tc>
      </w:tr>
      <w:tr w:rsidR="005602A0" w:rsidRPr="00704C53" w14:paraId="3F3D7E65" w14:textId="77777777" w:rsidTr="004C1D5B">
        <w:trPr>
          <w:jc w:val="center"/>
        </w:trPr>
        <w:tc>
          <w:tcPr>
            <w:tcW w:w="2972" w:type="dxa"/>
            <w:vMerge/>
            <w:vAlign w:val="center"/>
          </w:tcPr>
          <w:p w14:paraId="298323A6"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26FB7232"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Strategija i akcijski plan zaštite prirode Republike Hrvatske za razdoblje od 2017. do 2025. godine</w:t>
            </w:r>
          </w:p>
        </w:tc>
        <w:tc>
          <w:tcPr>
            <w:tcW w:w="3036" w:type="dxa"/>
            <w:vMerge/>
          </w:tcPr>
          <w:p w14:paraId="1758A84E" w14:textId="77777777" w:rsidR="005602A0" w:rsidRPr="00704C53" w:rsidRDefault="005602A0">
            <w:pPr>
              <w:rPr>
                <w:rFonts w:ascii="Arial" w:hAnsi="Arial" w:cs="Arial"/>
              </w:rPr>
            </w:pPr>
          </w:p>
        </w:tc>
      </w:tr>
      <w:tr w:rsidR="005602A0" w:rsidRPr="00704C53" w14:paraId="45AAA705" w14:textId="77777777" w:rsidTr="004C1D5B">
        <w:trPr>
          <w:jc w:val="center"/>
        </w:trPr>
        <w:tc>
          <w:tcPr>
            <w:tcW w:w="2972" w:type="dxa"/>
            <w:vMerge/>
            <w:vAlign w:val="center"/>
          </w:tcPr>
          <w:p w14:paraId="3526BC2A"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2A0D5813"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Strategija prilagodbe klimatskim promjenama u Republici Hrvatskoj za razdoblje do 2040. godine s pogledom na 2070. godinu</w:t>
            </w:r>
          </w:p>
        </w:tc>
        <w:tc>
          <w:tcPr>
            <w:tcW w:w="3036" w:type="dxa"/>
            <w:vMerge/>
          </w:tcPr>
          <w:p w14:paraId="5CF888F3" w14:textId="77777777" w:rsidR="005602A0" w:rsidRPr="00704C53" w:rsidRDefault="005602A0">
            <w:pPr>
              <w:rPr>
                <w:rFonts w:ascii="Arial" w:hAnsi="Arial" w:cs="Arial"/>
              </w:rPr>
            </w:pPr>
          </w:p>
        </w:tc>
      </w:tr>
      <w:tr w:rsidR="005602A0" w:rsidRPr="00704C53" w14:paraId="4BF1B019" w14:textId="77777777" w:rsidTr="004C1D5B">
        <w:trPr>
          <w:jc w:val="center"/>
        </w:trPr>
        <w:tc>
          <w:tcPr>
            <w:tcW w:w="2972" w:type="dxa"/>
            <w:vMerge/>
            <w:vAlign w:val="center"/>
          </w:tcPr>
          <w:p w14:paraId="3ED6555D"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3F95B5DD"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Strategija energetskog razvoja Republike Hrvatske do 2030. s pogledom na 2050. godinu</w:t>
            </w:r>
          </w:p>
        </w:tc>
        <w:tc>
          <w:tcPr>
            <w:tcW w:w="3036" w:type="dxa"/>
            <w:vMerge/>
          </w:tcPr>
          <w:p w14:paraId="6D6EBA65" w14:textId="77777777" w:rsidR="005602A0" w:rsidRPr="00704C53" w:rsidRDefault="005602A0">
            <w:pPr>
              <w:rPr>
                <w:rFonts w:ascii="Arial" w:hAnsi="Arial" w:cs="Arial"/>
              </w:rPr>
            </w:pPr>
          </w:p>
        </w:tc>
      </w:tr>
      <w:tr w:rsidR="005602A0" w:rsidRPr="00704C53" w14:paraId="42A7993E" w14:textId="77777777" w:rsidTr="004C1D5B">
        <w:trPr>
          <w:trHeight w:val="471"/>
          <w:jc w:val="center"/>
        </w:trPr>
        <w:tc>
          <w:tcPr>
            <w:tcW w:w="2972" w:type="dxa"/>
            <w:vMerge/>
            <w:vAlign w:val="center"/>
          </w:tcPr>
          <w:p w14:paraId="11FD8F38"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476C0C8B"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Hrvatska strategija za vodik do 2050. godine</w:t>
            </w:r>
          </w:p>
        </w:tc>
        <w:tc>
          <w:tcPr>
            <w:tcW w:w="3036" w:type="dxa"/>
            <w:vMerge/>
          </w:tcPr>
          <w:p w14:paraId="172A08FD" w14:textId="77777777" w:rsidR="005602A0" w:rsidRPr="00704C53" w:rsidRDefault="005602A0">
            <w:pPr>
              <w:rPr>
                <w:rFonts w:ascii="Arial" w:hAnsi="Arial" w:cs="Arial"/>
              </w:rPr>
            </w:pPr>
          </w:p>
        </w:tc>
      </w:tr>
      <w:tr w:rsidR="005602A0" w:rsidRPr="00704C53" w14:paraId="7421FA61" w14:textId="77777777" w:rsidTr="004C1D5B">
        <w:trPr>
          <w:trHeight w:val="421"/>
          <w:jc w:val="center"/>
        </w:trPr>
        <w:tc>
          <w:tcPr>
            <w:tcW w:w="2972" w:type="dxa"/>
            <w:vMerge w:val="restart"/>
            <w:vAlign w:val="center"/>
          </w:tcPr>
          <w:p w14:paraId="32AEB65E" w14:textId="77777777" w:rsidR="005602A0" w:rsidRPr="00704C53" w:rsidRDefault="005602A0">
            <w:pPr>
              <w:rPr>
                <w:rFonts w:ascii="Arial" w:hAnsi="Arial" w:cs="Arial"/>
              </w:rPr>
            </w:pPr>
            <w:r w:rsidRPr="00704C53">
              <w:rPr>
                <w:rFonts w:ascii="Arial" w:eastAsia="Calibri" w:hAnsi="Arial" w:cs="Arial"/>
              </w:rPr>
              <w:t>Ministarstvo mora, prometa i infrastrukture</w:t>
            </w:r>
          </w:p>
        </w:tc>
        <w:tc>
          <w:tcPr>
            <w:tcW w:w="7940" w:type="dxa"/>
            <w:shd w:val="clear" w:color="auto" w:fill="DBE5F1" w:themeFill="accent1" w:themeFillTint="33"/>
            <w:vAlign w:val="center"/>
          </w:tcPr>
          <w:p w14:paraId="7396FBA1"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eastAsia="Calibri" w:hAnsi="Arial" w:cs="Arial"/>
              </w:rPr>
              <w:t xml:space="preserve">Strategija razvoja </w:t>
            </w:r>
            <w:r w:rsidRPr="00704C53">
              <w:rPr>
                <w:rFonts w:ascii="Arial" w:hAnsi="Arial" w:cs="Arial"/>
              </w:rPr>
              <w:t xml:space="preserve">željezničkog sustava </w:t>
            </w:r>
            <w:r w:rsidRPr="00704C53">
              <w:rPr>
                <w:rFonts w:ascii="Arial" w:eastAsia="Calibri" w:hAnsi="Arial" w:cs="Arial"/>
              </w:rPr>
              <w:t xml:space="preserve">Republike Hrvatske do </w:t>
            </w:r>
            <w:r w:rsidRPr="00704C53">
              <w:rPr>
                <w:rFonts w:ascii="Arial" w:hAnsi="Arial" w:cs="Arial"/>
              </w:rPr>
              <w:t>2032.</w:t>
            </w:r>
            <w:r w:rsidRPr="00704C53">
              <w:rPr>
                <w:rFonts w:ascii="Arial" w:eastAsia="Calibri" w:hAnsi="Arial" w:cs="Arial"/>
              </w:rPr>
              <w:t xml:space="preserve"> godine</w:t>
            </w:r>
          </w:p>
        </w:tc>
        <w:tc>
          <w:tcPr>
            <w:tcW w:w="3036" w:type="dxa"/>
            <w:vMerge w:val="restart"/>
            <w:vAlign w:val="center"/>
          </w:tcPr>
          <w:p w14:paraId="02403445" w14:textId="77777777" w:rsidR="005602A0" w:rsidRPr="00704C53" w:rsidRDefault="005602A0">
            <w:pPr>
              <w:jc w:val="center"/>
              <w:rPr>
                <w:rFonts w:ascii="Arial" w:hAnsi="Arial" w:cs="Arial"/>
              </w:rPr>
            </w:pPr>
            <w:r>
              <w:rPr>
                <w:noProof/>
                <w:lang w:eastAsia="hr-HR"/>
              </w:rPr>
              <w:drawing>
                <wp:inline distT="0" distB="0" distL="0" distR="0" wp14:anchorId="63700C78" wp14:editId="5C9B4C7B">
                  <wp:extent cx="561975" cy="533400"/>
                  <wp:effectExtent l="0" t="0" r="9525" b="0"/>
                  <wp:docPr id="514197392" name="Picture 51419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r>
      <w:tr w:rsidR="005602A0" w:rsidRPr="00704C53" w14:paraId="79DE4DCD" w14:textId="77777777" w:rsidTr="004C1D5B">
        <w:trPr>
          <w:jc w:val="center"/>
        </w:trPr>
        <w:tc>
          <w:tcPr>
            <w:tcW w:w="2972" w:type="dxa"/>
            <w:vMerge/>
            <w:vAlign w:val="center"/>
          </w:tcPr>
          <w:p w14:paraId="568F47BC"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51BFE8D0"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Nacionalni plan razvoja željezničke infrastrukture za razdoblje do 2030. godine</w:t>
            </w:r>
          </w:p>
        </w:tc>
        <w:tc>
          <w:tcPr>
            <w:tcW w:w="3036" w:type="dxa"/>
            <w:vMerge/>
          </w:tcPr>
          <w:p w14:paraId="4A535485" w14:textId="77777777" w:rsidR="005602A0" w:rsidRPr="00704C53" w:rsidRDefault="005602A0">
            <w:pPr>
              <w:rPr>
                <w:rFonts w:ascii="Arial" w:hAnsi="Arial" w:cs="Arial"/>
              </w:rPr>
            </w:pPr>
          </w:p>
        </w:tc>
      </w:tr>
      <w:tr w:rsidR="005602A0" w:rsidRPr="00704C53" w14:paraId="7A471578" w14:textId="77777777" w:rsidTr="004C1D5B">
        <w:trPr>
          <w:jc w:val="center"/>
        </w:trPr>
        <w:tc>
          <w:tcPr>
            <w:tcW w:w="2972" w:type="dxa"/>
            <w:vMerge/>
            <w:vAlign w:val="center"/>
          </w:tcPr>
          <w:p w14:paraId="605BA95B"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377CF9E0"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Nacionalni plan upravljanja željezničkom infrastrukturom i uslužnim objektima i razvoja usluga željezničkog prijevoza za razdoblje do 2030. godine</w:t>
            </w:r>
          </w:p>
        </w:tc>
        <w:tc>
          <w:tcPr>
            <w:tcW w:w="3036" w:type="dxa"/>
            <w:vMerge/>
          </w:tcPr>
          <w:p w14:paraId="508ADCD7" w14:textId="77777777" w:rsidR="005602A0" w:rsidRPr="00704C53" w:rsidRDefault="005602A0">
            <w:pPr>
              <w:rPr>
                <w:rFonts w:ascii="Arial" w:hAnsi="Arial" w:cs="Arial"/>
              </w:rPr>
            </w:pPr>
          </w:p>
        </w:tc>
      </w:tr>
      <w:tr w:rsidR="005602A0" w:rsidRPr="00704C53" w14:paraId="0CFE2923" w14:textId="77777777" w:rsidTr="004C1D5B">
        <w:trPr>
          <w:jc w:val="center"/>
        </w:trPr>
        <w:tc>
          <w:tcPr>
            <w:tcW w:w="2972" w:type="dxa"/>
            <w:vMerge/>
            <w:vAlign w:val="center"/>
          </w:tcPr>
          <w:p w14:paraId="140F95FB"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34F97B8D"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Strategija razvitka riječnog prometa u Republici za razdoblje od 2022. do 2032. godine</w:t>
            </w:r>
          </w:p>
        </w:tc>
        <w:tc>
          <w:tcPr>
            <w:tcW w:w="3036" w:type="dxa"/>
            <w:vMerge/>
          </w:tcPr>
          <w:p w14:paraId="6205A0FE" w14:textId="77777777" w:rsidR="005602A0" w:rsidRPr="00704C53" w:rsidRDefault="005602A0">
            <w:pPr>
              <w:rPr>
                <w:rFonts w:ascii="Arial" w:hAnsi="Arial" w:cs="Arial"/>
              </w:rPr>
            </w:pPr>
          </w:p>
        </w:tc>
      </w:tr>
      <w:tr w:rsidR="005602A0" w:rsidRPr="00704C53" w14:paraId="34088624" w14:textId="77777777" w:rsidTr="004C1D5B">
        <w:trPr>
          <w:jc w:val="center"/>
        </w:trPr>
        <w:tc>
          <w:tcPr>
            <w:tcW w:w="2972" w:type="dxa"/>
            <w:vMerge/>
            <w:vAlign w:val="center"/>
          </w:tcPr>
          <w:p w14:paraId="0D7CD6AB"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09442562"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 xml:space="preserve">Srednjoročni plan razvitka vodnih putova, luka i pristaništa Republike Hrvatske za razdoblje od 2022. do 2031. godine </w:t>
            </w:r>
          </w:p>
        </w:tc>
        <w:tc>
          <w:tcPr>
            <w:tcW w:w="3036" w:type="dxa"/>
            <w:vMerge/>
          </w:tcPr>
          <w:p w14:paraId="165ACA1D" w14:textId="77777777" w:rsidR="005602A0" w:rsidRPr="00704C53" w:rsidRDefault="005602A0">
            <w:pPr>
              <w:rPr>
                <w:rFonts w:ascii="Arial" w:hAnsi="Arial" w:cs="Arial"/>
              </w:rPr>
            </w:pPr>
          </w:p>
        </w:tc>
      </w:tr>
      <w:tr w:rsidR="005602A0" w:rsidRPr="00704C53" w14:paraId="5FA838F6" w14:textId="77777777" w:rsidTr="004C1D5B">
        <w:trPr>
          <w:jc w:val="center"/>
        </w:trPr>
        <w:tc>
          <w:tcPr>
            <w:tcW w:w="2972" w:type="dxa"/>
            <w:vMerge/>
            <w:vAlign w:val="center"/>
          </w:tcPr>
          <w:p w14:paraId="460ED11E"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41795506"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color w:val="000000" w:themeColor="text1"/>
              </w:rPr>
              <w:t>Nacionalni plan razvoja širokopojasnog pristupa u Republici Hrvatskoj u razdoblju od 2021. do 2027. godine</w:t>
            </w:r>
          </w:p>
        </w:tc>
        <w:tc>
          <w:tcPr>
            <w:tcW w:w="3036" w:type="dxa"/>
            <w:vAlign w:val="center"/>
          </w:tcPr>
          <w:p w14:paraId="66BF9AF3" w14:textId="77777777" w:rsidR="005602A0" w:rsidRPr="00704C53" w:rsidRDefault="005602A0">
            <w:pPr>
              <w:jc w:val="center"/>
              <w:rPr>
                <w:rFonts w:ascii="Arial" w:hAnsi="Arial" w:cs="Arial"/>
                <w:bCs/>
              </w:rPr>
            </w:pPr>
            <w:r>
              <w:rPr>
                <w:noProof/>
                <w:lang w:eastAsia="hr-HR"/>
              </w:rPr>
              <w:drawing>
                <wp:inline distT="0" distB="0" distL="0" distR="0" wp14:anchorId="4CD1F24F" wp14:editId="2D49A28F">
                  <wp:extent cx="5619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r>
      <w:tr w:rsidR="005602A0" w:rsidRPr="00704C53" w14:paraId="050E875E" w14:textId="77777777" w:rsidTr="004C1D5B">
        <w:trPr>
          <w:trHeight w:val="432"/>
          <w:jc w:val="center"/>
        </w:trPr>
        <w:tc>
          <w:tcPr>
            <w:tcW w:w="2972" w:type="dxa"/>
            <w:vAlign w:val="center"/>
          </w:tcPr>
          <w:p w14:paraId="539E29A8" w14:textId="77777777" w:rsidR="005602A0" w:rsidRPr="00704C53" w:rsidRDefault="005602A0">
            <w:pPr>
              <w:rPr>
                <w:rFonts w:ascii="Arial" w:hAnsi="Arial" w:cs="Arial"/>
              </w:rPr>
            </w:pPr>
            <w:r w:rsidRPr="00704C53">
              <w:rPr>
                <w:rFonts w:ascii="Arial" w:hAnsi="Arial" w:cs="Arial"/>
                <w:color w:val="000000" w:themeColor="text1"/>
              </w:rPr>
              <w:t>Ministarstvo obrane</w:t>
            </w:r>
          </w:p>
        </w:tc>
        <w:tc>
          <w:tcPr>
            <w:tcW w:w="7940" w:type="dxa"/>
            <w:shd w:val="clear" w:color="auto" w:fill="DBE5F1" w:themeFill="accent1" w:themeFillTint="33"/>
            <w:vAlign w:val="center"/>
          </w:tcPr>
          <w:p w14:paraId="75B0E845"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Strategija nacionalne sigurnosti Republike Hrvatske</w:t>
            </w:r>
          </w:p>
        </w:tc>
        <w:tc>
          <w:tcPr>
            <w:tcW w:w="3036" w:type="dxa"/>
            <w:vAlign w:val="center"/>
          </w:tcPr>
          <w:p w14:paraId="1ECBA1E5" w14:textId="77777777" w:rsidR="005602A0" w:rsidRPr="00704C53" w:rsidRDefault="005602A0">
            <w:pPr>
              <w:jc w:val="center"/>
              <w:rPr>
                <w:rFonts w:ascii="Arial" w:hAnsi="Arial" w:cs="Arial"/>
              </w:rPr>
            </w:pPr>
            <w:r>
              <w:rPr>
                <w:noProof/>
                <w:lang w:eastAsia="hr-HR"/>
              </w:rPr>
              <w:drawing>
                <wp:inline distT="0" distB="0" distL="0" distR="0" wp14:anchorId="7CEE03F7" wp14:editId="521B0787">
                  <wp:extent cx="5715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5602A0" w:rsidRPr="00704C53" w14:paraId="21F7E859" w14:textId="77777777" w:rsidTr="004C1D5B">
        <w:trPr>
          <w:trHeight w:val="398"/>
          <w:jc w:val="center"/>
        </w:trPr>
        <w:tc>
          <w:tcPr>
            <w:tcW w:w="2972" w:type="dxa"/>
            <w:vMerge w:val="restart"/>
            <w:vAlign w:val="center"/>
          </w:tcPr>
          <w:p w14:paraId="196BC4F8" w14:textId="77777777" w:rsidR="005602A0" w:rsidRPr="00704C53" w:rsidRDefault="005602A0">
            <w:pPr>
              <w:rPr>
                <w:rFonts w:ascii="Arial" w:hAnsi="Arial" w:cs="Arial"/>
              </w:rPr>
            </w:pPr>
            <w:r w:rsidRPr="00704C53">
              <w:rPr>
                <w:rFonts w:ascii="Arial" w:hAnsi="Arial" w:cs="Arial"/>
              </w:rPr>
              <w:t>Ministarstvo poljoprivrede</w:t>
            </w:r>
          </w:p>
        </w:tc>
        <w:tc>
          <w:tcPr>
            <w:tcW w:w="7940" w:type="dxa"/>
            <w:shd w:val="clear" w:color="auto" w:fill="DBE5F1" w:themeFill="accent1" w:themeFillTint="33"/>
            <w:vAlign w:val="center"/>
          </w:tcPr>
          <w:p w14:paraId="56700AD3"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Nacionalni plan razvoja akvakulture za razdoblje do 2027. godine</w:t>
            </w:r>
          </w:p>
        </w:tc>
        <w:tc>
          <w:tcPr>
            <w:tcW w:w="3036" w:type="dxa"/>
            <w:vMerge w:val="restart"/>
            <w:vAlign w:val="center"/>
          </w:tcPr>
          <w:p w14:paraId="235C2B5A" w14:textId="77777777" w:rsidR="005602A0" w:rsidRPr="00704C53" w:rsidRDefault="005602A0">
            <w:pPr>
              <w:jc w:val="center"/>
              <w:rPr>
                <w:rFonts w:ascii="Arial" w:hAnsi="Arial" w:cs="Arial"/>
              </w:rPr>
            </w:pPr>
            <w:r>
              <w:rPr>
                <w:noProof/>
                <w:lang w:eastAsia="hr-HR"/>
              </w:rPr>
              <w:drawing>
                <wp:inline distT="0" distB="0" distL="0" distR="0" wp14:anchorId="71FC95FD" wp14:editId="021303D9">
                  <wp:extent cx="58102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tc>
      </w:tr>
      <w:tr w:rsidR="005602A0" w:rsidRPr="00704C53" w14:paraId="5E99D19A" w14:textId="77777777" w:rsidTr="004C1D5B">
        <w:trPr>
          <w:trHeight w:val="424"/>
          <w:jc w:val="center"/>
        </w:trPr>
        <w:tc>
          <w:tcPr>
            <w:tcW w:w="2972" w:type="dxa"/>
            <w:vMerge/>
            <w:vAlign w:val="center"/>
          </w:tcPr>
          <w:p w14:paraId="3E997134"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1F98ADB0"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Strategija poljoprivrede do 2030. godine</w:t>
            </w:r>
          </w:p>
        </w:tc>
        <w:tc>
          <w:tcPr>
            <w:tcW w:w="3036" w:type="dxa"/>
            <w:vMerge/>
            <w:vAlign w:val="center"/>
          </w:tcPr>
          <w:p w14:paraId="3F4BEB97" w14:textId="77777777" w:rsidR="005602A0" w:rsidRPr="00704C53" w:rsidRDefault="005602A0">
            <w:pPr>
              <w:rPr>
                <w:rFonts w:ascii="Arial" w:hAnsi="Arial" w:cs="Arial"/>
              </w:rPr>
            </w:pPr>
          </w:p>
        </w:tc>
      </w:tr>
      <w:tr w:rsidR="005602A0" w:rsidRPr="00704C53" w14:paraId="35EACB2B" w14:textId="77777777" w:rsidTr="004C1D5B">
        <w:trPr>
          <w:trHeight w:val="511"/>
          <w:jc w:val="center"/>
        </w:trPr>
        <w:tc>
          <w:tcPr>
            <w:tcW w:w="2972" w:type="dxa"/>
            <w:vMerge w:val="restart"/>
            <w:vAlign w:val="center"/>
          </w:tcPr>
          <w:p w14:paraId="4E0AE14D" w14:textId="77777777" w:rsidR="005602A0" w:rsidRPr="00704C53" w:rsidRDefault="005602A0">
            <w:pPr>
              <w:rPr>
                <w:rFonts w:ascii="Arial" w:hAnsi="Arial" w:cs="Arial"/>
              </w:rPr>
            </w:pPr>
            <w:r w:rsidRPr="00704C53">
              <w:rPr>
                <w:rFonts w:ascii="Arial" w:hAnsi="Arial" w:cs="Arial"/>
                <w:color w:val="000000" w:themeColor="text1"/>
              </w:rPr>
              <w:t>Ministarstvo pravosuđa i uprave</w:t>
            </w:r>
          </w:p>
        </w:tc>
        <w:tc>
          <w:tcPr>
            <w:tcW w:w="7940" w:type="dxa"/>
            <w:shd w:val="clear" w:color="auto" w:fill="DBE5F1" w:themeFill="accent1" w:themeFillTint="33"/>
            <w:vAlign w:val="center"/>
          </w:tcPr>
          <w:p w14:paraId="12723771"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color w:val="000000" w:themeColor="text1"/>
              </w:rPr>
              <w:t>Nacionalni plan razvoja pravosudnog sustava za razdoblje od 2022. do 2027. godine</w:t>
            </w:r>
          </w:p>
        </w:tc>
        <w:tc>
          <w:tcPr>
            <w:tcW w:w="3036" w:type="dxa"/>
            <w:vMerge w:val="restart"/>
            <w:vAlign w:val="center"/>
          </w:tcPr>
          <w:p w14:paraId="42C5B62E" w14:textId="77777777" w:rsidR="005602A0" w:rsidRPr="00704C53" w:rsidRDefault="005602A0">
            <w:pPr>
              <w:jc w:val="center"/>
              <w:rPr>
                <w:rFonts w:ascii="Arial" w:hAnsi="Arial" w:cs="Arial"/>
              </w:rPr>
            </w:pPr>
            <w:r>
              <w:rPr>
                <w:noProof/>
                <w:lang w:eastAsia="hr-HR"/>
              </w:rPr>
              <w:drawing>
                <wp:inline distT="0" distB="0" distL="0" distR="0" wp14:anchorId="2E8755E7" wp14:editId="18F74FFF">
                  <wp:extent cx="56197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r>
              <w:rPr>
                <w:noProof/>
                <w:lang w:eastAsia="hr-HR"/>
              </w:rPr>
              <w:drawing>
                <wp:inline distT="0" distB="0" distL="0" distR="0" wp14:anchorId="62C4A248" wp14:editId="2C928A49">
                  <wp:extent cx="581025" cy="542925"/>
                  <wp:effectExtent l="0" t="0" r="9525" b="9525"/>
                  <wp:docPr id="1722247817" name="Picture 1722247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r>
      <w:tr w:rsidR="005602A0" w:rsidRPr="00704C53" w14:paraId="322BEB35" w14:textId="77777777" w:rsidTr="004C1D5B">
        <w:trPr>
          <w:trHeight w:val="405"/>
          <w:jc w:val="center"/>
        </w:trPr>
        <w:tc>
          <w:tcPr>
            <w:tcW w:w="2972" w:type="dxa"/>
            <w:vMerge/>
            <w:vAlign w:val="center"/>
          </w:tcPr>
          <w:p w14:paraId="0B80FCE7"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6E72D9F2"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color w:val="000000" w:themeColor="text1"/>
              </w:rPr>
              <w:t>Nacionalni plan razvoja javne uprave za razdoblje od 2022. do 2027. godine</w:t>
            </w:r>
          </w:p>
        </w:tc>
        <w:tc>
          <w:tcPr>
            <w:tcW w:w="3036" w:type="dxa"/>
            <w:vMerge/>
            <w:vAlign w:val="center"/>
          </w:tcPr>
          <w:p w14:paraId="47200350" w14:textId="77777777" w:rsidR="005602A0" w:rsidRPr="00704C53" w:rsidRDefault="005602A0">
            <w:pPr>
              <w:rPr>
                <w:rFonts w:ascii="Arial" w:hAnsi="Arial" w:cs="Arial"/>
              </w:rPr>
            </w:pPr>
          </w:p>
        </w:tc>
      </w:tr>
      <w:tr w:rsidR="005602A0" w:rsidRPr="00704C53" w14:paraId="2CAB3001" w14:textId="77777777" w:rsidTr="004C1D5B">
        <w:trPr>
          <w:trHeight w:val="446"/>
          <w:jc w:val="center"/>
        </w:trPr>
        <w:tc>
          <w:tcPr>
            <w:tcW w:w="2972" w:type="dxa"/>
            <w:vMerge/>
            <w:vAlign w:val="center"/>
          </w:tcPr>
          <w:p w14:paraId="59EB0D3F"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2967FE2F"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color w:val="000000" w:themeColor="text1"/>
              </w:rPr>
              <w:t>Strategija sprječavanja korupcije za razdoblje od 2021. do 2030. godine</w:t>
            </w:r>
          </w:p>
        </w:tc>
        <w:tc>
          <w:tcPr>
            <w:tcW w:w="3036" w:type="dxa"/>
            <w:vMerge w:val="restart"/>
            <w:vAlign w:val="center"/>
          </w:tcPr>
          <w:p w14:paraId="158F11D1" w14:textId="77777777" w:rsidR="005602A0" w:rsidRPr="00704C53" w:rsidRDefault="005602A0">
            <w:pPr>
              <w:jc w:val="center"/>
              <w:rPr>
                <w:rFonts w:ascii="Arial" w:hAnsi="Arial" w:cs="Arial"/>
              </w:rPr>
            </w:pPr>
            <w:r>
              <w:rPr>
                <w:noProof/>
                <w:lang w:eastAsia="hr-HR"/>
              </w:rPr>
              <w:drawing>
                <wp:inline distT="0" distB="0" distL="0" distR="0" wp14:anchorId="0CCFDC1A" wp14:editId="1D3B9329">
                  <wp:extent cx="5810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r>
      <w:tr w:rsidR="005602A0" w:rsidRPr="00704C53" w14:paraId="4DA4F9FB" w14:textId="77777777" w:rsidTr="004C1D5B">
        <w:trPr>
          <w:jc w:val="center"/>
        </w:trPr>
        <w:tc>
          <w:tcPr>
            <w:tcW w:w="2972" w:type="dxa"/>
            <w:vMerge w:val="restart"/>
            <w:vAlign w:val="center"/>
          </w:tcPr>
          <w:p w14:paraId="3E5D6F3B" w14:textId="77777777" w:rsidR="005602A0" w:rsidRPr="00704C53" w:rsidRDefault="005602A0">
            <w:pPr>
              <w:rPr>
                <w:rFonts w:ascii="Arial" w:hAnsi="Arial" w:cs="Arial"/>
              </w:rPr>
            </w:pPr>
            <w:r w:rsidRPr="00704C53">
              <w:rPr>
                <w:rFonts w:ascii="Arial" w:hAnsi="Arial" w:cs="Arial"/>
                <w:color w:val="000000" w:themeColor="text1"/>
              </w:rPr>
              <w:t>Ministarstvo prostornoga uređenja, graditeljstva i državne imovine</w:t>
            </w:r>
          </w:p>
        </w:tc>
        <w:tc>
          <w:tcPr>
            <w:tcW w:w="7940" w:type="dxa"/>
            <w:shd w:val="clear" w:color="auto" w:fill="DBE5F1" w:themeFill="accent1" w:themeFillTint="33"/>
            <w:vAlign w:val="center"/>
          </w:tcPr>
          <w:p w14:paraId="2180EE3F"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color w:val="000000" w:themeColor="text1"/>
              </w:rPr>
              <w:t>Strategija upravljanja državnom imovinom za razdoblje 2019.-2025.</w:t>
            </w:r>
          </w:p>
        </w:tc>
        <w:tc>
          <w:tcPr>
            <w:tcW w:w="3036" w:type="dxa"/>
            <w:vMerge/>
            <w:vAlign w:val="center"/>
          </w:tcPr>
          <w:p w14:paraId="6A40A91F" w14:textId="77777777" w:rsidR="005602A0" w:rsidRPr="00704C53" w:rsidRDefault="005602A0">
            <w:pPr>
              <w:rPr>
                <w:rFonts w:ascii="Arial" w:hAnsi="Arial" w:cs="Arial"/>
              </w:rPr>
            </w:pPr>
          </w:p>
        </w:tc>
      </w:tr>
      <w:tr w:rsidR="00EB598B" w:rsidRPr="00704C53" w14:paraId="0ACD8CB0" w14:textId="77777777" w:rsidTr="00EB598B">
        <w:trPr>
          <w:trHeight w:val="421"/>
          <w:jc w:val="center"/>
        </w:trPr>
        <w:tc>
          <w:tcPr>
            <w:tcW w:w="2972" w:type="dxa"/>
            <w:vMerge/>
            <w:vAlign w:val="center"/>
          </w:tcPr>
          <w:p w14:paraId="0B194745" w14:textId="77777777" w:rsidR="00EB598B" w:rsidRPr="00704C53" w:rsidRDefault="00EB598B">
            <w:pPr>
              <w:rPr>
                <w:rFonts w:ascii="Arial" w:hAnsi="Arial" w:cs="Arial"/>
              </w:rPr>
            </w:pPr>
          </w:p>
        </w:tc>
        <w:tc>
          <w:tcPr>
            <w:tcW w:w="7940" w:type="dxa"/>
            <w:shd w:val="clear" w:color="auto" w:fill="DBE5F1" w:themeFill="accent1" w:themeFillTint="33"/>
            <w:vAlign w:val="center"/>
          </w:tcPr>
          <w:p w14:paraId="63CFDA8F" w14:textId="7F078741" w:rsidR="00EB598B" w:rsidRPr="00704C53" w:rsidRDefault="00EB598B" w:rsidP="005602A0">
            <w:pPr>
              <w:pStyle w:val="ListParagraph"/>
              <w:widowControl/>
              <w:numPr>
                <w:ilvl w:val="0"/>
                <w:numId w:val="47"/>
              </w:numPr>
              <w:autoSpaceDE/>
              <w:autoSpaceDN/>
              <w:ind w:left="313"/>
              <w:contextualSpacing/>
              <w:rPr>
                <w:rFonts w:ascii="Arial" w:hAnsi="Arial" w:cs="Arial"/>
              </w:rPr>
            </w:pPr>
            <w:r>
              <w:rPr>
                <w:rFonts w:ascii="Arial" w:hAnsi="Arial" w:cs="Arial"/>
              </w:rPr>
              <w:t>Strategija prostornog razvoja Republike Hrvatske</w:t>
            </w:r>
          </w:p>
        </w:tc>
        <w:tc>
          <w:tcPr>
            <w:tcW w:w="3036" w:type="dxa"/>
            <w:vMerge w:val="restart"/>
          </w:tcPr>
          <w:p w14:paraId="73B09856" w14:textId="77777777" w:rsidR="00EB598B" w:rsidRPr="00704C53" w:rsidRDefault="00EB598B">
            <w:pPr>
              <w:rPr>
                <w:rFonts w:ascii="Arial" w:hAnsi="Arial" w:cs="Arial"/>
              </w:rPr>
            </w:pPr>
          </w:p>
          <w:p w14:paraId="58D11EE4" w14:textId="77777777" w:rsidR="00EB598B" w:rsidRDefault="00EB598B">
            <w:pPr>
              <w:rPr>
                <w:rFonts w:ascii="Arial" w:hAnsi="Arial" w:cs="Arial"/>
              </w:rPr>
            </w:pPr>
          </w:p>
          <w:p w14:paraId="699AF036" w14:textId="77777777" w:rsidR="00EB598B" w:rsidRDefault="00EB598B">
            <w:pPr>
              <w:rPr>
                <w:rFonts w:ascii="Arial" w:hAnsi="Arial" w:cs="Arial"/>
              </w:rPr>
            </w:pPr>
          </w:p>
          <w:p w14:paraId="77FE2A38" w14:textId="77777777" w:rsidR="00EB598B" w:rsidRDefault="00EB598B">
            <w:pPr>
              <w:rPr>
                <w:rFonts w:ascii="Arial" w:hAnsi="Arial" w:cs="Arial"/>
              </w:rPr>
            </w:pPr>
          </w:p>
          <w:p w14:paraId="50899805" w14:textId="77777777" w:rsidR="00EB598B" w:rsidRDefault="00EB598B">
            <w:pPr>
              <w:rPr>
                <w:rFonts w:ascii="Arial" w:hAnsi="Arial" w:cs="Arial"/>
              </w:rPr>
            </w:pPr>
          </w:p>
          <w:p w14:paraId="4999D28E" w14:textId="77777777" w:rsidR="00EB598B" w:rsidRPr="00704C53" w:rsidRDefault="00EB598B">
            <w:pPr>
              <w:rPr>
                <w:rFonts w:ascii="Arial" w:hAnsi="Arial" w:cs="Arial"/>
              </w:rPr>
            </w:pPr>
          </w:p>
          <w:p w14:paraId="2D2F6A27" w14:textId="77777777" w:rsidR="00EB598B" w:rsidRPr="00704C53" w:rsidRDefault="00EB598B">
            <w:pPr>
              <w:rPr>
                <w:rFonts w:ascii="Arial" w:hAnsi="Arial" w:cs="Arial"/>
              </w:rPr>
            </w:pPr>
          </w:p>
          <w:p w14:paraId="38009E81" w14:textId="0F082879" w:rsidR="00EB598B" w:rsidRPr="00704C53" w:rsidRDefault="00EB598B">
            <w:pPr>
              <w:jc w:val="center"/>
              <w:rPr>
                <w:rFonts w:ascii="Arial" w:hAnsi="Arial" w:cs="Arial"/>
              </w:rPr>
            </w:pPr>
            <w:r w:rsidRPr="00704C53">
              <w:rPr>
                <w:rFonts w:ascii="Arial" w:hAnsi="Arial" w:cs="Arial"/>
                <w:noProof/>
                <w:lang w:eastAsia="hr-HR"/>
              </w:rPr>
              <w:drawing>
                <wp:inline distT="0" distB="0" distL="0" distR="0" wp14:anchorId="47055651" wp14:editId="32CD2948">
                  <wp:extent cx="5810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r>
      <w:tr w:rsidR="005602A0" w:rsidRPr="00704C53" w14:paraId="2206B8D1" w14:textId="77777777" w:rsidTr="00EB598B">
        <w:trPr>
          <w:trHeight w:val="421"/>
          <w:jc w:val="center"/>
        </w:trPr>
        <w:tc>
          <w:tcPr>
            <w:tcW w:w="2972" w:type="dxa"/>
            <w:vMerge/>
            <w:vAlign w:val="center"/>
          </w:tcPr>
          <w:p w14:paraId="4D16E55B"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02699F5E"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rPr>
              <w:t>Dugoročna strategija obnove nacionalnog fonda zgrada do 2050. godine</w:t>
            </w:r>
          </w:p>
        </w:tc>
        <w:tc>
          <w:tcPr>
            <w:tcW w:w="3036" w:type="dxa"/>
            <w:vMerge/>
          </w:tcPr>
          <w:p w14:paraId="6C12A311" w14:textId="48D9064A" w:rsidR="005602A0" w:rsidRPr="00704C53" w:rsidRDefault="005602A0">
            <w:pPr>
              <w:jc w:val="center"/>
              <w:rPr>
                <w:rFonts w:ascii="Arial" w:hAnsi="Arial" w:cs="Arial"/>
              </w:rPr>
            </w:pPr>
          </w:p>
        </w:tc>
      </w:tr>
      <w:tr w:rsidR="005602A0" w:rsidRPr="00704C53" w14:paraId="351D9915" w14:textId="77777777" w:rsidTr="004C1D5B">
        <w:trPr>
          <w:jc w:val="center"/>
        </w:trPr>
        <w:tc>
          <w:tcPr>
            <w:tcW w:w="2972" w:type="dxa"/>
            <w:vMerge/>
            <w:vAlign w:val="center"/>
          </w:tcPr>
          <w:p w14:paraId="76ECE44B"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78FEFE30"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iCs/>
              </w:rPr>
              <w:t>Program energetske obnove zgrada javnog sektora za razdoblje do 2030. godine</w:t>
            </w:r>
          </w:p>
        </w:tc>
        <w:tc>
          <w:tcPr>
            <w:tcW w:w="3036" w:type="dxa"/>
            <w:vMerge/>
          </w:tcPr>
          <w:p w14:paraId="696A7BD5" w14:textId="77777777" w:rsidR="005602A0" w:rsidRPr="00704C53" w:rsidRDefault="005602A0">
            <w:pPr>
              <w:rPr>
                <w:rFonts w:ascii="Arial" w:hAnsi="Arial" w:cs="Arial"/>
              </w:rPr>
            </w:pPr>
          </w:p>
        </w:tc>
      </w:tr>
      <w:tr w:rsidR="005602A0" w:rsidRPr="00704C53" w14:paraId="7740A1F6" w14:textId="77777777" w:rsidTr="00EB598B">
        <w:trPr>
          <w:trHeight w:val="479"/>
          <w:jc w:val="center"/>
        </w:trPr>
        <w:tc>
          <w:tcPr>
            <w:tcW w:w="2972" w:type="dxa"/>
            <w:vMerge/>
            <w:vAlign w:val="center"/>
          </w:tcPr>
          <w:p w14:paraId="4B869A63"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05DDA70D"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rPr>
              <w:t>Program razvoja zelene infrastrukture u urbanim područjima za razdoblje 2021. do 2030. godine</w:t>
            </w:r>
          </w:p>
        </w:tc>
        <w:tc>
          <w:tcPr>
            <w:tcW w:w="3036" w:type="dxa"/>
            <w:vMerge/>
          </w:tcPr>
          <w:p w14:paraId="235E6475" w14:textId="77777777" w:rsidR="005602A0" w:rsidRPr="00704C53" w:rsidRDefault="005602A0">
            <w:pPr>
              <w:rPr>
                <w:rFonts w:ascii="Arial" w:hAnsi="Arial" w:cs="Arial"/>
              </w:rPr>
            </w:pPr>
          </w:p>
        </w:tc>
      </w:tr>
      <w:tr w:rsidR="005602A0" w:rsidRPr="00704C53" w14:paraId="0E2E93F6" w14:textId="77777777" w:rsidTr="004C1D5B">
        <w:trPr>
          <w:trHeight w:val="686"/>
          <w:jc w:val="center"/>
        </w:trPr>
        <w:tc>
          <w:tcPr>
            <w:tcW w:w="2972" w:type="dxa"/>
            <w:vMerge/>
            <w:vAlign w:val="center"/>
          </w:tcPr>
          <w:p w14:paraId="059242D2"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571A2DDB"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rPr>
              <w:t>Program razvoja kružnog gospodarenja prostorom i zgradama za razdoblje 2021. do 2030. godine</w:t>
            </w:r>
          </w:p>
        </w:tc>
        <w:tc>
          <w:tcPr>
            <w:tcW w:w="3036" w:type="dxa"/>
            <w:vMerge/>
          </w:tcPr>
          <w:p w14:paraId="225E13E9" w14:textId="77777777" w:rsidR="005602A0" w:rsidRPr="00704C53" w:rsidRDefault="005602A0">
            <w:pPr>
              <w:rPr>
                <w:rFonts w:ascii="Arial" w:hAnsi="Arial" w:cs="Arial"/>
              </w:rPr>
            </w:pPr>
          </w:p>
        </w:tc>
      </w:tr>
      <w:tr w:rsidR="005602A0" w:rsidRPr="00704C53" w14:paraId="27A50912" w14:textId="77777777" w:rsidTr="00EB598B">
        <w:trPr>
          <w:trHeight w:val="412"/>
          <w:jc w:val="center"/>
        </w:trPr>
        <w:tc>
          <w:tcPr>
            <w:tcW w:w="2972" w:type="dxa"/>
            <w:vMerge/>
            <w:vAlign w:val="center"/>
          </w:tcPr>
          <w:p w14:paraId="2BEEEE54"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0839DB92"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rPr>
              <w:t>Program energetske obnove višestambenih zgrada za razdoblje do 2030. godine</w:t>
            </w:r>
          </w:p>
        </w:tc>
        <w:tc>
          <w:tcPr>
            <w:tcW w:w="3036" w:type="dxa"/>
            <w:vMerge/>
          </w:tcPr>
          <w:p w14:paraId="2EA9155B" w14:textId="77777777" w:rsidR="005602A0" w:rsidRPr="00704C53" w:rsidRDefault="005602A0">
            <w:pPr>
              <w:rPr>
                <w:rFonts w:ascii="Arial" w:hAnsi="Arial" w:cs="Arial"/>
              </w:rPr>
            </w:pPr>
          </w:p>
        </w:tc>
      </w:tr>
      <w:tr w:rsidR="005602A0" w:rsidRPr="00704C53" w14:paraId="7A3F6C5A" w14:textId="77777777" w:rsidTr="00EB598B">
        <w:trPr>
          <w:trHeight w:val="475"/>
          <w:jc w:val="center"/>
        </w:trPr>
        <w:tc>
          <w:tcPr>
            <w:tcW w:w="2972" w:type="dxa"/>
            <w:vMerge/>
            <w:vAlign w:val="center"/>
          </w:tcPr>
          <w:p w14:paraId="0159B62F"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69AED6DA"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rPr>
              <w:t>Program energetske obnove zgrada koje imaju status kulturnog dobra za razdoblje do 2030. godine</w:t>
            </w:r>
          </w:p>
        </w:tc>
        <w:tc>
          <w:tcPr>
            <w:tcW w:w="3036" w:type="dxa"/>
            <w:vMerge/>
          </w:tcPr>
          <w:p w14:paraId="737568B9" w14:textId="77777777" w:rsidR="005602A0" w:rsidRPr="00704C53" w:rsidRDefault="005602A0">
            <w:pPr>
              <w:rPr>
                <w:rFonts w:ascii="Arial" w:hAnsi="Arial" w:cs="Arial"/>
              </w:rPr>
            </w:pPr>
          </w:p>
        </w:tc>
      </w:tr>
      <w:tr w:rsidR="005602A0" w:rsidRPr="00704C53" w14:paraId="6333B7E6" w14:textId="77777777" w:rsidTr="004C1D5B">
        <w:trPr>
          <w:trHeight w:val="1130"/>
          <w:jc w:val="center"/>
        </w:trPr>
        <w:tc>
          <w:tcPr>
            <w:tcW w:w="2972" w:type="dxa"/>
            <w:vMerge/>
            <w:vAlign w:val="center"/>
          </w:tcPr>
          <w:p w14:paraId="6E2CAF4E" w14:textId="77777777" w:rsidR="005602A0" w:rsidRPr="00704C53" w:rsidRDefault="005602A0">
            <w:pPr>
              <w:rPr>
                <w:rFonts w:ascii="Arial" w:hAnsi="Arial" w:cs="Arial"/>
              </w:rPr>
            </w:pPr>
          </w:p>
        </w:tc>
        <w:tc>
          <w:tcPr>
            <w:tcW w:w="7940" w:type="dxa"/>
            <w:shd w:val="clear" w:color="auto" w:fill="DBE5F1" w:themeFill="accent1" w:themeFillTint="33"/>
            <w:vAlign w:val="center"/>
          </w:tcPr>
          <w:p w14:paraId="434E31DB"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rPr>
              <w:t>Program suzbijanja energetskog siromaštva koji uključuje korištenje obnovljivih izvora energije u stambenim zgradama na potpomognutim područjima i područjima posebne državne skrbi za razdoblje do 2025. godine</w:t>
            </w:r>
          </w:p>
        </w:tc>
        <w:tc>
          <w:tcPr>
            <w:tcW w:w="3036" w:type="dxa"/>
            <w:vMerge/>
          </w:tcPr>
          <w:p w14:paraId="29DB7567" w14:textId="77777777" w:rsidR="005602A0" w:rsidRPr="00704C53" w:rsidRDefault="005602A0">
            <w:pPr>
              <w:rPr>
                <w:rFonts w:ascii="Arial" w:hAnsi="Arial" w:cs="Arial"/>
              </w:rPr>
            </w:pPr>
          </w:p>
        </w:tc>
      </w:tr>
      <w:tr w:rsidR="005602A0" w:rsidRPr="00704C53" w14:paraId="354EDF2D" w14:textId="77777777" w:rsidTr="00914496">
        <w:trPr>
          <w:trHeight w:val="429"/>
          <w:jc w:val="center"/>
        </w:trPr>
        <w:tc>
          <w:tcPr>
            <w:tcW w:w="2972" w:type="dxa"/>
            <w:vMerge w:val="restart"/>
            <w:vAlign w:val="center"/>
          </w:tcPr>
          <w:p w14:paraId="5222D755" w14:textId="77777777" w:rsidR="005602A0" w:rsidRPr="00704C53" w:rsidRDefault="005602A0">
            <w:pPr>
              <w:rPr>
                <w:rFonts w:ascii="Arial" w:hAnsi="Arial" w:cs="Arial"/>
              </w:rPr>
            </w:pPr>
            <w:r w:rsidRPr="00704C53">
              <w:rPr>
                <w:rFonts w:ascii="Arial" w:hAnsi="Arial" w:cs="Arial"/>
                <w:color w:val="000000" w:themeColor="text1"/>
              </w:rPr>
              <w:t>Ministarstvo rada, mirovinskoga sustava, obitelji i socijalne politike</w:t>
            </w:r>
          </w:p>
        </w:tc>
        <w:tc>
          <w:tcPr>
            <w:tcW w:w="7940" w:type="dxa"/>
            <w:shd w:val="clear" w:color="auto" w:fill="DBE5F1" w:themeFill="accent1" w:themeFillTint="33"/>
            <w:vAlign w:val="center"/>
          </w:tcPr>
          <w:p w14:paraId="1DABBD7C"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eastAsia="Calibri" w:hAnsi="Arial" w:cs="Arial"/>
              </w:rPr>
              <w:t>Nacionalni plan za rad, zaštitu na radu i zapošljavanje za razdoblje od 2021. do 2027. godine</w:t>
            </w:r>
          </w:p>
        </w:tc>
        <w:tc>
          <w:tcPr>
            <w:tcW w:w="3036" w:type="dxa"/>
            <w:vMerge w:val="restart"/>
            <w:vAlign w:val="center"/>
          </w:tcPr>
          <w:p w14:paraId="6090FD36" w14:textId="77777777" w:rsidR="005602A0" w:rsidRPr="00704C53" w:rsidRDefault="00CE3AC3">
            <w:pPr>
              <w:jc w:val="center"/>
              <w:rPr>
                <w:rFonts w:ascii="Arial" w:hAnsi="Arial" w:cs="Arial"/>
              </w:rPr>
            </w:pPr>
            <w:r>
              <w:rPr>
                <w:noProof/>
                <w:lang w:eastAsia="hr-HR"/>
              </w:rPr>
              <w:drawing>
                <wp:inline distT="0" distB="0" distL="0" distR="0" wp14:anchorId="7956BABB" wp14:editId="0F469F7B">
                  <wp:extent cx="58102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noProof/>
                <w:lang w:eastAsia="hr-HR"/>
              </w:rPr>
              <w:drawing>
                <wp:inline distT="0" distB="0" distL="0" distR="0" wp14:anchorId="2360FBCA" wp14:editId="5AA84082">
                  <wp:extent cx="571500" cy="542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5602A0" w:rsidRPr="00704C53" w14:paraId="024EBB78" w14:textId="77777777" w:rsidTr="00914496">
        <w:trPr>
          <w:trHeight w:val="479"/>
          <w:jc w:val="center"/>
        </w:trPr>
        <w:tc>
          <w:tcPr>
            <w:tcW w:w="2972" w:type="dxa"/>
            <w:vMerge/>
            <w:vAlign w:val="center"/>
          </w:tcPr>
          <w:p w14:paraId="2DD4A408" w14:textId="77777777" w:rsidR="005602A0" w:rsidRPr="00704C53" w:rsidRDefault="005602A0">
            <w:pPr>
              <w:rPr>
                <w:rFonts w:ascii="Arial" w:hAnsi="Arial" w:cs="Arial"/>
                <w:color w:val="000000" w:themeColor="text1"/>
              </w:rPr>
            </w:pPr>
          </w:p>
        </w:tc>
        <w:tc>
          <w:tcPr>
            <w:tcW w:w="7940" w:type="dxa"/>
            <w:shd w:val="clear" w:color="auto" w:fill="DBE5F1" w:themeFill="accent1" w:themeFillTint="33"/>
            <w:vAlign w:val="center"/>
          </w:tcPr>
          <w:p w14:paraId="51A582D9"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Style w:val="normaltextrun"/>
                <w:rFonts w:ascii="Arial" w:hAnsi="Arial" w:cs="Arial"/>
                <w:color w:val="1D1D1D"/>
              </w:rPr>
              <w:t>Nacionalni plan izjednačavanja mogućnosti za osobe s invaliditetom za razdoblje od 2021. do 2027.</w:t>
            </w:r>
          </w:p>
        </w:tc>
        <w:tc>
          <w:tcPr>
            <w:tcW w:w="3036" w:type="dxa"/>
            <w:vMerge/>
            <w:vAlign w:val="center"/>
          </w:tcPr>
          <w:p w14:paraId="5599A4A9" w14:textId="77777777" w:rsidR="005602A0" w:rsidRPr="00704C53" w:rsidRDefault="005602A0">
            <w:pPr>
              <w:rPr>
                <w:rFonts w:ascii="Arial" w:hAnsi="Arial" w:cs="Arial"/>
              </w:rPr>
            </w:pPr>
          </w:p>
        </w:tc>
      </w:tr>
      <w:tr w:rsidR="005602A0" w:rsidRPr="00704C53" w14:paraId="60A98601" w14:textId="77777777" w:rsidTr="00914496">
        <w:trPr>
          <w:trHeight w:val="386"/>
          <w:jc w:val="center"/>
        </w:trPr>
        <w:tc>
          <w:tcPr>
            <w:tcW w:w="2972" w:type="dxa"/>
            <w:vMerge/>
            <w:vAlign w:val="center"/>
          </w:tcPr>
          <w:p w14:paraId="217A966E" w14:textId="77777777" w:rsidR="005602A0" w:rsidRPr="00704C53" w:rsidRDefault="005602A0">
            <w:pPr>
              <w:rPr>
                <w:rFonts w:ascii="Arial" w:hAnsi="Arial" w:cs="Arial"/>
                <w:color w:val="000000" w:themeColor="text1"/>
              </w:rPr>
            </w:pPr>
          </w:p>
        </w:tc>
        <w:tc>
          <w:tcPr>
            <w:tcW w:w="7940" w:type="dxa"/>
            <w:shd w:val="clear" w:color="auto" w:fill="DBE5F1" w:themeFill="accent1" w:themeFillTint="33"/>
            <w:vAlign w:val="center"/>
          </w:tcPr>
          <w:p w14:paraId="76E9B767"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color w:val="000000" w:themeColor="text1"/>
              </w:rPr>
              <w:t>Nacionalni plan za prava djece u Republici Hrvatskoj za razdoblje od 2022. do 2026. godine</w:t>
            </w:r>
          </w:p>
        </w:tc>
        <w:tc>
          <w:tcPr>
            <w:tcW w:w="3036" w:type="dxa"/>
            <w:vMerge w:val="restart"/>
          </w:tcPr>
          <w:p w14:paraId="7F2DD929" w14:textId="77777777" w:rsidR="005602A0" w:rsidRPr="00704C53" w:rsidRDefault="005602A0">
            <w:pPr>
              <w:rPr>
                <w:rFonts w:ascii="Arial" w:hAnsi="Arial" w:cs="Arial"/>
                <w:bCs/>
              </w:rPr>
            </w:pPr>
          </w:p>
          <w:p w14:paraId="7803488E" w14:textId="77777777" w:rsidR="00CE3AC3" w:rsidRDefault="00CE3AC3">
            <w:pPr>
              <w:rPr>
                <w:rFonts w:ascii="Arial" w:hAnsi="Arial" w:cs="Arial"/>
                <w:bCs/>
              </w:rPr>
            </w:pPr>
          </w:p>
          <w:p w14:paraId="2433C76D" w14:textId="77777777" w:rsidR="00CE3AC3" w:rsidRPr="00704C53" w:rsidRDefault="00CE3AC3">
            <w:pPr>
              <w:rPr>
                <w:rFonts w:ascii="Arial" w:hAnsi="Arial" w:cs="Arial"/>
                <w:bCs/>
              </w:rPr>
            </w:pPr>
          </w:p>
          <w:p w14:paraId="1CF0E5B8" w14:textId="77777777" w:rsidR="005602A0" w:rsidRPr="00704C53" w:rsidRDefault="00CE3AC3">
            <w:pPr>
              <w:jc w:val="center"/>
              <w:rPr>
                <w:rFonts w:ascii="Arial" w:hAnsi="Arial" w:cs="Arial"/>
              </w:rPr>
            </w:pPr>
            <w:r>
              <w:rPr>
                <w:noProof/>
                <w:lang w:eastAsia="hr-HR"/>
              </w:rPr>
              <w:drawing>
                <wp:inline distT="0" distB="0" distL="0" distR="0" wp14:anchorId="03BFAA0D" wp14:editId="6AEB5AA2">
                  <wp:extent cx="571500" cy="542925"/>
                  <wp:effectExtent l="0" t="0" r="0" b="9525"/>
                  <wp:docPr id="720310259" name="Picture 72031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5602A0" w:rsidRPr="00704C53" w14:paraId="10159AF8" w14:textId="77777777" w:rsidTr="00914496">
        <w:trPr>
          <w:trHeight w:val="308"/>
          <w:jc w:val="center"/>
        </w:trPr>
        <w:tc>
          <w:tcPr>
            <w:tcW w:w="2972" w:type="dxa"/>
            <w:vMerge/>
            <w:vAlign w:val="center"/>
          </w:tcPr>
          <w:p w14:paraId="6286BD1C" w14:textId="77777777" w:rsidR="005602A0" w:rsidRPr="00704C53" w:rsidRDefault="005602A0">
            <w:pPr>
              <w:rPr>
                <w:rFonts w:ascii="Arial" w:hAnsi="Arial" w:cs="Arial"/>
                <w:color w:val="000000" w:themeColor="text1"/>
              </w:rPr>
            </w:pPr>
          </w:p>
        </w:tc>
        <w:tc>
          <w:tcPr>
            <w:tcW w:w="7940" w:type="dxa"/>
            <w:shd w:val="clear" w:color="auto" w:fill="DBE5F1" w:themeFill="accent1" w:themeFillTint="33"/>
            <w:vAlign w:val="center"/>
          </w:tcPr>
          <w:p w14:paraId="6611D8D3"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color w:val="231F20"/>
              </w:rPr>
              <w:t>Nacionalni plan borbe protiv siromaštva i socijalne isključenosti za razdoblje od 2021.-2027. godine</w:t>
            </w:r>
          </w:p>
        </w:tc>
        <w:tc>
          <w:tcPr>
            <w:tcW w:w="3036" w:type="dxa"/>
            <w:vMerge/>
          </w:tcPr>
          <w:p w14:paraId="55B807F1" w14:textId="77777777" w:rsidR="005602A0" w:rsidRPr="00704C53" w:rsidRDefault="005602A0">
            <w:pPr>
              <w:rPr>
                <w:rFonts w:ascii="Arial" w:hAnsi="Arial" w:cs="Arial"/>
              </w:rPr>
            </w:pPr>
          </w:p>
        </w:tc>
      </w:tr>
      <w:tr w:rsidR="005602A0" w:rsidRPr="00704C53" w14:paraId="45EDEF5E" w14:textId="77777777" w:rsidTr="00914496">
        <w:trPr>
          <w:trHeight w:val="372"/>
          <w:jc w:val="center"/>
        </w:trPr>
        <w:tc>
          <w:tcPr>
            <w:tcW w:w="2972" w:type="dxa"/>
            <w:vMerge/>
            <w:vAlign w:val="center"/>
          </w:tcPr>
          <w:p w14:paraId="27E6DD95" w14:textId="77777777" w:rsidR="005602A0" w:rsidRPr="00704C53" w:rsidRDefault="005602A0">
            <w:pPr>
              <w:rPr>
                <w:rFonts w:ascii="Arial" w:hAnsi="Arial" w:cs="Arial"/>
                <w:color w:val="000000" w:themeColor="text1"/>
              </w:rPr>
            </w:pPr>
          </w:p>
        </w:tc>
        <w:tc>
          <w:tcPr>
            <w:tcW w:w="7940" w:type="dxa"/>
            <w:shd w:val="clear" w:color="auto" w:fill="DBE5F1" w:themeFill="accent1" w:themeFillTint="33"/>
            <w:vAlign w:val="center"/>
          </w:tcPr>
          <w:p w14:paraId="5ECF6D87"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color w:val="231F20"/>
              </w:rPr>
              <w:t>Nacionalni plan razvoja socijalnih usluga za razdoblje od 2021. do 2027. godine</w:t>
            </w:r>
          </w:p>
        </w:tc>
        <w:tc>
          <w:tcPr>
            <w:tcW w:w="3036" w:type="dxa"/>
            <w:vMerge/>
          </w:tcPr>
          <w:p w14:paraId="56A9AA0F" w14:textId="77777777" w:rsidR="005602A0" w:rsidRPr="00704C53" w:rsidRDefault="005602A0">
            <w:pPr>
              <w:rPr>
                <w:rFonts w:ascii="Arial" w:hAnsi="Arial" w:cs="Arial"/>
              </w:rPr>
            </w:pPr>
          </w:p>
        </w:tc>
      </w:tr>
      <w:tr w:rsidR="00CE3AC3" w:rsidRPr="00704C53" w14:paraId="0CE87F48" w14:textId="77777777" w:rsidTr="00914496">
        <w:trPr>
          <w:trHeight w:val="421"/>
          <w:jc w:val="center"/>
        </w:trPr>
        <w:tc>
          <w:tcPr>
            <w:tcW w:w="2972" w:type="dxa"/>
            <w:vMerge/>
            <w:vAlign w:val="center"/>
          </w:tcPr>
          <w:p w14:paraId="5B0D83BF" w14:textId="77777777" w:rsidR="00CE3AC3" w:rsidRPr="00704C53" w:rsidRDefault="00CE3AC3">
            <w:pPr>
              <w:rPr>
                <w:rFonts w:ascii="Arial" w:hAnsi="Arial" w:cs="Arial"/>
                <w:color w:val="000000" w:themeColor="text1"/>
              </w:rPr>
            </w:pPr>
          </w:p>
        </w:tc>
        <w:tc>
          <w:tcPr>
            <w:tcW w:w="7940" w:type="dxa"/>
            <w:shd w:val="clear" w:color="auto" w:fill="DBE5F1" w:themeFill="accent1" w:themeFillTint="33"/>
            <w:vAlign w:val="center"/>
          </w:tcPr>
          <w:p w14:paraId="30841D57" w14:textId="51E083DF" w:rsidR="00CE3AC3" w:rsidRPr="00704C53" w:rsidRDefault="00CE3AC3" w:rsidP="005602A0">
            <w:pPr>
              <w:pStyle w:val="ListParagraph"/>
              <w:widowControl/>
              <w:numPr>
                <w:ilvl w:val="0"/>
                <w:numId w:val="47"/>
              </w:numPr>
              <w:autoSpaceDE/>
              <w:autoSpaceDN/>
              <w:ind w:left="313"/>
              <w:contextualSpacing/>
              <w:rPr>
                <w:rFonts w:ascii="Arial" w:hAnsi="Arial" w:cs="Arial"/>
                <w:color w:val="231F20"/>
              </w:rPr>
            </w:pPr>
            <w:r w:rsidRPr="00CE3AC3">
              <w:rPr>
                <w:rFonts w:ascii="Arial" w:hAnsi="Arial" w:cs="Arial"/>
                <w:color w:val="231F20"/>
              </w:rPr>
              <w:t>Nacionalni plan za suzbijanje seksualnog nasilja i seksualnog uznemiravanja za razdoblje do 2027. godine</w:t>
            </w:r>
          </w:p>
        </w:tc>
        <w:tc>
          <w:tcPr>
            <w:tcW w:w="3036" w:type="dxa"/>
            <w:vMerge/>
          </w:tcPr>
          <w:p w14:paraId="57665C1C" w14:textId="77777777" w:rsidR="00CE3AC3" w:rsidRPr="00704C53" w:rsidRDefault="00CE3AC3">
            <w:pPr>
              <w:rPr>
                <w:rFonts w:ascii="Arial" w:hAnsi="Arial" w:cs="Arial"/>
              </w:rPr>
            </w:pPr>
          </w:p>
        </w:tc>
      </w:tr>
      <w:tr w:rsidR="001D4313" w:rsidRPr="00704C53" w14:paraId="30071050" w14:textId="77777777" w:rsidTr="00914496">
        <w:trPr>
          <w:trHeight w:val="471"/>
          <w:jc w:val="center"/>
        </w:trPr>
        <w:tc>
          <w:tcPr>
            <w:tcW w:w="2972" w:type="dxa"/>
            <w:vMerge/>
            <w:vAlign w:val="center"/>
          </w:tcPr>
          <w:p w14:paraId="3201AC0C" w14:textId="77777777" w:rsidR="001D4313" w:rsidRPr="00704C53" w:rsidRDefault="001D4313">
            <w:pPr>
              <w:rPr>
                <w:rFonts w:ascii="Arial" w:hAnsi="Arial" w:cs="Arial"/>
                <w:color w:val="000000" w:themeColor="text1"/>
              </w:rPr>
            </w:pPr>
          </w:p>
        </w:tc>
        <w:tc>
          <w:tcPr>
            <w:tcW w:w="7940" w:type="dxa"/>
            <w:shd w:val="clear" w:color="auto" w:fill="DBE5F1" w:themeFill="accent1" w:themeFillTint="33"/>
            <w:vAlign w:val="center"/>
          </w:tcPr>
          <w:p w14:paraId="05320D5F" w14:textId="302CF3B2" w:rsidR="001D4313" w:rsidRPr="00CE3AC3" w:rsidRDefault="001D4313" w:rsidP="005602A0">
            <w:pPr>
              <w:pStyle w:val="ListParagraph"/>
              <w:widowControl/>
              <w:numPr>
                <w:ilvl w:val="0"/>
                <w:numId w:val="47"/>
              </w:numPr>
              <w:autoSpaceDE/>
              <w:autoSpaceDN/>
              <w:ind w:left="313"/>
              <w:contextualSpacing/>
              <w:rPr>
                <w:rFonts w:ascii="Arial" w:hAnsi="Arial" w:cs="Arial"/>
                <w:color w:val="231F20"/>
              </w:rPr>
            </w:pPr>
            <w:r>
              <w:rPr>
                <w:rFonts w:ascii="Arial" w:hAnsi="Arial" w:cs="Arial"/>
                <w:color w:val="231F20"/>
              </w:rPr>
              <w:t>Program „Učinkoviti ljudski potencijali 2021.-2027.“</w:t>
            </w:r>
          </w:p>
        </w:tc>
        <w:tc>
          <w:tcPr>
            <w:tcW w:w="3036" w:type="dxa"/>
          </w:tcPr>
          <w:p w14:paraId="6C37B426" w14:textId="15A1925D" w:rsidR="001D4313" w:rsidRPr="00704C53" w:rsidRDefault="00923568" w:rsidP="00923568">
            <w:pPr>
              <w:jc w:val="center"/>
              <w:rPr>
                <w:rFonts w:ascii="Arial" w:hAnsi="Arial" w:cs="Arial"/>
              </w:rPr>
            </w:pPr>
            <w:r>
              <w:rPr>
                <w:noProof/>
                <w:lang w:eastAsia="hr-HR"/>
              </w:rPr>
              <w:drawing>
                <wp:inline distT="0" distB="0" distL="0" distR="0" wp14:anchorId="7278C1A3" wp14:editId="1DA991D6">
                  <wp:extent cx="581025" cy="552450"/>
                  <wp:effectExtent l="0" t="0" r="9525" b="0"/>
                  <wp:docPr id="2002009256" name="Picture 200200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noProof/>
                <w:lang w:eastAsia="hr-HR"/>
              </w:rPr>
              <w:drawing>
                <wp:inline distT="0" distB="0" distL="0" distR="0" wp14:anchorId="11A4634B" wp14:editId="6A81FE3C">
                  <wp:extent cx="581025" cy="552450"/>
                  <wp:effectExtent l="0" t="0" r="9525" b="0"/>
                  <wp:docPr id="52274157" name="Picture 5227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noProof/>
                <w:lang w:eastAsia="hr-HR"/>
              </w:rPr>
              <w:drawing>
                <wp:inline distT="0" distB="0" distL="0" distR="0" wp14:anchorId="4494BD2C" wp14:editId="192A2A69">
                  <wp:extent cx="571500" cy="542925"/>
                  <wp:effectExtent l="0" t="0" r="0" b="9525"/>
                  <wp:docPr id="969335286" name="Picture 96933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5602A0" w:rsidRPr="00704C53" w14:paraId="59609300" w14:textId="77777777" w:rsidTr="00914496">
        <w:trPr>
          <w:trHeight w:val="598"/>
          <w:jc w:val="center"/>
        </w:trPr>
        <w:tc>
          <w:tcPr>
            <w:tcW w:w="2972" w:type="dxa"/>
            <w:vMerge w:val="restart"/>
            <w:vAlign w:val="center"/>
          </w:tcPr>
          <w:p w14:paraId="5404D4E5" w14:textId="77777777" w:rsidR="005602A0" w:rsidRPr="00704C53" w:rsidRDefault="005602A0">
            <w:pPr>
              <w:rPr>
                <w:rFonts w:ascii="Arial" w:eastAsia="Calibri" w:hAnsi="Arial" w:cs="Arial"/>
              </w:rPr>
            </w:pPr>
            <w:r w:rsidRPr="00704C53">
              <w:rPr>
                <w:rFonts w:ascii="Arial" w:hAnsi="Arial" w:cs="Arial"/>
                <w:color w:val="000000" w:themeColor="text1"/>
              </w:rPr>
              <w:t>Ministarstvo regionalnoga razvoja i fondova Europske unije</w:t>
            </w:r>
          </w:p>
        </w:tc>
        <w:tc>
          <w:tcPr>
            <w:tcW w:w="7940" w:type="dxa"/>
            <w:shd w:val="clear" w:color="auto" w:fill="DBE5F1" w:themeFill="accent1" w:themeFillTint="33"/>
            <w:vAlign w:val="center"/>
          </w:tcPr>
          <w:p w14:paraId="586836AC" w14:textId="77777777" w:rsidR="005602A0" w:rsidRPr="00704C53" w:rsidRDefault="005602A0" w:rsidP="005602A0">
            <w:pPr>
              <w:pStyle w:val="ListParagraph"/>
              <w:widowControl/>
              <w:numPr>
                <w:ilvl w:val="0"/>
                <w:numId w:val="47"/>
              </w:numPr>
              <w:autoSpaceDE/>
              <w:autoSpaceDN/>
              <w:ind w:left="313"/>
              <w:contextualSpacing/>
              <w:rPr>
                <w:rFonts w:ascii="Arial" w:eastAsia="Calibri" w:hAnsi="Arial" w:cs="Arial"/>
              </w:rPr>
            </w:pPr>
            <w:r w:rsidRPr="00704C53">
              <w:rPr>
                <w:rFonts w:ascii="Arial" w:hAnsi="Arial" w:cs="Arial"/>
                <w:color w:val="000000" w:themeColor="text1"/>
              </w:rPr>
              <w:t>Nacionalni plan razvoja otoka za razdoblje 2021.-2027.</w:t>
            </w:r>
          </w:p>
        </w:tc>
        <w:tc>
          <w:tcPr>
            <w:tcW w:w="3036" w:type="dxa"/>
            <w:vAlign w:val="center"/>
          </w:tcPr>
          <w:p w14:paraId="31064A63" w14:textId="77777777" w:rsidR="005602A0" w:rsidRPr="00704C53" w:rsidRDefault="005602A0">
            <w:pPr>
              <w:jc w:val="center"/>
              <w:rPr>
                <w:rFonts w:ascii="Arial" w:hAnsi="Arial" w:cs="Arial"/>
                <w:bCs/>
              </w:rPr>
            </w:pPr>
            <w:r>
              <w:rPr>
                <w:noProof/>
                <w:lang w:eastAsia="hr-HR"/>
              </w:rPr>
              <w:drawing>
                <wp:inline distT="0" distB="0" distL="0" distR="0" wp14:anchorId="6200F59B" wp14:editId="59DB25C8">
                  <wp:extent cx="561975" cy="533400"/>
                  <wp:effectExtent l="0" t="0" r="9525" b="0"/>
                  <wp:docPr id="1321978752" name="Picture 132197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r>
      <w:tr w:rsidR="005602A0" w:rsidRPr="00704C53" w14:paraId="4DA2AFC8" w14:textId="77777777" w:rsidTr="00914496">
        <w:trPr>
          <w:trHeight w:val="609"/>
          <w:jc w:val="center"/>
        </w:trPr>
        <w:tc>
          <w:tcPr>
            <w:tcW w:w="2972" w:type="dxa"/>
            <w:vMerge/>
            <w:vAlign w:val="center"/>
          </w:tcPr>
          <w:p w14:paraId="68F45B70" w14:textId="77777777" w:rsidR="005602A0" w:rsidRPr="00704C53" w:rsidRDefault="005602A0">
            <w:pPr>
              <w:rPr>
                <w:rFonts w:ascii="Arial" w:hAnsi="Arial" w:cs="Arial"/>
                <w:color w:val="000000" w:themeColor="text1"/>
              </w:rPr>
            </w:pPr>
          </w:p>
        </w:tc>
        <w:tc>
          <w:tcPr>
            <w:tcW w:w="7940" w:type="dxa"/>
            <w:shd w:val="clear" w:color="auto" w:fill="DBE5F1" w:themeFill="accent1" w:themeFillTint="33"/>
            <w:vAlign w:val="center"/>
          </w:tcPr>
          <w:p w14:paraId="0164BBDF"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rPr>
              <w:t>Sporazum o partnerstvu između Republike Hrvatske i Europske komisije za razdoblje 2021.-2027. godine</w:t>
            </w:r>
          </w:p>
        </w:tc>
        <w:tc>
          <w:tcPr>
            <w:tcW w:w="3036" w:type="dxa"/>
            <w:vMerge w:val="restart"/>
            <w:vAlign w:val="center"/>
          </w:tcPr>
          <w:p w14:paraId="108807DF" w14:textId="77777777" w:rsidR="005602A0" w:rsidRPr="00704C53" w:rsidRDefault="005602A0">
            <w:pPr>
              <w:jc w:val="center"/>
              <w:rPr>
                <w:rFonts w:ascii="Arial" w:hAnsi="Arial" w:cs="Arial"/>
              </w:rPr>
            </w:pPr>
            <w:r>
              <w:rPr>
                <w:noProof/>
                <w:lang w:eastAsia="hr-HR"/>
              </w:rPr>
              <w:drawing>
                <wp:inline distT="0" distB="0" distL="0" distR="0" wp14:anchorId="474547C4" wp14:editId="47DF0970">
                  <wp:extent cx="561975" cy="523875"/>
                  <wp:effectExtent l="0" t="0" r="9525" b="9525"/>
                  <wp:docPr id="256011001" name="Picture 25601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tc>
      </w:tr>
      <w:tr w:rsidR="005602A0" w:rsidRPr="00704C53" w14:paraId="4A578600" w14:textId="77777777" w:rsidTr="00914496">
        <w:trPr>
          <w:trHeight w:val="438"/>
          <w:jc w:val="center"/>
        </w:trPr>
        <w:tc>
          <w:tcPr>
            <w:tcW w:w="2972" w:type="dxa"/>
            <w:vMerge/>
            <w:vAlign w:val="center"/>
          </w:tcPr>
          <w:p w14:paraId="753E72B8" w14:textId="77777777" w:rsidR="005602A0" w:rsidRPr="00704C53" w:rsidRDefault="005602A0">
            <w:pPr>
              <w:rPr>
                <w:rFonts w:ascii="Arial" w:hAnsi="Arial" w:cs="Arial"/>
                <w:color w:val="000000" w:themeColor="text1"/>
              </w:rPr>
            </w:pPr>
          </w:p>
        </w:tc>
        <w:tc>
          <w:tcPr>
            <w:tcW w:w="7940" w:type="dxa"/>
            <w:shd w:val="clear" w:color="auto" w:fill="DBE5F1" w:themeFill="accent1" w:themeFillTint="33"/>
            <w:vAlign w:val="center"/>
          </w:tcPr>
          <w:p w14:paraId="77C3E3F1" w14:textId="77777777" w:rsidR="005602A0" w:rsidRPr="00704C53" w:rsidRDefault="005602A0" w:rsidP="005602A0">
            <w:pPr>
              <w:pStyle w:val="ListParagraph"/>
              <w:widowControl/>
              <w:numPr>
                <w:ilvl w:val="0"/>
                <w:numId w:val="47"/>
              </w:numPr>
              <w:autoSpaceDE/>
              <w:autoSpaceDN/>
              <w:ind w:left="313"/>
              <w:contextualSpacing/>
              <w:rPr>
                <w:rFonts w:ascii="Arial" w:hAnsi="Arial" w:cs="Arial"/>
              </w:rPr>
            </w:pPr>
            <w:r w:rsidRPr="00704C53">
              <w:rPr>
                <w:rFonts w:ascii="Arial" w:hAnsi="Arial" w:cs="Arial"/>
              </w:rPr>
              <w:t>Integrirani teritorijalni program 2021.-2027.</w:t>
            </w:r>
          </w:p>
        </w:tc>
        <w:tc>
          <w:tcPr>
            <w:tcW w:w="3036" w:type="dxa"/>
            <w:vMerge/>
            <w:vAlign w:val="center"/>
          </w:tcPr>
          <w:p w14:paraId="310C925B" w14:textId="77777777" w:rsidR="005602A0" w:rsidRPr="00704C53" w:rsidRDefault="005602A0">
            <w:pPr>
              <w:rPr>
                <w:rFonts w:ascii="Arial" w:hAnsi="Arial" w:cs="Arial"/>
              </w:rPr>
            </w:pPr>
          </w:p>
        </w:tc>
      </w:tr>
      <w:tr w:rsidR="0038235E" w:rsidRPr="00704C53" w14:paraId="544171D4" w14:textId="77777777" w:rsidTr="00CE3AC3">
        <w:trPr>
          <w:trHeight w:val="707"/>
          <w:jc w:val="center"/>
        </w:trPr>
        <w:tc>
          <w:tcPr>
            <w:tcW w:w="2972" w:type="dxa"/>
            <w:vMerge/>
            <w:vAlign w:val="center"/>
          </w:tcPr>
          <w:p w14:paraId="4258258E" w14:textId="77777777" w:rsidR="0038235E" w:rsidRPr="00704C53" w:rsidRDefault="0038235E">
            <w:pPr>
              <w:rPr>
                <w:rFonts w:ascii="Arial" w:hAnsi="Arial" w:cs="Arial"/>
                <w:color w:val="000000" w:themeColor="text1"/>
              </w:rPr>
            </w:pPr>
          </w:p>
        </w:tc>
        <w:tc>
          <w:tcPr>
            <w:tcW w:w="7940" w:type="dxa"/>
            <w:shd w:val="clear" w:color="auto" w:fill="DBE5F1" w:themeFill="accent1" w:themeFillTint="33"/>
            <w:vAlign w:val="center"/>
          </w:tcPr>
          <w:p w14:paraId="4AA58F6D" w14:textId="78D87F7D" w:rsidR="0038235E" w:rsidRPr="00704C53" w:rsidRDefault="0038235E" w:rsidP="005602A0">
            <w:pPr>
              <w:pStyle w:val="ListParagraph"/>
              <w:widowControl/>
              <w:numPr>
                <w:ilvl w:val="0"/>
                <w:numId w:val="47"/>
              </w:numPr>
              <w:autoSpaceDE/>
              <w:autoSpaceDN/>
              <w:ind w:left="313"/>
              <w:contextualSpacing/>
              <w:rPr>
                <w:rFonts w:ascii="Arial" w:hAnsi="Arial" w:cs="Arial"/>
              </w:rPr>
            </w:pPr>
            <w:r>
              <w:rPr>
                <w:rFonts w:ascii="Arial" w:hAnsi="Arial" w:cs="Arial"/>
              </w:rPr>
              <w:t>Program „</w:t>
            </w:r>
            <w:r w:rsidR="00AD345D">
              <w:rPr>
                <w:rFonts w:ascii="Arial" w:hAnsi="Arial" w:cs="Arial"/>
              </w:rPr>
              <w:t>Konkurentnost i kohezija 2021.-2027“</w:t>
            </w:r>
          </w:p>
        </w:tc>
        <w:tc>
          <w:tcPr>
            <w:tcW w:w="3036" w:type="dxa"/>
            <w:vAlign w:val="center"/>
          </w:tcPr>
          <w:p w14:paraId="21F12752" w14:textId="77777777" w:rsidR="0038235E" w:rsidRDefault="00145994">
            <w:pPr>
              <w:rPr>
                <w:rFonts w:ascii="Arial" w:hAnsi="Arial" w:cs="Arial"/>
              </w:rPr>
            </w:pPr>
            <w:r>
              <w:rPr>
                <w:noProof/>
                <w:lang w:eastAsia="hr-HR"/>
              </w:rPr>
              <w:drawing>
                <wp:inline distT="0" distB="0" distL="0" distR="0" wp14:anchorId="59359C31" wp14:editId="78B5D71E">
                  <wp:extent cx="581025" cy="552450"/>
                  <wp:effectExtent l="0" t="0" r="9525" b="0"/>
                  <wp:docPr id="159827269" name="Picture 159827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noProof/>
                <w:lang w:eastAsia="hr-HR"/>
              </w:rPr>
              <w:drawing>
                <wp:inline distT="0" distB="0" distL="0" distR="0" wp14:anchorId="698BA2F5" wp14:editId="2CF7879E">
                  <wp:extent cx="581025" cy="552450"/>
                  <wp:effectExtent l="0" t="0" r="9525" b="0"/>
                  <wp:docPr id="1030904590" name="Picture 103090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noProof/>
                <w:lang w:eastAsia="hr-HR"/>
              </w:rPr>
              <w:drawing>
                <wp:inline distT="0" distB="0" distL="0" distR="0" wp14:anchorId="3FF50E63" wp14:editId="3735CBF3">
                  <wp:extent cx="571500" cy="542925"/>
                  <wp:effectExtent l="0" t="0" r="0" b="9525"/>
                  <wp:docPr id="616472431" name="Picture 61647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14:paraId="4C7C3671" w14:textId="2AB34305" w:rsidR="0038235E" w:rsidRPr="00704C53" w:rsidRDefault="00145994">
            <w:pPr>
              <w:rPr>
                <w:rFonts w:ascii="Arial" w:hAnsi="Arial" w:cs="Arial"/>
              </w:rPr>
            </w:pPr>
            <w:r>
              <w:rPr>
                <w:noProof/>
                <w:lang w:eastAsia="hr-HR"/>
              </w:rPr>
              <w:drawing>
                <wp:inline distT="0" distB="0" distL="0" distR="0" wp14:anchorId="2559D750" wp14:editId="02A5E8B0">
                  <wp:extent cx="571500" cy="542925"/>
                  <wp:effectExtent l="0" t="0" r="0" b="9525"/>
                  <wp:docPr id="1215409103" name="Picture 1215409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r w:rsidRPr="00704C53">
              <w:rPr>
                <w:rFonts w:ascii="Arial" w:hAnsi="Arial" w:cs="Arial"/>
                <w:noProof/>
                <w:lang w:eastAsia="hr-HR"/>
              </w:rPr>
              <w:drawing>
                <wp:inline distT="0" distB="0" distL="0" distR="0" wp14:anchorId="63B8FFFB" wp14:editId="4B411D3F">
                  <wp:extent cx="581025" cy="542925"/>
                  <wp:effectExtent l="0" t="0" r="9525" b="9525"/>
                  <wp:docPr id="2032451054" name="Picture 203245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r>
              <w:rPr>
                <w:noProof/>
                <w:lang w:eastAsia="hr-HR"/>
              </w:rPr>
              <w:drawing>
                <wp:inline distT="0" distB="0" distL="0" distR="0" wp14:anchorId="3A1EE7D1" wp14:editId="4EAFFDF7">
                  <wp:extent cx="561975" cy="533400"/>
                  <wp:effectExtent l="0" t="0" r="9525" b="0"/>
                  <wp:docPr id="466179171" name="Picture 466179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r>
      <w:tr w:rsidR="005602A0" w:rsidRPr="00704C53" w14:paraId="1945E20C" w14:textId="77777777" w:rsidTr="00CE3AC3">
        <w:trPr>
          <w:trHeight w:val="745"/>
          <w:jc w:val="center"/>
        </w:trPr>
        <w:tc>
          <w:tcPr>
            <w:tcW w:w="2972" w:type="dxa"/>
            <w:vMerge w:val="restart"/>
            <w:vAlign w:val="center"/>
          </w:tcPr>
          <w:p w14:paraId="1ABC78C8" w14:textId="77777777" w:rsidR="005602A0" w:rsidRPr="00704C53" w:rsidRDefault="005602A0">
            <w:pPr>
              <w:rPr>
                <w:rFonts w:ascii="Arial" w:hAnsi="Arial" w:cs="Arial"/>
                <w:color w:val="000000" w:themeColor="text1"/>
              </w:rPr>
            </w:pPr>
            <w:r w:rsidRPr="00704C53">
              <w:rPr>
                <w:rFonts w:ascii="Arial" w:eastAsia="Calibri" w:hAnsi="Arial" w:cs="Arial"/>
              </w:rPr>
              <w:t>Ministarstvo turizma i sporta</w:t>
            </w:r>
          </w:p>
        </w:tc>
        <w:tc>
          <w:tcPr>
            <w:tcW w:w="7940" w:type="dxa"/>
            <w:shd w:val="clear" w:color="auto" w:fill="DBE5F1" w:themeFill="accent1" w:themeFillTint="33"/>
            <w:vAlign w:val="center"/>
          </w:tcPr>
          <w:p w14:paraId="4B724EC5"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eastAsia="Calibri" w:hAnsi="Arial" w:cs="Arial"/>
              </w:rPr>
              <w:t xml:space="preserve">Strategija </w:t>
            </w:r>
            <w:r>
              <w:rPr>
                <w:rFonts w:ascii="Arial" w:eastAsia="Calibri" w:hAnsi="Arial" w:cs="Arial"/>
              </w:rPr>
              <w:t xml:space="preserve">razvoja </w:t>
            </w:r>
            <w:r w:rsidRPr="00704C53">
              <w:rPr>
                <w:rFonts w:ascii="Arial" w:eastAsia="Calibri" w:hAnsi="Arial" w:cs="Arial"/>
              </w:rPr>
              <w:t>održivog turizma do 2030. godine</w:t>
            </w:r>
          </w:p>
        </w:tc>
        <w:tc>
          <w:tcPr>
            <w:tcW w:w="3036" w:type="dxa"/>
            <w:vAlign w:val="center"/>
          </w:tcPr>
          <w:p w14:paraId="7B44CBA8" w14:textId="77777777" w:rsidR="005602A0" w:rsidRPr="00704C53" w:rsidRDefault="005602A0">
            <w:pPr>
              <w:jc w:val="center"/>
              <w:rPr>
                <w:rFonts w:ascii="Arial" w:hAnsi="Arial" w:cs="Arial"/>
                <w:bCs/>
              </w:rPr>
            </w:pPr>
            <w:r>
              <w:rPr>
                <w:noProof/>
                <w:lang w:eastAsia="hr-HR"/>
              </w:rPr>
              <w:drawing>
                <wp:inline distT="0" distB="0" distL="0" distR="0" wp14:anchorId="5279E25B" wp14:editId="28EDA0A4">
                  <wp:extent cx="581025" cy="552450"/>
                  <wp:effectExtent l="0" t="0" r="9525" b="0"/>
                  <wp:docPr id="1850827993" name="Picture 185082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tc>
      </w:tr>
      <w:tr w:rsidR="005602A0" w:rsidRPr="00704C53" w14:paraId="27D035B4" w14:textId="77777777" w:rsidTr="00CE3AC3">
        <w:trPr>
          <w:trHeight w:val="587"/>
          <w:jc w:val="center"/>
        </w:trPr>
        <w:tc>
          <w:tcPr>
            <w:tcW w:w="2972" w:type="dxa"/>
            <w:vMerge/>
            <w:vAlign w:val="center"/>
          </w:tcPr>
          <w:p w14:paraId="28FD9D22" w14:textId="77777777" w:rsidR="005602A0" w:rsidRPr="00704C53" w:rsidRDefault="005602A0">
            <w:pPr>
              <w:rPr>
                <w:rFonts w:ascii="Arial" w:hAnsi="Arial" w:cs="Arial"/>
                <w:color w:val="000000" w:themeColor="text1"/>
              </w:rPr>
            </w:pPr>
          </w:p>
        </w:tc>
        <w:tc>
          <w:tcPr>
            <w:tcW w:w="7940" w:type="dxa"/>
            <w:shd w:val="clear" w:color="auto" w:fill="DBE5F1" w:themeFill="accent1" w:themeFillTint="33"/>
            <w:vAlign w:val="center"/>
          </w:tcPr>
          <w:p w14:paraId="2481F2BA"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color w:val="231F20"/>
              </w:rPr>
              <w:t>Nacionalni program sporta 2019.- 2026.</w:t>
            </w:r>
          </w:p>
        </w:tc>
        <w:tc>
          <w:tcPr>
            <w:tcW w:w="3036" w:type="dxa"/>
            <w:vAlign w:val="center"/>
          </w:tcPr>
          <w:p w14:paraId="28498717" w14:textId="77777777" w:rsidR="005602A0" w:rsidRPr="00704C53" w:rsidRDefault="005602A0">
            <w:pPr>
              <w:jc w:val="center"/>
              <w:rPr>
                <w:rFonts w:ascii="Arial" w:hAnsi="Arial" w:cs="Arial"/>
              </w:rPr>
            </w:pPr>
            <w:r>
              <w:rPr>
                <w:noProof/>
                <w:lang w:eastAsia="hr-HR"/>
              </w:rPr>
              <w:drawing>
                <wp:inline distT="0" distB="0" distL="0" distR="0" wp14:anchorId="3F38766A" wp14:editId="74239B3E">
                  <wp:extent cx="571500" cy="542925"/>
                  <wp:effectExtent l="0" t="0" r="0" b="9525"/>
                  <wp:docPr id="218719495" name="Picture 21871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5602A0" w:rsidRPr="00704C53" w14:paraId="10EE4E52" w14:textId="77777777" w:rsidTr="009E1495">
        <w:trPr>
          <w:trHeight w:val="556"/>
          <w:jc w:val="center"/>
        </w:trPr>
        <w:tc>
          <w:tcPr>
            <w:tcW w:w="2972" w:type="dxa"/>
            <w:vMerge w:val="restart"/>
            <w:vAlign w:val="center"/>
          </w:tcPr>
          <w:p w14:paraId="79A904A4" w14:textId="77777777" w:rsidR="005602A0" w:rsidRPr="00704C53" w:rsidRDefault="005602A0">
            <w:pPr>
              <w:rPr>
                <w:rFonts w:ascii="Arial" w:hAnsi="Arial" w:cs="Arial"/>
                <w:color w:val="000000" w:themeColor="text1"/>
              </w:rPr>
            </w:pPr>
            <w:r w:rsidRPr="00704C53">
              <w:rPr>
                <w:rFonts w:ascii="Arial" w:eastAsia="Calibri" w:hAnsi="Arial" w:cs="Arial"/>
              </w:rPr>
              <w:t>Ministarstvo unutarnjih poslova</w:t>
            </w:r>
          </w:p>
        </w:tc>
        <w:tc>
          <w:tcPr>
            <w:tcW w:w="7940" w:type="dxa"/>
            <w:shd w:val="clear" w:color="auto" w:fill="DBE5F1" w:themeFill="accent1" w:themeFillTint="33"/>
            <w:vAlign w:val="center"/>
          </w:tcPr>
          <w:p w14:paraId="64240801"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eastAsia="Calibri" w:hAnsi="Arial" w:cs="Arial"/>
              </w:rPr>
              <w:t>Strategija upravljanja rizicima od katastrofa do 2030. godine</w:t>
            </w:r>
            <w:r w:rsidRPr="00704C53">
              <w:rPr>
                <w:rStyle w:val="eop"/>
                <w:rFonts w:ascii="Arial" w:hAnsi="Arial" w:cs="Arial"/>
                <w:shd w:val="clear" w:color="auto" w:fill="F2F2F2" w:themeFill="background1" w:themeFillShade="F2"/>
              </w:rPr>
              <w:t xml:space="preserve"> </w:t>
            </w:r>
          </w:p>
        </w:tc>
        <w:tc>
          <w:tcPr>
            <w:tcW w:w="3036" w:type="dxa"/>
            <w:vMerge w:val="restart"/>
            <w:vAlign w:val="center"/>
          </w:tcPr>
          <w:p w14:paraId="5553F517" w14:textId="77777777" w:rsidR="005602A0" w:rsidRPr="00704C53" w:rsidRDefault="005602A0">
            <w:pPr>
              <w:jc w:val="center"/>
              <w:rPr>
                <w:rFonts w:ascii="Arial" w:hAnsi="Arial" w:cs="Arial"/>
              </w:rPr>
            </w:pPr>
            <w:r>
              <w:rPr>
                <w:noProof/>
                <w:lang w:eastAsia="hr-HR"/>
              </w:rPr>
              <w:drawing>
                <wp:inline distT="0" distB="0" distL="0" distR="0" wp14:anchorId="15079874" wp14:editId="5F706897">
                  <wp:extent cx="571500" cy="542925"/>
                  <wp:effectExtent l="0" t="0" r="0" b="9525"/>
                  <wp:docPr id="2031418961" name="Picture 203141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5602A0" w:rsidRPr="00704C53" w14:paraId="269D110E" w14:textId="77777777" w:rsidTr="005041E6">
        <w:trPr>
          <w:trHeight w:val="517"/>
          <w:jc w:val="center"/>
        </w:trPr>
        <w:tc>
          <w:tcPr>
            <w:tcW w:w="2972" w:type="dxa"/>
            <w:vMerge/>
            <w:vAlign w:val="center"/>
          </w:tcPr>
          <w:p w14:paraId="213F66E6" w14:textId="77777777" w:rsidR="005602A0" w:rsidRPr="00704C53" w:rsidRDefault="005602A0">
            <w:pPr>
              <w:rPr>
                <w:rFonts w:ascii="Arial" w:eastAsia="Calibri" w:hAnsi="Arial" w:cs="Arial"/>
              </w:rPr>
            </w:pPr>
          </w:p>
        </w:tc>
        <w:tc>
          <w:tcPr>
            <w:tcW w:w="7940" w:type="dxa"/>
            <w:shd w:val="clear" w:color="auto" w:fill="DBE5F1" w:themeFill="accent1" w:themeFillTint="33"/>
            <w:vAlign w:val="center"/>
          </w:tcPr>
          <w:p w14:paraId="185B477F"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rPr>
              <w:t>Strategija integriranog upravljanja granicom 2021.- 2027.</w:t>
            </w:r>
          </w:p>
        </w:tc>
        <w:tc>
          <w:tcPr>
            <w:tcW w:w="3036" w:type="dxa"/>
            <w:vMerge/>
          </w:tcPr>
          <w:p w14:paraId="00D2809F" w14:textId="77777777" w:rsidR="005602A0" w:rsidRPr="00704C53" w:rsidRDefault="005602A0">
            <w:pPr>
              <w:rPr>
                <w:rFonts w:ascii="Arial" w:hAnsi="Arial" w:cs="Arial"/>
              </w:rPr>
            </w:pPr>
          </w:p>
        </w:tc>
      </w:tr>
      <w:tr w:rsidR="005602A0" w:rsidRPr="00704C53" w14:paraId="1618E5FE" w14:textId="77777777" w:rsidTr="005041E6">
        <w:trPr>
          <w:trHeight w:val="567"/>
          <w:jc w:val="center"/>
        </w:trPr>
        <w:tc>
          <w:tcPr>
            <w:tcW w:w="2972" w:type="dxa"/>
            <w:vMerge/>
            <w:vAlign w:val="center"/>
          </w:tcPr>
          <w:p w14:paraId="72A40FE4" w14:textId="77777777" w:rsidR="005602A0" w:rsidRPr="00704C53" w:rsidRDefault="005602A0">
            <w:pPr>
              <w:rPr>
                <w:rFonts w:ascii="Arial" w:eastAsia="Calibri" w:hAnsi="Arial" w:cs="Arial"/>
              </w:rPr>
            </w:pPr>
          </w:p>
        </w:tc>
        <w:tc>
          <w:tcPr>
            <w:tcW w:w="7940" w:type="dxa"/>
            <w:shd w:val="clear" w:color="auto" w:fill="DBE5F1" w:themeFill="accent1" w:themeFillTint="33"/>
            <w:vAlign w:val="center"/>
          </w:tcPr>
          <w:p w14:paraId="1B027FF3"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rPr>
              <w:t>Nacionalni plan sigurnosti cestovnog prometa Republike Hrvatske za razdoblje od 2021. do 2030.</w:t>
            </w:r>
          </w:p>
        </w:tc>
        <w:tc>
          <w:tcPr>
            <w:tcW w:w="3036" w:type="dxa"/>
            <w:vMerge/>
          </w:tcPr>
          <w:p w14:paraId="49F34E8A" w14:textId="77777777" w:rsidR="005602A0" w:rsidRPr="00704C53" w:rsidRDefault="005602A0">
            <w:pPr>
              <w:rPr>
                <w:rFonts w:ascii="Arial" w:hAnsi="Arial" w:cs="Arial"/>
              </w:rPr>
            </w:pPr>
          </w:p>
        </w:tc>
      </w:tr>
      <w:tr w:rsidR="005602A0" w:rsidRPr="00704C53" w14:paraId="04CABA78" w14:textId="77777777" w:rsidTr="005041E6">
        <w:trPr>
          <w:trHeight w:val="703"/>
          <w:jc w:val="center"/>
        </w:trPr>
        <w:tc>
          <w:tcPr>
            <w:tcW w:w="2972" w:type="dxa"/>
            <w:vAlign w:val="center"/>
          </w:tcPr>
          <w:p w14:paraId="543BFD4A" w14:textId="77777777" w:rsidR="005602A0" w:rsidRPr="00704C53" w:rsidRDefault="005602A0">
            <w:pPr>
              <w:rPr>
                <w:rFonts w:ascii="Arial" w:eastAsia="Calibri" w:hAnsi="Arial" w:cs="Arial"/>
              </w:rPr>
            </w:pPr>
            <w:r w:rsidRPr="00704C53">
              <w:rPr>
                <w:rFonts w:ascii="Arial" w:hAnsi="Arial" w:cs="Arial"/>
                <w:color w:val="000000" w:themeColor="text1"/>
              </w:rPr>
              <w:t>Ministarstvo zdravstva</w:t>
            </w:r>
          </w:p>
        </w:tc>
        <w:tc>
          <w:tcPr>
            <w:tcW w:w="7940" w:type="dxa"/>
            <w:shd w:val="clear" w:color="auto" w:fill="DBE5F1" w:themeFill="accent1" w:themeFillTint="33"/>
            <w:vAlign w:val="center"/>
          </w:tcPr>
          <w:p w14:paraId="1C70ECAE"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color w:val="231F20"/>
              </w:rPr>
              <w:t>Nacionalni plan razvoja zdravstva za razdoblje od 2021.-2027.</w:t>
            </w:r>
          </w:p>
        </w:tc>
        <w:tc>
          <w:tcPr>
            <w:tcW w:w="3036" w:type="dxa"/>
            <w:vAlign w:val="center"/>
          </w:tcPr>
          <w:p w14:paraId="33349F29" w14:textId="77777777" w:rsidR="005602A0" w:rsidRPr="00704C53" w:rsidRDefault="005602A0">
            <w:pPr>
              <w:jc w:val="center"/>
              <w:rPr>
                <w:rFonts w:ascii="Arial" w:hAnsi="Arial" w:cs="Arial"/>
              </w:rPr>
            </w:pPr>
            <w:r>
              <w:rPr>
                <w:noProof/>
                <w:lang w:eastAsia="hr-HR"/>
              </w:rPr>
              <w:drawing>
                <wp:inline distT="0" distB="0" distL="0" distR="0" wp14:anchorId="76694983" wp14:editId="40360C91">
                  <wp:extent cx="571500" cy="542925"/>
                  <wp:effectExtent l="0" t="0" r="0" b="9525"/>
                  <wp:docPr id="62794090" name="Picture 6279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5602A0" w:rsidRPr="00704C53" w14:paraId="505D8264" w14:textId="77777777" w:rsidTr="005041E6">
        <w:trPr>
          <w:trHeight w:val="390"/>
          <w:jc w:val="center"/>
        </w:trPr>
        <w:tc>
          <w:tcPr>
            <w:tcW w:w="2972" w:type="dxa"/>
            <w:vMerge w:val="restart"/>
            <w:vAlign w:val="center"/>
          </w:tcPr>
          <w:p w14:paraId="70604783" w14:textId="77777777" w:rsidR="005602A0" w:rsidRPr="00704C53" w:rsidRDefault="005602A0">
            <w:pPr>
              <w:rPr>
                <w:rFonts w:ascii="Arial" w:hAnsi="Arial" w:cs="Arial"/>
                <w:color w:val="000000" w:themeColor="text1"/>
              </w:rPr>
            </w:pPr>
            <w:r w:rsidRPr="00704C53">
              <w:rPr>
                <w:rFonts w:ascii="Arial" w:eastAsia="Calibri" w:hAnsi="Arial" w:cs="Arial"/>
              </w:rPr>
              <w:t>Državni zavod za statistiku</w:t>
            </w:r>
          </w:p>
        </w:tc>
        <w:tc>
          <w:tcPr>
            <w:tcW w:w="7940" w:type="dxa"/>
            <w:shd w:val="clear" w:color="auto" w:fill="DBE5F1" w:themeFill="accent1" w:themeFillTint="33"/>
            <w:vAlign w:val="center"/>
          </w:tcPr>
          <w:p w14:paraId="38A45617"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231F20"/>
              </w:rPr>
            </w:pPr>
            <w:r w:rsidRPr="00704C53">
              <w:rPr>
                <w:rFonts w:ascii="Arial" w:hAnsi="Arial" w:cs="Arial"/>
                <w:color w:val="000000" w:themeColor="text1"/>
              </w:rPr>
              <w:t>Strategija razvitka službene statistike za razdoblje 2021.-2030.</w:t>
            </w:r>
          </w:p>
        </w:tc>
        <w:tc>
          <w:tcPr>
            <w:tcW w:w="3036" w:type="dxa"/>
            <w:vMerge w:val="restart"/>
            <w:vAlign w:val="center"/>
          </w:tcPr>
          <w:p w14:paraId="1387809B" w14:textId="77777777" w:rsidR="005602A0" w:rsidRPr="00704C53" w:rsidRDefault="005602A0">
            <w:pPr>
              <w:jc w:val="center"/>
              <w:rPr>
                <w:rFonts w:ascii="Arial" w:hAnsi="Arial" w:cs="Arial"/>
                <w:bCs/>
              </w:rPr>
            </w:pPr>
            <w:r>
              <w:rPr>
                <w:noProof/>
                <w:lang w:eastAsia="hr-HR"/>
              </w:rPr>
              <w:drawing>
                <wp:inline distT="0" distB="0" distL="0" distR="0" wp14:anchorId="748CF8C1" wp14:editId="5F2FFB66">
                  <wp:extent cx="581025" cy="542925"/>
                  <wp:effectExtent l="0" t="0" r="9525" b="9525"/>
                  <wp:docPr id="666808286" name="Picture 666808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r>
      <w:tr w:rsidR="005602A0" w:rsidRPr="00704C53" w14:paraId="682E2944" w14:textId="77777777" w:rsidTr="005041E6">
        <w:trPr>
          <w:trHeight w:val="423"/>
          <w:jc w:val="center"/>
        </w:trPr>
        <w:tc>
          <w:tcPr>
            <w:tcW w:w="2972" w:type="dxa"/>
            <w:vMerge/>
            <w:vAlign w:val="center"/>
          </w:tcPr>
          <w:p w14:paraId="2E600621" w14:textId="77777777" w:rsidR="005602A0" w:rsidRPr="00704C53" w:rsidRDefault="005602A0">
            <w:pPr>
              <w:rPr>
                <w:rFonts w:ascii="Arial" w:eastAsia="Calibri" w:hAnsi="Arial" w:cs="Arial"/>
              </w:rPr>
            </w:pPr>
          </w:p>
        </w:tc>
        <w:tc>
          <w:tcPr>
            <w:tcW w:w="7940" w:type="dxa"/>
            <w:shd w:val="clear" w:color="auto" w:fill="DBE5F1" w:themeFill="accent1" w:themeFillTint="33"/>
            <w:vAlign w:val="center"/>
          </w:tcPr>
          <w:p w14:paraId="34D7E4A0"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hAnsi="Arial" w:cs="Arial"/>
                <w:color w:val="000000" w:themeColor="text1"/>
              </w:rPr>
              <w:t>Program statističkih aktivnosti Republike Hrvatske 2021.-2027.</w:t>
            </w:r>
          </w:p>
        </w:tc>
        <w:tc>
          <w:tcPr>
            <w:tcW w:w="3036" w:type="dxa"/>
            <w:vMerge/>
            <w:vAlign w:val="center"/>
          </w:tcPr>
          <w:p w14:paraId="596A9049" w14:textId="77777777" w:rsidR="005602A0" w:rsidRPr="00704C53" w:rsidRDefault="005602A0">
            <w:pPr>
              <w:rPr>
                <w:rFonts w:ascii="Arial" w:hAnsi="Arial" w:cs="Arial"/>
                <w:bCs/>
              </w:rPr>
            </w:pPr>
          </w:p>
        </w:tc>
      </w:tr>
      <w:tr w:rsidR="005602A0" w:rsidRPr="00704C53" w14:paraId="7B1A423C" w14:textId="77777777" w:rsidTr="004C1D5B">
        <w:trPr>
          <w:jc w:val="center"/>
        </w:trPr>
        <w:tc>
          <w:tcPr>
            <w:tcW w:w="2972" w:type="dxa"/>
            <w:vAlign w:val="center"/>
          </w:tcPr>
          <w:p w14:paraId="4DF2135B" w14:textId="77777777" w:rsidR="005602A0" w:rsidRPr="00704C53" w:rsidRDefault="005602A0">
            <w:pPr>
              <w:rPr>
                <w:rFonts w:ascii="Arial" w:hAnsi="Arial" w:cs="Arial"/>
                <w:color w:val="000000" w:themeColor="text1"/>
              </w:rPr>
            </w:pPr>
            <w:r w:rsidRPr="00704C53">
              <w:rPr>
                <w:rFonts w:ascii="Arial" w:hAnsi="Arial" w:cs="Arial"/>
              </w:rPr>
              <w:t>Središnji državni ured za Hrvate izvan Republike Hrvatske</w:t>
            </w:r>
          </w:p>
        </w:tc>
        <w:tc>
          <w:tcPr>
            <w:tcW w:w="7940" w:type="dxa"/>
            <w:shd w:val="clear" w:color="auto" w:fill="DBE5F1" w:themeFill="accent1" w:themeFillTint="33"/>
            <w:vAlign w:val="center"/>
          </w:tcPr>
          <w:p w14:paraId="5ADD7B59"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231F20"/>
              </w:rPr>
            </w:pPr>
            <w:r w:rsidRPr="00704C53">
              <w:rPr>
                <w:rFonts w:ascii="Arial" w:eastAsia="Calibri" w:hAnsi="Arial" w:cs="Arial"/>
              </w:rPr>
              <w:t>Nacionalni plan razvoja odnosa Republike Hrvatske s Hrvatima izvan Republike Hrvatske do 2027.godine</w:t>
            </w:r>
          </w:p>
        </w:tc>
        <w:tc>
          <w:tcPr>
            <w:tcW w:w="3036" w:type="dxa"/>
            <w:vAlign w:val="center"/>
          </w:tcPr>
          <w:p w14:paraId="7DD1F7BE" w14:textId="77777777" w:rsidR="005602A0" w:rsidRPr="00704C53" w:rsidRDefault="005602A0">
            <w:pPr>
              <w:jc w:val="center"/>
              <w:rPr>
                <w:rFonts w:ascii="Arial" w:hAnsi="Arial" w:cs="Arial"/>
              </w:rPr>
            </w:pPr>
            <w:r>
              <w:rPr>
                <w:noProof/>
                <w:lang w:eastAsia="hr-HR"/>
              </w:rPr>
              <w:drawing>
                <wp:inline distT="0" distB="0" distL="0" distR="0" wp14:anchorId="4ECC587D" wp14:editId="106B847C">
                  <wp:extent cx="581025" cy="552450"/>
                  <wp:effectExtent l="0" t="0" r="9525" b="0"/>
                  <wp:docPr id="1487525837" name="Picture 1487525837"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na kojoj se prikazuje tekst, isječak crteža&#10;&#10;Opis je automatski generira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noProof/>
                <w:lang w:eastAsia="hr-HR"/>
              </w:rPr>
              <w:drawing>
                <wp:inline distT="0" distB="0" distL="0" distR="0" wp14:anchorId="07C6510F" wp14:editId="5E204EEA">
                  <wp:extent cx="571500" cy="542925"/>
                  <wp:effectExtent l="0" t="0" r="0" b="9525"/>
                  <wp:docPr id="1016056317" name="Picture 101605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5602A0" w:rsidRPr="00704C53" w14:paraId="0C58A480" w14:textId="77777777" w:rsidTr="004C1D5B">
        <w:trPr>
          <w:trHeight w:val="718"/>
          <w:jc w:val="center"/>
        </w:trPr>
        <w:tc>
          <w:tcPr>
            <w:tcW w:w="2972" w:type="dxa"/>
            <w:vAlign w:val="center"/>
          </w:tcPr>
          <w:p w14:paraId="396BEEB5" w14:textId="77777777" w:rsidR="005602A0" w:rsidRPr="00704C53" w:rsidRDefault="005602A0">
            <w:pPr>
              <w:rPr>
                <w:rFonts w:ascii="Arial" w:eastAsia="Calibri" w:hAnsi="Arial" w:cs="Arial"/>
              </w:rPr>
            </w:pPr>
            <w:r w:rsidRPr="00704C53">
              <w:rPr>
                <w:rFonts w:ascii="Arial" w:eastAsia="Calibri" w:hAnsi="Arial" w:cs="Arial"/>
              </w:rPr>
              <w:t>Središnji državni ured za razvoj digitalnog društva</w:t>
            </w:r>
          </w:p>
        </w:tc>
        <w:tc>
          <w:tcPr>
            <w:tcW w:w="7940" w:type="dxa"/>
            <w:shd w:val="clear" w:color="auto" w:fill="DBE5F1" w:themeFill="accent1" w:themeFillTint="33"/>
            <w:vAlign w:val="center"/>
          </w:tcPr>
          <w:p w14:paraId="7CB179C8" w14:textId="77777777" w:rsidR="005602A0" w:rsidRPr="00704C53" w:rsidRDefault="005602A0" w:rsidP="005602A0">
            <w:pPr>
              <w:pStyle w:val="ListParagraph"/>
              <w:widowControl/>
              <w:numPr>
                <w:ilvl w:val="0"/>
                <w:numId w:val="47"/>
              </w:numPr>
              <w:autoSpaceDE/>
              <w:autoSpaceDN/>
              <w:ind w:left="313"/>
              <w:contextualSpacing/>
              <w:rPr>
                <w:rFonts w:ascii="Arial" w:hAnsi="Arial" w:cs="Arial"/>
                <w:color w:val="000000" w:themeColor="text1"/>
              </w:rPr>
            </w:pPr>
            <w:r w:rsidRPr="00704C53">
              <w:rPr>
                <w:rFonts w:ascii="Arial" w:eastAsia="Calibri" w:hAnsi="Arial" w:cs="Arial"/>
              </w:rPr>
              <w:t>Strategija digitalne Hrvatske za razdoblje do 2032. godine</w:t>
            </w:r>
          </w:p>
        </w:tc>
        <w:tc>
          <w:tcPr>
            <w:tcW w:w="3036" w:type="dxa"/>
            <w:vAlign w:val="center"/>
          </w:tcPr>
          <w:p w14:paraId="3F99DA4D" w14:textId="77777777" w:rsidR="005602A0" w:rsidRPr="00704C53" w:rsidRDefault="005602A0">
            <w:pPr>
              <w:jc w:val="center"/>
              <w:rPr>
                <w:rFonts w:ascii="Arial" w:hAnsi="Arial" w:cs="Arial"/>
              </w:rPr>
            </w:pPr>
            <w:r>
              <w:rPr>
                <w:noProof/>
                <w:lang w:eastAsia="hr-HR"/>
              </w:rPr>
              <w:drawing>
                <wp:inline distT="0" distB="0" distL="0" distR="0" wp14:anchorId="18805621" wp14:editId="0E74F1C7">
                  <wp:extent cx="561975" cy="533400"/>
                  <wp:effectExtent l="0" t="0" r="9525" b="0"/>
                  <wp:docPr id="2013440260" name="Picture 201344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r>
      <w:tr w:rsidR="005602A0" w:rsidRPr="00704C53" w14:paraId="0E1231D6" w14:textId="77777777" w:rsidTr="004C1D5B">
        <w:trPr>
          <w:trHeight w:val="667"/>
          <w:jc w:val="center"/>
        </w:trPr>
        <w:tc>
          <w:tcPr>
            <w:tcW w:w="2972" w:type="dxa"/>
            <w:vMerge w:val="restart"/>
            <w:vAlign w:val="center"/>
          </w:tcPr>
          <w:p w14:paraId="3FAB84E3" w14:textId="090E9529" w:rsidR="005602A0" w:rsidRPr="00704C53" w:rsidRDefault="00151A2A">
            <w:pPr>
              <w:rPr>
                <w:rFonts w:ascii="Arial" w:eastAsia="Calibri" w:hAnsi="Arial" w:cs="Arial"/>
              </w:rPr>
            </w:pPr>
            <w:r>
              <w:rPr>
                <w:rFonts w:ascii="Arial" w:hAnsi="Arial" w:cs="Arial"/>
                <w:color w:val="000000" w:themeColor="text1"/>
              </w:rPr>
              <w:t xml:space="preserve">VRH - </w:t>
            </w:r>
            <w:r w:rsidR="005602A0" w:rsidRPr="00704C53">
              <w:rPr>
                <w:rFonts w:ascii="Arial" w:hAnsi="Arial" w:cs="Arial"/>
                <w:color w:val="000000" w:themeColor="text1"/>
              </w:rPr>
              <w:t>Ured za ljudska prava i prava nacionalnih manjina</w:t>
            </w:r>
          </w:p>
        </w:tc>
        <w:tc>
          <w:tcPr>
            <w:tcW w:w="7940" w:type="dxa"/>
            <w:shd w:val="clear" w:color="auto" w:fill="DBE5F1" w:themeFill="accent1" w:themeFillTint="33"/>
            <w:vAlign w:val="center"/>
          </w:tcPr>
          <w:p w14:paraId="3215CFC2" w14:textId="77777777" w:rsidR="005602A0" w:rsidRPr="00704C53" w:rsidRDefault="005602A0" w:rsidP="005602A0">
            <w:pPr>
              <w:pStyle w:val="ListParagraph"/>
              <w:widowControl/>
              <w:numPr>
                <w:ilvl w:val="0"/>
                <w:numId w:val="47"/>
              </w:numPr>
              <w:autoSpaceDE/>
              <w:autoSpaceDN/>
              <w:ind w:left="313"/>
              <w:contextualSpacing/>
              <w:rPr>
                <w:rFonts w:ascii="Arial" w:eastAsia="Calibri" w:hAnsi="Arial" w:cs="Arial"/>
              </w:rPr>
            </w:pPr>
            <w:r w:rsidRPr="00704C53">
              <w:rPr>
                <w:rFonts w:ascii="Arial" w:hAnsi="Arial" w:cs="Arial"/>
                <w:color w:val="231F20"/>
              </w:rPr>
              <w:t>Nacionalni plan za uključivanje Roma za razdoblje od 2021.-2027. godine</w:t>
            </w:r>
          </w:p>
        </w:tc>
        <w:tc>
          <w:tcPr>
            <w:tcW w:w="3036" w:type="dxa"/>
            <w:vMerge w:val="restart"/>
            <w:vAlign w:val="center"/>
          </w:tcPr>
          <w:p w14:paraId="09D01069" w14:textId="77777777" w:rsidR="005602A0" w:rsidRPr="00704C53" w:rsidRDefault="005602A0">
            <w:pPr>
              <w:jc w:val="center"/>
              <w:rPr>
                <w:rFonts w:ascii="Arial" w:hAnsi="Arial" w:cs="Arial"/>
                <w:bCs/>
              </w:rPr>
            </w:pPr>
            <w:r>
              <w:rPr>
                <w:noProof/>
                <w:lang w:eastAsia="hr-HR"/>
              </w:rPr>
              <w:drawing>
                <wp:inline distT="0" distB="0" distL="0" distR="0" wp14:anchorId="376C2534" wp14:editId="4ADC016C">
                  <wp:extent cx="581025" cy="552450"/>
                  <wp:effectExtent l="0" t="0" r="9525" b="0"/>
                  <wp:docPr id="1461923418" name="Picture 146192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noProof/>
                <w:lang w:eastAsia="hr-HR"/>
              </w:rPr>
              <w:drawing>
                <wp:inline distT="0" distB="0" distL="0" distR="0" wp14:anchorId="752F7BA6" wp14:editId="39A79354">
                  <wp:extent cx="571500" cy="542925"/>
                  <wp:effectExtent l="0" t="0" r="0" b="9525"/>
                  <wp:docPr id="199763480" name="Picture 19976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942226" w:rsidRPr="00704C53" w14:paraId="531232E4" w14:textId="77777777" w:rsidTr="004C1D5B">
        <w:trPr>
          <w:trHeight w:val="667"/>
          <w:jc w:val="center"/>
        </w:trPr>
        <w:tc>
          <w:tcPr>
            <w:tcW w:w="2972" w:type="dxa"/>
            <w:vMerge/>
            <w:vAlign w:val="center"/>
          </w:tcPr>
          <w:p w14:paraId="3A85C9A8" w14:textId="77777777" w:rsidR="00942226" w:rsidRDefault="00942226">
            <w:pPr>
              <w:rPr>
                <w:rFonts w:ascii="Arial" w:hAnsi="Arial" w:cs="Arial"/>
                <w:color w:val="000000" w:themeColor="text1"/>
              </w:rPr>
            </w:pPr>
          </w:p>
        </w:tc>
        <w:tc>
          <w:tcPr>
            <w:tcW w:w="7940" w:type="dxa"/>
            <w:shd w:val="clear" w:color="auto" w:fill="DBE5F1" w:themeFill="accent1" w:themeFillTint="33"/>
            <w:vAlign w:val="center"/>
          </w:tcPr>
          <w:p w14:paraId="3995FACA" w14:textId="0DEC20DA" w:rsidR="00942226" w:rsidRPr="00704C53" w:rsidRDefault="000A1AAF" w:rsidP="005602A0">
            <w:pPr>
              <w:pStyle w:val="ListParagraph"/>
              <w:widowControl/>
              <w:numPr>
                <w:ilvl w:val="0"/>
                <w:numId w:val="47"/>
              </w:numPr>
              <w:autoSpaceDE/>
              <w:autoSpaceDN/>
              <w:ind w:left="313"/>
              <w:contextualSpacing/>
              <w:rPr>
                <w:rFonts w:ascii="Arial" w:hAnsi="Arial" w:cs="Arial"/>
                <w:color w:val="231F20"/>
              </w:rPr>
            </w:pPr>
            <w:r>
              <w:rPr>
                <w:rFonts w:ascii="Arial" w:hAnsi="Arial" w:cs="Arial"/>
                <w:color w:val="231F20"/>
              </w:rPr>
              <w:t>Operativni program za nacionalne manjine za razdoblje 2021.-2024</w:t>
            </w:r>
            <w:r w:rsidR="00496798">
              <w:rPr>
                <w:rFonts w:ascii="Arial" w:hAnsi="Arial" w:cs="Arial"/>
                <w:color w:val="231F20"/>
              </w:rPr>
              <w:t>.</w:t>
            </w:r>
          </w:p>
        </w:tc>
        <w:tc>
          <w:tcPr>
            <w:tcW w:w="3036" w:type="dxa"/>
            <w:vMerge/>
            <w:vAlign w:val="center"/>
          </w:tcPr>
          <w:p w14:paraId="49C2D92B" w14:textId="77777777" w:rsidR="00942226" w:rsidRDefault="00942226">
            <w:pPr>
              <w:jc w:val="center"/>
              <w:rPr>
                <w:noProof/>
              </w:rPr>
            </w:pPr>
          </w:p>
        </w:tc>
      </w:tr>
    </w:tbl>
    <w:p w14:paraId="6D0BB6F0" w14:textId="163526A4" w:rsidR="000164EA" w:rsidRPr="00D149C5" w:rsidRDefault="00FF546C" w:rsidP="00A96C5F">
      <w:pPr>
        <w:pStyle w:val="Heading2"/>
        <w:rPr>
          <w:rFonts w:eastAsia="Calibri"/>
          <w:sz w:val="24"/>
          <w:szCs w:val="24"/>
        </w:rPr>
      </w:pPr>
      <w:r w:rsidRPr="00BD1B6F">
        <w:rPr>
          <w:rFonts w:eastAsia="Calibri"/>
        </w:rPr>
        <w:br w:type="page"/>
      </w:r>
      <w:bookmarkStart w:id="122" w:name="_Hlk130815336"/>
      <w:bookmarkStart w:id="123" w:name="_Toc133420991"/>
      <w:bookmarkStart w:id="124" w:name="_Toc156819413"/>
      <w:r w:rsidR="002B57E1" w:rsidRPr="004C1D5B">
        <w:rPr>
          <w:rFonts w:eastAsia="Calibri"/>
          <w:b w:val="0"/>
          <w:sz w:val="24"/>
          <w:szCs w:val="24"/>
        </w:rPr>
        <w:lastRenderedPageBreak/>
        <w:t xml:space="preserve">Prilog </w:t>
      </w:r>
      <w:r w:rsidR="0005499B" w:rsidRPr="004C1D5B">
        <w:rPr>
          <w:rFonts w:eastAsia="Calibri"/>
          <w:b w:val="0"/>
          <w:sz w:val="24"/>
          <w:szCs w:val="24"/>
        </w:rPr>
        <w:t>4</w:t>
      </w:r>
      <w:r w:rsidR="002B57E1" w:rsidRPr="004C1D5B">
        <w:rPr>
          <w:rFonts w:eastAsia="Calibri"/>
          <w:b w:val="0"/>
          <w:sz w:val="24"/>
          <w:szCs w:val="24"/>
        </w:rPr>
        <w:t xml:space="preserve"> Popis akata strateškog planiranja</w:t>
      </w:r>
      <w:r w:rsidR="001640E0" w:rsidRPr="004C1D5B">
        <w:rPr>
          <w:b w:val="0"/>
          <w:sz w:val="24"/>
          <w:szCs w:val="24"/>
        </w:rPr>
        <w:t xml:space="preserve"> </w:t>
      </w:r>
      <w:r w:rsidR="001640E0" w:rsidRPr="004C1D5B">
        <w:rPr>
          <w:rFonts w:eastAsia="Calibri"/>
          <w:b w:val="0"/>
          <w:sz w:val="24"/>
          <w:szCs w:val="24"/>
        </w:rPr>
        <w:t xml:space="preserve">u izradi, </w:t>
      </w:r>
      <w:r w:rsidR="00286639" w:rsidRPr="004C1D5B">
        <w:rPr>
          <w:rFonts w:eastAsia="Calibri"/>
          <w:b w:val="0"/>
          <w:sz w:val="24"/>
          <w:szCs w:val="24"/>
        </w:rPr>
        <w:t>koji</w:t>
      </w:r>
      <w:r w:rsidR="00E24A7B" w:rsidRPr="004C1D5B">
        <w:rPr>
          <w:rFonts w:eastAsia="Calibri"/>
          <w:b w:val="0"/>
          <w:sz w:val="24"/>
          <w:szCs w:val="24"/>
        </w:rPr>
        <w:t xml:space="preserve"> izravno podupiru provedbu strateškog okvira NRS-a 2030</w:t>
      </w:r>
      <w:r w:rsidR="00CD2E4B" w:rsidRPr="004C1D5B">
        <w:rPr>
          <w:rFonts w:eastAsia="Calibri"/>
          <w:b w:val="0"/>
          <w:sz w:val="24"/>
          <w:szCs w:val="24"/>
        </w:rPr>
        <w:t>.</w:t>
      </w:r>
      <w:bookmarkEnd w:id="122"/>
      <w:bookmarkEnd w:id="123"/>
      <w:r w:rsidR="00302B81" w:rsidRPr="00047028">
        <w:rPr>
          <w:rStyle w:val="FootnoteReference"/>
          <w:rFonts w:eastAsia="Calibri"/>
          <w:b w:val="0"/>
          <w:sz w:val="24"/>
          <w:szCs w:val="24"/>
        </w:rPr>
        <w:footnoteReference w:id="13"/>
      </w:r>
      <w:bookmarkEnd w:id="124"/>
    </w:p>
    <w:p w14:paraId="24A56FEB" w14:textId="77777777" w:rsidR="00A866E2" w:rsidRPr="00BD1B6F" w:rsidRDefault="00A866E2" w:rsidP="00A963ED">
      <w:pPr>
        <w:rPr>
          <w:rFonts w:eastAsia="Calibri"/>
        </w:rPr>
      </w:pPr>
    </w:p>
    <w:tbl>
      <w:tblPr>
        <w:tblStyle w:val="TableGrid"/>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258"/>
        <w:gridCol w:w="7512"/>
        <w:gridCol w:w="3178"/>
      </w:tblGrid>
      <w:tr w:rsidR="00E636F4" w:rsidRPr="00993963" w14:paraId="69BA6F7D" w14:textId="77777777" w:rsidTr="004C1D5B">
        <w:trPr>
          <w:trHeight w:val="558"/>
          <w:tblHeader/>
          <w:jc w:val="center"/>
        </w:trPr>
        <w:tc>
          <w:tcPr>
            <w:tcW w:w="3258" w:type="dxa"/>
            <w:shd w:val="clear" w:color="auto" w:fill="B6DDE8" w:themeFill="accent5" w:themeFillTint="66"/>
            <w:vAlign w:val="center"/>
          </w:tcPr>
          <w:p w14:paraId="5F4750CC" w14:textId="77777777" w:rsidR="00E636F4" w:rsidRPr="004C1D5B" w:rsidRDefault="00E636F4">
            <w:pPr>
              <w:jc w:val="center"/>
              <w:rPr>
                <w:rFonts w:ascii="Arial" w:hAnsi="Arial" w:cs="Arial"/>
                <w:b/>
                <w:bCs/>
              </w:rPr>
            </w:pPr>
            <w:r w:rsidRPr="004C1D5B">
              <w:rPr>
                <w:rFonts w:ascii="Arial" w:hAnsi="Arial" w:cs="Arial"/>
                <w:b/>
                <w:bCs/>
              </w:rPr>
              <w:t>Nositelj izrade</w:t>
            </w:r>
          </w:p>
        </w:tc>
        <w:tc>
          <w:tcPr>
            <w:tcW w:w="7512" w:type="dxa"/>
            <w:shd w:val="clear" w:color="auto" w:fill="B6DDE8" w:themeFill="accent5" w:themeFillTint="66"/>
            <w:vAlign w:val="center"/>
          </w:tcPr>
          <w:p w14:paraId="4DF390A1" w14:textId="77777777" w:rsidR="00E636F4" w:rsidRPr="004C1D5B" w:rsidRDefault="00E636F4">
            <w:pPr>
              <w:ind w:left="360"/>
              <w:jc w:val="center"/>
              <w:rPr>
                <w:rFonts w:ascii="Arial" w:hAnsi="Arial" w:cs="Arial"/>
                <w:b/>
                <w:bCs/>
              </w:rPr>
            </w:pPr>
            <w:r w:rsidRPr="004C1D5B">
              <w:rPr>
                <w:rFonts w:ascii="Arial" w:hAnsi="Arial" w:cs="Arial"/>
                <w:b/>
                <w:bCs/>
              </w:rPr>
              <w:t>Naziv akta strateškog planiranja</w:t>
            </w:r>
          </w:p>
        </w:tc>
        <w:tc>
          <w:tcPr>
            <w:tcW w:w="3178" w:type="dxa"/>
            <w:shd w:val="clear" w:color="auto" w:fill="B6DDE8" w:themeFill="accent5" w:themeFillTint="66"/>
            <w:vAlign w:val="center"/>
          </w:tcPr>
          <w:p w14:paraId="14004742" w14:textId="57866421" w:rsidR="00E636F4" w:rsidRPr="004C1D5B" w:rsidRDefault="00E636F4">
            <w:pPr>
              <w:jc w:val="center"/>
              <w:rPr>
                <w:rFonts w:ascii="Arial" w:hAnsi="Arial" w:cs="Arial"/>
                <w:b/>
                <w:bCs/>
              </w:rPr>
            </w:pPr>
            <w:r w:rsidRPr="004C1D5B">
              <w:rPr>
                <w:rFonts w:ascii="Arial" w:hAnsi="Arial" w:cs="Arial"/>
                <w:b/>
                <w:bCs/>
              </w:rPr>
              <w:t>Strateški cilj NRS-a 2030</w:t>
            </w:r>
            <w:r w:rsidR="000C38D8" w:rsidRPr="004C1D5B">
              <w:rPr>
                <w:rFonts w:ascii="Arial" w:hAnsi="Arial" w:cs="Arial"/>
                <w:b/>
                <w:bCs/>
              </w:rPr>
              <w:t>.</w:t>
            </w:r>
            <w:r w:rsidRPr="004C1D5B">
              <w:rPr>
                <w:rFonts w:ascii="Arial" w:hAnsi="Arial" w:cs="Arial"/>
                <w:b/>
                <w:bCs/>
              </w:rPr>
              <w:t xml:space="preserve"> </w:t>
            </w:r>
          </w:p>
        </w:tc>
      </w:tr>
      <w:tr w:rsidR="00E636F4" w:rsidRPr="00993963" w14:paraId="58EDBD9B" w14:textId="77777777">
        <w:trPr>
          <w:jc w:val="center"/>
        </w:trPr>
        <w:tc>
          <w:tcPr>
            <w:tcW w:w="3258" w:type="dxa"/>
            <w:vMerge w:val="restart"/>
            <w:vAlign w:val="center"/>
          </w:tcPr>
          <w:p w14:paraId="3053F750" w14:textId="77777777" w:rsidR="00E636F4" w:rsidRPr="00993963" w:rsidRDefault="00E636F4">
            <w:pPr>
              <w:rPr>
                <w:rFonts w:ascii="Arial" w:hAnsi="Arial" w:cs="Arial"/>
                <w:sz w:val="24"/>
                <w:szCs w:val="24"/>
              </w:rPr>
            </w:pPr>
            <w:r w:rsidRPr="00993963">
              <w:rPr>
                <w:rFonts w:ascii="Arial" w:hAnsi="Arial" w:cs="Arial"/>
                <w:color w:val="000000" w:themeColor="text1"/>
                <w:sz w:val="24"/>
                <w:szCs w:val="24"/>
              </w:rPr>
              <w:t>Ministarstvo gospodarstva i održivog razvoja</w:t>
            </w:r>
          </w:p>
        </w:tc>
        <w:tc>
          <w:tcPr>
            <w:tcW w:w="7512" w:type="dxa"/>
            <w:shd w:val="clear" w:color="auto" w:fill="DBE5F1" w:themeFill="accent1" w:themeFillTint="33"/>
            <w:vAlign w:val="center"/>
          </w:tcPr>
          <w:p w14:paraId="204376EE" w14:textId="77777777" w:rsidR="00E636F4" w:rsidRPr="00993963" w:rsidRDefault="00E636F4" w:rsidP="00E636F4">
            <w:pPr>
              <w:pStyle w:val="ListParagraph"/>
              <w:widowControl/>
              <w:numPr>
                <w:ilvl w:val="0"/>
                <w:numId w:val="48"/>
              </w:numPr>
              <w:autoSpaceDE/>
              <w:autoSpaceDN/>
              <w:ind w:left="317"/>
              <w:contextualSpacing/>
              <w:rPr>
                <w:rFonts w:ascii="Arial" w:hAnsi="Arial" w:cs="Arial"/>
              </w:rPr>
            </w:pPr>
            <w:r w:rsidRPr="00993963">
              <w:rPr>
                <w:rFonts w:ascii="Arial" w:eastAsia="Calibri" w:hAnsi="Arial" w:cs="Arial"/>
              </w:rPr>
              <w:t>Nacionalni plan industrijskog razvoja i poduzetništva za razdoblje 2021.-2027.</w:t>
            </w:r>
          </w:p>
        </w:tc>
        <w:tc>
          <w:tcPr>
            <w:tcW w:w="3178" w:type="dxa"/>
            <w:vMerge w:val="restart"/>
            <w:vAlign w:val="center"/>
          </w:tcPr>
          <w:p w14:paraId="57364B25" w14:textId="77777777" w:rsidR="00E636F4" w:rsidRPr="00993963" w:rsidRDefault="00E636F4">
            <w:pPr>
              <w:jc w:val="center"/>
              <w:rPr>
                <w:rFonts w:ascii="Arial" w:hAnsi="Arial" w:cs="Arial"/>
                <w:sz w:val="24"/>
                <w:szCs w:val="24"/>
              </w:rPr>
            </w:pPr>
            <w:r>
              <w:rPr>
                <w:noProof/>
                <w:lang w:eastAsia="hr-HR"/>
              </w:rPr>
              <w:drawing>
                <wp:inline distT="0" distB="0" distL="0" distR="0" wp14:anchorId="3CE12F2C" wp14:editId="25DB8221">
                  <wp:extent cx="581025" cy="552450"/>
                  <wp:effectExtent l="0" t="0" r="9525" b="0"/>
                  <wp:docPr id="787021103" name="Picture 78702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noProof/>
                <w:lang w:eastAsia="hr-HR"/>
              </w:rPr>
              <w:drawing>
                <wp:inline distT="0" distB="0" distL="0" distR="0" wp14:anchorId="711BE8FA" wp14:editId="56C5B97A">
                  <wp:extent cx="561975" cy="533400"/>
                  <wp:effectExtent l="0" t="0" r="9525" b="0"/>
                  <wp:docPr id="2098193820" name="Picture 209819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r>
      <w:tr w:rsidR="006662E7" w:rsidRPr="00993963" w14:paraId="7AC1AE05" w14:textId="77777777">
        <w:trPr>
          <w:jc w:val="center"/>
        </w:trPr>
        <w:tc>
          <w:tcPr>
            <w:tcW w:w="3258" w:type="dxa"/>
            <w:vMerge/>
            <w:vAlign w:val="center"/>
          </w:tcPr>
          <w:p w14:paraId="022570A5" w14:textId="77777777" w:rsidR="006662E7" w:rsidRPr="00993963" w:rsidRDefault="006662E7">
            <w:pPr>
              <w:rPr>
                <w:rFonts w:ascii="Arial" w:hAnsi="Arial" w:cs="Arial"/>
                <w:sz w:val="24"/>
                <w:szCs w:val="24"/>
              </w:rPr>
            </w:pPr>
          </w:p>
        </w:tc>
        <w:tc>
          <w:tcPr>
            <w:tcW w:w="7512" w:type="dxa"/>
            <w:shd w:val="clear" w:color="auto" w:fill="DBE5F1" w:themeFill="accent1" w:themeFillTint="33"/>
            <w:vAlign w:val="center"/>
          </w:tcPr>
          <w:p w14:paraId="715F1685" w14:textId="16A4A237" w:rsidR="006662E7" w:rsidRPr="00993963" w:rsidRDefault="006A4BA3" w:rsidP="00E636F4">
            <w:pPr>
              <w:pStyle w:val="ListParagraph"/>
              <w:widowControl/>
              <w:numPr>
                <w:ilvl w:val="0"/>
                <w:numId w:val="48"/>
              </w:numPr>
              <w:autoSpaceDE/>
              <w:autoSpaceDN/>
              <w:ind w:left="317"/>
              <w:contextualSpacing/>
              <w:rPr>
                <w:rFonts w:ascii="Arial" w:hAnsi="Arial" w:cs="Arial"/>
              </w:rPr>
            </w:pPr>
            <w:r w:rsidRPr="00993963">
              <w:rPr>
                <w:rFonts w:ascii="Arial" w:hAnsi="Arial" w:cs="Arial"/>
                <w:color w:val="000000" w:themeColor="text1"/>
              </w:rPr>
              <w:t>Nacionalni plan za digitalnu transformaciju gospodarstva za razdoblje 2021.-2027.</w:t>
            </w:r>
          </w:p>
        </w:tc>
        <w:tc>
          <w:tcPr>
            <w:tcW w:w="3178" w:type="dxa"/>
            <w:vMerge/>
          </w:tcPr>
          <w:p w14:paraId="67EFEF71" w14:textId="77777777" w:rsidR="006662E7" w:rsidRPr="00993963" w:rsidRDefault="006662E7">
            <w:pPr>
              <w:jc w:val="center"/>
              <w:rPr>
                <w:rFonts w:ascii="Arial" w:hAnsi="Arial" w:cs="Arial"/>
                <w:sz w:val="24"/>
                <w:szCs w:val="24"/>
              </w:rPr>
            </w:pPr>
          </w:p>
        </w:tc>
      </w:tr>
      <w:tr w:rsidR="00E636F4" w:rsidRPr="00993963" w14:paraId="04CCC034" w14:textId="77777777">
        <w:trPr>
          <w:jc w:val="center"/>
        </w:trPr>
        <w:tc>
          <w:tcPr>
            <w:tcW w:w="3258" w:type="dxa"/>
            <w:vMerge/>
            <w:vAlign w:val="center"/>
          </w:tcPr>
          <w:p w14:paraId="338FC41E" w14:textId="77777777" w:rsidR="00E636F4" w:rsidRPr="00993963" w:rsidRDefault="00E636F4">
            <w:pPr>
              <w:rPr>
                <w:rFonts w:ascii="Arial" w:hAnsi="Arial" w:cs="Arial"/>
                <w:sz w:val="24"/>
                <w:szCs w:val="24"/>
              </w:rPr>
            </w:pPr>
          </w:p>
        </w:tc>
        <w:tc>
          <w:tcPr>
            <w:tcW w:w="7512" w:type="dxa"/>
            <w:shd w:val="clear" w:color="auto" w:fill="DBE5F1" w:themeFill="accent1" w:themeFillTint="33"/>
            <w:vAlign w:val="center"/>
          </w:tcPr>
          <w:p w14:paraId="2D638073" w14:textId="77777777" w:rsidR="00E636F4" w:rsidRPr="00993963" w:rsidRDefault="00E636F4" w:rsidP="00E636F4">
            <w:pPr>
              <w:pStyle w:val="ListParagraph"/>
              <w:widowControl/>
              <w:numPr>
                <w:ilvl w:val="0"/>
                <w:numId w:val="48"/>
              </w:numPr>
              <w:autoSpaceDE/>
              <w:autoSpaceDN/>
              <w:ind w:left="317"/>
              <w:contextualSpacing/>
              <w:rPr>
                <w:rFonts w:ascii="Arial" w:hAnsi="Arial" w:cs="Arial"/>
              </w:rPr>
            </w:pPr>
            <w:r w:rsidRPr="00993963">
              <w:rPr>
                <w:rFonts w:ascii="Arial" w:hAnsi="Arial" w:cs="Arial"/>
              </w:rPr>
              <w:t>Strategija za procjenu ekonomskog učinka propisa na sektor malog i srednjeg poduzetništva za razdoblje 2023. - 2027.</w:t>
            </w:r>
          </w:p>
        </w:tc>
        <w:tc>
          <w:tcPr>
            <w:tcW w:w="3178" w:type="dxa"/>
            <w:vMerge/>
          </w:tcPr>
          <w:p w14:paraId="5D43958A" w14:textId="77777777" w:rsidR="00E636F4" w:rsidRPr="00993963" w:rsidRDefault="00E636F4">
            <w:pPr>
              <w:jc w:val="center"/>
              <w:rPr>
                <w:rFonts w:ascii="Arial" w:hAnsi="Arial" w:cs="Arial"/>
                <w:sz w:val="24"/>
                <w:szCs w:val="24"/>
              </w:rPr>
            </w:pPr>
          </w:p>
        </w:tc>
      </w:tr>
      <w:tr w:rsidR="00E636F4" w:rsidRPr="00993963" w14:paraId="5DCB3D5F" w14:textId="77777777">
        <w:trPr>
          <w:jc w:val="center"/>
        </w:trPr>
        <w:tc>
          <w:tcPr>
            <w:tcW w:w="3258" w:type="dxa"/>
            <w:vMerge/>
            <w:vAlign w:val="center"/>
          </w:tcPr>
          <w:p w14:paraId="3DF6420A" w14:textId="77777777" w:rsidR="00E636F4" w:rsidRPr="00993963" w:rsidRDefault="00E636F4">
            <w:pPr>
              <w:rPr>
                <w:rFonts w:ascii="Arial" w:hAnsi="Arial" w:cs="Arial"/>
                <w:sz w:val="24"/>
                <w:szCs w:val="24"/>
              </w:rPr>
            </w:pPr>
          </w:p>
        </w:tc>
        <w:tc>
          <w:tcPr>
            <w:tcW w:w="7512" w:type="dxa"/>
            <w:shd w:val="clear" w:color="auto" w:fill="DBE5F1" w:themeFill="accent1" w:themeFillTint="33"/>
            <w:vAlign w:val="center"/>
          </w:tcPr>
          <w:p w14:paraId="2B50477C" w14:textId="77777777" w:rsidR="00E636F4" w:rsidRPr="00993963" w:rsidRDefault="00E636F4" w:rsidP="00E636F4">
            <w:pPr>
              <w:pStyle w:val="ListParagraph"/>
              <w:widowControl/>
              <w:numPr>
                <w:ilvl w:val="0"/>
                <w:numId w:val="48"/>
              </w:numPr>
              <w:autoSpaceDE/>
              <w:autoSpaceDN/>
              <w:ind w:left="317"/>
              <w:contextualSpacing/>
              <w:rPr>
                <w:rFonts w:ascii="Arial" w:hAnsi="Arial" w:cs="Arial"/>
              </w:rPr>
            </w:pPr>
            <w:r w:rsidRPr="00993963">
              <w:rPr>
                <w:rStyle w:val="normaltextrun"/>
                <w:rFonts w:ascii="Arial" w:hAnsi="Arial" w:cs="Arial"/>
              </w:rPr>
              <w:t>Revizija Integriranog nacionalnog energetskog i klimatskog plana za Republiku Hrvatsku za razdoblje od 2021. do 2030.</w:t>
            </w:r>
            <w:r w:rsidRPr="00993963">
              <w:rPr>
                <w:rStyle w:val="eop"/>
                <w:rFonts w:ascii="Arial" w:hAnsi="Arial" w:cs="Arial"/>
              </w:rPr>
              <w:t> </w:t>
            </w:r>
          </w:p>
        </w:tc>
        <w:tc>
          <w:tcPr>
            <w:tcW w:w="3178" w:type="dxa"/>
            <w:vMerge w:val="restart"/>
            <w:vAlign w:val="center"/>
          </w:tcPr>
          <w:p w14:paraId="41D32F52" w14:textId="77777777" w:rsidR="00E636F4" w:rsidRPr="00993963" w:rsidRDefault="00E636F4">
            <w:pPr>
              <w:jc w:val="center"/>
              <w:rPr>
                <w:rFonts w:ascii="Arial" w:hAnsi="Arial" w:cs="Arial"/>
                <w:sz w:val="24"/>
                <w:szCs w:val="24"/>
              </w:rPr>
            </w:pPr>
            <w:r>
              <w:rPr>
                <w:noProof/>
                <w:lang w:eastAsia="hr-HR"/>
              </w:rPr>
              <w:drawing>
                <wp:inline distT="0" distB="0" distL="0" distR="0" wp14:anchorId="7A69647E" wp14:editId="38413A8C">
                  <wp:extent cx="581025" cy="542925"/>
                  <wp:effectExtent l="0" t="0" r="9525" b="9525"/>
                  <wp:docPr id="1551591429" name="Picture 155159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r>
      <w:tr w:rsidR="00E636F4" w:rsidRPr="00993963" w14:paraId="0762665A" w14:textId="77777777">
        <w:trPr>
          <w:jc w:val="center"/>
        </w:trPr>
        <w:tc>
          <w:tcPr>
            <w:tcW w:w="3258" w:type="dxa"/>
            <w:vMerge/>
            <w:vAlign w:val="center"/>
          </w:tcPr>
          <w:p w14:paraId="58FE4485" w14:textId="77777777" w:rsidR="00E636F4" w:rsidRPr="00993963" w:rsidRDefault="00E636F4">
            <w:pPr>
              <w:rPr>
                <w:rFonts w:ascii="Arial" w:hAnsi="Arial" w:cs="Arial"/>
                <w:sz w:val="24"/>
                <w:szCs w:val="24"/>
              </w:rPr>
            </w:pPr>
          </w:p>
        </w:tc>
        <w:tc>
          <w:tcPr>
            <w:tcW w:w="7512" w:type="dxa"/>
            <w:shd w:val="clear" w:color="auto" w:fill="DBE5F1" w:themeFill="accent1" w:themeFillTint="33"/>
            <w:vAlign w:val="center"/>
          </w:tcPr>
          <w:p w14:paraId="2D978872" w14:textId="77777777" w:rsidR="00E636F4" w:rsidRPr="00993963" w:rsidRDefault="00E636F4" w:rsidP="00E636F4">
            <w:pPr>
              <w:pStyle w:val="ListParagraph"/>
              <w:widowControl/>
              <w:numPr>
                <w:ilvl w:val="0"/>
                <w:numId w:val="48"/>
              </w:numPr>
              <w:autoSpaceDE/>
              <w:autoSpaceDN/>
              <w:ind w:left="317"/>
              <w:contextualSpacing/>
              <w:rPr>
                <w:rFonts w:ascii="Arial" w:hAnsi="Arial" w:cs="Arial"/>
              </w:rPr>
            </w:pPr>
            <w:r w:rsidRPr="00993963">
              <w:rPr>
                <w:rFonts w:ascii="Arial" w:eastAsia="Calibri" w:hAnsi="Arial" w:cs="Arial"/>
              </w:rPr>
              <w:t>Plan gospodarenja otpadom Republike Hrvatske za razdoblje 2023.-2028.</w:t>
            </w:r>
          </w:p>
        </w:tc>
        <w:tc>
          <w:tcPr>
            <w:tcW w:w="3178" w:type="dxa"/>
            <w:vMerge/>
            <w:vAlign w:val="center"/>
          </w:tcPr>
          <w:p w14:paraId="295A46FF" w14:textId="77777777" w:rsidR="00E636F4" w:rsidRPr="00993963" w:rsidRDefault="00E636F4">
            <w:pPr>
              <w:jc w:val="center"/>
              <w:rPr>
                <w:rFonts w:ascii="Arial" w:hAnsi="Arial" w:cs="Arial"/>
                <w:sz w:val="24"/>
                <w:szCs w:val="24"/>
              </w:rPr>
            </w:pPr>
          </w:p>
        </w:tc>
      </w:tr>
      <w:tr w:rsidR="00E636F4" w:rsidRPr="00993963" w14:paraId="6E91C17B" w14:textId="77777777">
        <w:trPr>
          <w:jc w:val="center"/>
        </w:trPr>
        <w:tc>
          <w:tcPr>
            <w:tcW w:w="3258" w:type="dxa"/>
            <w:vAlign w:val="center"/>
          </w:tcPr>
          <w:p w14:paraId="64FD49A2" w14:textId="77777777" w:rsidR="00E636F4" w:rsidRPr="00993963" w:rsidRDefault="00E636F4">
            <w:pPr>
              <w:rPr>
                <w:rFonts w:ascii="Arial" w:eastAsia="Calibri" w:hAnsi="Arial" w:cs="Arial"/>
                <w:sz w:val="24"/>
                <w:szCs w:val="24"/>
              </w:rPr>
            </w:pPr>
            <w:r w:rsidRPr="00993963">
              <w:rPr>
                <w:rFonts w:ascii="Arial" w:eastAsia="Calibri" w:hAnsi="Arial" w:cs="Arial"/>
                <w:sz w:val="24"/>
                <w:szCs w:val="24"/>
              </w:rPr>
              <w:t>Ministarstvo kulture i medija</w:t>
            </w:r>
          </w:p>
        </w:tc>
        <w:tc>
          <w:tcPr>
            <w:tcW w:w="7512" w:type="dxa"/>
            <w:shd w:val="clear" w:color="auto" w:fill="DBE5F1" w:themeFill="accent1" w:themeFillTint="33"/>
            <w:vAlign w:val="center"/>
          </w:tcPr>
          <w:p w14:paraId="63FEBBDE" w14:textId="77777777" w:rsidR="00E636F4" w:rsidRPr="00993963" w:rsidRDefault="00E636F4" w:rsidP="00E636F4">
            <w:pPr>
              <w:pStyle w:val="ListParagraph"/>
              <w:widowControl/>
              <w:numPr>
                <w:ilvl w:val="0"/>
                <w:numId w:val="48"/>
              </w:numPr>
              <w:autoSpaceDE/>
              <w:autoSpaceDN/>
              <w:ind w:left="317"/>
              <w:contextualSpacing/>
              <w:rPr>
                <w:rFonts w:ascii="Arial" w:hAnsi="Arial" w:cs="Arial"/>
              </w:rPr>
            </w:pPr>
            <w:r w:rsidRPr="00993963">
              <w:rPr>
                <w:rFonts w:ascii="Arial" w:eastAsia="Calibri" w:hAnsi="Arial" w:cs="Arial"/>
              </w:rPr>
              <w:t>Nacionalni plan razvoja kulture i medija od 2023. do 2027. godine</w:t>
            </w:r>
          </w:p>
        </w:tc>
        <w:tc>
          <w:tcPr>
            <w:tcW w:w="3178" w:type="dxa"/>
            <w:vAlign w:val="center"/>
          </w:tcPr>
          <w:p w14:paraId="3E7A22B1" w14:textId="77777777" w:rsidR="00E636F4" w:rsidRPr="00993963" w:rsidRDefault="00E636F4">
            <w:pPr>
              <w:jc w:val="center"/>
              <w:rPr>
                <w:rFonts w:ascii="Arial" w:hAnsi="Arial" w:cs="Arial"/>
                <w:sz w:val="24"/>
                <w:szCs w:val="24"/>
              </w:rPr>
            </w:pPr>
            <w:r>
              <w:rPr>
                <w:noProof/>
                <w:lang w:eastAsia="hr-HR"/>
              </w:rPr>
              <w:drawing>
                <wp:inline distT="0" distB="0" distL="0" distR="0" wp14:anchorId="396FE19B" wp14:editId="142EBB7F">
                  <wp:extent cx="581025" cy="552450"/>
                  <wp:effectExtent l="0" t="0" r="9525" b="0"/>
                  <wp:docPr id="99884330" name="Picture 99884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tc>
      </w:tr>
      <w:tr w:rsidR="00E636F4" w:rsidRPr="00993963" w14:paraId="47443440" w14:textId="77777777">
        <w:trPr>
          <w:jc w:val="center"/>
        </w:trPr>
        <w:tc>
          <w:tcPr>
            <w:tcW w:w="3258" w:type="dxa"/>
            <w:vAlign w:val="center"/>
          </w:tcPr>
          <w:p w14:paraId="68B87C13" w14:textId="77777777" w:rsidR="00E636F4" w:rsidRPr="00993963" w:rsidRDefault="00E636F4">
            <w:pPr>
              <w:rPr>
                <w:rFonts w:ascii="Arial" w:hAnsi="Arial" w:cs="Arial"/>
                <w:sz w:val="24"/>
                <w:szCs w:val="24"/>
              </w:rPr>
            </w:pPr>
            <w:r w:rsidRPr="00993963">
              <w:rPr>
                <w:rFonts w:ascii="Arial" w:eastAsia="Calibri" w:hAnsi="Arial" w:cs="Arial"/>
                <w:sz w:val="24"/>
                <w:szCs w:val="24"/>
              </w:rPr>
              <w:t>Ministarstvo mora, prometa i infrastrukture</w:t>
            </w:r>
          </w:p>
        </w:tc>
        <w:tc>
          <w:tcPr>
            <w:tcW w:w="7512" w:type="dxa"/>
            <w:shd w:val="clear" w:color="auto" w:fill="DBE5F1" w:themeFill="accent1" w:themeFillTint="33"/>
            <w:vAlign w:val="center"/>
          </w:tcPr>
          <w:p w14:paraId="087CD06E" w14:textId="77777777" w:rsidR="00E636F4" w:rsidRPr="00993963" w:rsidRDefault="00E636F4" w:rsidP="00E636F4">
            <w:pPr>
              <w:pStyle w:val="ListParagraph"/>
              <w:widowControl/>
              <w:numPr>
                <w:ilvl w:val="0"/>
                <w:numId w:val="48"/>
              </w:numPr>
              <w:autoSpaceDE/>
              <w:autoSpaceDN/>
              <w:ind w:left="317"/>
              <w:contextualSpacing/>
              <w:rPr>
                <w:rFonts w:ascii="Arial" w:hAnsi="Arial" w:cs="Arial"/>
              </w:rPr>
            </w:pPr>
            <w:r w:rsidRPr="00993963">
              <w:rPr>
                <w:rFonts w:ascii="Arial" w:hAnsi="Arial" w:cs="Arial"/>
              </w:rPr>
              <w:t>Nacionalni plan razvoja biciklističkog prometa za razdoblje od 2023. do 2027. godine</w:t>
            </w:r>
          </w:p>
        </w:tc>
        <w:tc>
          <w:tcPr>
            <w:tcW w:w="3178" w:type="dxa"/>
            <w:vAlign w:val="center"/>
          </w:tcPr>
          <w:p w14:paraId="3754B22D" w14:textId="77777777" w:rsidR="00E636F4" w:rsidRPr="00993963" w:rsidRDefault="00E636F4">
            <w:pPr>
              <w:jc w:val="center"/>
              <w:rPr>
                <w:rFonts w:ascii="Arial" w:hAnsi="Arial" w:cs="Arial"/>
                <w:sz w:val="24"/>
                <w:szCs w:val="24"/>
              </w:rPr>
            </w:pPr>
            <w:r>
              <w:rPr>
                <w:noProof/>
                <w:lang w:eastAsia="hr-HR"/>
              </w:rPr>
              <w:drawing>
                <wp:inline distT="0" distB="0" distL="0" distR="0" wp14:anchorId="5FDBB5DA" wp14:editId="0ADC4750">
                  <wp:extent cx="561975" cy="533400"/>
                  <wp:effectExtent l="0" t="0" r="9525" b="0"/>
                  <wp:docPr id="1367162008" name="Picture 136716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r>
      <w:tr w:rsidR="00E636F4" w:rsidRPr="00993963" w14:paraId="52D32D40" w14:textId="77777777">
        <w:trPr>
          <w:trHeight w:val="432"/>
          <w:jc w:val="center"/>
        </w:trPr>
        <w:tc>
          <w:tcPr>
            <w:tcW w:w="3258" w:type="dxa"/>
            <w:vAlign w:val="center"/>
          </w:tcPr>
          <w:p w14:paraId="1E95552B" w14:textId="77777777" w:rsidR="00E636F4" w:rsidRPr="00993963" w:rsidRDefault="00E636F4">
            <w:pPr>
              <w:rPr>
                <w:rFonts w:ascii="Arial" w:hAnsi="Arial" w:cs="Arial"/>
                <w:sz w:val="24"/>
                <w:szCs w:val="24"/>
              </w:rPr>
            </w:pPr>
            <w:r w:rsidRPr="00993963">
              <w:rPr>
                <w:rFonts w:ascii="Arial" w:hAnsi="Arial" w:cs="Arial"/>
                <w:color w:val="000000" w:themeColor="text1"/>
                <w:sz w:val="24"/>
                <w:szCs w:val="24"/>
              </w:rPr>
              <w:t>Ministarstvo obrane</w:t>
            </w:r>
          </w:p>
        </w:tc>
        <w:tc>
          <w:tcPr>
            <w:tcW w:w="7512" w:type="dxa"/>
            <w:shd w:val="clear" w:color="auto" w:fill="DBE5F1" w:themeFill="accent1" w:themeFillTint="33"/>
            <w:vAlign w:val="center"/>
          </w:tcPr>
          <w:p w14:paraId="61F104E5" w14:textId="77777777" w:rsidR="00E636F4" w:rsidRPr="00993963" w:rsidRDefault="00E636F4" w:rsidP="00E636F4">
            <w:pPr>
              <w:pStyle w:val="ListParagraph"/>
              <w:widowControl/>
              <w:numPr>
                <w:ilvl w:val="0"/>
                <w:numId w:val="48"/>
              </w:numPr>
              <w:autoSpaceDE/>
              <w:autoSpaceDN/>
              <w:ind w:left="317"/>
              <w:contextualSpacing/>
              <w:rPr>
                <w:rFonts w:ascii="Arial" w:hAnsi="Arial" w:cs="Arial"/>
              </w:rPr>
            </w:pPr>
            <w:r w:rsidRPr="00993963">
              <w:rPr>
                <w:rFonts w:ascii="Arial" w:hAnsi="Arial" w:cs="Arial"/>
              </w:rPr>
              <w:t>Dugoročni plan razvoja Oružanih snaga Republike Hrvatske 2024.-2035.</w:t>
            </w:r>
          </w:p>
        </w:tc>
        <w:tc>
          <w:tcPr>
            <w:tcW w:w="3178" w:type="dxa"/>
            <w:vAlign w:val="center"/>
          </w:tcPr>
          <w:p w14:paraId="7655C0D2" w14:textId="77777777" w:rsidR="00E636F4" w:rsidRPr="00993963" w:rsidRDefault="00E636F4">
            <w:pPr>
              <w:jc w:val="center"/>
              <w:rPr>
                <w:rFonts w:ascii="Arial" w:hAnsi="Arial" w:cs="Arial"/>
                <w:sz w:val="24"/>
                <w:szCs w:val="24"/>
              </w:rPr>
            </w:pPr>
            <w:r>
              <w:rPr>
                <w:noProof/>
                <w:lang w:eastAsia="hr-HR"/>
              </w:rPr>
              <w:drawing>
                <wp:inline distT="0" distB="0" distL="0" distR="0" wp14:anchorId="3FA876BE" wp14:editId="3CE03715">
                  <wp:extent cx="571500" cy="542925"/>
                  <wp:effectExtent l="0" t="0" r="0" b="9525"/>
                  <wp:docPr id="611811830" name="Picture 61181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E636F4" w:rsidRPr="00993963" w14:paraId="7A4E3E6A" w14:textId="77777777">
        <w:trPr>
          <w:trHeight w:val="466"/>
          <w:jc w:val="center"/>
        </w:trPr>
        <w:tc>
          <w:tcPr>
            <w:tcW w:w="3258" w:type="dxa"/>
            <w:vMerge w:val="restart"/>
            <w:vAlign w:val="center"/>
          </w:tcPr>
          <w:p w14:paraId="0A7BDEEC" w14:textId="77777777" w:rsidR="00E636F4" w:rsidRPr="00993963" w:rsidRDefault="00E636F4">
            <w:pPr>
              <w:rPr>
                <w:rFonts w:ascii="Arial" w:hAnsi="Arial" w:cs="Arial"/>
                <w:sz w:val="24"/>
                <w:szCs w:val="24"/>
              </w:rPr>
            </w:pPr>
            <w:r w:rsidRPr="00993963">
              <w:rPr>
                <w:rFonts w:ascii="Arial" w:hAnsi="Arial" w:cs="Arial"/>
                <w:sz w:val="24"/>
                <w:szCs w:val="24"/>
              </w:rPr>
              <w:t>Ministarstvo poljoprivrede</w:t>
            </w:r>
          </w:p>
        </w:tc>
        <w:tc>
          <w:tcPr>
            <w:tcW w:w="7512" w:type="dxa"/>
            <w:shd w:val="clear" w:color="auto" w:fill="DBE5F1" w:themeFill="accent1" w:themeFillTint="33"/>
            <w:vAlign w:val="center"/>
          </w:tcPr>
          <w:p w14:paraId="4D23C213" w14:textId="77777777" w:rsidR="00E636F4" w:rsidRPr="00993963" w:rsidRDefault="00E636F4" w:rsidP="00E636F4">
            <w:pPr>
              <w:pStyle w:val="ListParagraph"/>
              <w:widowControl/>
              <w:numPr>
                <w:ilvl w:val="0"/>
                <w:numId w:val="48"/>
              </w:numPr>
              <w:autoSpaceDE/>
              <w:autoSpaceDN/>
              <w:ind w:left="317"/>
              <w:contextualSpacing/>
              <w:rPr>
                <w:rFonts w:ascii="Arial" w:hAnsi="Arial" w:cs="Arial"/>
              </w:rPr>
            </w:pPr>
            <w:r w:rsidRPr="00993963">
              <w:rPr>
                <w:rFonts w:ascii="Arial" w:hAnsi="Arial" w:cs="Arial"/>
              </w:rPr>
              <w:t>Strategija biogospodarstva do 2035.godine</w:t>
            </w:r>
          </w:p>
        </w:tc>
        <w:tc>
          <w:tcPr>
            <w:tcW w:w="3178" w:type="dxa"/>
            <w:vMerge w:val="restart"/>
            <w:vAlign w:val="center"/>
          </w:tcPr>
          <w:p w14:paraId="6FD93189" w14:textId="77777777" w:rsidR="00E636F4" w:rsidRPr="00993963" w:rsidRDefault="00E636F4">
            <w:pPr>
              <w:jc w:val="center"/>
              <w:rPr>
                <w:rFonts w:ascii="Arial" w:hAnsi="Arial" w:cs="Arial"/>
                <w:sz w:val="24"/>
                <w:szCs w:val="24"/>
              </w:rPr>
            </w:pPr>
            <w:r>
              <w:rPr>
                <w:noProof/>
                <w:lang w:eastAsia="hr-HR"/>
              </w:rPr>
              <w:drawing>
                <wp:inline distT="0" distB="0" distL="0" distR="0" wp14:anchorId="00ADF53A" wp14:editId="2CA56852">
                  <wp:extent cx="581025" cy="552450"/>
                  <wp:effectExtent l="0" t="0" r="9525" b="0"/>
                  <wp:docPr id="722862608" name="Picture 72286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tc>
      </w:tr>
      <w:tr w:rsidR="00E636F4" w:rsidRPr="00993963" w14:paraId="1BD9AD37" w14:textId="77777777">
        <w:trPr>
          <w:jc w:val="center"/>
        </w:trPr>
        <w:tc>
          <w:tcPr>
            <w:tcW w:w="3258" w:type="dxa"/>
            <w:vMerge/>
            <w:vAlign w:val="center"/>
          </w:tcPr>
          <w:p w14:paraId="26BD6D35" w14:textId="77777777" w:rsidR="00E636F4" w:rsidRPr="00993963" w:rsidRDefault="00E636F4">
            <w:pPr>
              <w:rPr>
                <w:rFonts w:ascii="Arial" w:hAnsi="Arial" w:cs="Arial"/>
                <w:sz w:val="24"/>
                <w:szCs w:val="24"/>
              </w:rPr>
            </w:pPr>
          </w:p>
        </w:tc>
        <w:tc>
          <w:tcPr>
            <w:tcW w:w="7512" w:type="dxa"/>
            <w:shd w:val="clear" w:color="auto" w:fill="DBE5F1" w:themeFill="accent1" w:themeFillTint="33"/>
            <w:vAlign w:val="center"/>
          </w:tcPr>
          <w:p w14:paraId="4C13581B" w14:textId="77777777" w:rsidR="00E636F4" w:rsidRPr="00993963" w:rsidRDefault="00E636F4" w:rsidP="00E636F4">
            <w:pPr>
              <w:pStyle w:val="ListParagraph"/>
              <w:widowControl/>
              <w:numPr>
                <w:ilvl w:val="0"/>
                <w:numId w:val="48"/>
              </w:numPr>
              <w:autoSpaceDE/>
              <w:autoSpaceDN/>
              <w:ind w:left="317"/>
              <w:contextualSpacing/>
              <w:rPr>
                <w:rFonts w:ascii="Arial" w:hAnsi="Arial" w:cs="Arial"/>
              </w:rPr>
            </w:pPr>
            <w:r w:rsidRPr="00993963">
              <w:rPr>
                <w:rFonts w:ascii="Arial" w:hAnsi="Arial" w:cs="Arial"/>
              </w:rPr>
              <w:t>Strateški plan Zajedničke poljoprivredne politike Republike Hrvatske 2023.-2027. godine</w:t>
            </w:r>
          </w:p>
        </w:tc>
        <w:tc>
          <w:tcPr>
            <w:tcW w:w="3178" w:type="dxa"/>
            <w:vMerge/>
            <w:vAlign w:val="center"/>
          </w:tcPr>
          <w:p w14:paraId="1D27D316" w14:textId="77777777" w:rsidR="00E636F4" w:rsidRPr="00993963" w:rsidRDefault="00E636F4">
            <w:pPr>
              <w:jc w:val="center"/>
              <w:rPr>
                <w:rFonts w:ascii="Arial" w:hAnsi="Arial" w:cs="Arial"/>
                <w:sz w:val="24"/>
                <w:szCs w:val="24"/>
              </w:rPr>
            </w:pPr>
          </w:p>
        </w:tc>
      </w:tr>
      <w:tr w:rsidR="00E636F4" w:rsidRPr="00993963" w14:paraId="0E8B35E1" w14:textId="77777777">
        <w:trPr>
          <w:jc w:val="center"/>
        </w:trPr>
        <w:tc>
          <w:tcPr>
            <w:tcW w:w="3258" w:type="dxa"/>
            <w:vMerge/>
            <w:vAlign w:val="center"/>
          </w:tcPr>
          <w:p w14:paraId="08D6CFA1" w14:textId="77777777" w:rsidR="00E636F4" w:rsidRPr="00993963" w:rsidRDefault="00E636F4">
            <w:pPr>
              <w:rPr>
                <w:rFonts w:ascii="Arial" w:hAnsi="Arial" w:cs="Arial"/>
                <w:sz w:val="24"/>
                <w:szCs w:val="24"/>
              </w:rPr>
            </w:pPr>
          </w:p>
        </w:tc>
        <w:tc>
          <w:tcPr>
            <w:tcW w:w="7512" w:type="dxa"/>
            <w:shd w:val="clear" w:color="auto" w:fill="DBE5F1" w:themeFill="accent1" w:themeFillTint="33"/>
            <w:vAlign w:val="center"/>
          </w:tcPr>
          <w:p w14:paraId="33E81341" w14:textId="77777777" w:rsidR="00E636F4" w:rsidRPr="00993963" w:rsidRDefault="00E636F4" w:rsidP="00E636F4">
            <w:pPr>
              <w:pStyle w:val="ListParagraph"/>
              <w:widowControl/>
              <w:numPr>
                <w:ilvl w:val="0"/>
                <w:numId w:val="48"/>
              </w:numPr>
              <w:autoSpaceDE/>
              <w:autoSpaceDN/>
              <w:ind w:left="317"/>
              <w:contextualSpacing/>
              <w:rPr>
                <w:rFonts w:ascii="Arial" w:hAnsi="Arial" w:cs="Arial"/>
              </w:rPr>
            </w:pPr>
            <w:r w:rsidRPr="00993963">
              <w:rPr>
                <w:rFonts w:ascii="Arial" w:hAnsi="Arial" w:cs="Arial"/>
                <w:color w:val="121212"/>
              </w:rPr>
              <w:t>Nacionalni plan razvoja prerade drva i proizvodnje namještaja Republike Hrvatske za razdoblje od 2022. do 2030. godine</w:t>
            </w:r>
          </w:p>
        </w:tc>
        <w:tc>
          <w:tcPr>
            <w:tcW w:w="3178" w:type="dxa"/>
            <w:vMerge/>
            <w:vAlign w:val="center"/>
          </w:tcPr>
          <w:p w14:paraId="69376E31" w14:textId="77777777" w:rsidR="00E636F4" w:rsidRPr="00993963" w:rsidRDefault="00E636F4">
            <w:pPr>
              <w:jc w:val="center"/>
              <w:rPr>
                <w:rFonts w:ascii="Arial" w:hAnsi="Arial" w:cs="Arial"/>
                <w:sz w:val="24"/>
                <w:szCs w:val="24"/>
              </w:rPr>
            </w:pPr>
          </w:p>
        </w:tc>
      </w:tr>
      <w:tr w:rsidR="00E636F4" w:rsidRPr="00993963" w14:paraId="0EC27FB3" w14:textId="77777777">
        <w:trPr>
          <w:jc w:val="center"/>
        </w:trPr>
        <w:tc>
          <w:tcPr>
            <w:tcW w:w="3258" w:type="dxa"/>
            <w:vAlign w:val="center"/>
          </w:tcPr>
          <w:p w14:paraId="0D9EB7AE" w14:textId="77777777" w:rsidR="00E636F4" w:rsidRPr="00993963" w:rsidRDefault="00E636F4">
            <w:pPr>
              <w:rPr>
                <w:rFonts w:ascii="Arial" w:hAnsi="Arial" w:cs="Arial"/>
                <w:sz w:val="24"/>
                <w:szCs w:val="24"/>
              </w:rPr>
            </w:pPr>
            <w:r w:rsidRPr="00993963">
              <w:rPr>
                <w:rFonts w:ascii="Arial" w:hAnsi="Arial" w:cs="Arial"/>
                <w:color w:val="000000" w:themeColor="text1"/>
                <w:sz w:val="24"/>
                <w:szCs w:val="24"/>
              </w:rPr>
              <w:t>Ministarstvo prostornoga uređenja, graditeljstva i državne imovine</w:t>
            </w:r>
          </w:p>
        </w:tc>
        <w:tc>
          <w:tcPr>
            <w:tcW w:w="7512" w:type="dxa"/>
            <w:shd w:val="clear" w:color="auto" w:fill="DBE5F1" w:themeFill="accent1" w:themeFillTint="33"/>
            <w:vAlign w:val="center"/>
          </w:tcPr>
          <w:p w14:paraId="1CF957DE" w14:textId="77777777" w:rsidR="00E636F4" w:rsidRPr="00993963" w:rsidRDefault="00E636F4" w:rsidP="00E636F4">
            <w:pPr>
              <w:pStyle w:val="ListParagraph"/>
              <w:widowControl/>
              <w:numPr>
                <w:ilvl w:val="0"/>
                <w:numId w:val="48"/>
              </w:numPr>
              <w:autoSpaceDE/>
              <w:autoSpaceDN/>
              <w:ind w:left="317"/>
              <w:contextualSpacing/>
              <w:rPr>
                <w:rFonts w:ascii="Arial" w:hAnsi="Arial" w:cs="Arial"/>
                <w:color w:val="000000" w:themeColor="text1"/>
              </w:rPr>
            </w:pPr>
            <w:r w:rsidRPr="00993963">
              <w:rPr>
                <w:rFonts w:ascii="Arial" w:hAnsi="Arial" w:cs="Arial"/>
                <w:iCs/>
                <w:color w:val="000000" w:themeColor="text1"/>
              </w:rPr>
              <w:t>Program energetske obnove obiteljskih kuća za razdoblje do 2030. godine</w:t>
            </w:r>
          </w:p>
        </w:tc>
        <w:tc>
          <w:tcPr>
            <w:tcW w:w="3178" w:type="dxa"/>
            <w:vAlign w:val="center"/>
          </w:tcPr>
          <w:p w14:paraId="24ACA855" w14:textId="77777777" w:rsidR="00E636F4" w:rsidRPr="00993963" w:rsidRDefault="00E636F4">
            <w:pPr>
              <w:jc w:val="center"/>
              <w:rPr>
                <w:rFonts w:ascii="Arial" w:hAnsi="Arial" w:cs="Arial"/>
                <w:sz w:val="24"/>
                <w:szCs w:val="24"/>
              </w:rPr>
            </w:pPr>
            <w:r>
              <w:rPr>
                <w:noProof/>
                <w:lang w:eastAsia="hr-HR"/>
              </w:rPr>
              <w:drawing>
                <wp:inline distT="0" distB="0" distL="0" distR="0" wp14:anchorId="609FD8BF" wp14:editId="6F4AFD40">
                  <wp:extent cx="581025" cy="542925"/>
                  <wp:effectExtent l="0" t="0" r="9525" b="9525"/>
                  <wp:docPr id="1636270835" name="Picture 163627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r>
      <w:tr w:rsidR="00E636F4" w:rsidRPr="00993963" w14:paraId="35F7A027" w14:textId="77777777">
        <w:trPr>
          <w:jc w:val="center"/>
        </w:trPr>
        <w:tc>
          <w:tcPr>
            <w:tcW w:w="3258" w:type="dxa"/>
            <w:vAlign w:val="center"/>
          </w:tcPr>
          <w:p w14:paraId="56A9C00E" w14:textId="77777777" w:rsidR="00E636F4" w:rsidRPr="00993963" w:rsidRDefault="00E636F4">
            <w:pPr>
              <w:rPr>
                <w:rFonts w:ascii="Arial" w:hAnsi="Arial" w:cs="Arial"/>
                <w:color w:val="000000" w:themeColor="text1"/>
                <w:sz w:val="24"/>
                <w:szCs w:val="24"/>
              </w:rPr>
            </w:pPr>
            <w:r w:rsidRPr="00993963">
              <w:rPr>
                <w:rFonts w:ascii="Arial" w:eastAsia="Calibri" w:hAnsi="Arial" w:cs="Arial"/>
                <w:sz w:val="24"/>
                <w:szCs w:val="24"/>
              </w:rPr>
              <w:t>Ministarstvo turizma i sporta</w:t>
            </w:r>
          </w:p>
        </w:tc>
        <w:tc>
          <w:tcPr>
            <w:tcW w:w="7512" w:type="dxa"/>
            <w:shd w:val="clear" w:color="auto" w:fill="DBE5F1" w:themeFill="accent1" w:themeFillTint="33"/>
            <w:vAlign w:val="center"/>
          </w:tcPr>
          <w:p w14:paraId="4939C49C" w14:textId="77777777" w:rsidR="00E636F4" w:rsidRPr="00993963" w:rsidRDefault="00E636F4" w:rsidP="00E636F4">
            <w:pPr>
              <w:pStyle w:val="ListParagraph"/>
              <w:widowControl/>
              <w:numPr>
                <w:ilvl w:val="0"/>
                <w:numId w:val="48"/>
              </w:numPr>
              <w:autoSpaceDE/>
              <w:autoSpaceDN/>
              <w:ind w:left="317"/>
              <w:contextualSpacing/>
              <w:rPr>
                <w:rFonts w:ascii="Arial" w:hAnsi="Arial" w:cs="Arial"/>
                <w:color w:val="000000" w:themeColor="text1"/>
              </w:rPr>
            </w:pPr>
            <w:r w:rsidRPr="00993963">
              <w:rPr>
                <w:rFonts w:ascii="Arial" w:hAnsi="Arial" w:cs="Arial"/>
                <w:color w:val="000000" w:themeColor="text1"/>
              </w:rPr>
              <w:t>Nacionalni plan razvoja održivog turizma do 2027. godine</w:t>
            </w:r>
          </w:p>
        </w:tc>
        <w:tc>
          <w:tcPr>
            <w:tcW w:w="3178" w:type="dxa"/>
            <w:vAlign w:val="center"/>
          </w:tcPr>
          <w:p w14:paraId="48386140" w14:textId="77777777" w:rsidR="00E636F4" w:rsidRPr="00993963" w:rsidRDefault="00E636F4">
            <w:pPr>
              <w:jc w:val="center"/>
              <w:rPr>
                <w:rFonts w:ascii="Arial" w:hAnsi="Arial" w:cs="Arial"/>
                <w:sz w:val="24"/>
                <w:szCs w:val="24"/>
              </w:rPr>
            </w:pPr>
            <w:r>
              <w:rPr>
                <w:noProof/>
                <w:lang w:eastAsia="hr-HR"/>
              </w:rPr>
              <w:drawing>
                <wp:inline distT="0" distB="0" distL="0" distR="0" wp14:anchorId="2AE26AF3" wp14:editId="4B2DB8EE">
                  <wp:extent cx="581025" cy="552450"/>
                  <wp:effectExtent l="0" t="0" r="9525" b="0"/>
                  <wp:docPr id="977724175" name="Picture 97772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tc>
      </w:tr>
      <w:tr w:rsidR="00E636F4" w:rsidRPr="00993963" w14:paraId="7C1B15B6" w14:textId="77777777">
        <w:trPr>
          <w:jc w:val="center"/>
        </w:trPr>
        <w:tc>
          <w:tcPr>
            <w:tcW w:w="3258" w:type="dxa"/>
            <w:vAlign w:val="center"/>
          </w:tcPr>
          <w:p w14:paraId="77C7D214" w14:textId="77777777" w:rsidR="00E636F4" w:rsidRPr="00993963" w:rsidRDefault="00E636F4">
            <w:pPr>
              <w:rPr>
                <w:rFonts w:ascii="Arial" w:eastAsia="Calibri" w:hAnsi="Arial" w:cs="Arial"/>
                <w:sz w:val="24"/>
                <w:szCs w:val="24"/>
              </w:rPr>
            </w:pPr>
            <w:r w:rsidRPr="00993963">
              <w:rPr>
                <w:rFonts w:ascii="Arial" w:eastAsia="Calibri" w:hAnsi="Arial" w:cs="Arial"/>
                <w:sz w:val="24"/>
                <w:szCs w:val="24"/>
              </w:rPr>
              <w:t>Ministarstvo unutarnjih poslova</w:t>
            </w:r>
          </w:p>
        </w:tc>
        <w:tc>
          <w:tcPr>
            <w:tcW w:w="7512" w:type="dxa"/>
            <w:shd w:val="clear" w:color="auto" w:fill="DBE5F1" w:themeFill="accent1" w:themeFillTint="33"/>
            <w:vAlign w:val="center"/>
          </w:tcPr>
          <w:p w14:paraId="47D34845" w14:textId="77777777" w:rsidR="00E636F4" w:rsidRPr="00993963" w:rsidRDefault="00E636F4" w:rsidP="00E636F4">
            <w:pPr>
              <w:pStyle w:val="ListParagraph"/>
              <w:widowControl/>
              <w:numPr>
                <w:ilvl w:val="0"/>
                <w:numId w:val="48"/>
              </w:numPr>
              <w:autoSpaceDE/>
              <w:autoSpaceDN/>
              <w:ind w:left="317"/>
              <w:contextualSpacing/>
              <w:rPr>
                <w:rFonts w:ascii="Arial" w:hAnsi="Arial" w:cs="Arial"/>
                <w:color w:val="000000" w:themeColor="text1"/>
              </w:rPr>
            </w:pPr>
            <w:r w:rsidRPr="00993963">
              <w:rPr>
                <w:rFonts w:ascii="Arial" w:hAnsi="Arial" w:cs="Arial"/>
                <w:color w:val="000000" w:themeColor="text1"/>
              </w:rPr>
              <w:t>Nacionalna strategija integriranog upravljanja granicom s pripadajućim Akcijskim planom za razdoblje od 2023.-2027. i Planom djelovanja u nepredvidivim okolnostima</w:t>
            </w:r>
          </w:p>
        </w:tc>
        <w:tc>
          <w:tcPr>
            <w:tcW w:w="3178" w:type="dxa"/>
            <w:vAlign w:val="center"/>
          </w:tcPr>
          <w:p w14:paraId="0F88546A" w14:textId="77777777" w:rsidR="00E636F4" w:rsidRPr="00993963" w:rsidRDefault="00E636F4">
            <w:pPr>
              <w:jc w:val="center"/>
              <w:rPr>
                <w:rFonts w:ascii="Arial" w:hAnsi="Arial" w:cs="Arial"/>
                <w:sz w:val="24"/>
                <w:szCs w:val="24"/>
              </w:rPr>
            </w:pPr>
            <w:r>
              <w:rPr>
                <w:noProof/>
                <w:lang w:eastAsia="hr-HR"/>
              </w:rPr>
              <w:drawing>
                <wp:inline distT="0" distB="0" distL="0" distR="0" wp14:anchorId="341C5555" wp14:editId="3E0273AC">
                  <wp:extent cx="571500" cy="542925"/>
                  <wp:effectExtent l="0" t="0" r="0" b="9525"/>
                  <wp:docPr id="1655912376" name="Picture 165591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E636F4" w:rsidRPr="00993963" w14:paraId="2BDF5F4B" w14:textId="77777777">
        <w:trPr>
          <w:jc w:val="center"/>
        </w:trPr>
        <w:tc>
          <w:tcPr>
            <w:tcW w:w="3258" w:type="dxa"/>
            <w:vAlign w:val="center"/>
          </w:tcPr>
          <w:p w14:paraId="361CD197" w14:textId="77777777" w:rsidR="00E636F4" w:rsidRPr="00993963" w:rsidRDefault="00E636F4">
            <w:pPr>
              <w:rPr>
                <w:rFonts w:ascii="Arial" w:hAnsi="Arial" w:cs="Arial"/>
                <w:color w:val="000000" w:themeColor="text1"/>
                <w:sz w:val="24"/>
                <w:szCs w:val="24"/>
              </w:rPr>
            </w:pPr>
            <w:r w:rsidRPr="00993963">
              <w:rPr>
                <w:rFonts w:ascii="Arial" w:eastAsia="Calibri" w:hAnsi="Arial" w:cs="Arial"/>
                <w:sz w:val="24"/>
                <w:szCs w:val="24"/>
              </w:rPr>
              <w:t>Ministarstvo vanjskih i europskih poslova</w:t>
            </w:r>
          </w:p>
        </w:tc>
        <w:tc>
          <w:tcPr>
            <w:tcW w:w="7512" w:type="dxa"/>
            <w:shd w:val="clear" w:color="auto" w:fill="DBE5F1" w:themeFill="accent1" w:themeFillTint="33"/>
            <w:vAlign w:val="center"/>
          </w:tcPr>
          <w:p w14:paraId="0AA16C0B" w14:textId="77777777" w:rsidR="00E636F4" w:rsidRPr="00993963" w:rsidRDefault="00E636F4" w:rsidP="00E636F4">
            <w:pPr>
              <w:pStyle w:val="ListParagraph"/>
              <w:widowControl/>
              <w:numPr>
                <w:ilvl w:val="0"/>
                <w:numId w:val="48"/>
              </w:numPr>
              <w:autoSpaceDE/>
              <w:autoSpaceDN/>
              <w:ind w:left="317"/>
              <w:contextualSpacing/>
              <w:rPr>
                <w:rFonts w:ascii="Arial" w:hAnsi="Arial" w:cs="Arial"/>
                <w:color w:val="000000" w:themeColor="text1"/>
              </w:rPr>
            </w:pPr>
            <w:r w:rsidRPr="00993963">
              <w:rPr>
                <w:rFonts w:ascii="Arial" w:hAnsi="Arial" w:cs="Arial"/>
                <w:color w:val="000000" w:themeColor="text1"/>
              </w:rPr>
              <w:t>Nacionalni program međunarodne razvojne suradnje i humanitarne pomoći inozemstvu za razdoblje 2022.-2026. godine</w:t>
            </w:r>
          </w:p>
        </w:tc>
        <w:tc>
          <w:tcPr>
            <w:tcW w:w="3178" w:type="dxa"/>
            <w:vAlign w:val="center"/>
          </w:tcPr>
          <w:p w14:paraId="6DBAA1D5" w14:textId="77777777" w:rsidR="00E636F4" w:rsidRPr="00993963" w:rsidRDefault="00E636F4">
            <w:pPr>
              <w:jc w:val="center"/>
              <w:rPr>
                <w:rFonts w:ascii="Arial" w:hAnsi="Arial" w:cs="Arial"/>
                <w:sz w:val="24"/>
                <w:szCs w:val="24"/>
              </w:rPr>
            </w:pPr>
            <w:r>
              <w:rPr>
                <w:noProof/>
                <w:lang w:eastAsia="hr-HR"/>
              </w:rPr>
              <w:drawing>
                <wp:inline distT="0" distB="0" distL="0" distR="0" wp14:anchorId="7F1C667F" wp14:editId="7F950E3E">
                  <wp:extent cx="581025" cy="552450"/>
                  <wp:effectExtent l="0" t="0" r="9525" b="0"/>
                  <wp:docPr id="151400525" name="Picture 151400525"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na kojoj se prikazuje tekst, isječak crteža&#10;&#10;Opis je automatski generira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tc>
      </w:tr>
      <w:tr w:rsidR="00E636F4" w:rsidRPr="00993963" w14:paraId="7750A1C9" w14:textId="77777777">
        <w:trPr>
          <w:trHeight w:val="424"/>
          <w:jc w:val="center"/>
        </w:trPr>
        <w:tc>
          <w:tcPr>
            <w:tcW w:w="3258" w:type="dxa"/>
            <w:vAlign w:val="center"/>
          </w:tcPr>
          <w:p w14:paraId="33577DEA" w14:textId="77777777" w:rsidR="00E636F4" w:rsidRPr="00993963" w:rsidRDefault="00E636F4">
            <w:pPr>
              <w:rPr>
                <w:rFonts w:ascii="Arial" w:eastAsia="Calibri" w:hAnsi="Arial" w:cs="Arial"/>
                <w:sz w:val="24"/>
                <w:szCs w:val="24"/>
              </w:rPr>
            </w:pPr>
            <w:r w:rsidRPr="00993963">
              <w:rPr>
                <w:rFonts w:ascii="Arial" w:hAnsi="Arial" w:cs="Arial"/>
                <w:color w:val="000000" w:themeColor="text1"/>
                <w:sz w:val="24"/>
                <w:szCs w:val="24"/>
              </w:rPr>
              <w:t>Ministarstvo zdravstva</w:t>
            </w:r>
          </w:p>
        </w:tc>
        <w:tc>
          <w:tcPr>
            <w:tcW w:w="7512" w:type="dxa"/>
            <w:shd w:val="clear" w:color="auto" w:fill="DBE5F1" w:themeFill="accent1" w:themeFillTint="33"/>
            <w:vAlign w:val="center"/>
          </w:tcPr>
          <w:p w14:paraId="3E86404A" w14:textId="77777777" w:rsidR="00E636F4" w:rsidRPr="00993963" w:rsidRDefault="00E636F4" w:rsidP="00E636F4">
            <w:pPr>
              <w:pStyle w:val="ListParagraph"/>
              <w:widowControl/>
              <w:numPr>
                <w:ilvl w:val="0"/>
                <w:numId w:val="48"/>
              </w:numPr>
              <w:autoSpaceDE/>
              <w:autoSpaceDN/>
              <w:ind w:left="317"/>
              <w:contextualSpacing/>
              <w:rPr>
                <w:rFonts w:ascii="Arial" w:hAnsi="Arial" w:cs="Arial"/>
                <w:color w:val="000000" w:themeColor="text1"/>
              </w:rPr>
            </w:pPr>
            <w:r w:rsidRPr="00993963">
              <w:rPr>
                <w:rFonts w:ascii="Arial" w:eastAsia="Calibri" w:hAnsi="Arial" w:cs="Arial"/>
              </w:rPr>
              <w:t>Nacionalna strategija djelovanja na području ovisnosti za razdoblje 2022.-2030.</w:t>
            </w:r>
          </w:p>
        </w:tc>
        <w:tc>
          <w:tcPr>
            <w:tcW w:w="3178" w:type="dxa"/>
          </w:tcPr>
          <w:p w14:paraId="3F5D3F42" w14:textId="77777777" w:rsidR="00E636F4" w:rsidRPr="00993963" w:rsidRDefault="00E636F4">
            <w:pPr>
              <w:jc w:val="center"/>
              <w:rPr>
                <w:rFonts w:ascii="Arial" w:hAnsi="Arial" w:cs="Arial"/>
                <w:sz w:val="24"/>
                <w:szCs w:val="24"/>
              </w:rPr>
            </w:pPr>
            <w:r>
              <w:rPr>
                <w:noProof/>
                <w:lang w:eastAsia="hr-HR"/>
              </w:rPr>
              <w:drawing>
                <wp:inline distT="0" distB="0" distL="0" distR="0" wp14:anchorId="14506753" wp14:editId="6B9885EF">
                  <wp:extent cx="571500" cy="542925"/>
                  <wp:effectExtent l="0" t="0" r="0" b="9525"/>
                  <wp:docPr id="1549295089" name="Picture 1549295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E636F4" w:rsidRPr="00993963" w14:paraId="58EFE9E2" w14:textId="77777777">
        <w:trPr>
          <w:trHeight w:val="424"/>
          <w:jc w:val="center"/>
        </w:trPr>
        <w:tc>
          <w:tcPr>
            <w:tcW w:w="3258" w:type="dxa"/>
            <w:vAlign w:val="center"/>
          </w:tcPr>
          <w:p w14:paraId="6B5BA1EA" w14:textId="77777777" w:rsidR="00E636F4" w:rsidRPr="00993963" w:rsidRDefault="00E636F4">
            <w:pPr>
              <w:rPr>
                <w:rFonts w:ascii="Arial" w:hAnsi="Arial" w:cs="Arial"/>
                <w:color w:val="000000" w:themeColor="text1"/>
                <w:sz w:val="24"/>
                <w:szCs w:val="24"/>
              </w:rPr>
            </w:pPr>
            <w:r w:rsidRPr="00993963">
              <w:rPr>
                <w:rFonts w:ascii="Arial" w:hAnsi="Arial" w:cs="Arial"/>
                <w:color w:val="000000" w:themeColor="text1"/>
                <w:sz w:val="24"/>
                <w:szCs w:val="24"/>
              </w:rPr>
              <w:t>Ministarstvo znanosti i obrazovanja</w:t>
            </w:r>
          </w:p>
        </w:tc>
        <w:tc>
          <w:tcPr>
            <w:tcW w:w="7512" w:type="dxa"/>
            <w:shd w:val="clear" w:color="auto" w:fill="DBE5F1" w:themeFill="accent1" w:themeFillTint="33"/>
            <w:vAlign w:val="center"/>
          </w:tcPr>
          <w:p w14:paraId="355F7EA0" w14:textId="77777777" w:rsidR="00E636F4" w:rsidRPr="00993963" w:rsidRDefault="00E636F4" w:rsidP="00E636F4">
            <w:pPr>
              <w:pStyle w:val="ListParagraph"/>
              <w:widowControl/>
              <w:numPr>
                <w:ilvl w:val="0"/>
                <w:numId w:val="48"/>
              </w:numPr>
              <w:autoSpaceDE/>
              <w:autoSpaceDN/>
              <w:ind w:left="317"/>
              <w:contextualSpacing/>
              <w:rPr>
                <w:rFonts w:ascii="Arial" w:hAnsi="Arial" w:cs="Arial"/>
                <w:color w:val="000000" w:themeColor="text1"/>
              </w:rPr>
            </w:pPr>
            <w:r w:rsidRPr="00993963">
              <w:rPr>
                <w:rFonts w:ascii="Arial" w:eastAsia="Calibri" w:hAnsi="Arial" w:cs="Arial"/>
              </w:rPr>
              <w:t>Nacionalni plan razvoja sustava obrazovanja za razdoblje do 2027. godine</w:t>
            </w:r>
          </w:p>
        </w:tc>
        <w:tc>
          <w:tcPr>
            <w:tcW w:w="3178" w:type="dxa"/>
            <w:vAlign w:val="center"/>
          </w:tcPr>
          <w:p w14:paraId="2B899A44" w14:textId="77777777" w:rsidR="00E636F4" w:rsidRPr="00993963" w:rsidRDefault="00E636F4">
            <w:pPr>
              <w:jc w:val="center"/>
              <w:rPr>
                <w:rFonts w:ascii="Arial" w:hAnsi="Arial" w:cs="Arial"/>
                <w:sz w:val="24"/>
                <w:szCs w:val="24"/>
              </w:rPr>
            </w:pPr>
            <w:r>
              <w:rPr>
                <w:noProof/>
                <w:lang w:eastAsia="hr-HR"/>
              </w:rPr>
              <w:drawing>
                <wp:inline distT="0" distB="0" distL="0" distR="0" wp14:anchorId="55571729" wp14:editId="09206B1F">
                  <wp:extent cx="581025" cy="552450"/>
                  <wp:effectExtent l="0" t="0" r="9525" b="0"/>
                  <wp:docPr id="723773984" name="Picture 72377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tc>
      </w:tr>
      <w:tr w:rsidR="00E636F4" w:rsidRPr="00993963" w14:paraId="374BEE4D" w14:textId="77777777">
        <w:trPr>
          <w:trHeight w:val="1022"/>
          <w:jc w:val="center"/>
        </w:trPr>
        <w:tc>
          <w:tcPr>
            <w:tcW w:w="3258" w:type="dxa"/>
            <w:vAlign w:val="center"/>
          </w:tcPr>
          <w:p w14:paraId="06EC7260" w14:textId="77777777" w:rsidR="00E636F4" w:rsidRPr="00993963" w:rsidRDefault="00E636F4">
            <w:pPr>
              <w:rPr>
                <w:rFonts w:ascii="Arial" w:hAnsi="Arial" w:cs="Arial"/>
                <w:color w:val="000000" w:themeColor="text1"/>
                <w:sz w:val="24"/>
                <w:szCs w:val="24"/>
              </w:rPr>
            </w:pPr>
            <w:r w:rsidRPr="00993963">
              <w:rPr>
                <w:rFonts w:ascii="Arial" w:hAnsi="Arial" w:cs="Arial"/>
                <w:color w:val="000000" w:themeColor="text1"/>
              </w:rPr>
              <w:t>Ministarstvo znanosti i obrazovanja / Ministarstvo gospodarstva i održivog razvoja</w:t>
            </w:r>
          </w:p>
        </w:tc>
        <w:tc>
          <w:tcPr>
            <w:tcW w:w="7512" w:type="dxa"/>
            <w:shd w:val="clear" w:color="auto" w:fill="DBE5F1" w:themeFill="accent1" w:themeFillTint="33"/>
            <w:vAlign w:val="center"/>
          </w:tcPr>
          <w:p w14:paraId="37EC763C" w14:textId="77777777" w:rsidR="00E636F4" w:rsidRPr="00993963" w:rsidRDefault="00E636F4" w:rsidP="00E636F4">
            <w:pPr>
              <w:pStyle w:val="ListParagraph"/>
              <w:widowControl/>
              <w:numPr>
                <w:ilvl w:val="0"/>
                <w:numId w:val="48"/>
              </w:numPr>
              <w:autoSpaceDE/>
              <w:autoSpaceDN/>
              <w:ind w:left="317"/>
              <w:contextualSpacing/>
              <w:rPr>
                <w:rFonts w:ascii="Arial" w:hAnsi="Arial" w:cs="Arial"/>
                <w:color w:val="000000" w:themeColor="text1"/>
              </w:rPr>
            </w:pPr>
            <w:r w:rsidRPr="00993963">
              <w:rPr>
                <w:rFonts w:ascii="Arial" w:hAnsi="Arial" w:cs="Arial"/>
                <w:color w:val="000000" w:themeColor="text1"/>
              </w:rPr>
              <w:t>Strategija pametne specijalizacije do 2029. godine</w:t>
            </w:r>
          </w:p>
        </w:tc>
        <w:tc>
          <w:tcPr>
            <w:tcW w:w="3178" w:type="dxa"/>
            <w:vAlign w:val="center"/>
          </w:tcPr>
          <w:p w14:paraId="0580BFD4" w14:textId="77777777" w:rsidR="00E636F4" w:rsidRPr="00993963" w:rsidRDefault="00E636F4">
            <w:pPr>
              <w:jc w:val="center"/>
              <w:rPr>
                <w:rFonts w:ascii="Arial" w:hAnsi="Arial" w:cs="Arial"/>
                <w:sz w:val="24"/>
                <w:szCs w:val="24"/>
              </w:rPr>
            </w:pPr>
            <w:r>
              <w:rPr>
                <w:noProof/>
                <w:lang w:eastAsia="hr-HR"/>
              </w:rPr>
              <w:drawing>
                <wp:inline distT="0" distB="0" distL="0" distR="0" wp14:anchorId="3BBA34F7" wp14:editId="718EC41D">
                  <wp:extent cx="581025" cy="552450"/>
                  <wp:effectExtent l="0" t="0" r="9525" b="0"/>
                  <wp:docPr id="312514795" name="Picture 312514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noProof/>
                <w:lang w:eastAsia="hr-HR"/>
              </w:rPr>
              <w:drawing>
                <wp:inline distT="0" distB="0" distL="0" distR="0" wp14:anchorId="0D068B51" wp14:editId="4F1B62CA">
                  <wp:extent cx="561975" cy="533400"/>
                  <wp:effectExtent l="0" t="0" r="9525" b="0"/>
                  <wp:docPr id="14073998" name="Picture 1407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r>
              <w:rPr>
                <w:noProof/>
                <w:lang w:eastAsia="hr-HR"/>
              </w:rPr>
              <w:drawing>
                <wp:inline distT="0" distB="0" distL="0" distR="0" wp14:anchorId="68A9BA58" wp14:editId="525EAF70">
                  <wp:extent cx="561975" cy="523875"/>
                  <wp:effectExtent l="0" t="0" r="9525" b="9525"/>
                  <wp:docPr id="2012932294" name="Picture 201293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tc>
      </w:tr>
      <w:tr w:rsidR="00E636F4" w:rsidRPr="00993963" w14:paraId="49055C2F" w14:textId="77777777">
        <w:trPr>
          <w:trHeight w:val="424"/>
          <w:jc w:val="center"/>
        </w:trPr>
        <w:tc>
          <w:tcPr>
            <w:tcW w:w="3258" w:type="dxa"/>
            <w:vAlign w:val="center"/>
          </w:tcPr>
          <w:p w14:paraId="7701C1FB" w14:textId="77777777" w:rsidR="00E636F4" w:rsidRPr="00993963" w:rsidRDefault="00E636F4">
            <w:pPr>
              <w:rPr>
                <w:rFonts w:ascii="Arial" w:hAnsi="Arial" w:cs="Arial"/>
                <w:color w:val="000000" w:themeColor="text1"/>
                <w:sz w:val="24"/>
                <w:szCs w:val="24"/>
              </w:rPr>
            </w:pPr>
            <w:r w:rsidRPr="00993963">
              <w:rPr>
                <w:rFonts w:ascii="Arial" w:hAnsi="Arial" w:cs="Arial"/>
                <w:color w:val="000000" w:themeColor="text1"/>
                <w:sz w:val="24"/>
                <w:szCs w:val="24"/>
              </w:rPr>
              <w:t>Hrvatska vatrogasna zajednica</w:t>
            </w:r>
          </w:p>
        </w:tc>
        <w:tc>
          <w:tcPr>
            <w:tcW w:w="7512" w:type="dxa"/>
            <w:shd w:val="clear" w:color="auto" w:fill="DBE5F1" w:themeFill="accent1" w:themeFillTint="33"/>
            <w:vAlign w:val="center"/>
          </w:tcPr>
          <w:p w14:paraId="197BBB5D" w14:textId="77777777" w:rsidR="00E636F4" w:rsidRPr="00993963" w:rsidRDefault="00E636F4" w:rsidP="00E636F4">
            <w:pPr>
              <w:pStyle w:val="ListParagraph"/>
              <w:widowControl/>
              <w:numPr>
                <w:ilvl w:val="0"/>
                <w:numId w:val="48"/>
              </w:numPr>
              <w:autoSpaceDE/>
              <w:autoSpaceDN/>
              <w:ind w:left="317"/>
              <w:contextualSpacing/>
              <w:rPr>
                <w:rFonts w:ascii="Arial" w:hAnsi="Arial" w:cs="Arial"/>
                <w:color w:val="000000" w:themeColor="text1"/>
              </w:rPr>
            </w:pPr>
            <w:r w:rsidRPr="00993963">
              <w:rPr>
                <w:rFonts w:ascii="Arial" w:hAnsi="Arial" w:cs="Arial"/>
                <w:color w:val="000000" w:themeColor="text1"/>
              </w:rPr>
              <w:t>Nacionalna strategija razvoja vatrogastva za razdoblje 2022.-2030.</w:t>
            </w:r>
          </w:p>
        </w:tc>
        <w:tc>
          <w:tcPr>
            <w:tcW w:w="3178" w:type="dxa"/>
            <w:vAlign w:val="center"/>
          </w:tcPr>
          <w:p w14:paraId="3ACF97F5" w14:textId="77777777" w:rsidR="00E636F4" w:rsidRPr="00993963" w:rsidRDefault="00E636F4">
            <w:pPr>
              <w:jc w:val="center"/>
              <w:rPr>
                <w:rFonts w:ascii="Arial" w:hAnsi="Arial" w:cs="Arial"/>
                <w:sz w:val="24"/>
                <w:szCs w:val="24"/>
              </w:rPr>
            </w:pPr>
            <w:r>
              <w:rPr>
                <w:noProof/>
                <w:lang w:eastAsia="hr-HR"/>
              </w:rPr>
              <w:drawing>
                <wp:inline distT="0" distB="0" distL="0" distR="0" wp14:anchorId="157D43FE" wp14:editId="01A614C2">
                  <wp:extent cx="571500" cy="542925"/>
                  <wp:effectExtent l="0" t="0" r="0" b="9525"/>
                  <wp:docPr id="520991985" name="Picture 52099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E636F4" w:rsidRPr="00993963" w14:paraId="29D56DEC" w14:textId="77777777">
        <w:trPr>
          <w:trHeight w:val="615"/>
          <w:jc w:val="center"/>
        </w:trPr>
        <w:tc>
          <w:tcPr>
            <w:tcW w:w="3258" w:type="dxa"/>
            <w:vAlign w:val="center"/>
          </w:tcPr>
          <w:p w14:paraId="6DAE4A2B" w14:textId="77777777" w:rsidR="00E636F4" w:rsidRPr="00993963" w:rsidRDefault="00E636F4">
            <w:pPr>
              <w:rPr>
                <w:rFonts w:ascii="Arial" w:hAnsi="Arial" w:cs="Arial"/>
                <w:color w:val="000000" w:themeColor="text1"/>
                <w:sz w:val="24"/>
                <w:szCs w:val="24"/>
              </w:rPr>
            </w:pPr>
            <w:r w:rsidRPr="00993963">
              <w:rPr>
                <w:rFonts w:ascii="Arial" w:hAnsi="Arial" w:cs="Arial"/>
                <w:color w:val="000000" w:themeColor="text1"/>
                <w:sz w:val="24"/>
                <w:szCs w:val="24"/>
              </w:rPr>
              <w:t>Središnji državni ured za demografiju i mlade</w:t>
            </w:r>
          </w:p>
        </w:tc>
        <w:tc>
          <w:tcPr>
            <w:tcW w:w="7512" w:type="dxa"/>
            <w:shd w:val="clear" w:color="auto" w:fill="DBE5F1" w:themeFill="accent1" w:themeFillTint="33"/>
            <w:vAlign w:val="center"/>
          </w:tcPr>
          <w:p w14:paraId="52603E51" w14:textId="77777777" w:rsidR="00E636F4" w:rsidRPr="00993963" w:rsidRDefault="00E636F4" w:rsidP="00E636F4">
            <w:pPr>
              <w:pStyle w:val="ListParagraph"/>
              <w:widowControl/>
              <w:numPr>
                <w:ilvl w:val="0"/>
                <w:numId w:val="48"/>
              </w:numPr>
              <w:autoSpaceDE/>
              <w:autoSpaceDN/>
              <w:ind w:left="317"/>
              <w:contextualSpacing/>
              <w:rPr>
                <w:rFonts w:ascii="Arial" w:hAnsi="Arial" w:cs="Arial"/>
                <w:color w:val="000000" w:themeColor="text1"/>
              </w:rPr>
            </w:pPr>
            <w:r w:rsidRPr="00993963">
              <w:rPr>
                <w:rFonts w:ascii="Arial" w:hAnsi="Arial" w:cs="Arial"/>
                <w:color w:val="000000" w:themeColor="text1"/>
              </w:rPr>
              <w:t>Strategija demografske revitalizacije Republike Hrvatske do 2031. godine</w:t>
            </w:r>
          </w:p>
        </w:tc>
        <w:tc>
          <w:tcPr>
            <w:tcW w:w="3178" w:type="dxa"/>
            <w:vAlign w:val="center"/>
          </w:tcPr>
          <w:p w14:paraId="51439C71" w14:textId="77777777" w:rsidR="00E636F4" w:rsidRPr="00993963" w:rsidRDefault="00E636F4">
            <w:pPr>
              <w:jc w:val="center"/>
              <w:rPr>
                <w:rFonts w:ascii="Arial" w:hAnsi="Arial" w:cs="Arial"/>
                <w:sz w:val="24"/>
                <w:szCs w:val="24"/>
              </w:rPr>
            </w:pPr>
            <w:r>
              <w:rPr>
                <w:noProof/>
                <w:lang w:eastAsia="hr-HR"/>
              </w:rPr>
              <w:drawing>
                <wp:inline distT="0" distB="0" distL="0" distR="0" wp14:anchorId="5B7713C4" wp14:editId="023E3660">
                  <wp:extent cx="571500" cy="542925"/>
                  <wp:effectExtent l="0" t="0" r="0" b="9525"/>
                  <wp:docPr id="397653954" name="Picture 39765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r w:rsidR="000C38D8" w:rsidRPr="00993963" w14:paraId="3D6E2C9E" w14:textId="77777777">
        <w:trPr>
          <w:trHeight w:val="558"/>
          <w:jc w:val="center"/>
        </w:trPr>
        <w:tc>
          <w:tcPr>
            <w:tcW w:w="3258" w:type="dxa"/>
            <w:vMerge w:val="restart"/>
            <w:vAlign w:val="center"/>
          </w:tcPr>
          <w:p w14:paraId="63A24DC8" w14:textId="77777777" w:rsidR="000C38D8" w:rsidRPr="00993963" w:rsidRDefault="000C38D8">
            <w:pPr>
              <w:rPr>
                <w:rFonts w:ascii="Arial" w:eastAsia="Calibri" w:hAnsi="Arial" w:cs="Arial"/>
                <w:sz w:val="24"/>
                <w:szCs w:val="24"/>
              </w:rPr>
            </w:pPr>
            <w:r w:rsidRPr="00993963">
              <w:rPr>
                <w:rFonts w:ascii="Arial" w:hAnsi="Arial" w:cs="Arial"/>
                <w:color w:val="000000" w:themeColor="text1"/>
                <w:sz w:val="24"/>
                <w:szCs w:val="24"/>
              </w:rPr>
              <w:t>Ured za ljudska prava i prava nacionalnih manjina</w:t>
            </w:r>
          </w:p>
        </w:tc>
        <w:tc>
          <w:tcPr>
            <w:tcW w:w="7512" w:type="dxa"/>
            <w:shd w:val="clear" w:color="auto" w:fill="DBE5F1" w:themeFill="accent1" w:themeFillTint="33"/>
            <w:vAlign w:val="center"/>
          </w:tcPr>
          <w:p w14:paraId="648EE425" w14:textId="77777777" w:rsidR="000C38D8" w:rsidRPr="00993963" w:rsidRDefault="000C38D8" w:rsidP="00E636F4">
            <w:pPr>
              <w:pStyle w:val="ListParagraph"/>
              <w:widowControl/>
              <w:numPr>
                <w:ilvl w:val="0"/>
                <w:numId w:val="48"/>
              </w:numPr>
              <w:autoSpaceDE/>
              <w:autoSpaceDN/>
              <w:ind w:left="317"/>
              <w:contextualSpacing/>
              <w:rPr>
                <w:rFonts w:ascii="Arial" w:eastAsia="Calibri" w:hAnsi="Arial" w:cs="Arial"/>
              </w:rPr>
            </w:pPr>
            <w:r w:rsidRPr="00993963">
              <w:rPr>
                <w:rFonts w:ascii="Arial" w:eastAsia="Calibri" w:hAnsi="Arial" w:cs="Arial"/>
              </w:rPr>
              <w:t xml:space="preserve">Nacionalni plan zaštite i promicanja ljudskih prava i suzbijanja diskriminacije za razdoblje do 2027. godine </w:t>
            </w:r>
          </w:p>
        </w:tc>
        <w:tc>
          <w:tcPr>
            <w:tcW w:w="3178" w:type="dxa"/>
            <w:vMerge w:val="restart"/>
          </w:tcPr>
          <w:p w14:paraId="262C4F92" w14:textId="77777777" w:rsidR="000C38D8" w:rsidRDefault="000C38D8">
            <w:pPr>
              <w:jc w:val="center"/>
              <w:rPr>
                <w:rFonts w:ascii="Arial" w:hAnsi="Arial" w:cs="Arial"/>
                <w:sz w:val="24"/>
                <w:szCs w:val="24"/>
              </w:rPr>
            </w:pPr>
          </w:p>
          <w:p w14:paraId="513D84E4" w14:textId="77777777" w:rsidR="000C38D8" w:rsidRDefault="000C38D8">
            <w:pPr>
              <w:jc w:val="center"/>
              <w:rPr>
                <w:rFonts w:ascii="Arial" w:hAnsi="Arial" w:cs="Arial"/>
                <w:sz w:val="24"/>
                <w:szCs w:val="24"/>
              </w:rPr>
            </w:pPr>
          </w:p>
          <w:p w14:paraId="1F6DE327" w14:textId="77777777" w:rsidR="000C38D8" w:rsidRPr="004C1D5B" w:rsidRDefault="000C38D8">
            <w:pPr>
              <w:jc w:val="center"/>
              <w:rPr>
                <w:rFonts w:ascii="Arial" w:hAnsi="Arial" w:cs="Arial"/>
                <w:sz w:val="8"/>
                <w:szCs w:val="8"/>
              </w:rPr>
            </w:pPr>
          </w:p>
          <w:p w14:paraId="304108D3" w14:textId="77777777" w:rsidR="000C38D8" w:rsidRPr="00993963" w:rsidRDefault="000C38D8">
            <w:pPr>
              <w:jc w:val="center"/>
              <w:rPr>
                <w:rFonts w:ascii="Arial" w:hAnsi="Arial" w:cs="Arial"/>
                <w:sz w:val="24"/>
                <w:szCs w:val="24"/>
              </w:rPr>
            </w:pPr>
            <w:r>
              <w:rPr>
                <w:noProof/>
                <w:lang w:eastAsia="hr-HR"/>
              </w:rPr>
              <w:drawing>
                <wp:inline distT="0" distB="0" distL="0" distR="0" wp14:anchorId="16683084" wp14:editId="361A001C">
                  <wp:extent cx="571500" cy="542925"/>
                  <wp:effectExtent l="0" t="0" r="0" b="9525"/>
                  <wp:docPr id="1578876175" name="Picture 157887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14:paraId="58D34E42" w14:textId="24C0E686" w:rsidR="000C38D8" w:rsidRPr="00993963" w:rsidRDefault="000C38D8">
            <w:pPr>
              <w:jc w:val="center"/>
              <w:rPr>
                <w:rFonts w:ascii="Arial" w:hAnsi="Arial" w:cs="Arial"/>
                <w:sz w:val="24"/>
                <w:szCs w:val="24"/>
              </w:rPr>
            </w:pPr>
          </w:p>
        </w:tc>
      </w:tr>
      <w:tr w:rsidR="000C38D8" w:rsidRPr="00993963" w14:paraId="1DC20A77" w14:textId="77777777">
        <w:trPr>
          <w:trHeight w:val="388"/>
          <w:jc w:val="center"/>
        </w:trPr>
        <w:tc>
          <w:tcPr>
            <w:tcW w:w="3258" w:type="dxa"/>
            <w:vMerge/>
            <w:vAlign w:val="center"/>
          </w:tcPr>
          <w:p w14:paraId="46B27FCA" w14:textId="77777777" w:rsidR="000C38D8" w:rsidRPr="00993963" w:rsidRDefault="000C38D8">
            <w:pPr>
              <w:rPr>
                <w:rFonts w:ascii="Arial" w:hAnsi="Arial" w:cs="Arial"/>
                <w:color w:val="000000" w:themeColor="text1"/>
                <w:sz w:val="24"/>
                <w:szCs w:val="24"/>
              </w:rPr>
            </w:pPr>
          </w:p>
        </w:tc>
        <w:tc>
          <w:tcPr>
            <w:tcW w:w="7512" w:type="dxa"/>
            <w:shd w:val="clear" w:color="auto" w:fill="DBE5F1" w:themeFill="accent1" w:themeFillTint="33"/>
            <w:vAlign w:val="center"/>
          </w:tcPr>
          <w:p w14:paraId="48DD52C8" w14:textId="77777777" w:rsidR="000C38D8" w:rsidRPr="00993963" w:rsidRDefault="000C38D8" w:rsidP="00E636F4">
            <w:pPr>
              <w:pStyle w:val="ListParagraph"/>
              <w:widowControl/>
              <w:numPr>
                <w:ilvl w:val="0"/>
                <w:numId w:val="48"/>
              </w:numPr>
              <w:autoSpaceDE/>
              <w:autoSpaceDN/>
              <w:ind w:left="317"/>
              <w:contextualSpacing/>
              <w:rPr>
                <w:rFonts w:ascii="Arial" w:eastAsia="Calibri" w:hAnsi="Arial" w:cs="Arial"/>
              </w:rPr>
            </w:pPr>
            <w:r w:rsidRPr="00993963">
              <w:rPr>
                <w:rFonts w:ascii="Arial" w:eastAsia="Calibri" w:hAnsi="Arial" w:cs="Arial"/>
              </w:rPr>
              <w:t>Nacionalni plan za suzbijanje trgovanja ljudima za razdoblje od 2022. do 2027.</w:t>
            </w:r>
          </w:p>
        </w:tc>
        <w:tc>
          <w:tcPr>
            <w:tcW w:w="3178" w:type="dxa"/>
            <w:vMerge/>
          </w:tcPr>
          <w:p w14:paraId="6DBD99CC" w14:textId="6643AFB4" w:rsidR="000C38D8" w:rsidRPr="00993963" w:rsidRDefault="000C38D8">
            <w:pPr>
              <w:jc w:val="center"/>
              <w:rPr>
                <w:rFonts w:ascii="Arial" w:hAnsi="Arial" w:cs="Arial"/>
                <w:sz w:val="24"/>
                <w:szCs w:val="24"/>
              </w:rPr>
            </w:pPr>
          </w:p>
        </w:tc>
      </w:tr>
      <w:tr w:rsidR="000C38D8" w:rsidRPr="00993963" w14:paraId="2A5C525B" w14:textId="77777777">
        <w:trPr>
          <w:trHeight w:val="558"/>
          <w:jc w:val="center"/>
        </w:trPr>
        <w:tc>
          <w:tcPr>
            <w:tcW w:w="3258" w:type="dxa"/>
            <w:vAlign w:val="center"/>
          </w:tcPr>
          <w:p w14:paraId="38184BAD" w14:textId="77777777" w:rsidR="000C38D8" w:rsidRPr="00993963" w:rsidRDefault="000C38D8">
            <w:pPr>
              <w:rPr>
                <w:rFonts w:ascii="Arial" w:hAnsi="Arial" w:cs="Arial"/>
                <w:color w:val="000000" w:themeColor="text1"/>
                <w:sz w:val="24"/>
                <w:szCs w:val="24"/>
              </w:rPr>
            </w:pPr>
            <w:r w:rsidRPr="00993963">
              <w:rPr>
                <w:rFonts w:ascii="Arial" w:hAnsi="Arial" w:cs="Arial"/>
                <w:color w:val="000000" w:themeColor="text1"/>
                <w:sz w:val="24"/>
                <w:szCs w:val="24"/>
              </w:rPr>
              <w:t>Ured za ravnopravnost spolova</w:t>
            </w:r>
          </w:p>
        </w:tc>
        <w:tc>
          <w:tcPr>
            <w:tcW w:w="7512" w:type="dxa"/>
            <w:shd w:val="clear" w:color="auto" w:fill="DBE5F1" w:themeFill="accent1" w:themeFillTint="33"/>
            <w:vAlign w:val="center"/>
          </w:tcPr>
          <w:p w14:paraId="171BFA86" w14:textId="5F395174" w:rsidR="000C38D8" w:rsidRPr="00993963" w:rsidRDefault="000C38D8" w:rsidP="00E636F4">
            <w:pPr>
              <w:pStyle w:val="ListParagraph"/>
              <w:widowControl/>
              <w:numPr>
                <w:ilvl w:val="0"/>
                <w:numId w:val="48"/>
              </w:numPr>
              <w:autoSpaceDE/>
              <w:autoSpaceDN/>
              <w:ind w:left="317"/>
              <w:contextualSpacing/>
              <w:rPr>
                <w:rFonts w:ascii="Arial" w:eastAsia="Calibri" w:hAnsi="Arial" w:cs="Arial"/>
              </w:rPr>
            </w:pPr>
            <w:r w:rsidRPr="00993963">
              <w:rPr>
                <w:rFonts w:ascii="Arial" w:eastAsia="Calibri" w:hAnsi="Arial" w:cs="Arial"/>
              </w:rPr>
              <w:t>Nacionalni plan za ravnopravnost spolova za razdoblje od 202</w:t>
            </w:r>
            <w:r w:rsidR="006336D5">
              <w:rPr>
                <w:rFonts w:ascii="Arial" w:eastAsia="Calibri" w:hAnsi="Arial" w:cs="Arial"/>
              </w:rPr>
              <w:t>2</w:t>
            </w:r>
            <w:r w:rsidRPr="00993963">
              <w:rPr>
                <w:rFonts w:ascii="Arial" w:eastAsia="Calibri" w:hAnsi="Arial" w:cs="Arial"/>
              </w:rPr>
              <w:t>. do 2027. godine</w:t>
            </w:r>
          </w:p>
        </w:tc>
        <w:tc>
          <w:tcPr>
            <w:tcW w:w="3178" w:type="dxa"/>
            <w:vMerge/>
          </w:tcPr>
          <w:p w14:paraId="2766B5E1" w14:textId="14D53026" w:rsidR="000C38D8" w:rsidRPr="00993963" w:rsidRDefault="000C38D8">
            <w:pPr>
              <w:jc w:val="center"/>
              <w:rPr>
                <w:rFonts w:ascii="Arial" w:eastAsia="Calibri" w:hAnsi="Arial" w:cs="Arial"/>
                <w:sz w:val="24"/>
                <w:szCs w:val="24"/>
              </w:rPr>
            </w:pPr>
          </w:p>
        </w:tc>
      </w:tr>
      <w:tr w:rsidR="000C38D8" w:rsidRPr="00993963" w14:paraId="438ABF7E" w14:textId="77777777">
        <w:trPr>
          <w:trHeight w:val="558"/>
          <w:jc w:val="center"/>
        </w:trPr>
        <w:tc>
          <w:tcPr>
            <w:tcW w:w="3258" w:type="dxa"/>
            <w:vAlign w:val="center"/>
          </w:tcPr>
          <w:p w14:paraId="32D029D4" w14:textId="77777777" w:rsidR="000C38D8" w:rsidRPr="00993963" w:rsidRDefault="000C38D8">
            <w:pPr>
              <w:rPr>
                <w:rFonts w:ascii="Arial" w:hAnsi="Arial" w:cs="Arial"/>
                <w:color w:val="000000" w:themeColor="text1"/>
                <w:sz w:val="24"/>
                <w:szCs w:val="24"/>
              </w:rPr>
            </w:pPr>
            <w:r w:rsidRPr="00993963">
              <w:rPr>
                <w:rFonts w:ascii="Arial" w:hAnsi="Arial" w:cs="Arial"/>
                <w:color w:val="000000" w:themeColor="text1"/>
                <w:sz w:val="24"/>
                <w:szCs w:val="24"/>
              </w:rPr>
              <w:t>Ured za udruge Vlade Republike Hrvatske</w:t>
            </w:r>
          </w:p>
        </w:tc>
        <w:tc>
          <w:tcPr>
            <w:tcW w:w="7512" w:type="dxa"/>
            <w:shd w:val="clear" w:color="auto" w:fill="DBE5F1" w:themeFill="accent1" w:themeFillTint="33"/>
            <w:vAlign w:val="center"/>
          </w:tcPr>
          <w:p w14:paraId="76E16967" w14:textId="77777777" w:rsidR="000C38D8" w:rsidRPr="00E636F4" w:rsidRDefault="00F836CD" w:rsidP="00E636F4">
            <w:pPr>
              <w:pStyle w:val="ListParagraph"/>
              <w:widowControl/>
              <w:numPr>
                <w:ilvl w:val="0"/>
                <w:numId w:val="48"/>
              </w:numPr>
              <w:autoSpaceDE/>
              <w:autoSpaceDN/>
              <w:ind w:left="317"/>
              <w:contextualSpacing/>
              <w:rPr>
                <w:rFonts w:ascii="Arial" w:eastAsia="Calibri" w:hAnsi="Arial" w:cs="Arial"/>
              </w:rPr>
            </w:pPr>
            <w:hyperlink r:id="rId36" w:history="1">
              <w:r w:rsidR="000C38D8" w:rsidRPr="004C1D5B">
                <w:rPr>
                  <w:rStyle w:val="Hyperlink"/>
                  <w:rFonts w:ascii="Arial" w:hAnsi="Arial" w:cs="Arial"/>
                  <w:color w:val="000000" w:themeColor="text1"/>
                  <w:u w:val="none"/>
                </w:rPr>
                <w:t>Nacionalni plan stvaranja poticajnog okruženja za razvoj civilnoga društva od 2021. do 2027.</w:t>
              </w:r>
            </w:hyperlink>
            <w:r w:rsidR="000C38D8" w:rsidRPr="004C1D5B">
              <w:rPr>
                <w:rStyle w:val="Hyperlink"/>
                <w:rFonts w:ascii="Arial" w:hAnsi="Arial" w:cs="Arial"/>
                <w:color w:val="000000" w:themeColor="text1"/>
                <w:u w:val="none"/>
              </w:rPr>
              <w:t xml:space="preserve"> godine</w:t>
            </w:r>
          </w:p>
        </w:tc>
        <w:tc>
          <w:tcPr>
            <w:tcW w:w="3178" w:type="dxa"/>
            <w:vMerge/>
          </w:tcPr>
          <w:p w14:paraId="409587E2" w14:textId="64C021F2" w:rsidR="000C38D8" w:rsidRPr="00993963" w:rsidRDefault="000C38D8">
            <w:pPr>
              <w:jc w:val="center"/>
              <w:rPr>
                <w:rFonts w:ascii="Arial" w:eastAsia="Calibri" w:hAnsi="Arial" w:cs="Arial"/>
                <w:sz w:val="24"/>
                <w:szCs w:val="24"/>
              </w:rPr>
            </w:pPr>
          </w:p>
        </w:tc>
      </w:tr>
    </w:tbl>
    <w:p w14:paraId="3AE53E9A" w14:textId="77777777" w:rsidR="00A963ED" w:rsidRPr="00BD1B6F" w:rsidRDefault="00A963ED" w:rsidP="00A963ED">
      <w:pPr>
        <w:rPr>
          <w:rFonts w:eastAsia="Calibri"/>
        </w:rPr>
      </w:pPr>
      <w:r w:rsidRPr="00BD1B6F">
        <w:rPr>
          <w:rFonts w:eastAsia="Calibri"/>
        </w:rPr>
        <w:tab/>
      </w:r>
    </w:p>
    <w:p w14:paraId="55F413CA" w14:textId="77777777" w:rsidR="00A963ED" w:rsidRPr="00BD1B6F" w:rsidRDefault="00A963ED" w:rsidP="00DF4A9D">
      <w:pPr>
        <w:rPr>
          <w:rFonts w:eastAsia="Calibri"/>
        </w:rPr>
      </w:pPr>
    </w:p>
    <w:p w14:paraId="0EE12C07" w14:textId="6BCB4A8B" w:rsidR="002B5154" w:rsidRPr="00BD1B6F" w:rsidRDefault="002B5154" w:rsidP="002B5154">
      <w:pPr>
        <w:rPr>
          <w:rFonts w:eastAsia="Calibri"/>
        </w:rPr>
        <w:sectPr w:rsidR="002B5154" w:rsidRPr="00BD1B6F" w:rsidSect="00D764F9">
          <w:pgSz w:w="16840" w:h="11910" w:orient="landscape"/>
          <w:pgMar w:top="1440" w:right="1080" w:bottom="1440" w:left="1080" w:header="0" w:footer="757" w:gutter="0"/>
          <w:cols w:space="720"/>
          <w:docGrid w:linePitch="299"/>
        </w:sectPr>
      </w:pPr>
    </w:p>
    <w:p w14:paraId="69F0C771" w14:textId="01AEE1C6" w:rsidR="5E90413D" w:rsidRPr="00BD1B6F" w:rsidRDefault="5E90413D" w:rsidP="00BE1F57">
      <w:pPr>
        <w:pStyle w:val="Heading2"/>
        <w:spacing w:line="259" w:lineRule="auto"/>
        <w:ind w:left="0" w:firstLine="0"/>
        <w:rPr>
          <w:rFonts w:eastAsia="Calibri"/>
        </w:rPr>
      </w:pPr>
      <w:bookmarkStart w:id="125" w:name="_Toc156819414"/>
      <w:r w:rsidRPr="00BD1B6F">
        <w:rPr>
          <w:rFonts w:eastAsia="Calibri"/>
          <w:color w:val="000000" w:themeColor="text1"/>
          <w:sz w:val="24"/>
          <w:szCs w:val="24"/>
        </w:rPr>
        <w:lastRenderedPageBreak/>
        <w:t xml:space="preserve">Prilog 5 </w:t>
      </w:r>
      <w:r w:rsidR="6232C0CC" w:rsidRPr="00BD1B6F">
        <w:rPr>
          <w:color w:val="000000" w:themeColor="text1"/>
          <w:sz w:val="24"/>
          <w:szCs w:val="24"/>
        </w:rPr>
        <w:t>Globalna ljestvica konkurentnosti (WCR) Instituta za međunarodno poslovanje iz Lausannea (IMD)</w:t>
      </w:r>
      <w:bookmarkEnd w:id="125"/>
    </w:p>
    <w:p w14:paraId="13F551ED" w14:textId="480B7C32" w:rsidR="02C4BA31" w:rsidRPr="00BD1B6F" w:rsidRDefault="0D908031" w:rsidP="2C880ADD">
      <w:pPr>
        <w:spacing w:before="164" w:line="276" w:lineRule="auto"/>
        <w:jc w:val="both"/>
      </w:pPr>
      <w:r w:rsidRPr="00BD1B6F">
        <w:rPr>
          <w:sz w:val="24"/>
          <w:szCs w:val="24"/>
        </w:rPr>
        <w:t>Svi akti strateškog planiranja izrađuju se i provode u skladu sa načelima sustava strateškog planiranja i upravljanja propisanim</w:t>
      </w:r>
      <w:r w:rsidRPr="00BD1B6F">
        <w:rPr>
          <w:color w:val="000000" w:themeColor="text1"/>
          <w:sz w:val="24"/>
          <w:szCs w:val="24"/>
        </w:rPr>
        <w:t xml:space="preserve"> Zakonom o sustavu strateškog planiranja i upravljanja razvojem Republike Hrvatske </w:t>
      </w:r>
      <w:r w:rsidRPr="00BD1B6F">
        <w:rPr>
          <w:sz w:val="24"/>
          <w:szCs w:val="24"/>
        </w:rPr>
        <w:t>(</w:t>
      </w:r>
      <w:hyperlink r:id="rId37">
        <w:r w:rsidRPr="00BD1B6F">
          <w:rPr>
            <w:rStyle w:val="Hyperlink"/>
            <w:sz w:val="24"/>
            <w:szCs w:val="24"/>
          </w:rPr>
          <w:t>„Narodne novine“, br. 123/17</w:t>
        </w:r>
      </w:hyperlink>
      <w:r w:rsidRPr="00BD1B6F">
        <w:rPr>
          <w:sz w:val="24"/>
          <w:szCs w:val="24"/>
          <w:u w:val="single"/>
        </w:rPr>
        <w:t>,</w:t>
      </w:r>
      <w:r w:rsidRPr="00BD1B6F">
        <w:rPr>
          <w:sz w:val="24"/>
          <w:szCs w:val="24"/>
        </w:rPr>
        <w:t xml:space="preserve"> </w:t>
      </w:r>
      <w:hyperlink r:id="rId38">
        <w:r w:rsidRPr="00BD1B6F">
          <w:rPr>
            <w:rStyle w:val="Hyperlink"/>
            <w:sz w:val="24"/>
            <w:szCs w:val="24"/>
          </w:rPr>
          <w:t>151/22</w:t>
        </w:r>
      </w:hyperlink>
      <w:r w:rsidRPr="00BD1B6F">
        <w:rPr>
          <w:sz w:val="24"/>
          <w:szCs w:val="24"/>
        </w:rPr>
        <w:t xml:space="preserve">). Pri tome, primjena načela </w:t>
      </w:r>
      <w:r w:rsidRPr="00BD1B6F">
        <w:rPr>
          <w:color w:val="000000" w:themeColor="text1"/>
          <w:sz w:val="24"/>
          <w:szCs w:val="24"/>
        </w:rPr>
        <w:t>učinkovitosti i djelotvornosti osigurava da se za sve razine utvrđenih ciljeva i mjera u aktima strateškog planiranja moraju definirati odgovarajući pokazatelji, dok primjena načela točnosti i cjelovitosti osigurava da se za pripremu, izradu, izvješćivanje te praćenje provedbe i učinaka akata strateškog planiranja moraju koristiti pouzdani, provjerljivi i usporedivi podaci.</w:t>
      </w:r>
      <w:r w:rsidR="005B1A6F">
        <w:rPr>
          <w:color w:val="000000" w:themeColor="text1"/>
          <w:sz w:val="24"/>
          <w:szCs w:val="24"/>
        </w:rPr>
        <w:t xml:space="preserve"> </w:t>
      </w:r>
    </w:p>
    <w:p w14:paraId="0C7D7983" w14:textId="3572E13C" w:rsidR="02C4BA31" w:rsidRPr="00BD1B6F" w:rsidRDefault="0D908031" w:rsidP="7355CFE6">
      <w:pPr>
        <w:spacing w:before="164" w:line="276" w:lineRule="auto"/>
        <w:jc w:val="both"/>
        <w:rPr>
          <w:sz w:val="24"/>
          <w:szCs w:val="24"/>
        </w:rPr>
      </w:pPr>
      <w:r w:rsidRPr="00BD1B6F">
        <w:rPr>
          <w:sz w:val="24"/>
          <w:szCs w:val="24"/>
        </w:rPr>
        <w:t>Tijekom praćenja provedbe i iz</w:t>
      </w:r>
      <w:r w:rsidR="65352254" w:rsidRPr="00BD1B6F">
        <w:rPr>
          <w:sz w:val="24"/>
          <w:szCs w:val="24"/>
        </w:rPr>
        <w:t>r</w:t>
      </w:r>
      <w:r w:rsidRPr="00BD1B6F">
        <w:rPr>
          <w:sz w:val="24"/>
          <w:szCs w:val="24"/>
        </w:rPr>
        <w:t xml:space="preserve">ade prvog izvješća o napretku u provedbi NRS-a 2030 utvrđena je nedostupnost podataka za pokazatelje uspješnosti Indeksa globalne konkurentnosti (GCI) Svjetskog gospodarskom foruma (WEF) koji se sastoji od 12 stupova: institucije, infrastruktura, IKT, makroekonomska stabilnost, zdravlje, vještine, tržište proizvoda, tržište rada, financijski sustav, veličina tržišta, dinamičnost poslovanja, kapacitiranost za inovacije. Navedeni pokazatelj koristi se za praćenje </w:t>
      </w:r>
      <w:r w:rsidR="22662037" w:rsidRPr="00BD1B6F">
        <w:rPr>
          <w:sz w:val="24"/>
          <w:szCs w:val="24"/>
        </w:rPr>
        <w:t>uspješnosti</w:t>
      </w:r>
      <w:r w:rsidRPr="00BD1B6F">
        <w:rPr>
          <w:sz w:val="24"/>
          <w:szCs w:val="24"/>
        </w:rPr>
        <w:t xml:space="preserve"> provedbe strateških ciljeva 1</w:t>
      </w:r>
      <w:r w:rsidR="00EE1BC9">
        <w:rPr>
          <w:sz w:val="24"/>
          <w:szCs w:val="24"/>
        </w:rPr>
        <w:t>.</w:t>
      </w:r>
      <w:r w:rsidRPr="00BD1B6F">
        <w:rPr>
          <w:sz w:val="24"/>
          <w:szCs w:val="24"/>
        </w:rPr>
        <w:t xml:space="preserve"> Konkurentno i inovativno gospodarstvo, 3</w:t>
      </w:r>
      <w:r w:rsidR="00EE1BC9">
        <w:rPr>
          <w:sz w:val="24"/>
          <w:szCs w:val="24"/>
        </w:rPr>
        <w:t>.</w:t>
      </w:r>
      <w:r w:rsidRPr="00BD1B6F">
        <w:rPr>
          <w:sz w:val="24"/>
          <w:szCs w:val="24"/>
        </w:rPr>
        <w:t xml:space="preserve"> Učinkovito i djelotvorno pravosuđe, javna uprava i upravljanje državnom imovinom, 4</w:t>
      </w:r>
      <w:r w:rsidR="00EE1BC9">
        <w:rPr>
          <w:sz w:val="24"/>
          <w:szCs w:val="24"/>
        </w:rPr>
        <w:t>.</w:t>
      </w:r>
      <w:r w:rsidRPr="00BD1B6F">
        <w:rPr>
          <w:sz w:val="24"/>
          <w:szCs w:val="24"/>
        </w:rPr>
        <w:t xml:space="preserve"> Globalna prepoznatljivost Hrvatske i 10</w:t>
      </w:r>
      <w:r w:rsidR="00EE1BC9">
        <w:rPr>
          <w:sz w:val="24"/>
          <w:szCs w:val="24"/>
        </w:rPr>
        <w:t>.</w:t>
      </w:r>
      <w:r w:rsidRPr="00BD1B6F">
        <w:rPr>
          <w:sz w:val="24"/>
          <w:szCs w:val="24"/>
        </w:rPr>
        <w:t xml:space="preserve"> Održiva mobilnost.</w:t>
      </w:r>
    </w:p>
    <w:p w14:paraId="5659327B" w14:textId="3C51580D" w:rsidR="02C4BA31" w:rsidRPr="00BD1B6F" w:rsidRDefault="0D908031" w:rsidP="2C880ADD">
      <w:pPr>
        <w:spacing w:before="164" w:line="276" w:lineRule="auto"/>
        <w:jc w:val="both"/>
      </w:pPr>
      <w:r w:rsidRPr="00BD1B6F">
        <w:rPr>
          <w:sz w:val="24"/>
          <w:szCs w:val="24"/>
        </w:rPr>
        <w:t xml:space="preserve">Slijedom navedenog, u svrhu primjene načela strateškog planiranja, za potrebe praćenja provedbe i izvješćivanja o napretku u provedbi NRS-a 2030, tijekom 2021. i 2022., umjesto podataka pokazatelja uspješnosti Indeksa globalne konkurentnosti (GCI) korišteni su podaci pokazatelja </w:t>
      </w:r>
      <w:r w:rsidRPr="00BD1B6F">
        <w:rPr>
          <w:color w:val="000000" w:themeColor="text1"/>
          <w:sz w:val="24"/>
          <w:szCs w:val="24"/>
        </w:rPr>
        <w:t>Svjetska ljestvica konkurentnosti (WCR), Instituta za razvoj poslovnog upravljanja (IMD) iz Lausannea.</w:t>
      </w:r>
    </w:p>
    <w:p w14:paraId="46ACB529" w14:textId="25F5A24C" w:rsidR="02C4BA31" w:rsidRPr="00BD1B6F" w:rsidRDefault="0D908031" w:rsidP="7355CFE6">
      <w:pPr>
        <w:spacing w:before="164" w:line="276" w:lineRule="auto"/>
        <w:jc w:val="both"/>
        <w:rPr>
          <w:color w:val="000000" w:themeColor="text1"/>
          <w:sz w:val="24"/>
          <w:szCs w:val="24"/>
        </w:rPr>
      </w:pPr>
      <w:r w:rsidRPr="00BD1B6F">
        <w:rPr>
          <w:color w:val="000000" w:themeColor="text1"/>
          <w:sz w:val="24"/>
          <w:szCs w:val="24"/>
        </w:rPr>
        <w:t xml:space="preserve">Metodologija izrade Svjetske ljestvice konkurentnosti (WCR) IMD-a temelji se na analizi četiri ključna pokazatelja uspješnosti, odnosno faktora </w:t>
      </w:r>
      <w:r w:rsidR="45CC6501" w:rsidRPr="00BD1B6F">
        <w:rPr>
          <w:color w:val="000000" w:themeColor="text1"/>
          <w:sz w:val="24"/>
          <w:szCs w:val="24"/>
        </w:rPr>
        <w:t>konkurentnosti</w:t>
      </w:r>
      <w:r w:rsidRPr="00BD1B6F">
        <w:rPr>
          <w:color w:val="000000" w:themeColor="text1"/>
          <w:sz w:val="24"/>
          <w:szCs w:val="24"/>
        </w:rPr>
        <w:t xml:space="preserve">: gospodarskog rezultata, djelotvornosti javnog sektora, djelotvornosti poslovnog sektora i infrastrukturi. Za analizu se koristi 20 indeksa, pet za svako područje, izračunatih temeljem 334 kriterija konkurentnosti od kojih se dvije trećine odnose na statističke podatke, a trećina na istraživanje mišljenja gospodarstvenika. </w:t>
      </w:r>
    </w:p>
    <w:p w14:paraId="333F92F1" w14:textId="05A51F9B" w:rsidR="02C4BA31" w:rsidRPr="00BD1B6F" w:rsidRDefault="0D908031" w:rsidP="2C880ADD">
      <w:pPr>
        <w:spacing w:before="164" w:line="276" w:lineRule="auto"/>
        <w:jc w:val="both"/>
      </w:pPr>
      <w:r w:rsidRPr="00BD1B6F">
        <w:rPr>
          <w:color w:val="000000" w:themeColor="text1"/>
          <w:sz w:val="24"/>
          <w:szCs w:val="24"/>
        </w:rPr>
        <w:t xml:space="preserve">U nastavku slijedi prikaz kriterija koje IMD primjenjuje, revidira i ažurira u skladu sa potrebama globalnog gospodarstva, novim teorijama te posljednjim dostupnim podacima i istraživanjima. </w:t>
      </w:r>
    </w:p>
    <w:p w14:paraId="16D9432C" w14:textId="2A367AB5" w:rsidR="00F764E7" w:rsidRPr="00BD1B6F" w:rsidRDefault="02C4BA31" w:rsidP="00F764E7">
      <w:pPr>
        <w:spacing w:after="240" w:line="257" w:lineRule="auto"/>
      </w:pPr>
      <w:r w:rsidRPr="00BD1B6F">
        <w:br/>
      </w:r>
      <w:r w:rsidR="00F764E7" w:rsidRPr="00BD1B6F">
        <w:br w:type="page"/>
      </w:r>
    </w:p>
    <w:p w14:paraId="6EB8EEFF" w14:textId="72DB5BEC" w:rsidR="02C4BA31" w:rsidRPr="00BD1B6F" w:rsidRDefault="0D908031" w:rsidP="00BE1F57">
      <w:pPr>
        <w:spacing w:before="164" w:after="240" w:line="276" w:lineRule="auto"/>
        <w:jc w:val="both"/>
        <w:rPr>
          <w:b/>
          <w:bCs/>
          <w:sz w:val="24"/>
          <w:szCs w:val="24"/>
          <w:vertAlign w:val="superscript"/>
        </w:rPr>
      </w:pPr>
      <w:r w:rsidRPr="00BD1B6F">
        <w:rPr>
          <w:b/>
          <w:bCs/>
          <w:color w:val="000000" w:themeColor="text1"/>
          <w:sz w:val="24"/>
          <w:szCs w:val="24"/>
        </w:rPr>
        <w:lastRenderedPageBreak/>
        <w:t xml:space="preserve">Prikaz 1. Ključni pokazatelji konkurentnosti i kriteriji primjenjivani tijekom izrade Svjetske ljestvice konkurentnosti (WCR) za </w:t>
      </w:r>
      <w:r w:rsidR="00DD0E52">
        <w:rPr>
          <w:b/>
          <w:bCs/>
          <w:color w:val="000000" w:themeColor="text1"/>
          <w:sz w:val="24"/>
          <w:szCs w:val="24"/>
        </w:rPr>
        <w:t xml:space="preserve">Republiku Hrvatsku za </w:t>
      </w:r>
      <w:r w:rsidRPr="00BD1B6F">
        <w:rPr>
          <w:b/>
          <w:bCs/>
          <w:color w:val="000000" w:themeColor="text1"/>
          <w:sz w:val="24"/>
          <w:szCs w:val="24"/>
        </w:rPr>
        <w:t xml:space="preserve">2022. godinu </w:t>
      </w:r>
      <w:r w:rsidRPr="00BD1B6F">
        <w:rPr>
          <w:rStyle w:val="FootnoteReference"/>
          <w:b/>
          <w:bCs/>
          <w:sz w:val="24"/>
          <w:szCs w:val="24"/>
        </w:rPr>
        <w:footnoteReference w:id="14"/>
      </w: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28"/>
        <w:gridCol w:w="1452"/>
        <w:gridCol w:w="1260"/>
        <w:gridCol w:w="1680"/>
        <w:gridCol w:w="1005"/>
      </w:tblGrid>
      <w:tr w:rsidR="2C880ADD" w:rsidRPr="000E67B4" w14:paraId="68B3BBAE" w14:textId="77777777" w:rsidTr="00FD2238">
        <w:trPr>
          <w:trHeight w:val="510"/>
        </w:trPr>
        <w:tc>
          <w:tcPr>
            <w:tcW w:w="4128" w:type="dxa"/>
            <w:shd w:val="clear" w:color="auto" w:fill="B6DDE8" w:themeFill="accent5" w:themeFillTint="66"/>
            <w:vAlign w:val="center"/>
          </w:tcPr>
          <w:p w14:paraId="2A00F2EB" w14:textId="2B420E7E" w:rsidR="2C880ADD" w:rsidRPr="00BE1F57" w:rsidRDefault="2C880ADD" w:rsidP="00FD2238">
            <w:pPr>
              <w:spacing w:before="6" w:line="276" w:lineRule="auto"/>
              <w:ind w:left="-98"/>
              <w:rPr>
                <w:sz w:val="20"/>
                <w:szCs w:val="20"/>
              </w:rPr>
            </w:pPr>
            <w:r w:rsidRPr="00BE1F57">
              <w:rPr>
                <w:sz w:val="20"/>
                <w:szCs w:val="20"/>
              </w:rPr>
              <w:t xml:space="preserve"> </w:t>
            </w:r>
            <w:r w:rsidR="008B4360">
              <w:rPr>
                <w:rFonts w:eastAsia="Gill Sans MT"/>
                <w:b/>
                <w:bCs/>
                <w:sz w:val="20"/>
                <w:szCs w:val="20"/>
              </w:rPr>
              <w:t>Gospodarski rezultati</w:t>
            </w:r>
          </w:p>
        </w:tc>
        <w:tc>
          <w:tcPr>
            <w:tcW w:w="1452" w:type="dxa"/>
            <w:shd w:val="clear" w:color="auto" w:fill="B6DDE8" w:themeFill="accent5" w:themeFillTint="66"/>
            <w:vAlign w:val="center"/>
          </w:tcPr>
          <w:p w14:paraId="76BF8104" w14:textId="2C10178F" w:rsidR="2C880ADD" w:rsidRPr="00BE1F57" w:rsidRDefault="00CA3CC3" w:rsidP="00DD0E52">
            <w:pPr>
              <w:spacing w:before="85" w:line="276" w:lineRule="auto"/>
              <w:jc w:val="center"/>
              <w:rPr>
                <w:sz w:val="20"/>
                <w:szCs w:val="20"/>
              </w:rPr>
            </w:pPr>
            <w:r w:rsidRPr="00BE1F57">
              <w:rPr>
                <w:rFonts w:eastAsia="Gill Sans MT"/>
                <w:b/>
                <w:bCs/>
                <w:sz w:val="20"/>
                <w:szCs w:val="20"/>
              </w:rPr>
              <w:t>Službena statistika</w:t>
            </w:r>
          </w:p>
          <w:p w14:paraId="2740D8DF" w14:textId="0AA8EA5F" w:rsidR="2C880ADD" w:rsidRPr="00BE1F57" w:rsidRDefault="2C880ADD" w:rsidP="00DD0E52">
            <w:pPr>
              <w:spacing w:before="61" w:line="276" w:lineRule="auto"/>
              <w:jc w:val="center"/>
              <w:rPr>
                <w:sz w:val="20"/>
                <w:szCs w:val="20"/>
              </w:rPr>
            </w:pPr>
            <w:r w:rsidRPr="00BE1F57">
              <w:rPr>
                <w:rFonts w:eastAsia="Gill Sans MT"/>
                <w:sz w:val="20"/>
                <w:szCs w:val="20"/>
              </w:rPr>
              <w:t>(ran</w:t>
            </w:r>
            <w:r w:rsidR="004A23D6" w:rsidRPr="00BE1F57">
              <w:rPr>
                <w:rFonts w:eastAsia="Gill Sans MT"/>
                <w:sz w:val="20"/>
                <w:szCs w:val="20"/>
              </w:rPr>
              <w:t>g</w:t>
            </w:r>
            <w:r w:rsidR="001E1047" w:rsidRPr="00BE1F57">
              <w:rPr>
                <w:rFonts w:eastAsia="Gill Sans MT"/>
                <w:sz w:val="20"/>
                <w:szCs w:val="20"/>
              </w:rPr>
              <w:t>irano</w:t>
            </w:r>
            <w:r w:rsidRPr="00BE1F57">
              <w:rPr>
                <w:rFonts w:eastAsia="Gill Sans MT"/>
                <w:sz w:val="20"/>
                <w:szCs w:val="20"/>
              </w:rPr>
              <w:t>)</w:t>
            </w:r>
          </w:p>
        </w:tc>
        <w:tc>
          <w:tcPr>
            <w:tcW w:w="1260" w:type="dxa"/>
            <w:shd w:val="clear" w:color="auto" w:fill="B6DDE8" w:themeFill="accent5" w:themeFillTint="66"/>
            <w:vAlign w:val="center"/>
          </w:tcPr>
          <w:p w14:paraId="68FA65B4" w14:textId="4D89C989" w:rsidR="2C880ADD" w:rsidRPr="00BE1F57" w:rsidRDefault="001E1047" w:rsidP="00DD0E52">
            <w:pPr>
              <w:spacing w:before="85" w:line="276" w:lineRule="auto"/>
              <w:jc w:val="center"/>
              <w:rPr>
                <w:sz w:val="20"/>
                <w:szCs w:val="20"/>
              </w:rPr>
            </w:pPr>
            <w:r w:rsidRPr="00BE1F57">
              <w:rPr>
                <w:rFonts w:eastAsia="Gill Sans MT"/>
                <w:b/>
                <w:bCs/>
                <w:sz w:val="20"/>
                <w:szCs w:val="20"/>
              </w:rPr>
              <w:t xml:space="preserve">Podaci </w:t>
            </w:r>
            <w:r w:rsidR="001448E9" w:rsidRPr="00BE1F57">
              <w:rPr>
                <w:rFonts w:eastAsia="Gill Sans MT"/>
                <w:b/>
                <w:bCs/>
                <w:sz w:val="20"/>
                <w:szCs w:val="20"/>
              </w:rPr>
              <w:t xml:space="preserve">iz </w:t>
            </w:r>
            <w:r w:rsidRPr="00BE1F57">
              <w:rPr>
                <w:rFonts w:eastAsia="Gill Sans MT"/>
                <w:b/>
                <w:bCs/>
                <w:sz w:val="20"/>
                <w:szCs w:val="20"/>
              </w:rPr>
              <w:t>istraživanja</w:t>
            </w:r>
          </w:p>
          <w:p w14:paraId="48B7B356" w14:textId="4643298F" w:rsidR="2C880ADD" w:rsidRPr="00BE1F57" w:rsidRDefault="2C880ADD" w:rsidP="00DD0E52">
            <w:pPr>
              <w:spacing w:before="61" w:line="276" w:lineRule="auto"/>
              <w:jc w:val="center"/>
              <w:rPr>
                <w:sz w:val="20"/>
                <w:szCs w:val="20"/>
              </w:rPr>
            </w:pPr>
            <w:r w:rsidRPr="00BE1F57">
              <w:rPr>
                <w:rFonts w:eastAsia="Gill Sans MT"/>
                <w:sz w:val="20"/>
                <w:szCs w:val="20"/>
              </w:rPr>
              <w:t>(ran</w:t>
            </w:r>
            <w:r w:rsidR="004A23D6" w:rsidRPr="00BE1F57">
              <w:rPr>
                <w:rFonts w:eastAsia="Gill Sans MT"/>
                <w:sz w:val="20"/>
                <w:szCs w:val="20"/>
              </w:rPr>
              <w:t>g</w:t>
            </w:r>
            <w:r w:rsidR="00CD419A" w:rsidRPr="00BE1F57">
              <w:rPr>
                <w:rFonts w:eastAsia="Gill Sans MT"/>
                <w:sz w:val="20"/>
                <w:szCs w:val="20"/>
              </w:rPr>
              <w:t>irano</w:t>
            </w:r>
            <w:r w:rsidRPr="00BE1F57">
              <w:rPr>
                <w:rFonts w:eastAsia="Gill Sans MT"/>
                <w:sz w:val="20"/>
                <w:szCs w:val="20"/>
              </w:rPr>
              <w:t>)</w:t>
            </w:r>
          </w:p>
        </w:tc>
        <w:tc>
          <w:tcPr>
            <w:tcW w:w="1680" w:type="dxa"/>
            <w:shd w:val="clear" w:color="auto" w:fill="B6DDE8" w:themeFill="accent5" w:themeFillTint="66"/>
            <w:vAlign w:val="center"/>
          </w:tcPr>
          <w:p w14:paraId="324708E8" w14:textId="77777777" w:rsidR="001448E9" w:rsidRPr="00BE1F57" w:rsidRDefault="00BD1B6F" w:rsidP="00DD0E52">
            <w:pPr>
              <w:spacing w:line="276" w:lineRule="auto"/>
              <w:jc w:val="center"/>
              <w:rPr>
                <w:rFonts w:eastAsia="Gill Sans MT"/>
                <w:b/>
                <w:bCs/>
                <w:sz w:val="20"/>
                <w:szCs w:val="20"/>
              </w:rPr>
            </w:pPr>
            <w:r w:rsidRPr="00BE1F57">
              <w:rPr>
                <w:rFonts w:eastAsia="Gill Sans MT"/>
                <w:b/>
                <w:bCs/>
                <w:sz w:val="20"/>
                <w:szCs w:val="20"/>
              </w:rPr>
              <w:t xml:space="preserve">Popratni </w:t>
            </w:r>
          </w:p>
          <w:p w14:paraId="23AFE544" w14:textId="442DF619" w:rsidR="2C880ADD" w:rsidRPr="00BE1F57" w:rsidRDefault="00BD1B6F" w:rsidP="00DD0E52">
            <w:pPr>
              <w:spacing w:line="276" w:lineRule="auto"/>
              <w:jc w:val="center"/>
              <w:rPr>
                <w:sz w:val="20"/>
                <w:szCs w:val="20"/>
              </w:rPr>
            </w:pPr>
            <w:r w:rsidRPr="00BE1F57">
              <w:rPr>
                <w:rFonts w:eastAsia="Gill Sans MT"/>
                <w:b/>
                <w:bCs/>
                <w:sz w:val="20"/>
                <w:szCs w:val="20"/>
              </w:rPr>
              <w:t>podaci</w:t>
            </w:r>
          </w:p>
          <w:p w14:paraId="312206AA" w14:textId="3C8CAEBB" w:rsidR="2C880ADD" w:rsidRPr="00BE1F57" w:rsidRDefault="2C880ADD" w:rsidP="00DD0E52">
            <w:pPr>
              <w:spacing w:before="61" w:line="276" w:lineRule="auto"/>
              <w:jc w:val="center"/>
              <w:rPr>
                <w:sz w:val="20"/>
                <w:szCs w:val="20"/>
              </w:rPr>
            </w:pPr>
            <w:r w:rsidRPr="00BE1F57">
              <w:rPr>
                <w:rFonts w:eastAsia="Gill Sans MT"/>
                <w:sz w:val="20"/>
                <w:szCs w:val="20"/>
              </w:rPr>
              <w:t>(n</w:t>
            </w:r>
            <w:r w:rsidR="00CD419A" w:rsidRPr="00BE1F57">
              <w:rPr>
                <w:rFonts w:eastAsia="Gill Sans MT"/>
                <w:sz w:val="20"/>
                <w:szCs w:val="20"/>
              </w:rPr>
              <w:t>eran</w:t>
            </w:r>
            <w:r w:rsidR="004A23D6" w:rsidRPr="00BE1F57">
              <w:rPr>
                <w:rFonts w:eastAsia="Gill Sans MT"/>
                <w:sz w:val="20"/>
                <w:szCs w:val="20"/>
              </w:rPr>
              <w:t>g</w:t>
            </w:r>
            <w:r w:rsidR="00CD419A" w:rsidRPr="00BE1F57">
              <w:rPr>
                <w:rFonts w:eastAsia="Gill Sans MT"/>
                <w:sz w:val="20"/>
                <w:szCs w:val="20"/>
              </w:rPr>
              <w:t>irano</w:t>
            </w:r>
            <w:r w:rsidRPr="00BE1F57">
              <w:rPr>
                <w:rFonts w:eastAsia="Gill Sans MT"/>
                <w:sz w:val="20"/>
                <w:szCs w:val="20"/>
              </w:rPr>
              <w:t>)</w:t>
            </w:r>
          </w:p>
        </w:tc>
        <w:tc>
          <w:tcPr>
            <w:tcW w:w="1005" w:type="dxa"/>
            <w:shd w:val="clear" w:color="auto" w:fill="B6DDE8" w:themeFill="accent5" w:themeFillTint="66"/>
            <w:vAlign w:val="center"/>
          </w:tcPr>
          <w:p w14:paraId="4221A9F1" w14:textId="1FCFDA00" w:rsidR="2C880ADD" w:rsidRPr="00BE1F57" w:rsidRDefault="2C880ADD" w:rsidP="00FD2238">
            <w:pPr>
              <w:spacing w:before="10" w:line="276" w:lineRule="auto"/>
              <w:jc w:val="center"/>
              <w:rPr>
                <w:sz w:val="20"/>
                <w:szCs w:val="20"/>
              </w:rPr>
            </w:pPr>
            <w:r w:rsidRPr="00BE1F57">
              <w:rPr>
                <w:sz w:val="20"/>
                <w:szCs w:val="20"/>
              </w:rPr>
              <w:t xml:space="preserve"> </w:t>
            </w:r>
            <w:r w:rsidR="007E55ED" w:rsidRPr="00BE1F57">
              <w:rPr>
                <w:rFonts w:eastAsia="Gill Sans MT"/>
                <w:b/>
                <w:bCs/>
                <w:sz w:val="20"/>
                <w:szCs w:val="20"/>
              </w:rPr>
              <w:t>Ukupno</w:t>
            </w:r>
          </w:p>
        </w:tc>
      </w:tr>
      <w:tr w:rsidR="2C880ADD" w:rsidRPr="000E67B4" w14:paraId="2329F981" w14:textId="77777777" w:rsidTr="00FD2238">
        <w:trPr>
          <w:trHeight w:val="285"/>
        </w:trPr>
        <w:tc>
          <w:tcPr>
            <w:tcW w:w="4128" w:type="dxa"/>
            <w:vAlign w:val="center"/>
          </w:tcPr>
          <w:p w14:paraId="05261E6C" w14:textId="245C9512" w:rsidR="2C880ADD" w:rsidRPr="00BE1F57" w:rsidRDefault="00B63DF4" w:rsidP="00FD2238">
            <w:pPr>
              <w:spacing w:before="63" w:line="276" w:lineRule="auto"/>
              <w:rPr>
                <w:sz w:val="20"/>
                <w:szCs w:val="20"/>
              </w:rPr>
            </w:pPr>
            <w:r w:rsidRPr="00BE1F57">
              <w:rPr>
                <w:rFonts w:eastAsia="Gill Sans MT"/>
                <w:sz w:val="20"/>
                <w:szCs w:val="20"/>
              </w:rPr>
              <w:t>Domaće tržište</w:t>
            </w:r>
          </w:p>
        </w:tc>
        <w:tc>
          <w:tcPr>
            <w:tcW w:w="1452" w:type="dxa"/>
            <w:vAlign w:val="center"/>
          </w:tcPr>
          <w:p w14:paraId="1D2CC9C0" w14:textId="35A5D550" w:rsidR="2C880ADD" w:rsidRPr="00BE1F57" w:rsidRDefault="2C880ADD" w:rsidP="00FD2238">
            <w:pPr>
              <w:spacing w:before="63" w:line="276" w:lineRule="auto"/>
              <w:jc w:val="center"/>
              <w:rPr>
                <w:sz w:val="20"/>
                <w:szCs w:val="20"/>
              </w:rPr>
            </w:pPr>
            <w:r w:rsidRPr="00BE1F57">
              <w:rPr>
                <w:rFonts w:eastAsia="Gill Sans MT"/>
                <w:sz w:val="20"/>
                <w:szCs w:val="20"/>
              </w:rPr>
              <w:t>9</w:t>
            </w:r>
          </w:p>
        </w:tc>
        <w:tc>
          <w:tcPr>
            <w:tcW w:w="1260" w:type="dxa"/>
            <w:vAlign w:val="center"/>
          </w:tcPr>
          <w:p w14:paraId="5EA1E9BA" w14:textId="65FB1ED9" w:rsidR="2C880ADD" w:rsidRPr="00BE1F57" w:rsidRDefault="2C880ADD" w:rsidP="00FD2238">
            <w:pPr>
              <w:spacing w:before="63" w:line="276" w:lineRule="auto"/>
              <w:jc w:val="center"/>
              <w:rPr>
                <w:sz w:val="20"/>
                <w:szCs w:val="20"/>
              </w:rPr>
            </w:pPr>
            <w:r w:rsidRPr="00BE1F57">
              <w:rPr>
                <w:rFonts w:eastAsia="Gill Sans MT"/>
                <w:sz w:val="20"/>
                <w:szCs w:val="20"/>
              </w:rPr>
              <w:t>1</w:t>
            </w:r>
          </w:p>
        </w:tc>
        <w:tc>
          <w:tcPr>
            <w:tcW w:w="1680" w:type="dxa"/>
            <w:vAlign w:val="center"/>
          </w:tcPr>
          <w:p w14:paraId="0BC62703" w14:textId="0CFE9DC7" w:rsidR="2C880ADD" w:rsidRPr="00BE1F57" w:rsidRDefault="2C880ADD" w:rsidP="00FD2238">
            <w:pPr>
              <w:spacing w:before="23" w:line="276" w:lineRule="auto"/>
              <w:jc w:val="center"/>
              <w:rPr>
                <w:sz w:val="20"/>
                <w:szCs w:val="20"/>
              </w:rPr>
            </w:pPr>
            <w:r w:rsidRPr="00BE1F57">
              <w:rPr>
                <w:rFonts w:eastAsia="Gill Sans MT"/>
                <w:sz w:val="20"/>
                <w:szCs w:val="20"/>
              </w:rPr>
              <w:t>16</w:t>
            </w:r>
          </w:p>
        </w:tc>
        <w:tc>
          <w:tcPr>
            <w:tcW w:w="1005" w:type="dxa"/>
            <w:vAlign w:val="center"/>
          </w:tcPr>
          <w:p w14:paraId="268B655C" w14:textId="0CEB9940" w:rsidR="2C880ADD" w:rsidRPr="00BE1F57" w:rsidRDefault="2C880ADD" w:rsidP="00DD0E52">
            <w:pPr>
              <w:spacing w:before="90" w:line="276" w:lineRule="auto"/>
              <w:jc w:val="center"/>
              <w:rPr>
                <w:sz w:val="20"/>
                <w:szCs w:val="20"/>
              </w:rPr>
            </w:pPr>
            <w:r w:rsidRPr="00BE1F57">
              <w:rPr>
                <w:rFonts w:eastAsia="Gill Sans MT"/>
                <w:b/>
                <w:bCs/>
                <w:sz w:val="20"/>
                <w:szCs w:val="20"/>
              </w:rPr>
              <w:t>26</w:t>
            </w:r>
          </w:p>
        </w:tc>
      </w:tr>
      <w:tr w:rsidR="2C880ADD" w:rsidRPr="000E67B4" w14:paraId="4ACC3103" w14:textId="77777777" w:rsidTr="00FD2238">
        <w:trPr>
          <w:trHeight w:val="240"/>
        </w:trPr>
        <w:tc>
          <w:tcPr>
            <w:tcW w:w="4128" w:type="dxa"/>
            <w:vAlign w:val="center"/>
          </w:tcPr>
          <w:p w14:paraId="403E1494" w14:textId="49BC80F0" w:rsidR="2C880ADD" w:rsidRPr="00BE1F57" w:rsidRDefault="00B63DF4" w:rsidP="00FD2238">
            <w:pPr>
              <w:spacing w:before="6" w:line="276" w:lineRule="auto"/>
              <w:rPr>
                <w:sz w:val="20"/>
                <w:szCs w:val="20"/>
              </w:rPr>
            </w:pPr>
            <w:r w:rsidRPr="00BE1F57">
              <w:rPr>
                <w:rFonts w:eastAsia="Gill Sans MT"/>
                <w:sz w:val="20"/>
                <w:szCs w:val="20"/>
              </w:rPr>
              <w:t>Međunarodna razmjena</w:t>
            </w:r>
          </w:p>
        </w:tc>
        <w:tc>
          <w:tcPr>
            <w:tcW w:w="1452" w:type="dxa"/>
            <w:vAlign w:val="center"/>
          </w:tcPr>
          <w:p w14:paraId="168E596E" w14:textId="43F8E310" w:rsidR="2C880ADD" w:rsidRPr="00BE1F57" w:rsidRDefault="2C880ADD" w:rsidP="00FD2238">
            <w:pPr>
              <w:spacing w:before="6" w:line="276" w:lineRule="auto"/>
              <w:jc w:val="center"/>
              <w:rPr>
                <w:sz w:val="20"/>
                <w:szCs w:val="20"/>
              </w:rPr>
            </w:pPr>
            <w:r w:rsidRPr="00BE1F57">
              <w:rPr>
                <w:rFonts w:eastAsia="Gill Sans MT"/>
                <w:sz w:val="20"/>
                <w:szCs w:val="20"/>
              </w:rPr>
              <w:t>12</w:t>
            </w:r>
          </w:p>
        </w:tc>
        <w:tc>
          <w:tcPr>
            <w:tcW w:w="1260" w:type="dxa"/>
            <w:vAlign w:val="center"/>
          </w:tcPr>
          <w:p w14:paraId="4029E684" w14:textId="17564239" w:rsidR="2C880ADD" w:rsidRPr="00BE1F57" w:rsidRDefault="2C880ADD" w:rsidP="00FD2238">
            <w:pPr>
              <w:spacing w:before="6" w:line="276" w:lineRule="auto"/>
              <w:jc w:val="center"/>
              <w:rPr>
                <w:sz w:val="20"/>
                <w:szCs w:val="20"/>
              </w:rPr>
            </w:pPr>
            <w:r w:rsidRPr="00BE1F57">
              <w:rPr>
                <w:rFonts w:eastAsia="Gill Sans MT"/>
                <w:sz w:val="20"/>
                <w:szCs w:val="20"/>
              </w:rPr>
              <w:t>0</w:t>
            </w:r>
          </w:p>
        </w:tc>
        <w:tc>
          <w:tcPr>
            <w:tcW w:w="1680" w:type="dxa"/>
            <w:vAlign w:val="center"/>
          </w:tcPr>
          <w:p w14:paraId="1EA8A5DE" w14:textId="53827B0B" w:rsidR="2C880ADD" w:rsidRPr="00BE1F57" w:rsidRDefault="2C880ADD" w:rsidP="00FD2238">
            <w:pPr>
              <w:spacing w:before="6" w:line="276" w:lineRule="auto"/>
              <w:jc w:val="center"/>
              <w:rPr>
                <w:sz w:val="20"/>
                <w:szCs w:val="20"/>
              </w:rPr>
            </w:pPr>
            <w:r w:rsidRPr="00BE1F57">
              <w:rPr>
                <w:rFonts w:eastAsia="Gill Sans MT"/>
                <w:sz w:val="20"/>
                <w:szCs w:val="20"/>
              </w:rPr>
              <w:t>13</w:t>
            </w:r>
          </w:p>
        </w:tc>
        <w:tc>
          <w:tcPr>
            <w:tcW w:w="1005" w:type="dxa"/>
            <w:vAlign w:val="center"/>
          </w:tcPr>
          <w:p w14:paraId="5C53FFD1" w14:textId="06D89CAE" w:rsidR="2C880ADD" w:rsidRPr="00BE1F57" w:rsidRDefault="2C880ADD" w:rsidP="00DD0E52">
            <w:pPr>
              <w:spacing w:before="51" w:line="276" w:lineRule="auto"/>
              <w:jc w:val="center"/>
              <w:rPr>
                <w:sz w:val="20"/>
                <w:szCs w:val="20"/>
              </w:rPr>
            </w:pPr>
            <w:r w:rsidRPr="00BE1F57">
              <w:rPr>
                <w:rFonts w:eastAsia="Gill Sans MT"/>
                <w:b/>
                <w:bCs/>
                <w:sz w:val="20"/>
                <w:szCs w:val="20"/>
              </w:rPr>
              <w:t>25</w:t>
            </w:r>
          </w:p>
        </w:tc>
      </w:tr>
      <w:tr w:rsidR="2C880ADD" w:rsidRPr="000E67B4" w14:paraId="5AE0A266" w14:textId="77777777" w:rsidTr="00FD2238">
        <w:trPr>
          <w:trHeight w:val="240"/>
        </w:trPr>
        <w:tc>
          <w:tcPr>
            <w:tcW w:w="4128" w:type="dxa"/>
            <w:vAlign w:val="center"/>
          </w:tcPr>
          <w:p w14:paraId="311CCBC0" w14:textId="0F779D19" w:rsidR="2C880ADD" w:rsidRPr="00BE1F57" w:rsidRDefault="001448E9" w:rsidP="00FD2238">
            <w:pPr>
              <w:spacing w:before="6" w:line="276" w:lineRule="auto"/>
              <w:rPr>
                <w:sz w:val="20"/>
                <w:szCs w:val="20"/>
              </w:rPr>
            </w:pPr>
            <w:r w:rsidRPr="00BE1F57">
              <w:rPr>
                <w:rFonts w:eastAsia="Gill Sans MT"/>
                <w:sz w:val="20"/>
                <w:szCs w:val="20"/>
              </w:rPr>
              <w:t>Međunarodne</w:t>
            </w:r>
            <w:r w:rsidR="00B63DF4" w:rsidRPr="00BE1F57">
              <w:rPr>
                <w:rFonts w:eastAsia="Gill Sans MT"/>
                <w:sz w:val="20"/>
                <w:szCs w:val="20"/>
              </w:rPr>
              <w:t xml:space="preserve"> investicije</w:t>
            </w:r>
          </w:p>
        </w:tc>
        <w:tc>
          <w:tcPr>
            <w:tcW w:w="1452" w:type="dxa"/>
            <w:vAlign w:val="center"/>
          </w:tcPr>
          <w:p w14:paraId="26AA1605" w14:textId="1AE8AF4C" w:rsidR="2C880ADD" w:rsidRPr="00BE1F57" w:rsidRDefault="2C880ADD" w:rsidP="00FD2238">
            <w:pPr>
              <w:spacing w:before="6" w:line="276" w:lineRule="auto"/>
              <w:jc w:val="center"/>
              <w:rPr>
                <w:sz w:val="20"/>
                <w:szCs w:val="20"/>
              </w:rPr>
            </w:pPr>
            <w:r w:rsidRPr="00BE1F57">
              <w:rPr>
                <w:rFonts w:eastAsia="Gill Sans MT"/>
                <w:sz w:val="20"/>
                <w:szCs w:val="20"/>
              </w:rPr>
              <w:t>10</w:t>
            </w:r>
          </w:p>
        </w:tc>
        <w:tc>
          <w:tcPr>
            <w:tcW w:w="1260" w:type="dxa"/>
            <w:vAlign w:val="center"/>
          </w:tcPr>
          <w:p w14:paraId="255A94E6" w14:textId="362C7485" w:rsidR="2C880ADD" w:rsidRPr="00BE1F57" w:rsidRDefault="2C880ADD" w:rsidP="00FD2238">
            <w:pPr>
              <w:spacing w:before="6" w:line="276" w:lineRule="auto"/>
              <w:jc w:val="center"/>
              <w:rPr>
                <w:sz w:val="20"/>
                <w:szCs w:val="20"/>
              </w:rPr>
            </w:pPr>
            <w:r w:rsidRPr="00BE1F57">
              <w:rPr>
                <w:rFonts w:eastAsia="Gill Sans MT"/>
                <w:sz w:val="20"/>
                <w:szCs w:val="20"/>
              </w:rPr>
              <w:t>1</w:t>
            </w:r>
          </w:p>
        </w:tc>
        <w:tc>
          <w:tcPr>
            <w:tcW w:w="1680" w:type="dxa"/>
            <w:vAlign w:val="center"/>
          </w:tcPr>
          <w:p w14:paraId="7FA5768B" w14:textId="1A6F5CEC" w:rsidR="2C880ADD" w:rsidRPr="00BE1F57" w:rsidRDefault="2C880ADD" w:rsidP="00FD2238">
            <w:pPr>
              <w:spacing w:before="6" w:line="276" w:lineRule="auto"/>
              <w:jc w:val="center"/>
              <w:rPr>
                <w:sz w:val="20"/>
                <w:szCs w:val="20"/>
              </w:rPr>
            </w:pPr>
            <w:r w:rsidRPr="00BE1F57">
              <w:rPr>
                <w:rFonts w:eastAsia="Gill Sans MT"/>
                <w:sz w:val="20"/>
                <w:szCs w:val="20"/>
              </w:rPr>
              <w:t>4</w:t>
            </w:r>
          </w:p>
        </w:tc>
        <w:tc>
          <w:tcPr>
            <w:tcW w:w="1005" w:type="dxa"/>
            <w:vAlign w:val="center"/>
          </w:tcPr>
          <w:p w14:paraId="5B4328DC" w14:textId="0C0CA8A9" w:rsidR="2C880ADD" w:rsidRPr="00BE1F57" w:rsidRDefault="2C880ADD" w:rsidP="00DD0E52">
            <w:pPr>
              <w:spacing w:before="51" w:line="276" w:lineRule="auto"/>
              <w:jc w:val="center"/>
              <w:rPr>
                <w:sz w:val="20"/>
                <w:szCs w:val="20"/>
              </w:rPr>
            </w:pPr>
            <w:r w:rsidRPr="00BE1F57">
              <w:rPr>
                <w:rFonts w:eastAsia="Gill Sans MT"/>
                <w:b/>
                <w:bCs/>
                <w:sz w:val="20"/>
                <w:szCs w:val="20"/>
              </w:rPr>
              <w:t>15</w:t>
            </w:r>
          </w:p>
        </w:tc>
      </w:tr>
      <w:tr w:rsidR="2C880ADD" w:rsidRPr="000E67B4" w14:paraId="7885DED1" w14:textId="77777777" w:rsidTr="00FD2238">
        <w:trPr>
          <w:trHeight w:val="240"/>
        </w:trPr>
        <w:tc>
          <w:tcPr>
            <w:tcW w:w="4128" w:type="dxa"/>
            <w:vAlign w:val="center"/>
          </w:tcPr>
          <w:p w14:paraId="3AAF59ED" w14:textId="571E0E3D" w:rsidR="2C880ADD" w:rsidRPr="00BE1F57" w:rsidRDefault="00B63DF4" w:rsidP="00FD2238">
            <w:pPr>
              <w:spacing w:before="6" w:line="276" w:lineRule="auto"/>
              <w:rPr>
                <w:sz w:val="20"/>
                <w:szCs w:val="20"/>
              </w:rPr>
            </w:pPr>
            <w:r w:rsidRPr="00BE1F57">
              <w:rPr>
                <w:rFonts w:eastAsia="Gill Sans MT"/>
                <w:sz w:val="20"/>
                <w:szCs w:val="20"/>
              </w:rPr>
              <w:t>Zaposlenost</w:t>
            </w:r>
          </w:p>
        </w:tc>
        <w:tc>
          <w:tcPr>
            <w:tcW w:w="1452" w:type="dxa"/>
            <w:vAlign w:val="center"/>
          </w:tcPr>
          <w:p w14:paraId="45C05AFB" w14:textId="6A4FD45D" w:rsidR="2C880ADD" w:rsidRPr="00BE1F57" w:rsidRDefault="2C880ADD" w:rsidP="00FD2238">
            <w:pPr>
              <w:spacing w:before="6" w:line="276" w:lineRule="auto"/>
              <w:jc w:val="center"/>
              <w:rPr>
                <w:sz w:val="20"/>
                <w:szCs w:val="20"/>
              </w:rPr>
            </w:pPr>
            <w:r w:rsidRPr="00BE1F57">
              <w:rPr>
                <w:rFonts w:eastAsia="Gill Sans MT"/>
                <w:sz w:val="20"/>
                <w:szCs w:val="20"/>
              </w:rPr>
              <w:t>8</w:t>
            </w:r>
          </w:p>
        </w:tc>
        <w:tc>
          <w:tcPr>
            <w:tcW w:w="1260" w:type="dxa"/>
            <w:vAlign w:val="center"/>
          </w:tcPr>
          <w:p w14:paraId="20CBAD3E" w14:textId="2FE15D9A" w:rsidR="2C880ADD" w:rsidRPr="00BE1F57" w:rsidRDefault="2C880ADD" w:rsidP="00FD2238">
            <w:pPr>
              <w:spacing w:before="6" w:line="276" w:lineRule="auto"/>
              <w:jc w:val="center"/>
              <w:rPr>
                <w:sz w:val="20"/>
                <w:szCs w:val="20"/>
              </w:rPr>
            </w:pPr>
            <w:r w:rsidRPr="00BE1F57">
              <w:rPr>
                <w:rFonts w:eastAsia="Gill Sans MT"/>
                <w:sz w:val="20"/>
                <w:szCs w:val="20"/>
              </w:rPr>
              <w:t>0</w:t>
            </w:r>
          </w:p>
        </w:tc>
        <w:tc>
          <w:tcPr>
            <w:tcW w:w="1680" w:type="dxa"/>
            <w:vAlign w:val="center"/>
          </w:tcPr>
          <w:p w14:paraId="2290D191" w14:textId="7EE5F3FB" w:rsidR="2C880ADD" w:rsidRPr="00BE1F57" w:rsidRDefault="2C880ADD" w:rsidP="00FD2238">
            <w:pPr>
              <w:spacing w:before="6" w:line="276" w:lineRule="auto"/>
              <w:jc w:val="center"/>
              <w:rPr>
                <w:sz w:val="20"/>
                <w:szCs w:val="20"/>
              </w:rPr>
            </w:pPr>
            <w:r w:rsidRPr="00BE1F57">
              <w:rPr>
                <w:rFonts w:eastAsia="Gill Sans MT"/>
                <w:sz w:val="20"/>
                <w:szCs w:val="20"/>
              </w:rPr>
              <w:t>2</w:t>
            </w:r>
          </w:p>
        </w:tc>
        <w:tc>
          <w:tcPr>
            <w:tcW w:w="1005" w:type="dxa"/>
            <w:vAlign w:val="center"/>
          </w:tcPr>
          <w:p w14:paraId="2E6409C6" w14:textId="1E7060A1" w:rsidR="2C880ADD" w:rsidRPr="00BE1F57" w:rsidRDefault="2C880ADD" w:rsidP="00DD0E52">
            <w:pPr>
              <w:spacing w:before="51" w:line="276" w:lineRule="auto"/>
              <w:jc w:val="center"/>
              <w:rPr>
                <w:sz w:val="20"/>
                <w:szCs w:val="20"/>
              </w:rPr>
            </w:pPr>
            <w:r w:rsidRPr="00BE1F57">
              <w:rPr>
                <w:rFonts w:eastAsia="Gill Sans MT"/>
                <w:b/>
                <w:bCs/>
                <w:sz w:val="20"/>
                <w:szCs w:val="20"/>
              </w:rPr>
              <w:t>10</w:t>
            </w:r>
          </w:p>
        </w:tc>
      </w:tr>
      <w:tr w:rsidR="2C880ADD" w:rsidRPr="000E67B4" w14:paraId="23320B03" w14:textId="77777777" w:rsidTr="00FD2238">
        <w:trPr>
          <w:trHeight w:val="210"/>
        </w:trPr>
        <w:tc>
          <w:tcPr>
            <w:tcW w:w="4128" w:type="dxa"/>
            <w:vAlign w:val="center"/>
          </w:tcPr>
          <w:p w14:paraId="5F6033C1" w14:textId="468EBD8A" w:rsidR="2C880ADD" w:rsidRPr="00BE1F57" w:rsidRDefault="00B63DF4" w:rsidP="00FD2238">
            <w:pPr>
              <w:spacing w:before="6" w:line="276" w:lineRule="auto"/>
              <w:rPr>
                <w:sz w:val="20"/>
                <w:szCs w:val="20"/>
              </w:rPr>
            </w:pPr>
            <w:r w:rsidRPr="00BE1F57">
              <w:rPr>
                <w:rFonts w:eastAsia="Gill Sans MT"/>
                <w:sz w:val="20"/>
                <w:szCs w:val="20"/>
              </w:rPr>
              <w:t>Cijene</w:t>
            </w:r>
          </w:p>
        </w:tc>
        <w:tc>
          <w:tcPr>
            <w:tcW w:w="1452" w:type="dxa"/>
            <w:vAlign w:val="center"/>
          </w:tcPr>
          <w:p w14:paraId="6B673E23" w14:textId="6C45894B" w:rsidR="2C880ADD" w:rsidRPr="00BE1F57" w:rsidRDefault="2C880ADD" w:rsidP="00FD2238">
            <w:pPr>
              <w:spacing w:before="6" w:line="276" w:lineRule="auto"/>
              <w:jc w:val="center"/>
              <w:rPr>
                <w:sz w:val="20"/>
                <w:szCs w:val="20"/>
              </w:rPr>
            </w:pPr>
            <w:r w:rsidRPr="00BE1F57">
              <w:rPr>
                <w:rFonts w:eastAsia="Gill Sans MT"/>
                <w:sz w:val="20"/>
                <w:szCs w:val="20"/>
              </w:rPr>
              <w:t>5</w:t>
            </w:r>
          </w:p>
        </w:tc>
        <w:tc>
          <w:tcPr>
            <w:tcW w:w="1260" w:type="dxa"/>
            <w:vAlign w:val="center"/>
          </w:tcPr>
          <w:p w14:paraId="431294F5" w14:textId="5B64BC1F" w:rsidR="2C880ADD" w:rsidRPr="00BE1F57" w:rsidRDefault="2C880ADD" w:rsidP="00FD2238">
            <w:pPr>
              <w:spacing w:before="6" w:line="276" w:lineRule="auto"/>
              <w:jc w:val="center"/>
              <w:rPr>
                <w:sz w:val="20"/>
                <w:szCs w:val="20"/>
              </w:rPr>
            </w:pPr>
            <w:r w:rsidRPr="00BE1F57">
              <w:rPr>
                <w:rFonts w:eastAsia="Gill Sans MT"/>
                <w:sz w:val="20"/>
                <w:szCs w:val="20"/>
              </w:rPr>
              <w:t>0</w:t>
            </w:r>
          </w:p>
        </w:tc>
        <w:tc>
          <w:tcPr>
            <w:tcW w:w="1680" w:type="dxa"/>
            <w:vAlign w:val="center"/>
          </w:tcPr>
          <w:p w14:paraId="5650674F" w14:textId="594AFEC9" w:rsidR="2C880ADD" w:rsidRPr="00BE1F57" w:rsidRDefault="2C880ADD" w:rsidP="00FD2238">
            <w:pPr>
              <w:spacing w:before="6" w:line="276" w:lineRule="auto"/>
              <w:jc w:val="center"/>
              <w:rPr>
                <w:sz w:val="20"/>
                <w:szCs w:val="20"/>
              </w:rPr>
            </w:pPr>
            <w:r w:rsidRPr="00BE1F57">
              <w:rPr>
                <w:rFonts w:eastAsia="Gill Sans MT"/>
                <w:sz w:val="20"/>
                <w:szCs w:val="20"/>
              </w:rPr>
              <w:t>1</w:t>
            </w:r>
          </w:p>
        </w:tc>
        <w:tc>
          <w:tcPr>
            <w:tcW w:w="1005" w:type="dxa"/>
            <w:vAlign w:val="center"/>
          </w:tcPr>
          <w:p w14:paraId="69B46FA4" w14:textId="35DAEBDD" w:rsidR="2C880ADD" w:rsidRPr="00BE1F57" w:rsidRDefault="2C880ADD" w:rsidP="00DD0E52">
            <w:pPr>
              <w:spacing w:before="51" w:line="276" w:lineRule="auto"/>
              <w:jc w:val="center"/>
              <w:rPr>
                <w:sz w:val="20"/>
                <w:szCs w:val="20"/>
              </w:rPr>
            </w:pPr>
            <w:r w:rsidRPr="00BE1F57">
              <w:rPr>
                <w:rFonts w:eastAsia="Gill Sans MT"/>
                <w:b/>
                <w:bCs/>
                <w:sz w:val="20"/>
                <w:szCs w:val="20"/>
              </w:rPr>
              <w:t>6</w:t>
            </w:r>
          </w:p>
        </w:tc>
      </w:tr>
      <w:tr w:rsidR="2C880ADD" w:rsidRPr="000E67B4" w14:paraId="6453DA7F" w14:textId="77777777" w:rsidTr="00FD2238">
        <w:trPr>
          <w:trHeight w:val="223"/>
        </w:trPr>
        <w:tc>
          <w:tcPr>
            <w:tcW w:w="4128" w:type="dxa"/>
            <w:shd w:val="clear" w:color="auto" w:fill="DAEEF3" w:themeFill="accent5" w:themeFillTint="33"/>
            <w:vAlign w:val="center"/>
          </w:tcPr>
          <w:p w14:paraId="40EEF4FE" w14:textId="2531B1A3" w:rsidR="2C880ADD" w:rsidRPr="00BE1F57" w:rsidRDefault="2C880ADD" w:rsidP="00FD2238">
            <w:pPr>
              <w:spacing w:line="276" w:lineRule="auto"/>
              <w:rPr>
                <w:sz w:val="20"/>
                <w:szCs w:val="20"/>
              </w:rPr>
            </w:pPr>
            <w:r w:rsidRPr="00BE1F57">
              <w:rPr>
                <w:rFonts w:eastAsia="Calibri"/>
                <w:sz w:val="20"/>
                <w:szCs w:val="20"/>
              </w:rPr>
              <w:t xml:space="preserve"> </w:t>
            </w:r>
          </w:p>
        </w:tc>
        <w:tc>
          <w:tcPr>
            <w:tcW w:w="1452" w:type="dxa"/>
            <w:shd w:val="clear" w:color="auto" w:fill="DAEEF3" w:themeFill="accent5" w:themeFillTint="33"/>
            <w:vAlign w:val="center"/>
          </w:tcPr>
          <w:p w14:paraId="7570C4B5" w14:textId="7C46ED96" w:rsidR="2C880ADD" w:rsidRPr="00BE1F57" w:rsidRDefault="2C880ADD" w:rsidP="00FD2238">
            <w:pPr>
              <w:spacing w:before="35" w:line="276" w:lineRule="auto"/>
              <w:jc w:val="center"/>
              <w:rPr>
                <w:sz w:val="20"/>
                <w:szCs w:val="20"/>
              </w:rPr>
            </w:pPr>
            <w:r w:rsidRPr="00BE1F57">
              <w:rPr>
                <w:rFonts w:eastAsia="Gill Sans MT"/>
                <w:b/>
                <w:bCs/>
                <w:color w:val="000000" w:themeColor="text1"/>
                <w:sz w:val="20"/>
                <w:szCs w:val="20"/>
              </w:rPr>
              <w:t>44</w:t>
            </w:r>
          </w:p>
        </w:tc>
        <w:tc>
          <w:tcPr>
            <w:tcW w:w="1260" w:type="dxa"/>
            <w:shd w:val="clear" w:color="auto" w:fill="DAEEF3" w:themeFill="accent5" w:themeFillTint="33"/>
            <w:vAlign w:val="center"/>
          </w:tcPr>
          <w:p w14:paraId="2C136028" w14:textId="1DD10911" w:rsidR="2C880ADD" w:rsidRPr="00BE1F57" w:rsidRDefault="2C880ADD" w:rsidP="00FD2238">
            <w:pPr>
              <w:spacing w:before="35" w:line="276" w:lineRule="auto"/>
              <w:jc w:val="center"/>
              <w:rPr>
                <w:sz w:val="20"/>
                <w:szCs w:val="20"/>
              </w:rPr>
            </w:pPr>
            <w:r w:rsidRPr="00BE1F57">
              <w:rPr>
                <w:rFonts w:eastAsia="Gill Sans MT"/>
                <w:b/>
                <w:bCs/>
                <w:color w:val="000000" w:themeColor="text1"/>
                <w:sz w:val="20"/>
                <w:szCs w:val="20"/>
              </w:rPr>
              <w:t>2</w:t>
            </w:r>
          </w:p>
        </w:tc>
        <w:tc>
          <w:tcPr>
            <w:tcW w:w="1680" w:type="dxa"/>
            <w:shd w:val="clear" w:color="auto" w:fill="DAEEF3" w:themeFill="accent5" w:themeFillTint="33"/>
            <w:vAlign w:val="center"/>
          </w:tcPr>
          <w:p w14:paraId="2DF92541" w14:textId="5C07C789" w:rsidR="2C880ADD" w:rsidRPr="00BE1F57" w:rsidRDefault="2C880ADD" w:rsidP="00FD2238">
            <w:pPr>
              <w:spacing w:before="35" w:line="276" w:lineRule="auto"/>
              <w:jc w:val="center"/>
              <w:rPr>
                <w:sz w:val="20"/>
                <w:szCs w:val="20"/>
              </w:rPr>
            </w:pPr>
            <w:r w:rsidRPr="00BE1F57">
              <w:rPr>
                <w:rFonts w:eastAsia="Gill Sans MT"/>
                <w:b/>
                <w:bCs/>
                <w:color w:val="000000" w:themeColor="text1"/>
                <w:sz w:val="20"/>
                <w:szCs w:val="20"/>
              </w:rPr>
              <w:t>36</w:t>
            </w:r>
          </w:p>
        </w:tc>
        <w:tc>
          <w:tcPr>
            <w:tcW w:w="1005" w:type="dxa"/>
            <w:shd w:val="clear" w:color="auto" w:fill="DAEEF3" w:themeFill="accent5" w:themeFillTint="33"/>
            <w:vAlign w:val="center"/>
          </w:tcPr>
          <w:p w14:paraId="787A9DDA" w14:textId="6FCE3BE1" w:rsidR="2C880ADD" w:rsidRPr="00BE1F57" w:rsidRDefault="2C880ADD" w:rsidP="00DD0E52">
            <w:pPr>
              <w:spacing w:line="276" w:lineRule="auto"/>
              <w:jc w:val="center"/>
              <w:rPr>
                <w:sz w:val="20"/>
                <w:szCs w:val="20"/>
              </w:rPr>
            </w:pPr>
            <w:r w:rsidRPr="00BE1F57">
              <w:rPr>
                <w:rFonts w:eastAsia="Gill Sans MT"/>
                <w:b/>
                <w:bCs/>
                <w:sz w:val="20"/>
                <w:szCs w:val="20"/>
              </w:rPr>
              <w:t xml:space="preserve">82 </w:t>
            </w:r>
          </w:p>
        </w:tc>
      </w:tr>
      <w:tr w:rsidR="2C880ADD" w:rsidRPr="000E67B4" w14:paraId="29972E4B" w14:textId="77777777" w:rsidTr="00FD2238">
        <w:trPr>
          <w:trHeight w:val="255"/>
        </w:trPr>
        <w:tc>
          <w:tcPr>
            <w:tcW w:w="4128" w:type="dxa"/>
            <w:shd w:val="clear" w:color="auto" w:fill="B6DDE8" w:themeFill="accent5" w:themeFillTint="66"/>
            <w:vAlign w:val="center"/>
          </w:tcPr>
          <w:p w14:paraId="26F165CD" w14:textId="2032D0DE" w:rsidR="2C880ADD" w:rsidRPr="00BE1F57" w:rsidRDefault="00955C07" w:rsidP="00FD2238">
            <w:pPr>
              <w:spacing w:before="9" w:line="276" w:lineRule="auto"/>
              <w:rPr>
                <w:sz w:val="20"/>
                <w:szCs w:val="20"/>
              </w:rPr>
            </w:pPr>
            <w:r w:rsidRPr="00BE1F57">
              <w:rPr>
                <w:rFonts w:eastAsia="Gill Sans MT"/>
                <w:b/>
                <w:bCs/>
                <w:sz w:val="20"/>
                <w:szCs w:val="20"/>
              </w:rPr>
              <w:t>Djelotvornost</w:t>
            </w:r>
            <w:r w:rsidR="00C02B15" w:rsidRPr="00BE1F57">
              <w:rPr>
                <w:rFonts w:eastAsia="Gill Sans MT"/>
                <w:b/>
                <w:bCs/>
                <w:sz w:val="20"/>
                <w:szCs w:val="20"/>
              </w:rPr>
              <w:t xml:space="preserve"> javn</w:t>
            </w:r>
            <w:r w:rsidR="008B4360">
              <w:rPr>
                <w:rFonts w:eastAsia="Gill Sans MT"/>
                <w:b/>
                <w:bCs/>
                <w:sz w:val="20"/>
                <w:szCs w:val="20"/>
              </w:rPr>
              <w:t>og sektora</w:t>
            </w:r>
          </w:p>
        </w:tc>
        <w:tc>
          <w:tcPr>
            <w:tcW w:w="1452" w:type="dxa"/>
            <w:shd w:val="clear" w:color="auto" w:fill="B6DDE8" w:themeFill="accent5" w:themeFillTint="66"/>
            <w:vAlign w:val="center"/>
          </w:tcPr>
          <w:p w14:paraId="3166111E" w14:textId="453C22EA" w:rsidR="2C880ADD" w:rsidRPr="00BE1F57" w:rsidRDefault="2C880ADD" w:rsidP="00FD2238">
            <w:pPr>
              <w:spacing w:before="25" w:line="276" w:lineRule="auto"/>
              <w:jc w:val="center"/>
              <w:rPr>
                <w:sz w:val="20"/>
                <w:szCs w:val="20"/>
              </w:rPr>
            </w:pPr>
            <w:r w:rsidRPr="00BE1F57">
              <w:rPr>
                <w:rFonts w:eastAsia="Gill Sans MT"/>
                <w:sz w:val="20"/>
                <w:szCs w:val="20"/>
              </w:rPr>
              <w:t>(ran</w:t>
            </w:r>
            <w:r w:rsidR="004A23D6" w:rsidRPr="00BE1F57">
              <w:rPr>
                <w:rFonts w:eastAsia="Gill Sans MT"/>
                <w:sz w:val="20"/>
                <w:szCs w:val="20"/>
              </w:rPr>
              <w:t>g</w:t>
            </w:r>
            <w:r w:rsidR="008115FB" w:rsidRPr="00BE1F57">
              <w:rPr>
                <w:rFonts w:eastAsia="Gill Sans MT"/>
                <w:sz w:val="20"/>
                <w:szCs w:val="20"/>
              </w:rPr>
              <w:t>irano</w:t>
            </w:r>
            <w:r w:rsidRPr="00BE1F57">
              <w:rPr>
                <w:rFonts w:eastAsia="Gill Sans MT"/>
                <w:sz w:val="20"/>
                <w:szCs w:val="20"/>
              </w:rPr>
              <w:t>)</w:t>
            </w:r>
          </w:p>
        </w:tc>
        <w:tc>
          <w:tcPr>
            <w:tcW w:w="1260" w:type="dxa"/>
            <w:shd w:val="clear" w:color="auto" w:fill="B6DDE8" w:themeFill="accent5" w:themeFillTint="66"/>
            <w:vAlign w:val="center"/>
          </w:tcPr>
          <w:p w14:paraId="51E91B52" w14:textId="2F144560" w:rsidR="2C880ADD" w:rsidRPr="00BE1F57" w:rsidRDefault="2C880ADD" w:rsidP="00FD2238">
            <w:pPr>
              <w:spacing w:before="25" w:line="276" w:lineRule="auto"/>
              <w:jc w:val="center"/>
              <w:rPr>
                <w:sz w:val="20"/>
                <w:szCs w:val="20"/>
              </w:rPr>
            </w:pPr>
            <w:r w:rsidRPr="00BE1F57">
              <w:rPr>
                <w:rFonts w:eastAsia="Gill Sans MT"/>
                <w:sz w:val="20"/>
                <w:szCs w:val="20"/>
              </w:rPr>
              <w:t>(ran</w:t>
            </w:r>
            <w:r w:rsidR="004A23D6" w:rsidRPr="00BE1F57">
              <w:rPr>
                <w:rFonts w:eastAsia="Gill Sans MT"/>
                <w:sz w:val="20"/>
                <w:szCs w:val="20"/>
              </w:rPr>
              <w:t>g</w:t>
            </w:r>
            <w:r w:rsidR="008115FB" w:rsidRPr="00BE1F57">
              <w:rPr>
                <w:rFonts w:eastAsia="Gill Sans MT"/>
                <w:sz w:val="20"/>
                <w:szCs w:val="20"/>
              </w:rPr>
              <w:t>irano</w:t>
            </w:r>
            <w:r w:rsidRPr="00BE1F57">
              <w:rPr>
                <w:rFonts w:eastAsia="Gill Sans MT"/>
                <w:sz w:val="20"/>
                <w:szCs w:val="20"/>
              </w:rPr>
              <w:t>)</w:t>
            </w:r>
          </w:p>
        </w:tc>
        <w:tc>
          <w:tcPr>
            <w:tcW w:w="1680" w:type="dxa"/>
            <w:shd w:val="clear" w:color="auto" w:fill="B6DDE8" w:themeFill="accent5" w:themeFillTint="66"/>
            <w:vAlign w:val="center"/>
          </w:tcPr>
          <w:p w14:paraId="31C3A456" w14:textId="37B6409A" w:rsidR="2C880ADD" w:rsidRPr="00BE1F57" w:rsidRDefault="2C880ADD" w:rsidP="00FD2238">
            <w:pPr>
              <w:spacing w:before="25" w:line="276" w:lineRule="auto"/>
              <w:jc w:val="center"/>
              <w:rPr>
                <w:sz w:val="20"/>
                <w:szCs w:val="20"/>
              </w:rPr>
            </w:pPr>
            <w:r w:rsidRPr="00BE1F57">
              <w:rPr>
                <w:rFonts w:eastAsia="Gill Sans MT"/>
                <w:sz w:val="20"/>
                <w:szCs w:val="20"/>
              </w:rPr>
              <w:t>(</w:t>
            </w:r>
            <w:r w:rsidR="008115FB" w:rsidRPr="00BE1F57">
              <w:rPr>
                <w:rFonts w:eastAsia="Gill Sans MT"/>
                <w:sz w:val="20"/>
                <w:szCs w:val="20"/>
              </w:rPr>
              <w:t>neran</w:t>
            </w:r>
            <w:r w:rsidR="004A23D6" w:rsidRPr="00BE1F57">
              <w:rPr>
                <w:rFonts w:eastAsia="Gill Sans MT"/>
                <w:sz w:val="20"/>
                <w:szCs w:val="20"/>
              </w:rPr>
              <w:t>g</w:t>
            </w:r>
            <w:r w:rsidR="008115FB" w:rsidRPr="00BE1F57">
              <w:rPr>
                <w:rFonts w:eastAsia="Gill Sans MT"/>
                <w:sz w:val="20"/>
                <w:szCs w:val="20"/>
              </w:rPr>
              <w:t>irano</w:t>
            </w:r>
            <w:r w:rsidRPr="00BE1F57">
              <w:rPr>
                <w:rFonts w:eastAsia="Gill Sans MT"/>
                <w:sz w:val="20"/>
                <w:szCs w:val="20"/>
              </w:rPr>
              <w:t>)</w:t>
            </w:r>
          </w:p>
        </w:tc>
        <w:tc>
          <w:tcPr>
            <w:tcW w:w="1005" w:type="dxa"/>
            <w:shd w:val="clear" w:color="auto" w:fill="B6DDE8" w:themeFill="accent5" w:themeFillTint="66"/>
            <w:vAlign w:val="center"/>
          </w:tcPr>
          <w:p w14:paraId="5489CAB9" w14:textId="65D92DC8" w:rsidR="2C880ADD" w:rsidRPr="00BE1F57" w:rsidRDefault="008115FB" w:rsidP="00DD0E52">
            <w:pPr>
              <w:spacing w:before="25" w:line="276" w:lineRule="auto"/>
              <w:jc w:val="center"/>
              <w:rPr>
                <w:sz w:val="20"/>
                <w:szCs w:val="20"/>
              </w:rPr>
            </w:pPr>
            <w:r w:rsidRPr="00BE1F57">
              <w:rPr>
                <w:rFonts w:eastAsia="Gill Sans MT"/>
                <w:b/>
                <w:bCs/>
                <w:sz w:val="20"/>
                <w:szCs w:val="20"/>
              </w:rPr>
              <w:t>Ukupno</w:t>
            </w:r>
          </w:p>
        </w:tc>
      </w:tr>
      <w:tr w:rsidR="2C880ADD" w:rsidRPr="000E67B4" w14:paraId="3879D7F3" w14:textId="77777777" w:rsidTr="00FD2238">
        <w:trPr>
          <w:trHeight w:val="270"/>
        </w:trPr>
        <w:tc>
          <w:tcPr>
            <w:tcW w:w="4128" w:type="dxa"/>
            <w:vAlign w:val="center"/>
          </w:tcPr>
          <w:p w14:paraId="2C05AA1A" w14:textId="2243DB5E" w:rsidR="2C880ADD" w:rsidRPr="00BE1F57" w:rsidRDefault="00C02B15" w:rsidP="00FD2238">
            <w:pPr>
              <w:spacing w:before="45" w:line="276" w:lineRule="auto"/>
              <w:rPr>
                <w:sz w:val="20"/>
                <w:szCs w:val="20"/>
              </w:rPr>
            </w:pPr>
            <w:r w:rsidRPr="00BE1F57">
              <w:rPr>
                <w:rFonts w:eastAsia="Gill Sans MT"/>
                <w:sz w:val="20"/>
                <w:szCs w:val="20"/>
              </w:rPr>
              <w:t>Javne financije</w:t>
            </w:r>
          </w:p>
        </w:tc>
        <w:tc>
          <w:tcPr>
            <w:tcW w:w="1452" w:type="dxa"/>
            <w:vAlign w:val="center"/>
          </w:tcPr>
          <w:p w14:paraId="27FAA7B7" w14:textId="69525457" w:rsidR="2C880ADD" w:rsidRPr="00BE1F57" w:rsidRDefault="2C880ADD" w:rsidP="00FD2238">
            <w:pPr>
              <w:spacing w:before="45" w:line="276" w:lineRule="auto"/>
              <w:jc w:val="center"/>
              <w:rPr>
                <w:sz w:val="20"/>
                <w:szCs w:val="20"/>
              </w:rPr>
            </w:pPr>
            <w:r w:rsidRPr="00BE1F57">
              <w:rPr>
                <w:rFonts w:eastAsia="Gill Sans MT"/>
                <w:sz w:val="20"/>
                <w:szCs w:val="20"/>
              </w:rPr>
              <w:t>4</w:t>
            </w:r>
          </w:p>
        </w:tc>
        <w:tc>
          <w:tcPr>
            <w:tcW w:w="1260" w:type="dxa"/>
            <w:vAlign w:val="center"/>
          </w:tcPr>
          <w:p w14:paraId="4955FBF9" w14:textId="2932AEA0" w:rsidR="2C880ADD" w:rsidRPr="00BE1F57" w:rsidRDefault="2C880ADD" w:rsidP="00FD2238">
            <w:pPr>
              <w:spacing w:before="45" w:line="276" w:lineRule="auto"/>
              <w:jc w:val="center"/>
              <w:rPr>
                <w:sz w:val="20"/>
                <w:szCs w:val="20"/>
              </w:rPr>
            </w:pPr>
            <w:r w:rsidRPr="00BE1F57">
              <w:rPr>
                <w:rFonts w:eastAsia="Gill Sans MT"/>
                <w:sz w:val="20"/>
                <w:szCs w:val="20"/>
              </w:rPr>
              <w:t>3</w:t>
            </w:r>
          </w:p>
        </w:tc>
        <w:tc>
          <w:tcPr>
            <w:tcW w:w="1680" w:type="dxa"/>
            <w:vAlign w:val="center"/>
          </w:tcPr>
          <w:p w14:paraId="68CEA016" w14:textId="156D801E" w:rsidR="2C880ADD" w:rsidRPr="00BE1F57" w:rsidRDefault="2C880ADD" w:rsidP="00FD2238">
            <w:pPr>
              <w:spacing w:before="45" w:line="276" w:lineRule="auto"/>
              <w:jc w:val="center"/>
              <w:rPr>
                <w:sz w:val="20"/>
                <w:szCs w:val="20"/>
              </w:rPr>
            </w:pPr>
            <w:r w:rsidRPr="00BE1F57">
              <w:rPr>
                <w:rFonts w:eastAsia="Gill Sans MT"/>
                <w:sz w:val="20"/>
                <w:szCs w:val="20"/>
              </w:rPr>
              <w:t>3</w:t>
            </w:r>
          </w:p>
        </w:tc>
        <w:tc>
          <w:tcPr>
            <w:tcW w:w="1005" w:type="dxa"/>
            <w:vAlign w:val="center"/>
          </w:tcPr>
          <w:p w14:paraId="585378A3" w14:textId="0DAE5A7F" w:rsidR="2C880ADD" w:rsidRPr="00BE1F57" w:rsidRDefault="2C880ADD" w:rsidP="00DD0E52">
            <w:pPr>
              <w:spacing w:before="82" w:line="276" w:lineRule="auto"/>
              <w:jc w:val="center"/>
              <w:rPr>
                <w:sz w:val="20"/>
                <w:szCs w:val="20"/>
              </w:rPr>
            </w:pPr>
            <w:r w:rsidRPr="00BE1F57">
              <w:rPr>
                <w:rFonts w:eastAsia="Gill Sans MT"/>
                <w:b/>
                <w:bCs/>
                <w:sz w:val="20"/>
                <w:szCs w:val="20"/>
              </w:rPr>
              <w:t>10</w:t>
            </w:r>
          </w:p>
        </w:tc>
      </w:tr>
      <w:tr w:rsidR="2C880ADD" w:rsidRPr="000E67B4" w14:paraId="579E108D" w14:textId="77777777" w:rsidTr="00FD2238">
        <w:trPr>
          <w:trHeight w:val="240"/>
        </w:trPr>
        <w:tc>
          <w:tcPr>
            <w:tcW w:w="4128" w:type="dxa"/>
            <w:vAlign w:val="center"/>
          </w:tcPr>
          <w:p w14:paraId="2B6E267D" w14:textId="206BC399" w:rsidR="2C880ADD" w:rsidRPr="00BE1F57" w:rsidRDefault="00C02B15" w:rsidP="00FD2238">
            <w:pPr>
              <w:spacing w:before="6" w:line="276" w:lineRule="auto"/>
              <w:rPr>
                <w:sz w:val="20"/>
                <w:szCs w:val="20"/>
              </w:rPr>
            </w:pPr>
            <w:r w:rsidRPr="00BE1F57">
              <w:rPr>
                <w:rFonts w:eastAsia="Gill Sans MT"/>
                <w:sz w:val="20"/>
                <w:szCs w:val="20"/>
              </w:rPr>
              <w:t>Porezne politike</w:t>
            </w:r>
          </w:p>
        </w:tc>
        <w:tc>
          <w:tcPr>
            <w:tcW w:w="1452" w:type="dxa"/>
            <w:vAlign w:val="center"/>
          </w:tcPr>
          <w:p w14:paraId="03E2F27F" w14:textId="4501B1DF" w:rsidR="2C880ADD" w:rsidRPr="00BE1F57" w:rsidRDefault="2C880ADD" w:rsidP="00FD2238">
            <w:pPr>
              <w:spacing w:before="6" w:line="276" w:lineRule="auto"/>
              <w:jc w:val="center"/>
              <w:rPr>
                <w:sz w:val="20"/>
                <w:szCs w:val="20"/>
              </w:rPr>
            </w:pPr>
            <w:r w:rsidRPr="00BE1F57">
              <w:rPr>
                <w:rFonts w:eastAsia="Gill Sans MT"/>
                <w:sz w:val="20"/>
                <w:szCs w:val="20"/>
              </w:rPr>
              <w:t>6</w:t>
            </w:r>
          </w:p>
        </w:tc>
        <w:tc>
          <w:tcPr>
            <w:tcW w:w="1260" w:type="dxa"/>
            <w:vAlign w:val="center"/>
          </w:tcPr>
          <w:p w14:paraId="3B303D8E" w14:textId="2097CDF0" w:rsidR="2C880ADD" w:rsidRPr="00BE1F57" w:rsidRDefault="2C880ADD" w:rsidP="00FD2238">
            <w:pPr>
              <w:spacing w:before="6" w:line="276" w:lineRule="auto"/>
              <w:jc w:val="center"/>
              <w:rPr>
                <w:sz w:val="20"/>
                <w:szCs w:val="20"/>
              </w:rPr>
            </w:pPr>
            <w:r w:rsidRPr="00BE1F57">
              <w:rPr>
                <w:rFonts w:eastAsia="Gill Sans MT"/>
                <w:sz w:val="20"/>
                <w:szCs w:val="20"/>
              </w:rPr>
              <w:t>1</w:t>
            </w:r>
          </w:p>
        </w:tc>
        <w:tc>
          <w:tcPr>
            <w:tcW w:w="1680" w:type="dxa"/>
            <w:vAlign w:val="center"/>
          </w:tcPr>
          <w:p w14:paraId="49A06E9E" w14:textId="1798B3AB" w:rsidR="2C880ADD" w:rsidRPr="00BE1F57" w:rsidRDefault="2C880ADD" w:rsidP="00FD2238">
            <w:pPr>
              <w:spacing w:before="6" w:line="276" w:lineRule="auto"/>
              <w:jc w:val="center"/>
              <w:rPr>
                <w:sz w:val="20"/>
                <w:szCs w:val="20"/>
              </w:rPr>
            </w:pPr>
            <w:r w:rsidRPr="00BE1F57">
              <w:rPr>
                <w:rFonts w:eastAsia="Gill Sans MT"/>
                <w:sz w:val="20"/>
                <w:szCs w:val="20"/>
              </w:rPr>
              <w:t>4</w:t>
            </w:r>
          </w:p>
        </w:tc>
        <w:tc>
          <w:tcPr>
            <w:tcW w:w="1005" w:type="dxa"/>
            <w:vAlign w:val="center"/>
          </w:tcPr>
          <w:p w14:paraId="77C8B3CD" w14:textId="03CB46CF" w:rsidR="2C880ADD" w:rsidRPr="00BE1F57" w:rsidRDefault="2C880ADD" w:rsidP="00DD0E52">
            <w:pPr>
              <w:spacing w:before="51" w:line="276" w:lineRule="auto"/>
              <w:jc w:val="center"/>
              <w:rPr>
                <w:sz w:val="20"/>
                <w:szCs w:val="20"/>
              </w:rPr>
            </w:pPr>
            <w:r w:rsidRPr="00BE1F57">
              <w:rPr>
                <w:rFonts w:eastAsia="Gill Sans MT"/>
                <w:b/>
                <w:bCs/>
                <w:sz w:val="20"/>
                <w:szCs w:val="20"/>
              </w:rPr>
              <w:t>11</w:t>
            </w:r>
          </w:p>
        </w:tc>
      </w:tr>
      <w:tr w:rsidR="2C880ADD" w:rsidRPr="000E67B4" w14:paraId="7A9C342B" w14:textId="77777777" w:rsidTr="00FD2238">
        <w:trPr>
          <w:trHeight w:val="240"/>
        </w:trPr>
        <w:tc>
          <w:tcPr>
            <w:tcW w:w="4128" w:type="dxa"/>
            <w:vAlign w:val="center"/>
          </w:tcPr>
          <w:p w14:paraId="5B890954" w14:textId="5FD76633" w:rsidR="2C880ADD" w:rsidRPr="00BE1F57" w:rsidRDefault="00C02B15" w:rsidP="00FD2238">
            <w:pPr>
              <w:spacing w:before="7" w:line="276" w:lineRule="auto"/>
              <w:rPr>
                <w:sz w:val="20"/>
                <w:szCs w:val="20"/>
              </w:rPr>
            </w:pPr>
            <w:r w:rsidRPr="00BE1F57">
              <w:rPr>
                <w:rFonts w:eastAsia="Gill Sans MT"/>
                <w:sz w:val="20"/>
                <w:szCs w:val="20"/>
              </w:rPr>
              <w:t>Institucionalni okvir</w:t>
            </w:r>
          </w:p>
        </w:tc>
        <w:tc>
          <w:tcPr>
            <w:tcW w:w="1452" w:type="dxa"/>
            <w:vAlign w:val="center"/>
          </w:tcPr>
          <w:p w14:paraId="55FF9727" w14:textId="6C39D546" w:rsidR="2C880ADD" w:rsidRPr="00BE1F57" w:rsidRDefault="2C880ADD" w:rsidP="00FD2238">
            <w:pPr>
              <w:spacing w:before="7" w:line="276" w:lineRule="auto"/>
              <w:jc w:val="center"/>
              <w:rPr>
                <w:sz w:val="20"/>
                <w:szCs w:val="20"/>
              </w:rPr>
            </w:pPr>
            <w:r w:rsidRPr="00BE1F57">
              <w:rPr>
                <w:rFonts w:eastAsia="Gill Sans MT"/>
                <w:sz w:val="20"/>
                <w:szCs w:val="20"/>
              </w:rPr>
              <w:t>7</w:t>
            </w:r>
          </w:p>
        </w:tc>
        <w:tc>
          <w:tcPr>
            <w:tcW w:w="1260" w:type="dxa"/>
            <w:vAlign w:val="center"/>
          </w:tcPr>
          <w:p w14:paraId="62EFF1FE" w14:textId="508A7625" w:rsidR="2C880ADD" w:rsidRPr="00BE1F57" w:rsidRDefault="2C880ADD" w:rsidP="00FD2238">
            <w:pPr>
              <w:spacing w:before="7" w:line="276" w:lineRule="auto"/>
              <w:jc w:val="center"/>
              <w:rPr>
                <w:sz w:val="20"/>
                <w:szCs w:val="20"/>
              </w:rPr>
            </w:pPr>
            <w:r w:rsidRPr="00BE1F57">
              <w:rPr>
                <w:rFonts w:eastAsia="Gill Sans MT"/>
                <w:sz w:val="20"/>
                <w:szCs w:val="20"/>
              </w:rPr>
              <w:t>7</w:t>
            </w:r>
          </w:p>
        </w:tc>
        <w:tc>
          <w:tcPr>
            <w:tcW w:w="1680" w:type="dxa"/>
            <w:vAlign w:val="center"/>
          </w:tcPr>
          <w:p w14:paraId="5D2AEA0F" w14:textId="45A91291" w:rsidR="2C880ADD" w:rsidRPr="00BE1F57" w:rsidRDefault="2C880ADD" w:rsidP="00FD2238">
            <w:pPr>
              <w:spacing w:before="7" w:line="276" w:lineRule="auto"/>
              <w:jc w:val="center"/>
              <w:rPr>
                <w:sz w:val="20"/>
                <w:szCs w:val="20"/>
              </w:rPr>
            </w:pPr>
            <w:r w:rsidRPr="00BE1F57">
              <w:rPr>
                <w:rFonts w:eastAsia="Gill Sans MT"/>
                <w:sz w:val="20"/>
                <w:szCs w:val="20"/>
              </w:rPr>
              <w:t>2</w:t>
            </w:r>
          </w:p>
        </w:tc>
        <w:tc>
          <w:tcPr>
            <w:tcW w:w="1005" w:type="dxa"/>
            <w:vAlign w:val="center"/>
          </w:tcPr>
          <w:p w14:paraId="769FCA4F" w14:textId="6B8A1A1F" w:rsidR="2C880ADD" w:rsidRPr="00BE1F57" w:rsidRDefault="2C880ADD" w:rsidP="00DD0E52">
            <w:pPr>
              <w:spacing w:before="52" w:line="276" w:lineRule="auto"/>
              <w:jc w:val="center"/>
              <w:rPr>
                <w:sz w:val="20"/>
                <w:szCs w:val="20"/>
              </w:rPr>
            </w:pPr>
            <w:r w:rsidRPr="00BE1F57">
              <w:rPr>
                <w:rFonts w:eastAsia="Gill Sans MT"/>
                <w:b/>
                <w:bCs/>
                <w:sz w:val="20"/>
                <w:szCs w:val="20"/>
              </w:rPr>
              <w:t>16</w:t>
            </w:r>
          </w:p>
        </w:tc>
      </w:tr>
      <w:tr w:rsidR="2C880ADD" w:rsidRPr="000E67B4" w14:paraId="79F91FAA" w14:textId="77777777" w:rsidTr="00FD2238">
        <w:trPr>
          <w:trHeight w:val="240"/>
        </w:trPr>
        <w:tc>
          <w:tcPr>
            <w:tcW w:w="4128" w:type="dxa"/>
            <w:vAlign w:val="center"/>
          </w:tcPr>
          <w:p w14:paraId="6BE6A7E6" w14:textId="5068255C" w:rsidR="2C880ADD" w:rsidRPr="00BE1F57" w:rsidRDefault="003A37F3" w:rsidP="00FD2238">
            <w:pPr>
              <w:spacing w:before="6" w:line="276" w:lineRule="auto"/>
              <w:rPr>
                <w:sz w:val="20"/>
                <w:szCs w:val="20"/>
              </w:rPr>
            </w:pPr>
            <w:r w:rsidRPr="00BE1F57">
              <w:rPr>
                <w:rFonts w:eastAsia="Gill Sans MT"/>
                <w:sz w:val="20"/>
                <w:szCs w:val="20"/>
              </w:rPr>
              <w:t>Poslovno zakonodavstvo</w:t>
            </w:r>
          </w:p>
        </w:tc>
        <w:tc>
          <w:tcPr>
            <w:tcW w:w="1452" w:type="dxa"/>
            <w:vAlign w:val="center"/>
          </w:tcPr>
          <w:p w14:paraId="4B199CA4" w14:textId="0FE5E5E3" w:rsidR="2C880ADD" w:rsidRPr="00BE1F57" w:rsidRDefault="2C880ADD" w:rsidP="00FD2238">
            <w:pPr>
              <w:spacing w:before="6" w:line="276" w:lineRule="auto"/>
              <w:jc w:val="center"/>
              <w:rPr>
                <w:sz w:val="20"/>
                <w:szCs w:val="20"/>
              </w:rPr>
            </w:pPr>
            <w:r w:rsidRPr="00BE1F57">
              <w:rPr>
                <w:rFonts w:eastAsia="Gill Sans MT"/>
                <w:sz w:val="20"/>
                <w:szCs w:val="20"/>
              </w:rPr>
              <w:t>6</w:t>
            </w:r>
          </w:p>
        </w:tc>
        <w:tc>
          <w:tcPr>
            <w:tcW w:w="1260" w:type="dxa"/>
            <w:vAlign w:val="center"/>
          </w:tcPr>
          <w:p w14:paraId="0E2790EE" w14:textId="4326E79A" w:rsidR="2C880ADD" w:rsidRPr="00BE1F57" w:rsidRDefault="2C880ADD" w:rsidP="00FD2238">
            <w:pPr>
              <w:spacing w:before="6" w:line="276" w:lineRule="auto"/>
              <w:jc w:val="center"/>
              <w:rPr>
                <w:sz w:val="20"/>
                <w:szCs w:val="20"/>
              </w:rPr>
            </w:pPr>
            <w:r w:rsidRPr="00BE1F57">
              <w:rPr>
                <w:rFonts w:eastAsia="Gill Sans MT"/>
                <w:sz w:val="20"/>
                <w:szCs w:val="20"/>
              </w:rPr>
              <w:t>13</w:t>
            </w:r>
          </w:p>
        </w:tc>
        <w:tc>
          <w:tcPr>
            <w:tcW w:w="1680" w:type="dxa"/>
            <w:vAlign w:val="center"/>
          </w:tcPr>
          <w:p w14:paraId="46E22B97" w14:textId="53C0AD46" w:rsidR="2C880ADD" w:rsidRPr="00BE1F57" w:rsidRDefault="2C880ADD" w:rsidP="00FD2238">
            <w:pPr>
              <w:spacing w:before="6" w:line="276" w:lineRule="auto"/>
              <w:jc w:val="center"/>
              <w:rPr>
                <w:sz w:val="20"/>
                <w:szCs w:val="20"/>
              </w:rPr>
            </w:pPr>
            <w:r w:rsidRPr="00BE1F57">
              <w:rPr>
                <w:rFonts w:eastAsia="Gill Sans MT"/>
                <w:sz w:val="20"/>
                <w:szCs w:val="20"/>
              </w:rPr>
              <w:t>0</w:t>
            </w:r>
          </w:p>
        </w:tc>
        <w:tc>
          <w:tcPr>
            <w:tcW w:w="1005" w:type="dxa"/>
            <w:vAlign w:val="center"/>
          </w:tcPr>
          <w:p w14:paraId="66B6DF0C" w14:textId="773384AB" w:rsidR="2C880ADD" w:rsidRPr="00BE1F57" w:rsidRDefault="2C880ADD" w:rsidP="00DD0E52">
            <w:pPr>
              <w:spacing w:before="51" w:line="276" w:lineRule="auto"/>
              <w:jc w:val="center"/>
              <w:rPr>
                <w:sz w:val="20"/>
                <w:szCs w:val="20"/>
              </w:rPr>
            </w:pPr>
            <w:r w:rsidRPr="00BE1F57">
              <w:rPr>
                <w:rFonts w:eastAsia="Gill Sans MT"/>
                <w:b/>
                <w:bCs/>
                <w:sz w:val="20"/>
                <w:szCs w:val="20"/>
              </w:rPr>
              <w:t>19</w:t>
            </w:r>
          </w:p>
        </w:tc>
      </w:tr>
      <w:tr w:rsidR="2C880ADD" w:rsidRPr="000E67B4" w14:paraId="0212EB03" w14:textId="77777777" w:rsidTr="00FD2238">
        <w:trPr>
          <w:trHeight w:val="240"/>
        </w:trPr>
        <w:tc>
          <w:tcPr>
            <w:tcW w:w="4128" w:type="dxa"/>
            <w:vAlign w:val="center"/>
          </w:tcPr>
          <w:p w14:paraId="4BF268DA" w14:textId="5EAF8556" w:rsidR="2C880ADD" w:rsidRPr="00BE1F57" w:rsidRDefault="00A14FF2" w:rsidP="00FD2238">
            <w:pPr>
              <w:spacing w:before="6" w:line="276" w:lineRule="auto"/>
              <w:rPr>
                <w:sz w:val="20"/>
                <w:szCs w:val="20"/>
              </w:rPr>
            </w:pPr>
            <w:r w:rsidRPr="00BE1F57">
              <w:rPr>
                <w:rFonts w:eastAsia="Gill Sans MT"/>
                <w:sz w:val="20"/>
                <w:szCs w:val="20"/>
              </w:rPr>
              <w:t>Društveni okvir</w:t>
            </w:r>
          </w:p>
        </w:tc>
        <w:tc>
          <w:tcPr>
            <w:tcW w:w="1452" w:type="dxa"/>
            <w:vAlign w:val="center"/>
          </w:tcPr>
          <w:p w14:paraId="3E88C675" w14:textId="63D3E82F" w:rsidR="2C880ADD" w:rsidRPr="00BE1F57" w:rsidRDefault="2C880ADD" w:rsidP="00FD2238">
            <w:pPr>
              <w:spacing w:before="6" w:line="276" w:lineRule="auto"/>
              <w:jc w:val="center"/>
              <w:rPr>
                <w:sz w:val="20"/>
                <w:szCs w:val="20"/>
              </w:rPr>
            </w:pPr>
            <w:r w:rsidRPr="00BE1F57">
              <w:rPr>
                <w:rFonts w:eastAsia="Gill Sans MT"/>
                <w:sz w:val="20"/>
                <w:szCs w:val="20"/>
              </w:rPr>
              <w:t>9</w:t>
            </w:r>
          </w:p>
        </w:tc>
        <w:tc>
          <w:tcPr>
            <w:tcW w:w="1260" w:type="dxa"/>
            <w:vAlign w:val="center"/>
          </w:tcPr>
          <w:p w14:paraId="0745FD28" w14:textId="4982B569" w:rsidR="2C880ADD" w:rsidRPr="00BE1F57" w:rsidRDefault="2C880ADD" w:rsidP="00FD2238">
            <w:pPr>
              <w:spacing w:before="6" w:line="276" w:lineRule="auto"/>
              <w:jc w:val="center"/>
              <w:rPr>
                <w:sz w:val="20"/>
                <w:szCs w:val="20"/>
              </w:rPr>
            </w:pPr>
            <w:r w:rsidRPr="00BE1F57">
              <w:rPr>
                <w:rFonts w:eastAsia="Gill Sans MT"/>
                <w:sz w:val="20"/>
                <w:szCs w:val="20"/>
              </w:rPr>
              <w:t>4</w:t>
            </w:r>
          </w:p>
        </w:tc>
        <w:tc>
          <w:tcPr>
            <w:tcW w:w="1680" w:type="dxa"/>
            <w:vAlign w:val="center"/>
          </w:tcPr>
          <w:p w14:paraId="2CBD9C9E" w14:textId="580EB573" w:rsidR="2C880ADD" w:rsidRPr="00BE1F57" w:rsidRDefault="2C880ADD" w:rsidP="00FD2238">
            <w:pPr>
              <w:spacing w:before="6" w:line="276" w:lineRule="auto"/>
              <w:jc w:val="center"/>
              <w:rPr>
                <w:sz w:val="20"/>
                <w:szCs w:val="20"/>
              </w:rPr>
            </w:pPr>
            <w:r w:rsidRPr="00BE1F57">
              <w:rPr>
                <w:rFonts w:eastAsia="Gill Sans MT"/>
                <w:sz w:val="20"/>
                <w:szCs w:val="20"/>
              </w:rPr>
              <w:t>3</w:t>
            </w:r>
          </w:p>
        </w:tc>
        <w:tc>
          <w:tcPr>
            <w:tcW w:w="1005" w:type="dxa"/>
            <w:vAlign w:val="center"/>
          </w:tcPr>
          <w:p w14:paraId="116D0E3F" w14:textId="194FB3C6" w:rsidR="2C880ADD" w:rsidRPr="00BE1F57" w:rsidRDefault="2C880ADD" w:rsidP="00DD0E52">
            <w:pPr>
              <w:spacing w:before="51" w:line="276" w:lineRule="auto"/>
              <w:jc w:val="center"/>
              <w:rPr>
                <w:sz w:val="20"/>
                <w:szCs w:val="20"/>
              </w:rPr>
            </w:pPr>
            <w:r w:rsidRPr="00BE1F57">
              <w:rPr>
                <w:rFonts w:eastAsia="Gill Sans MT"/>
                <w:b/>
                <w:bCs/>
                <w:sz w:val="20"/>
                <w:szCs w:val="20"/>
              </w:rPr>
              <w:t>16</w:t>
            </w:r>
          </w:p>
        </w:tc>
      </w:tr>
      <w:tr w:rsidR="2C880ADD" w:rsidRPr="000E67B4" w14:paraId="756DCF1D" w14:textId="77777777" w:rsidTr="00FD2238">
        <w:trPr>
          <w:trHeight w:val="225"/>
        </w:trPr>
        <w:tc>
          <w:tcPr>
            <w:tcW w:w="4128" w:type="dxa"/>
            <w:shd w:val="clear" w:color="auto" w:fill="DAEEF3" w:themeFill="accent5" w:themeFillTint="33"/>
            <w:vAlign w:val="center"/>
          </w:tcPr>
          <w:p w14:paraId="5EFA949B" w14:textId="7885CED0" w:rsidR="2C880ADD" w:rsidRPr="00BE1F57" w:rsidRDefault="2C880ADD" w:rsidP="00FD2238">
            <w:pPr>
              <w:spacing w:line="276" w:lineRule="auto"/>
              <w:rPr>
                <w:sz w:val="20"/>
                <w:szCs w:val="20"/>
              </w:rPr>
            </w:pPr>
            <w:r w:rsidRPr="00BE1F57">
              <w:rPr>
                <w:rFonts w:eastAsia="Calibri"/>
                <w:sz w:val="20"/>
                <w:szCs w:val="20"/>
              </w:rPr>
              <w:t xml:space="preserve"> </w:t>
            </w:r>
          </w:p>
        </w:tc>
        <w:tc>
          <w:tcPr>
            <w:tcW w:w="1452" w:type="dxa"/>
            <w:shd w:val="clear" w:color="auto" w:fill="DAEEF3" w:themeFill="accent5" w:themeFillTint="33"/>
            <w:vAlign w:val="center"/>
          </w:tcPr>
          <w:p w14:paraId="04E2CA33" w14:textId="0E7EDFF5" w:rsidR="2C880ADD" w:rsidRPr="00BE1F57" w:rsidRDefault="2C880ADD" w:rsidP="00FD2238">
            <w:pPr>
              <w:spacing w:before="6" w:line="276" w:lineRule="auto"/>
              <w:jc w:val="center"/>
              <w:rPr>
                <w:sz w:val="20"/>
                <w:szCs w:val="20"/>
              </w:rPr>
            </w:pPr>
            <w:r w:rsidRPr="00BE1F57">
              <w:rPr>
                <w:rFonts w:eastAsia="Gill Sans MT"/>
                <w:b/>
                <w:bCs/>
                <w:color w:val="000000" w:themeColor="text1"/>
                <w:sz w:val="20"/>
                <w:szCs w:val="20"/>
              </w:rPr>
              <w:t>32</w:t>
            </w:r>
          </w:p>
        </w:tc>
        <w:tc>
          <w:tcPr>
            <w:tcW w:w="1260" w:type="dxa"/>
            <w:shd w:val="clear" w:color="auto" w:fill="DAEEF3" w:themeFill="accent5" w:themeFillTint="33"/>
            <w:vAlign w:val="center"/>
          </w:tcPr>
          <w:p w14:paraId="3B8CD227" w14:textId="26CD541E" w:rsidR="2C880ADD" w:rsidRPr="00BE1F57" w:rsidRDefault="2C880ADD" w:rsidP="00FD2238">
            <w:pPr>
              <w:spacing w:line="276" w:lineRule="auto"/>
              <w:jc w:val="center"/>
              <w:rPr>
                <w:sz w:val="20"/>
                <w:szCs w:val="20"/>
              </w:rPr>
            </w:pPr>
            <w:r w:rsidRPr="00BE1F57">
              <w:rPr>
                <w:rFonts w:eastAsia="Gill Sans MT"/>
                <w:b/>
                <w:bCs/>
                <w:color w:val="000000" w:themeColor="text1"/>
                <w:sz w:val="20"/>
                <w:szCs w:val="20"/>
              </w:rPr>
              <w:t>28</w:t>
            </w:r>
          </w:p>
        </w:tc>
        <w:tc>
          <w:tcPr>
            <w:tcW w:w="1680" w:type="dxa"/>
            <w:shd w:val="clear" w:color="auto" w:fill="DAEEF3" w:themeFill="accent5" w:themeFillTint="33"/>
            <w:vAlign w:val="center"/>
          </w:tcPr>
          <w:p w14:paraId="20118525" w14:textId="354AB3E9" w:rsidR="2C880ADD" w:rsidRPr="00BE1F57" w:rsidRDefault="2C880ADD" w:rsidP="00FD2238">
            <w:pPr>
              <w:spacing w:before="6" w:line="276" w:lineRule="auto"/>
              <w:jc w:val="center"/>
              <w:rPr>
                <w:sz w:val="20"/>
                <w:szCs w:val="20"/>
              </w:rPr>
            </w:pPr>
            <w:r w:rsidRPr="00BE1F57">
              <w:rPr>
                <w:rFonts w:eastAsia="Gill Sans MT"/>
                <w:b/>
                <w:bCs/>
                <w:color w:val="000000" w:themeColor="text1"/>
                <w:sz w:val="20"/>
                <w:szCs w:val="20"/>
              </w:rPr>
              <w:t>12</w:t>
            </w:r>
          </w:p>
        </w:tc>
        <w:tc>
          <w:tcPr>
            <w:tcW w:w="1005" w:type="dxa"/>
            <w:shd w:val="clear" w:color="auto" w:fill="DAEEF3" w:themeFill="accent5" w:themeFillTint="33"/>
            <w:vAlign w:val="center"/>
          </w:tcPr>
          <w:p w14:paraId="0C53FACA" w14:textId="1D82B355" w:rsidR="2C880ADD" w:rsidRPr="00BE1F57" w:rsidRDefault="2C880ADD" w:rsidP="00DD0E52">
            <w:pPr>
              <w:spacing w:before="14" w:line="276" w:lineRule="auto"/>
              <w:jc w:val="center"/>
              <w:rPr>
                <w:sz w:val="20"/>
                <w:szCs w:val="20"/>
              </w:rPr>
            </w:pPr>
            <w:r w:rsidRPr="00BE1F57">
              <w:rPr>
                <w:rFonts w:eastAsia="Gill Sans MT"/>
                <w:b/>
                <w:bCs/>
                <w:sz w:val="20"/>
                <w:szCs w:val="20"/>
              </w:rPr>
              <w:t>72</w:t>
            </w:r>
          </w:p>
        </w:tc>
      </w:tr>
      <w:tr w:rsidR="2C880ADD" w:rsidRPr="000E67B4" w14:paraId="104E4D5A" w14:textId="77777777" w:rsidTr="00FD2238">
        <w:trPr>
          <w:trHeight w:val="270"/>
        </w:trPr>
        <w:tc>
          <w:tcPr>
            <w:tcW w:w="4128" w:type="dxa"/>
            <w:shd w:val="clear" w:color="auto" w:fill="B6DDE8" w:themeFill="accent5" w:themeFillTint="66"/>
            <w:vAlign w:val="center"/>
          </w:tcPr>
          <w:p w14:paraId="314E7F23" w14:textId="48DEE73D" w:rsidR="2C880ADD" w:rsidRPr="00BE1F57" w:rsidRDefault="008B4360" w:rsidP="00FD2238">
            <w:pPr>
              <w:spacing w:before="13" w:line="276" w:lineRule="auto"/>
              <w:rPr>
                <w:sz w:val="20"/>
                <w:szCs w:val="20"/>
              </w:rPr>
            </w:pPr>
            <w:r>
              <w:rPr>
                <w:rFonts w:eastAsia="Gill Sans MT"/>
                <w:b/>
                <w:bCs/>
                <w:sz w:val="20"/>
                <w:szCs w:val="20"/>
              </w:rPr>
              <w:t>Djelotvornost poslovnog sektora</w:t>
            </w:r>
          </w:p>
        </w:tc>
        <w:tc>
          <w:tcPr>
            <w:tcW w:w="1452" w:type="dxa"/>
            <w:shd w:val="clear" w:color="auto" w:fill="B6DDE8" w:themeFill="accent5" w:themeFillTint="66"/>
            <w:vAlign w:val="center"/>
          </w:tcPr>
          <w:p w14:paraId="32B316CA" w14:textId="7FF78F03" w:rsidR="2C880ADD" w:rsidRPr="00BE1F57" w:rsidRDefault="2C880ADD" w:rsidP="00FD2238">
            <w:pPr>
              <w:spacing w:before="28" w:line="276" w:lineRule="auto"/>
              <w:jc w:val="center"/>
              <w:rPr>
                <w:sz w:val="20"/>
                <w:szCs w:val="20"/>
              </w:rPr>
            </w:pPr>
            <w:r w:rsidRPr="00BE1F57">
              <w:rPr>
                <w:rFonts w:eastAsia="Gill Sans MT"/>
                <w:sz w:val="20"/>
                <w:szCs w:val="20"/>
              </w:rPr>
              <w:t>(ran</w:t>
            </w:r>
            <w:r w:rsidR="004A23D6" w:rsidRPr="00BE1F57">
              <w:rPr>
                <w:rFonts w:eastAsia="Gill Sans MT"/>
                <w:sz w:val="20"/>
                <w:szCs w:val="20"/>
              </w:rPr>
              <w:t>g</w:t>
            </w:r>
            <w:r w:rsidR="008115FB" w:rsidRPr="00BE1F57">
              <w:rPr>
                <w:rFonts w:eastAsia="Gill Sans MT"/>
                <w:sz w:val="20"/>
                <w:szCs w:val="20"/>
              </w:rPr>
              <w:t>irano</w:t>
            </w:r>
            <w:r w:rsidRPr="00BE1F57">
              <w:rPr>
                <w:rFonts w:eastAsia="Gill Sans MT"/>
                <w:sz w:val="20"/>
                <w:szCs w:val="20"/>
              </w:rPr>
              <w:t>)</w:t>
            </w:r>
          </w:p>
        </w:tc>
        <w:tc>
          <w:tcPr>
            <w:tcW w:w="1260" w:type="dxa"/>
            <w:shd w:val="clear" w:color="auto" w:fill="B6DDE8" w:themeFill="accent5" w:themeFillTint="66"/>
            <w:vAlign w:val="center"/>
          </w:tcPr>
          <w:p w14:paraId="20A233DD" w14:textId="573654AF" w:rsidR="2C880ADD" w:rsidRPr="00BE1F57" w:rsidRDefault="2C880ADD" w:rsidP="00FD2238">
            <w:pPr>
              <w:spacing w:before="28" w:line="276" w:lineRule="auto"/>
              <w:jc w:val="center"/>
              <w:rPr>
                <w:sz w:val="20"/>
                <w:szCs w:val="20"/>
              </w:rPr>
            </w:pPr>
            <w:r w:rsidRPr="00BE1F57">
              <w:rPr>
                <w:rFonts w:eastAsia="Gill Sans MT"/>
                <w:sz w:val="20"/>
                <w:szCs w:val="20"/>
              </w:rPr>
              <w:t>(ran</w:t>
            </w:r>
            <w:r w:rsidR="004A23D6" w:rsidRPr="00BE1F57">
              <w:rPr>
                <w:rFonts w:eastAsia="Gill Sans MT"/>
                <w:sz w:val="20"/>
                <w:szCs w:val="20"/>
              </w:rPr>
              <w:t>g</w:t>
            </w:r>
            <w:r w:rsidR="008115FB" w:rsidRPr="00BE1F57">
              <w:rPr>
                <w:rFonts w:eastAsia="Gill Sans MT"/>
                <w:sz w:val="20"/>
                <w:szCs w:val="20"/>
              </w:rPr>
              <w:t>irano</w:t>
            </w:r>
            <w:r w:rsidRPr="00BE1F57">
              <w:rPr>
                <w:rFonts w:eastAsia="Gill Sans MT"/>
                <w:sz w:val="20"/>
                <w:szCs w:val="20"/>
              </w:rPr>
              <w:t>)</w:t>
            </w:r>
          </w:p>
        </w:tc>
        <w:tc>
          <w:tcPr>
            <w:tcW w:w="1680" w:type="dxa"/>
            <w:shd w:val="clear" w:color="auto" w:fill="B6DDE8" w:themeFill="accent5" w:themeFillTint="66"/>
            <w:vAlign w:val="center"/>
          </w:tcPr>
          <w:p w14:paraId="36A4354F" w14:textId="5A5B9B4F" w:rsidR="2C880ADD" w:rsidRPr="00BE1F57" w:rsidRDefault="2C880ADD" w:rsidP="00FD2238">
            <w:pPr>
              <w:spacing w:before="28" w:line="276" w:lineRule="auto"/>
              <w:jc w:val="center"/>
              <w:rPr>
                <w:sz w:val="20"/>
                <w:szCs w:val="20"/>
              </w:rPr>
            </w:pPr>
            <w:r w:rsidRPr="00BE1F57">
              <w:rPr>
                <w:rFonts w:eastAsia="Gill Sans MT"/>
                <w:sz w:val="20"/>
                <w:szCs w:val="20"/>
              </w:rPr>
              <w:t>(n</w:t>
            </w:r>
            <w:r w:rsidR="008115FB" w:rsidRPr="00BE1F57">
              <w:rPr>
                <w:rFonts w:eastAsia="Gill Sans MT"/>
                <w:sz w:val="20"/>
                <w:szCs w:val="20"/>
              </w:rPr>
              <w:t>eran</w:t>
            </w:r>
            <w:r w:rsidR="004A23D6" w:rsidRPr="00BE1F57">
              <w:rPr>
                <w:rFonts w:eastAsia="Gill Sans MT"/>
                <w:sz w:val="20"/>
                <w:szCs w:val="20"/>
              </w:rPr>
              <w:t>g</w:t>
            </w:r>
            <w:r w:rsidR="008115FB" w:rsidRPr="00BE1F57">
              <w:rPr>
                <w:rFonts w:eastAsia="Gill Sans MT"/>
                <w:sz w:val="20"/>
                <w:szCs w:val="20"/>
              </w:rPr>
              <w:t>irano</w:t>
            </w:r>
            <w:r w:rsidRPr="00BE1F57">
              <w:rPr>
                <w:rFonts w:eastAsia="Gill Sans MT"/>
                <w:sz w:val="20"/>
                <w:szCs w:val="20"/>
              </w:rPr>
              <w:t>)</w:t>
            </w:r>
          </w:p>
        </w:tc>
        <w:tc>
          <w:tcPr>
            <w:tcW w:w="1005" w:type="dxa"/>
            <w:shd w:val="clear" w:color="auto" w:fill="B6DDE8" w:themeFill="accent5" w:themeFillTint="66"/>
            <w:vAlign w:val="center"/>
          </w:tcPr>
          <w:p w14:paraId="3FA7B856" w14:textId="07620875" w:rsidR="2C880ADD" w:rsidRPr="00BE1F57" w:rsidRDefault="00753EEE" w:rsidP="00DD0E52">
            <w:pPr>
              <w:spacing w:before="28" w:line="276" w:lineRule="auto"/>
              <w:jc w:val="center"/>
              <w:rPr>
                <w:sz w:val="20"/>
                <w:szCs w:val="20"/>
              </w:rPr>
            </w:pPr>
            <w:r w:rsidRPr="00BE1F57">
              <w:rPr>
                <w:rFonts w:eastAsia="Gill Sans MT"/>
                <w:b/>
                <w:bCs/>
                <w:sz w:val="20"/>
                <w:szCs w:val="20"/>
              </w:rPr>
              <w:t>Ukupno</w:t>
            </w:r>
          </w:p>
        </w:tc>
      </w:tr>
      <w:tr w:rsidR="2C880ADD" w:rsidRPr="000E67B4" w14:paraId="56C0D91F" w14:textId="77777777" w:rsidTr="00FD2238">
        <w:trPr>
          <w:trHeight w:val="255"/>
        </w:trPr>
        <w:tc>
          <w:tcPr>
            <w:tcW w:w="4128" w:type="dxa"/>
            <w:vAlign w:val="center"/>
          </w:tcPr>
          <w:p w14:paraId="03805F91" w14:textId="56EB336A" w:rsidR="2C880ADD" w:rsidRPr="00BE1F57" w:rsidRDefault="2C880ADD" w:rsidP="00FD2238">
            <w:pPr>
              <w:spacing w:before="25" w:line="276" w:lineRule="auto"/>
              <w:rPr>
                <w:sz w:val="20"/>
                <w:szCs w:val="20"/>
              </w:rPr>
            </w:pPr>
            <w:r w:rsidRPr="00BE1F57">
              <w:rPr>
                <w:rFonts w:eastAsia="Gill Sans MT"/>
                <w:sz w:val="20"/>
                <w:szCs w:val="20"/>
              </w:rPr>
              <w:t>Produ</w:t>
            </w:r>
            <w:r w:rsidR="00032FB6" w:rsidRPr="00BE1F57">
              <w:rPr>
                <w:rFonts w:eastAsia="Gill Sans MT"/>
                <w:sz w:val="20"/>
                <w:szCs w:val="20"/>
              </w:rPr>
              <w:t>ktivnost i učinkovitost</w:t>
            </w:r>
          </w:p>
        </w:tc>
        <w:tc>
          <w:tcPr>
            <w:tcW w:w="1452" w:type="dxa"/>
            <w:vAlign w:val="center"/>
          </w:tcPr>
          <w:p w14:paraId="79286ABC" w14:textId="2ABDA8C8" w:rsidR="2C880ADD" w:rsidRPr="00BE1F57" w:rsidRDefault="2C880ADD" w:rsidP="00FD2238">
            <w:pPr>
              <w:spacing w:before="25" w:line="276" w:lineRule="auto"/>
              <w:jc w:val="center"/>
              <w:rPr>
                <w:sz w:val="20"/>
                <w:szCs w:val="20"/>
              </w:rPr>
            </w:pPr>
            <w:r w:rsidRPr="00BE1F57">
              <w:rPr>
                <w:rFonts w:eastAsia="Gill Sans MT"/>
                <w:sz w:val="20"/>
                <w:szCs w:val="20"/>
              </w:rPr>
              <w:t>3</w:t>
            </w:r>
          </w:p>
        </w:tc>
        <w:tc>
          <w:tcPr>
            <w:tcW w:w="1260" w:type="dxa"/>
            <w:vAlign w:val="center"/>
          </w:tcPr>
          <w:p w14:paraId="287DA5B4" w14:textId="273AAA90" w:rsidR="2C880ADD" w:rsidRPr="00BE1F57" w:rsidRDefault="2C880ADD" w:rsidP="00FD2238">
            <w:pPr>
              <w:spacing w:before="25" w:line="276" w:lineRule="auto"/>
              <w:jc w:val="center"/>
              <w:rPr>
                <w:sz w:val="20"/>
                <w:szCs w:val="20"/>
              </w:rPr>
            </w:pPr>
            <w:r w:rsidRPr="00BE1F57">
              <w:rPr>
                <w:rFonts w:eastAsia="Gill Sans MT"/>
                <w:sz w:val="20"/>
                <w:szCs w:val="20"/>
              </w:rPr>
              <w:t>4</w:t>
            </w:r>
          </w:p>
        </w:tc>
        <w:tc>
          <w:tcPr>
            <w:tcW w:w="1680" w:type="dxa"/>
            <w:vAlign w:val="center"/>
          </w:tcPr>
          <w:p w14:paraId="7FAF3665" w14:textId="5BBBF965" w:rsidR="2C880ADD" w:rsidRPr="00BE1F57" w:rsidRDefault="2C880ADD" w:rsidP="00FD2238">
            <w:pPr>
              <w:spacing w:before="25" w:line="276" w:lineRule="auto"/>
              <w:jc w:val="center"/>
              <w:rPr>
                <w:sz w:val="20"/>
                <w:szCs w:val="20"/>
              </w:rPr>
            </w:pPr>
            <w:r w:rsidRPr="00BE1F57">
              <w:rPr>
                <w:rFonts w:eastAsia="Gill Sans MT"/>
                <w:sz w:val="20"/>
                <w:szCs w:val="20"/>
              </w:rPr>
              <w:t>3</w:t>
            </w:r>
          </w:p>
        </w:tc>
        <w:tc>
          <w:tcPr>
            <w:tcW w:w="1005" w:type="dxa"/>
            <w:vAlign w:val="center"/>
          </w:tcPr>
          <w:p w14:paraId="0E3FF9DC" w14:textId="769D9B4F" w:rsidR="2C880ADD" w:rsidRPr="00BE1F57" w:rsidRDefault="2C880ADD" w:rsidP="00DD0E52">
            <w:pPr>
              <w:spacing w:before="62" w:line="276" w:lineRule="auto"/>
              <w:jc w:val="center"/>
              <w:rPr>
                <w:sz w:val="20"/>
                <w:szCs w:val="20"/>
              </w:rPr>
            </w:pPr>
            <w:r w:rsidRPr="00BE1F57">
              <w:rPr>
                <w:rFonts w:eastAsia="Gill Sans MT"/>
                <w:b/>
                <w:bCs/>
                <w:sz w:val="20"/>
                <w:szCs w:val="20"/>
              </w:rPr>
              <w:t>10</w:t>
            </w:r>
          </w:p>
        </w:tc>
      </w:tr>
      <w:tr w:rsidR="2C880ADD" w:rsidRPr="000E67B4" w14:paraId="29BC2DDF" w14:textId="77777777" w:rsidTr="00FD2238">
        <w:trPr>
          <w:trHeight w:val="240"/>
        </w:trPr>
        <w:tc>
          <w:tcPr>
            <w:tcW w:w="4128" w:type="dxa"/>
            <w:vAlign w:val="center"/>
          </w:tcPr>
          <w:p w14:paraId="0A032BC1" w14:textId="29F2516D" w:rsidR="2C880ADD" w:rsidRPr="00BE1F57" w:rsidRDefault="00032FB6" w:rsidP="00FD2238">
            <w:pPr>
              <w:spacing w:before="6" w:line="276" w:lineRule="auto"/>
              <w:rPr>
                <w:sz w:val="20"/>
                <w:szCs w:val="20"/>
              </w:rPr>
            </w:pPr>
            <w:r w:rsidRPr="00BE1F57">
              <w:rPr>
                <w:rFonts w:eastAsia="Gill Sans MT"/>
                <w:sz w:val="20"/>
                <w:szCs w:val="20"/>
              </w:rPr>
              <w:t>Tržište rada</w:t>
            </w:r>
          </w:p>
        </w:tc>
        <w:tc>
          <w:tcPr>
            <w:tcW w:w="1452" w:type="dxa"/>
            <w:vAlign w:val="center"/>
          </w:tcPr>
          <w:p w14:paraId="0639DF33" w14:textId="2225212D" w:rsidR="2C880ADD" w:rsidRPr="00BE1F57" w:rsidRDefault="2C880ADD" w:rsidP="00FD2238">
            <w:pPr>
              <w:spacing w:before="6" w:line="276" w:lineRule="auto"/>
              <w:jc w:val="center"/>
              <w:rPr>
                <w:sz w:val="20"/>
                <w:szCs w:val="20"/>
              </w:rPr>
            </w:pPr>
            <w:r w:rsidRPr="00BE1F57">
              <w:rPr>
                <w:rFonts w:eastAsia="Gill Sans MT"/>
                <w:sz w:val="20"/>
                <w:szCs w:val="20"/>
              </w:rPr>
              <w:t>11</w:t>
            </w:r>
          </w:p>
        </w:tc>
        <w:tc>
          <w:tcPr>
            <w:tcW w:w="1260" w:type="dxa"/>
            <w:vAlign w:val="center"/>
          </w:tcPr>
          <w:p w14:paraId="3CB0BF6B" w14:textId="5204D778" w:rsidR="2C880ADD" w:rsidRPr="00BE1F57" w:rsidRDefault="2C880ADD" w:rsidP="00FD2238">
            <w:pPr>
              <w:spacing w:before="6" w:line="276" w:lineRule="auto"/>
              <w:jc w:val="center"/>
              <w:rPr>
                <w:sz w:val="20"/>
                <w:szCs w:val="20"/>
              </w:rPr>
            </w:pPr>
            <w:r w:rsidRPr="00BE1F57">
              <w:rPr>
                <w:rFonts w:eastAsia="Gill Sans MT"/>
                <w:sz w:val="20"/>
                <w:szCs w:val="20"/>
              </w:rPr>
              <w:t>10</w:t>
            </w:r>
          </w:p>
        </w:tc>
        <w:tc>
          <w:tcPr>
            <w:tcW w:w="1680" w:type="dxa"/>
            <w:vAlign w:val="center"/>
          </w:tcPr>
          <w:p w14:paraId="5EF18D96" w14:textId="7224C421" w:rsidR="2C880ADD" w:rsidRPr="00BE1F57" w:rsidRDefault="2C880ADD" w:rsidP="00FD2238">
            <w:pPr>
              <w:spacing w:before="6" w:line="276" w:lineRule="auto"/>
              <w:jc w:val="center"/>
              <w:rPr>
                <w:sz w:val="20"/>
                <w:szCs w:val="20"/>
              </w:rPr>
            </w:pPr>
            <w:r w:rsidRPr="00BE1F57">
              <w:rPr>
                <w:rFonts w:eastAsia="Gill Sans MT"/>
                <w:sz w:val="20"/>
                <w:szCs w:val="20"/>
              </w:rPr>
              <w:t>3</w:t>
            </w:r>
          </w:p>
        </w:tc>
        <w:tc>
          <w:tcPr>
            <w:tcW w:w="1005" w:type="dxa"/>
            <w:vAlign w:val="center"/>
          </w:tcPr>
          <w:p w14:paraId="340D7FA1" w14:textId="52F0794A" w:rsidR="2C880ADD" w:rsidRPr="00BE1F57" w:rsidRDefault="2C880ADD" w:rsidP="00DD0E52">
            <w:pPr>
              <w:spacing w:before="51" w:line="276" w:lineRule="auto"/>
              <w:jc w:val="center"/>
              <w:rPr>
                <w:sz w:val="20"/>
                <w:szCs w:val="20"/>
              </w:rPr>
            </w:pPr>
            <w:r w:rsidRPr="00BE1F57">
              <w:rPr>
                <w:rFonts w:eastAsia="Gill Sans MT"/>
                <w:b/>
                <w:bCs/>
                <w:sz w:val="20"/>
                <w:szCs w:val="20"/>
              </w:rPr>
              <w:t>24</w:t>
            </w:r>
          </w:p>
        </w:tc>
      </w:tr>
      <w:tr w:rsidR="2C880ADD" w:rsidRPr="000E67B4" w14:paraId="1FD4BFC2" w14:textId="77777777" w:rsidTr="00FD2238">
        <w:trPr>
          <w:trHeight w:val="240"/>
        </w:trPr>
        <w:tc>
          <w:tcPr>
            <w:tcW w:w="4128" w:type="dxa"/>
            <w:vAlign w:val="center"/>
          </w:tcPr>
          <w:p w14:paraId="6EFCB45B" w14:textId="755C6F19" w:rsidR="2C880ADD" w:rsidRPr="00BE1F57" w:rsidRDefault="00AF357B" w:rsidP="00FD2238">
            <w:pPr>
              <w:spacing w:before="6" w:line="276" w:lineRule="auto"/>
              <w:rPr>
                <w:sz w:val="20"/>
                <w:szCs w:val="20"/>
              </w:rPr>
            </w:pPr>
            <w:r w:rsidRPr="00BE1F57">
              <w:rPr>
                <w:rFonts w:eastAsia="Gill Sans MT"/>
                <w:sz w:val="20"/>
                <w:szCs w:val="20"/>
              </w:rPr>
              <w:t>Pristup financiranju</w:t>
            </w:r>
          </w:p>
        </w:tc>
        <w:tc>
          <w:tcPr>
            <w:tcW w:w="1452" w:type="dxa"/>
            <w:vAlign w:val="center"/>
          </w:tcPr>
          <w:p w14:paraId="5CA9F254" w14:textId="68E2F2C0" w:rsidR="2C880ADD" w:rsidRPr="00BE1F57" w:rsidRDefault="2C880ADD" w:rsidP="00FD2238">
            <w:pPr>
              <w:spacing w:before="6" w:line="276" w:lineRule="auto"/>
              <w:jc w:val="center"/>
              <w:rPr>
                <w:sz w:val="20"/>
                <w:szCs w:val="20"/>
              </w:rPr>
            </w:pPr>
            <w:r w:rsidRPr="00BE1F57">
              <w:rPr>
                <w:rFonts w:eastAsia="Gill Sans MT"/>
                <w:sz w:val="20"/>
                <w:szCs w:val="20"/>
              </w:rPr>
              <w:t>9</w:t>
            </w:r>
          </w:p>
        </w:tc>
        <w:tc>
          <w:tcPr>
            <w:tcW w:w="1260" w:type="dxa"/>
            <w:vAlign w:val="center"/>
          </w:tcPr>
          <w:p w14:paraId="0299BC73" w14:textId="416750A9" w:rsidR="2C880ADD" w:rsidRPr="00BE1F57" w:rsidRDefault="2C880ADD" w:rsidP="00FD2238">
            <w:pPr>
              <w:spacing w:before="6" w:line="276" w:lineRule="auto"/>
              <w:jc w:val="center"/>
              <w:rPr>
                <w:sz w:val="20"/>
                <w:szCs w:val="20"/>
              </w:rPr>
            </w:pPr>
            <w:r w:rsidRPr="00BE1F57">
              <w:rPr>
                <w:rFonts w:eastAsia="Gill Sans MT"/>
                <w:sz w:val="20"/>
                <w:szCs w:val="20"/>
              </w:rPr>
              <w:t>7</w:t>
            </w:r>
          </w:p>
        </w:tc>
        <w:tc>
          <w:tcPr>
            <w:tcW w:w="1680" w:type="dxa"/>
            <w:vAlign w:val="center"/>
          </w:tcPr>
          <w:p w14:paraId="470BDB10" w14:textId="0465DF45" w:rsidR="2C880ADD" w:rsidRPr="00BE1F57" w:rsidRDefault="2C880ADD" w:rsidP="00FD2238">
            <w:pPr>
              <w:spacing w:before="6" w:line="276" w:lineRule="auto"/>
              <w:jc w:val="center"/>
              <w:rPr>
                <w:sz w:val="20"/>
                <w:szCs w:val="20"/>
              </w:rPr>
            </w:pPr>
            <w:r w:rsidRPr="00BE1F57">
              <w:rPr>
                <w:rFonts w:eastAsia="Gill Sans MT"/>
                <w:sz w:val="20"/>
                <w:szCs w:val="20"/>
              </w:rPr>
              <w:t>3</w:t>
            </w:r>
          </w:p>
        </w:tc>
        <w:tc>
          <w:tcPr>
            <w:tcW w:w="1005" w:type="dxa"/>
            <w:vAlign w:val="center"/>
          </w:tcPr>
          <w:p w14:paraId="35758BE9" w14:textId="2346AF34" w:rsidR="2C880ADD" w:rsidRPr="00BE1F57" w:rsidRDefault="2C880ADD" w:rsidP="00DD0E52">
            <w:pPr>
              <w:spacing w:before="51" w:line="276" w:lineRule="auto"/>
              <w:jc w:val="center"/>
              <w:rPr>
                <w:sz w:val="20"/>
                <w:szCs w:val="20"/>
              </w:rPr>
            </w:pPr>
            <w:r w:rsidRPr="00BE1F57">
              <w:rPr>
                <w:rFonts w:eastAsia="Gill Sans MT"/>
                <w:b/>
                <w:bCs/>
                <w:sz w:val="20"/>
                <w:szCs w:val="20"/>
              </w:rPr>
              <w:t>19</w:t>
            </w:r>
          </w:p>
        </w:tc>
      </w:tr>
      <w:tr w:rsidR="2C880ADD" w:rsidRPr="000E67B4" w14:paraId="73A03B8B" w14:textId="77777777" w:rsidTr="00FD2238">
        <w:trPr>
          <w:trHeight w:val="240"/>
        </w:trPr>
        <w:tc>
          <w:tcPr>
            <w:tcW w:w="4128" w:type="dxa"/>
            <w:vAlign w:val="center"/>
          </w:tcPr>
          <w:p w14:paraId="1D7824DA" w14:textId="761F1B93" w:rsidR="2C880ADD" w:rsidRPr="00BE1F57" w:rsidRDefault="00AF357B" w:rsidP="00FD2238">
            <w:pPr>
              <w:spacing w:before="6" w:line="276" w:lineRule="auto"/>
              <w:rPr>
                <w:sz w:val="20"/>
                <w:szCs w:val="20"/>
              </w:rPr>
            </w:pPr>
            <w:r w:rsidRPr="00BE1F57">
              <w:rPr>
                <w:rFonts w:eastAsia="Gill Sans MT"/>
                <w:sz w:val="20"/>
                <w:szCs w:val="20"/>
              </w:rPr>
              <w:t>Poslovne prakse</w:t>
            </w:r>
          </w:p>
        </w:tc>
        <w:tc>
          <w:tcPr>
            <w:tcW w:w="1452" w:type="dxa"/>
            <w:vAlign w:val="center"/>
          </w:tcPr>
          <w:p w14:paraId="75484ABF" w14:textId="33B55AC9" w:rsidR="2C880ADD" w:rsidRPr="00BE1F57" w:rsidRDefault="2C880ADD" w:rsidP="00FD2238">
            <w:pPr>
              <w:spacing w:before="6" w:line="276" w:lineRule="auto"/>
              <w:jc w:val="center"/>
              <w:rPr>
                <w:sz w:val="20"/>
                <w:szCs w:val="20"/>
              </w:rPr>
            </w:pPr>
            <w:r w:rsidRPr="00BE1F57">
              <w:rPr>
                <w:rFonts w:eastAsia="Gill Sans MT"/>
                <w:sz w:val="20"/>
                <w:szCs w:val="20"/>
              </w:rPr>
              <w:t>4</w:t>
            </w:r>
          </w:p>
        </w:tc>
        <w:tc>
          <w:tcPr>
            <w:tcW w:w="1260" w:type="dxa"/>
            <w:vAlign w:val="center"/>
          </w:tcPr>
          <w:p w14:paraId="639FA3FB" w14:textId="709AA19E" w:rsidR="2C880ADD" w:rsidRPr="00BE1F57" w:rsidRDefault="2C880ADD" w:rsidP="00FD2238">
            <w:pPr>
              <w:spacing w:before="6" w:line="276" w:lineRule="auto"/>
              <w:jc w:val="center"/>
              <w:rPr>
                <w:sz w:val="20"/>
                <w:szCs w:val="20"/>
              </w:rPr>
            </w:pPr>
            <w:r w:rsidRPr="00BE1F57">
              <w:rPr>
                <w:rFonts w:eastAsia="Gill Sans MT"/>
                <w:sz w:val="20"/>
                <w:szCs w:val="20"/>
              </w:rPr>
              <w:t>10</w:t>
            </w:r>
          </w:p>
        </w:tc>
        <w:tc>
          <w:tcPr>
            <w:tcW w:w="1680" w:type="dxa"/>
            <w:vAlign w:val="center"/>
          </w:tcPr>
          <w:p w14:paraId="6E0E26D8" w14:textId="70FA5CF0" w:rsidR="2C880ADD" w:rsidRPr="00BE1F57" w:rsidRDefault="2C880ADD" w:rsidP="00FD2238">
            <w:pPr>
              <w:spacing w:before="6" w:line="276" w:lineRule="auto"/>
              <w:jc w:val="center"/>
              <w:rPr>
                <w:sz w:val="20"/>
                <w:szCs w:val="20"/>
              </w:rPr>
            </w:pPr>
            <w:r w:rsidRPr="00BE1F57">
              <w:rPr>
                <w:rFonts w:eastAsia="Gill Sans MT"/>
                <w:sz w:val="20"/>
                <w:szCs w:val="20"/>
              </w:rPr>
              <w:t>0</w:t>
            </w:r>
          </w:p>
        </w:tc>
        <w:tc>
          <w:tcPr>
            <w:tcW w:w="1005" w:type="dxa"/>
            <w:vAlign w:val="center"/>
          </w:tcPr>
          <w:p w14:paraId="7AE8132D" w14:textId="3F88225B" w:rsidR="2C880ADD" w:rsidRPr="00BE1F57" w:rsidRDefault="2C880ADD" w:rsidP="00DD0E52">
            <w:pPr>
              <w:spacing w:before="51" w:line="276" w:lineRule="auto"/>
              <w:jc w:val="center"/>
              <w:rPr>
                <w:sz w:val="20"/>
                <w:szCs w:val="20"/>
              </w:rPr>
            </w:pPr>
            <w:r w:rsidRPr="00BE1F57">
              <w:rPr>
                <w:rFonts w:eastAsia="Gill Sans MT"/>
                <w:b/>
                <w:bCs/>
                <w:sz w:val="20"/>
                <w:szCs w:val="20"/>
              </w:rPr>
              <w:t>14</w:t>
            </w:r>
          </w:p>
        </w:tc>
      </w:tr>
      <w:tr w:rsidR="2C880ADD" w:rsidRPr="000E67B4" w14:paraId="6590A813" w14:textId="77777777" w:rsidTr="00FD2238">
        <w:trPr>
          <w:trHeight w:val="240"/>
        </w:trPr>
        <w:tc>
          <w:tcPr>
            <w:tcW w:w="4128" w:type="dxa"/>
            <w:vAlign w:val="center"/>
          </w:tcPr>
          <w:p w14:paraId="29ED9F7F" w14:textId="2271BC3B" w:rsidR="2C880ADD" w:rsidRPr="00BE1F57" w:rsidRDefault="00753EEE" w:rsidP="00FD2238">
            <w:pPr>
              <w:spacing w:before="6" w:line="276" w:lineRule="auto"/>
              <w:rPr>
                <w:sz w:val="20"/>
                <w:szCs w:val="20"/>
              </w:rPr>
            </w:pPr>
            <w:r w:rsidRPr="00BE1F57">
              <w:rPr>
                <w:rFonts w:eastAsia="Gill Sans MT"/>
                <w:sz w:val="20"/>
                <w:szCs w:val="20"/>
              </w:rPr>
              <w:t>Stavovi i vrijednosti</w:t>
            </w:r>
          </w:p>
        </w:tc>
        <w:tc>
          <w:tcPr>
            <w:tcW w:w="1452" w:type="dxa"/>
            <w:vAlign w:val="center"/>
          </w:tcPr>
          <w:p w14:paraId="2BC6128F" w14:textId="054BFF9F" w:rsidR="2C880ADD" w:rsidRPr="00BE1F57" w:rsidRDefault="2C880ADD" w:rsidP="00FD2238">
            <w:pPr>
              <w:spacing w:before="6" w:line="276" w:lineRule="auto"/>
              <w:jc w:val="center"/>
              <w:rPr>
                <w:sz w:val="20"/>
                <w:szCs w:val="20"/>
              </w:rPr>
            </w:pPr>
            <w:r w:rsidRPr="00BE1F57">
              <w:rPr>
                <w:rFonts w:eastAsia="Gill Sans MT"/>
                <w:sz w:val="20"/>
                <w:szCs w:val="20"/>
              </w:rPr>
              <w:t>0</w:t>
            </w:r>
          </w:p>
        </w:tc>
        <w:tc>
          <w:tcPr>
            <w:tcW w:w="1260" w:type="dxa"/>
            <w:vAlign w:val="center"/>
          </w:tcPr>
          <w:p w14:paraId="17E5C05F" w14:textId="3370DA58" w:rsidR="2C880ADD" w:rsidRPr="00BE1F57" w:rsidRDefault="2C880ADD" w:rsidP="00FD2238">
            <w:pPr>
              <w:spacing w:before="6" w:line="276" w:lineRule="auto"/>
              <w:jc w:val="center"/>
              <w:rPr>
                <w:sz w:val="20"/>
                <w:szCs w:val="20"/>
              </w:rPr>
            </w:pPr>
            <w:r w:rsidRPr="00BE1F57">
              <w:rPr>
                <w:rFonts w:eastAsia="Gill Sans MT"/>
                <w:sz w:val="20"/>
                <w:szCs w:val="20"/>
              </w:rPr>
              <w:t>7</w:t>
            </w:r>
          </w:p>
        </w:tc>
        <w:tc>
          <w:tcPr>
            <w:tcW w:w="1680" w:type="dxa"/>
            <w:vAlign w:val="center"/>
          </w:tcPr>
          <w:p w14:paraId="235575F9" w14:textId="19378C2C" w:rsidR="2C880ADD" w:rsidRPr="00BE1F57" w:rsidRDefault="2C880ADD" w:rsidP="00FD2238">
            <w:pPr>
              <w:spacing w:before="6" w:line="276" w:lineRule="auto"/>
              <w:jc w:val="center"/>
              <w:rPr>
                <w:sz w:val="20"/>
                <w:szCs w:val="20"/>
              </w:rPr>
            </w:pPr>
            <w:r w:rsidRPr="00BE1F57">
              <w:rPr>
                <w:rFonts w:eastAsia="Gill Sans MT"/>
                <w:sz w:val="20"/>
                <w:szCs w:val="20"/>
              </w:rPr>
              <w:t>0</w:t>
            </w:r>
          </w:p>
        </w:tc>
        <w:tc>
          <w:tcPr>
            <w:tcW w:w="1005" w:type="dxa"/>
            <w:vAlign w:val="center"/>
          </w:tcPr>
          <w:p w14:paraId="556AAE1C" w14:textId="4059AD35" w:rsidR="2C880ADD" w:rsidRPr="00BE1F57" w:rsidRDefault="2C880ADD" w:rsidP="00DD0E52">
            <w:pPr>
              <w:spacing w:before="51" w:line="276" w:lineRule="auto"/>
              <w:jc w:val="center"/>
              <w:rPr>
                <w:sz w:val="20"/>
                <w:szCs w:val="20"/>
              </w:rPr>
            </w:pPr>
            <w:r w:rsidRPr="00BE1F57">
              <w:rPr>
                <w:rFonts w:eastAsia="Gill Sans MT"/>
                <w:b/>
                <w:bCs/>
                <w:sz w:val="20"/>
                <w:szCs w:val="20"/>
              </w:rPr>
              <w:t>7</w:t>
            </w:r>
          </w:p>
        </w:tc>
      </w:tr>
      <w:tr w:rsidR="2C880ADD" w:rsidRPr="000E67B4" w14:paraId="19C4A320" w14:textId="77777777" w:rsidTr="00FD2238">
        <w:trPr>
          <w:trHeight w:val="225"/>
        </w:trPr>
        <w:tc>
          <w:tcPr>
            <w:tcW w:w="4128" w:type="dxa"/>
            <w:shd w:val="clear" w:color="auto" w:fill="DAEEF3" w:themeFill="accent5" w:themeFillTint="33"/>
            <w:vAlign w:val="center"/>
          </w:tcPr>
          <w:p w14:paraId="3218806F" w14:textId="0C87585D" w:rsidR="2C880ADD" w:rsidRPr="00BE1F57" w:rsidRDefault="2C880ADD" w:rsidP="00FD2238">
            <w:pPr>
              <w:spacing w:line="276" w:lineRule="auto"/>
              <w:rPr>
                <w:sz w:val="20"/>
                <w:szCs w:val="20"/>
              </w:rPr>
            </w:pPr>
            <w:r w:rsidRPr="00BE1F57">
              <w:rPr>
                <w:rFonts w:eastAsia="Calibri"/>
                <w:sz w:val="20"/>
                <w:szCs w:val="20"/>
              </w:rPr>
              <w:t xml:space="preserve"> </w:t>
            </w:r>
          </w:p>
        </w:tc>
        <w:tc>
          <w:tcPr>
            <w:tcW w:w="1452" w:type="dxa"/>
            <w:shd w:val="clear" w:color="auto" w:fill="DAEEF3" w:themeFill="accent5" w:themeFillTint="33"/>
            <w:vAlign w:val="center"/>
          </w:tcPr>
          <w:p w14:paraId="5A3FF09E" w14:textId="3BA0CB09" w:rsidR="2C880ADD" w:rsidRPr="00BE1F57" w:rsidRDefault="2C880ADD" w:rsidP="00FD2238">
            <w:pPr>
              <w:spacing w:before="6" w:line="276" w:lineRule="auto"/>
              <w:jc w:val="center"/>
              <w:rPr>
                <w:sz w:val="20"/>
                <w:szCs w:val="20"/>
              </w:rPr>
            </w:pPr>
            <w:r w:rsidRPr="00BE1F57">
              <w:rPr>
                <w:rFonts w:eastAsia="Gill Sans MT"/>
                <w:b/>
                <w:bCs/>
                <w:color w:val="000000" w:themeColor="text1"/>
                <w:sz w:val="20"/>
                <w:szCs w:val="20"/>
              </w:rPr>
              <w:t>27</w:t>
            </w:r>
          </w:p>
        </w:tc>
        <w:tc>
          <w:tcPr>
            <w:tcW w:w="1260" w:type="dxa"/>
            <w:shd w:val="clear" w:color="auto" w:fill="DAEEF3" w:themeFill="accent5" w:themeFillTint="33"/>
            <w:vAlign w:val="center"/>
          </w:tcPr>
          <w:p w14:paraId="4DC95941" w14:textId="20A2FDF9" w:rsidR="2C880ADD" w:rsidRPr="00BE1F57" w:rsidRDefault="2C880ADD" w:rsidP="00FD2238">
            <w:pPr>
              <w:spacing w:before="6" w:line="276" w:lineRule="auto"/>
              <w:jc w:val="center"/>
              <w:rPr>
                <w:sz w:val="20"/>
                <w:szCs w:val="20"/>
              </w:rPr>
            </w:pPr>
            <w:r w:rsidRPr="00BE1F57">
              <w:rPr>
                <w:rFonts w:eastAsia="Gill Sans MT"/>
                <w:b/>
                <w:bCs/>
                <w:color w:val="000000" w:themeColor="text1"/>
                <w:sz w:val="20"/>
                <w:szCs w:val="20"/>
              </w:rPr>
              <w:t>38</w:t>
            </w:r>
          </w:p>
        </w:tc>
        <w:tc>
          <w:tcPr>
            <w:tcW w:w="1680" w:type="dxa"/>
            <w:shd w:val="clear" w:color="auto" w:fill="DAEEF3" w:themeFill="accent5" w:themeFillTint="33"/>
            <w:vAlign w:val="center"/>
          </w:tcPr>
          <w:p w14:paraId="4CC98734" w14:textId="0CA23714" w:rsidR="2C880ADD" w:rsidRPr="00BE1F57" w:rsidRDefault="2C880ADD" w:rsidP="00FD2238">
            <w:pPr>
              <w:spacing w:before="6" w:line="276" w:lineRule="auto"/>
              <w:jc w:val="center"/>
              <w:rPr>
                <w:sz w:val="20"/>
                <w:szCs w:val="20"/>
              </w:rPr>
            </w:pPr>
            <w:r w:rsidRPr="00BE1F57">
              <w:rPr>
                <w:rFonts w:eastAsia="Gill Sans MT"/>
                <w:b/>
                <w:bCs/>
                <w:color w:val="000000" w:themeColor="text1"/>
                <w:sz w:val="20"/>
                <w:szCs w:val="20"/>
              </w:rPr>
              <w:t>9</w:t>
            </w:r>
          </w:p>
        </w:tc>
        <w:tc>
          <w:tcPr>
            <w:tcW w:w="1005" w:type="dxa"/>
            <w:shd w:val="clear" w:color="auto" w:fill="DAEEF3" w:themeFill="accent5" w:themeFillTint="33"/>
            <w:vAlign w:val="center"/>
          </w:tcPr>
          <w:p w14:paraId="27594D86" w14:textId="72925602" w:rsidR="2C880ADD" w:rsidRPr="00BE1F57" w:rsidRDefault="2C880ADD" w:rsidP="00DD0E52">
            <w:pPr>
              <w:spacing w:before="14" w:line="276" w:lineRule="auto"/>
              <w:jc w:val="center"/>
              <w:rPr>
                <w:sz w:val="20"/>
                <w:szCs w:val="20"/>
              </w:rPr>
            </w:pPr>
            <w:r w:rsidRPr="00BE1F57">
              <w:rPr>
                <w:rFonts w:eastAsia="Gill Sans MT"/>
                <w:b/>
                <w:bCs/>
                <w:sz w:val="20"/>
                <w:szCs w:val="20"/>
              </w:rPr>
              <w:t>74</w:t>
            </w:r>
          </w:p>
        </w:tc>
      </w:tr>
      <w:tr w:rsidR="2C880ADD" w:rsidRPr="000E67B4" w14:paraId="7FAE779C" w14:textId="77777777" w:rsidTr="00FD2238">
        <w:trPr>
          <w:trHeight w:val="255"/>
        </w:trPr>
        <w:tc>
          <w:tcPr>
            <w:tcW w:w="4128" w:type="dxa"/>
            <w:shd w:val="clear" w:color="auto" w:fill="B6DDE8" w:themeFill="accent5" w:themeFillTint="66"/>
            <w:vAlign w:val="center"/>
          </w:tcPr>
          <w:p w14:paraId="4BD8A15E" w14:textId="3FF649CF" w:rsidR="2C880ADD" w:rsidRPr="00BE1F57" w:rsidRDefault="2C880ADD" w:rsidP="00FD2238">
            <w:pPr>
              <w:spacing w:before="9" w:line="276" w:lineRule="auto"/>
              <w:rPr>
                <w:sz w:val="20"/>
                <w:szCs w:val="20"/>
              </w:rPr>
            </w:pPr>
            <w:r w:rsidRPr="00BE1F57">
              <w:rPr>
                <w:rFonts w:eastAsia="Gill Sans MT"/>
                <w:b/>
                <w:bCs/>
                <w:sz w:val="20"/>
                <w:szCs w:val="20"/>
              </w:rPr>
              <w:t>Infrastru</w:t>
            </w:r>
            <w:r w:rsidR="00753EEE" w:rsidRPr="00BE1F57">
              <w:rPr>
                <w:rFonts w:eastAsia="Gill Sans MT"/>
                <w:b/>
                <w:bCs/>
                <w:sz w:val="20"/>
                <w:szCs w:val="20"/>
              </w:rPr>
              <w:t>ktura</w:t>
            </w:r>
          </w:p>
        </w:tc>
        <w:tc>
          <w:tcPr>
            <w:tcW w:w="1452" w:type="dxa"/>
            <w:shd w:val="clear" w:color="auto" w:fill="B6DDE8" w:themeFill="accent5" w:themeFillTint="66"/>
            <w:vAlign w:val="center"/>
          </w:tcPr>
          <w:p w14:paraId="29642818" w14:textId="17A08811" w:rsidR="2C880ADD" w:rsidRPr="00BE1F57" w:rsidRDefault="2C880ADD" w:rsidP="00FD2238">
            <w:pPr>
              <w:spacing w:before="25" w:line="276" w:lineRule="auto"/>
              <w:jc w:val="center"/>
              <w:rPr>
                <w:sz w:val="20"/>
                <w:szCs w:val="20"/>
              </w:rPr>
            </w:pPr>
            <w:r w:rsidRPr="00BE1F57">
              <w:rPr>
                <w:rFonts w:eastAsia="Gill Sans MT"/>
                <w:sz w:val="20"/>
                <w:szCs w:val="20"/>
              </w:rPr>
              <w:t>(ran</w:t>
            </w:r>
            <w:r w:rsidR="004A23D6" w:rsidRPr="00BE1F57">
              <w:rPr>
                <w:rFonts w:eastAsia="Gill Sans MT"/>
                <w:sz w:val="20"/>
                <w:szCs w:val="20"/>
              </w:rPr>
              <w:t>girano</w:t>
            </w:r>
            <w:r w:rsidRPr="00BE1F57">
              <w:rPr>
                <w:rFonts w:eastAsia="Gill Sans MT"/>
                <w:sz w:val="20"/>
                <w:szCs w:val="20"/>
              </w:rPr>
              <w:t>)</w:t>
            </w:r>
          </w:p>
        </w:tc>
        <w:tc>
          <w:tcPr>
            <w:tcW w:w="1260" w:type="dxa"/>
            <w:shd w:val="clear" w:color="auto" w:fill="B6DDE8" w:themeFill="accent5" w:themeFillTint="66"/>
            <w:vAlign w:val="center"/>
          </w:tcPr>
          <w:p w14:paraId="5813D02D" w14:textId="3FB4CC50" w:rsidR="2C880ADD" w:rsidRPr="00BE1F57" w:rsidRDefault="2C880ADD" w:rsidP="00FD2238">
            <w:pPr>
              <w:spacing w:before="25" w:line="276" w:lineRule="auto"/>
              <w:jc w:val="center"/>
              <w:rPr>
                <w:sz w:val="20"/>
                <w:szCs w:val="20"/>
              </w:rPr>
            </w:pPr>
            <w:r w:rsidRPr="00BE1F57">
              <w:rPr>
                <w:rFonts w:eastAsia="Gill Sans MT"/>
                <w:sz w:val="20"/>
                <w:szCs w:val="20"/>
              </w:rPr>
              <w:t>(ran</w:t>
            </w:r>
            <w:r w:rsidR="004A23D6" w:rsidRPr="00BE1F57">
              <w:rPr>
                <w:rFonts w:eastAsia="Gill Sans MT"/>
                <w:sz w:val="20"/>
                <w:szCs w:val="20"/>
              </w:rPr>
              <w:t>girano</w:t>
            </w:r>
            <w:r w:rsidRPr="00BE1F57">
              <w:rPr>
                <w:rFonts w:eastAsia="Gill Sans MT"/>
                <w:sz w:val="20"/>
                <w:szCs w:val="20"/>
              </w:rPr>
              <w:t>)</w:t>
            </w:r>
          </w:p>
        </w:tc>
        <w:tc>
          <w:tcPr>
            <w:tcW w:w="1680" w:type="dxa"/>
            <w:shd w:val="clear" w:color="auto" w:fill="B6DDE8" w:themeFill="accent5" w:themeFillTint="66"/>
            <w:vAlign w:val="center"/>
          </w:tcPr>
          <w:p w14:paraId="06DABB78" w14:textId="1F30CA55" w:rsidR="2C880ADD" w:rsidRPr="00BE1F57" w:rsidRDefault="2C880ADD" w:rsidP="00FD2238">
            <w:pPr>
              <w:spacing w:before="25" w:line="276" w:lineRule="auto"/>
              <w:jc w:val="center"/>
              <w:rPr>
                <w:sz w:val="20"/>
                <w:szCs w:val="20"/>
              </w:rPr>
            </w:pPr>
            <w:r w:rsidRPr="00BE1F57">
              <w:rPr>
                <w:rFonts w:eastAsia="Gill Sans MT"/>
                <w:sz w:val="20"/>
                <w:szCs w:val="20"/>
              </w:rPr>
              <w:t>(n</w:t>
            </w:r>
            <w:r w:rsidR="004A23D6" w:rsidRPr="00BE1F57">
              <w:rPr>
                <w:rFonts w:eastAsia="Gill Sans MT"/>
                <w:sz w:val="20"/>
                <w:szCs w:val="20"/>
              </w:rPr>
              <w:t>erangirano</w:t>
            </w:r>
            <w:r w:rsidRPr="00BE1F57">
              <w:rPr>
                <w:rFonts w:eastAsia="Gill Sans MT"/>
                <w:sz w:val="20"/>
                <w:szCs w:val="20"/>
              </w:rPr>
              <w:t>)</w:t>
            </w:r>
          </w:p>
        </w:tc>
        <w:tc>
          <w:tcPr>
            <w:tcW w:w="1005" w:type="dxa"/>
            <w:shd w:val="clear" w:color="auto" w:fill="B6DDE8" w:themeFill="accent5" w:themeFillTint="66"/>
            <w:vAlign w:val="center"/>
          </w:tcPr>
          <w:p w14:paraId="3682AEE5" w14:textId="667A5BDE" w:rsidR="2C880ADD" w:rsidRPr="00BE1F57" w:rsidRDefault="00753EEE" w:rsidP="00DD0E52">
            <w:pPr>
              <w:spacing w:before="25" w:line="276" w:lineRule="auto"/>
              <w:jc w:val="center"/>
              <w:rPr>
                <w:sz w:val="20"/>
                <w:szCs w:val="20"/>
              </w:rPr>
            </w:pPr>
            <w:r w:rsidRPr="00BE1F57">
              <w:rPr>
                <w:rFonts w:eastAsia="Gill Sans MT"/>
                <w:b/>
                <w:bCs/>
                <w:sz w:val="20"/>
                <w:szCs w:val="20"/>
              </w:rPr>
              <w:t>Ukupno</w:t>
            </w:r>
          </w:p>
        </w:tc>
      </w:tr>
      <w:tr w:rsidR="2C880ADD" w:rsidRPr="000E67B4" w14:paraId="6E2BF073" w14:textId="77777777" w:rsidTr="00FD2238">
        <w:trPr>
          <w:trHeight w:val="270"/>
        </w:trPr>
        <w:tc>
          <w:tcPr>
            <w:tcW w:w="4128" w:type="dxa"/>
            <w:vAlign w:val="center"/>
          </w:tcPr>
          <w:p w14:paraId="37EFB7E8" w14:textId="7F235366" w:rsidR="2C880ADD" w:rsidRPr="00BE1F57" w:rsidRDefault="00753EEE" w:rsidP="00FD2238">
            <w:pPr>
              <w:spacing w:before="45" w:line="276" w:lineRule="auto"/>
              <w:rPr>
                <w:sz w:val="20"/>
                <w:szCs w:val="20"/>
              </w:rPr>
            </w:pPr>
            <w:r w:rsidRPr="00BE1F57">
              <w:rPr>
                <w:rFonts w:eastAsia="Gill Sans MT"/>
                <w:sz w:val="20"/>
                <w:szCs w:val="20"/>
              </w:rPr>
              <w:t>Osnovna infrastruktura</w:t>
            </w:r>
          </w:p>
        </w:tc>
        <w:tc>
          <w:tcPr>
            <w:tcW w:w="1452" w:type="dxa"/>
            <w:vAlign w:val="center"/>
          </w:tcPr>
          <w:p w14:paraId="364DD2F5" w14:textId="23D4B471" w:rsidR="2C880ADD" w:rsidRPr="00BE1F57" w:rsidRDefault="2C880ADD" w:rsidP="00FD2238">
            <w:pPr>
              <w:spacing w:before="45" w:line="276" w:lineRule="auto"/>
              <w:jc w:val="center"/>
              <w:rPr>
                <w:sz w:val="20"/>
                <w:szCs w:val="20"/>
              </w:rPr>
            </w:pPr>
            <w:r w:rsidRPr="00BE1F57">
              <w:rPr>
                <w:rFonts w:eastAsia="Gill Sans MT"/>
                <w:sz w:val="20"/>
                <w:szCs w:val="20"/>
              </w:rPr>
              <w:t>8</w:t>
            </w:r>
          </w:p>
        </w:tc>
        <w:tc>
          <w:tcPr>
            <w:tcW w:w="1260" w:type="dxa"/>
            <w:vAlign w:val="center"/>
          </w:tcPr>
          <w:p w14:paraId="149B8FA7" w14:textId="015153EE" w:rsidR="2C880ADD" w:rsidRPr="00BE1F57" w:rsidRDefault="2C880ADD" w:rsidP="00FD2238">
            <w:pPr>
              <w:spacing w:before="45" w:line="276" w:lineRule="auto"/>
              <w:jc w:val="center"/>
              <w:rPr>
                <w:sz w:val="20"/>
                <w:szCs w:val="20"/>
              </w:rPr>
            </w:pPr>
            <w:r w:rsidRPr="00BE1F57">
              <w:rPr>
                <w:rFonts w:eastAsia="Gill Sans MT"/>
                <w:sz w:val="20"/>
                <w:szCs w:val="20"/>
              </w:rPr>
              <w:t>5</w:t>
            </w:r>
          </w:p>
        </w:tc>
        <w:tc>
          <w:tcPr>
            <w:tcW w:w="1680" w:type="dxa"/>
            <w:vAlign w:val="center"/>
          </w:tcPr>
          <w:p w14:paraId="72DA55BB" w14:textId="71A59575" w:rsidR="2C880ADD" w:rsidRPr="00BE1F57" w:rsidRDefault="2C880ADD" w:rsidP="00FD2238">
            <w:pPr>
              <w:spacing w:before="45" w:line="276" w:lineRule="auto"/>
              <w:jc w:val="center"/>
              <w:rPr>
                <w:sz w:val="20"/>
                <w:szCs w:val="20"/>
              </w:rPr>
            </w:pPr>
            <w:r w:rsidRPr="00BE1F57">
              <w:rPr>
                <w:rFonts w:eastAsia="Gill Sans MT"/>
                <w:sz w:val="20"/>
                <w:szCs w:val="20"/>
              </w:rPr>
              <w:t>7</w:t>
            </w:r>
          </w:p>
        </w:tc>
        <w:tc>
          <w:tcPr>
            <w:tcW w:w="1005" w:type="dxa"/>
            <w:vAlign w:val="center"/>
          </w:tcPr>
          <w:p w14:paraId="5DDD49F4" w14:textId="7AAF2962" w:rsidR="2C880ADD" w:rsidRPr="00BE1F57" w:rsidRDefault="2C880ADD" w:rsidP="00DD0E52">
            <w:pPr>
              <w:spacing w:before="82" w:line="276" w:lineRule="auto"/>
              <w:jc w:val="center"/>
              <w:rPr>
                <w:sz w:val="20"/>
                <w:szCs w:val="20"/>
              </w:rPr>
            </w:pPr>
            <w:r w:rsidRPr="00BE1F57">
              <w:rPr>
                <w:rFonts w:eastAsia="Gill Sans MT"/>
                <w:b/>
                <w:bCs/>
                <w:sz w:val="20"/>
                <w:szCs w:val="20"/>
              </w:rPr>
              <w:t>20</w:t>
            </w:r>
          </w:p>
        </w:tc>
      </w:tr>
      <w:tr w:rsidR="2C880ADD" w:rsidRPr="000E67B4" w14:paraId="79D57CD0" w14:textId="77777777" w:rsidTr="00FD2238">
        <w:trPr>
          <w:trHeight w:val="240"/>
        </w:trPr>
        <w:tc>
          <w:tcPr>
            <w:tcW w:w="4128" w:type="dxa"/>
            <w:vAlign w:val="center"/>
          </w:tcPr>
          <w:p w14:paraId="30760D12" w14:textId="2C444DA5" w:rsidR="2C880ADD" w:rsidRPr="00BE1F57" w:rsidRDefault="2C880ADD" w:rsidP="00FD2238">
            <w:pPr>
              <w:spacing w:before="6" w:line="276" w:lineRule="auto"/>
              <w:rPr>
                <w:sz w:val="20"/>
                <w:szCs w:val="20"/>
              </w:rPr>
            </w:pPr>
            <w:r w:rsidRPr="00BE1F57">
              <w:rPr>
                <w:rFonts w:eastAsia="Gill Sans MT"/>
                <w:sz w:val="20"/>
                <w:szCs w:val="20"/>
              </w:rPr>
              <w:t>Te</w:t>
            </w:r>
            <w:r w:rsidR="00753EEE" w:rsidRPr="00BE1F57">
              <w:rPr>
                <w:rFonts w:eastAsia="Gill Sans MT"/>
                <w:sz w:val="20"/>
                <w:szCs w:val="20"/>
              </w:rPr>
              <w:t>hnološka</w:t>
            </w:r>
            <w:r w:rsidRPr="00BE1F57">
              <w:rPr>
                <w:rFonts w:eastAsia="Gill Sans MT"/>
                <w:sz w:val="20"/>
                <w:szCs w:val="20"/>
              </w:rPr>
              <w:t xml:space="preserve"> </w:t>
            </w:r>
            <w:r w:rsidR="00753EEE" w:rsidRPr="00BE1F57">
              <w:rPr>
                <w:rFonts w:eastAsia="Gill Sans MT"/>
                <w:sz w:val="20"/>
                <w:szCs w:val="20"/>
              </w:rPr>
              <w:t>i</w:t>
            </w:r>
            <w:r w:rsidRPr="00BE1F57">
              <w:rPr>
                <w:rFonts w:eastAsia="Gill Sans MT"/>
                <w:sz w:val="20"/>
                <w:szCs w:val="20"/>
              </w:rPr>
              <w:t>nfrastru</w:t>
            </w:r>
            <w:r w:rsidR="00753EEE" w:rsidRPr="00BE1F57">
              <w:rPr>
                <w:rFonts w:eastAsia="Gill Sans MT"/>
                <w:sz w:val="20"/>
                <w:szCs w:val="20"/>
              </w:rPr>
              <w:t>ktura</w:t>
            </w:r>
          </w:p>
        </w:tc>
        <w:tc>
          <w:tcPr>
            <w:tcW w:w="1452" w:type="dxa"/>
            <w:vAlign w:val="center"/>
          </w:tcPr>
          <w:p w14:paraId="024E64EE" w14:textId="4D230B1B" w:rsidR="2C880ADD" w:rsidRPr="00BE1F57" w:rsidRDefault="2C880ADD" w:rsidP="00FD2238">
            <w:pPr>
              <w:spacing w:before="6" w:line="276" w:lineRule="auto"/>
              <w:jc w:val="center"/>
              <w:rPr>
                <w:sz w:val="20"/>
                <w:szCs w:val="20"/>
              </w:rPr>
            </w:pPr>
            <w:r w:rsidRPr="00BE1F57">
              <w:rPr>
                <w:rFonts w:eastAsia="Gill Sans MT"/>
                <w:sz w:val="20"/>
                <w:szCs w:val="20"/>
              </w:rPr>
              <w:t>10</w:t>
            </w:r>
          </w:p>
        </w:tc>
        <w:tc>
          <w:tcPr>
            <w:tcW w:w="1260" w:type="dxa"/>
            <w:vAlign w:val="center"/>
          </w:tcPr>
          <w:p w14:paraId="2B60CF41" w14:textId="0BFC15EE" w:rsidR="2C880ADD" w:rsidRPr="00BE1F57" w:rsidRDefault="2C880ADD" w:rsidP="00FD2238">
            <w:pPr>
              <w:spacing w:before="6" w:line="276" w:lineRule="auto"/>
              <w:jc w:val="center"/>
              <w:rPr>
                <w:sz w:val="20"/>
                <w:szCs w:val="20"/>
              </w:rPr>
            </w:pPr>
            <w:r w:rsidRPr="00BE1F57">
              <w:rPr>
                <w:rFonts w:eastAsia="Gill Sans MT"/>
                <w:sz w:val="20"/>
                <w:szCs w:val="20"/>
              </w:rPr>
              <w:t>7</w:t>
            </w:r>
          </w:p>
        </w:tc>
        <w:tc>
          <w:tcPr>
            <w:tcW w:w="1680" w:type="dxa"/>
            <w:vAlign w:val="center"/>
          </w:tcPr>
          <w:p w14:paraId="43A44A3D" w14:textId="062621E5" w:rsidR="2C880ADD" w:rsidRPr="00BE1F57" w:rsidRDefault="2C880ADD" w:rsidP="00FD2238">
            <w:pPr>
              <w:spacing w:before="6" w:line="276" w:lineRule="auto"/>
              <w:jc w:val="center"/>
              <w:rPr>
                <w:sz w:val="20"/>
                <w:szCs w:val="20"/>
              </w:rPr>
            </w:pPr>
            <w:r w:rsidRPr="00BE1F57">
              <w:rPr>
                <w:rFonts w:eastAsia="Gill Sans MT"/>
                <w:sz w:val="20"/>
                <w:szCs w:val="20"/>
              </w:rPr>
              <w:t>0</w:t>
            </w:r>
          </w:p>
        </w:tc>
        <w:tc>
          <w:tcPr>
            <w:tcW w:w="1005" w:type="dxa"/>
            <w:vAlign w:val="center"/>
          </w:tcPr>
          <w:p w14:paraId="3E59700B" w14:textId="4A5C9D2D" w:rsidR="2C880ADD" w:rsidRPr="00BE1F57" w:rsidRDefault="2C880ADD" w:rsidP="00DD0E52">
            <w:pPr>
              <w:spacing w:before="51" w:line="276" w:lineRule="auto"/>
              <w:jc w:val="center"/>
              <w:rPr>
                <w:sz w:val="20"/>
                <w:szCs w:val="20"/>
              </w:rPr>
            </w:pPr>
            <w:r w:rsidRPr="00BE1F57">
              <w:rPr>
                <w:rFonts w:eastAsia="Gill Sans MT"/>
                <w:b/>
                <w:bCs/>
                <w:sz w:val="20"/>
                <w:szCs w:val="20"/>
              </w:rPr>
              <w:t>17</w:t>
            </w:r>
          </w:p>
        </w:tc>
      </w:tr>
      <w:tr w:rsidR="2C880ADD" w:rsidRPr="000E67B4" w14:paraId="1CF22F16" w14:textId="77777777" w:rsidTr="00FD2238">
        <w:trPr>
          <w:trHeight w:val="240"/>
        </w:trPr>
        <w:tc>
          <w:tcPr>
            <w:tcW w:w="4128" w:type="dxa"/>
            <w:vAlign w:val="center"/>
          </w:tcPr>
          <w:p w14:paraId="34B0DCE0" w14:textId="2C9F0DBE" w:rsidR="2C880ADD" w:rsidRPr="00BE1F57" w:rsidRDefault="00753EEE" w:rsidP="00FD2238">
            <w:pPr>
              <w:spacing w:before="6" w:line="276" w:lineRule="auto"/>
              <w:rPr>
                <w:sz w:val="20"/>
                <w:szCs w:val="20"/>
              </w:rPr>
            </w:pPr>
            <w:r w:rsidRPr="00BE1F57">
              <w:rPr>
                <w:rFonts w:eastAsia="Gill Sans MT"/>
                <w:sz w:val="20"/>
                <w:szCs w:val="20"/>
              </w:rPr>
              <w:t>Znanstvena</w:t>
            </w:r>
            <w:r w:rsidR="2C880ADD" w:rsidRPr="00BE1F57">
              <w:rPr>
                <w:rFonts w:eastAsia="Gill Sans MT"/>
                <w:sz w:val="20"/>
                <w:szCs w:val="20"/>
              </w:rPr>
              <w:t xml:space="preserve"> </w:t>
            </w:r>
            <w:r w:rsidRPr="00BE1F57">
              <w:rPr>
                <w:rFonts w:eastAsia="Gill Sans MT"/>
                <w:sz w:val="20"/>
                <w:szCs w:val="20"/>
              </w:rPr>
              <w:t>i</w:t>
            </w:r>
            <w:r w:rsidR="2C880ADD" w:rsidRPr="00BE1F57">
              <w:rPr>
                <w:rFonts w:eastAsia="Gill Sans MT"/>
                <w:sz w:val="20"/>
                <w:szCs w:val="20"/>
              </w:rPr>
              <w:t>nfrastru</w:t>
            </w:r>
            <w:r w:rsidRPr="00BE1F57">
              <w:rPr>
                <w:rFonts w:eastAsia="Gill Sans MT"/>
                <w:sz w:val="20"/>
                <w:szCs w:val="20"/>
              </w:rPr>
              <w:t>kt</w:t>
            </w:r>
            <w:r w:rsidR="2C880ADD" w:rsidRPr="00BE1F57">
              <w:rPr>
                <w:rFonts w:eastAsia="Gill Sans MT"/>
                <w:sz w:val="20"/>
                <w:szCs w:val="20"/>
              </w:rPr>
              <w:t>ur</w:t>
            </w:r>
            <w:r w:rsidRPr="00BE1F57">
              <w:rPr>
                <w:rFonts w:eastAsia="Gill Sans MT"/>
                <w:sz w:val="20"/>
                <w:szCs w:val="20"/>
              </w:rPr>
              <w:t>a</w:t>
            </w:r>
          </w:p>
        </w:tc>
        <w:tc>
          <w:tcPr>
            <w:tcW w:w="1452" w:type="dxa"/>
            <w:vAlign w:val="center"/>
          </w:tcPr>
          <w:p w14:paraId="6FF6269F" w14:textId="480E2091" w:rsidR="2C880ADD" w:rsidRPr="00BE1F57" w:rsidRDefault="2C880ADD" w:rsidP="00FD2238">
            <w:pPr>
              <w:spacing w:before="6" w:line="276" w:lineRule="auto"/>
              <w:jc w:val="center"/>
              <w:rPr>
                <w:sz w:val="20"/>
                <w:szCs w:val="20"/>
              </w:rPr>
            </w:pPr>
            <w:r w:rsidRPr="00BE1F57">
              <w:rPr>
                <w:rFonts w:eastAsia="Gill Sans MT"/>
                <w:sz w:val="20"/>
                <w:szCs w:val="20"/>
              </w:rPr>
              <w:t>15</w:t>
            </w:r>
          </w:p>
        </w:tc>
        <w:tc>
          <w:tcPr>
            <w:tcW w:w="1260" w:type="dxa"/>
            <w:vAlign w:val="center"/>
          </w:tcPr>
          <w:p w14:paraId="1884777F" w14:textId="0CE6653C" w:rsidR="2C880ADD" w:rsidRPr="00BE1F57" w:rsidRDefault="2C880ADD" w:rsidP="00FD2238">
            <w:pPr>
              <w:spacing w:before="6" w:line="276" w:lineRule="auto"/>
              <w:jc w:val="center"/>
              <w:rPr>
                <w:sz w:val="20"/>
                <w:szCs w:val="20"/>
              </w:rPr>
            </w:pPr>
            <w:r w:rsidRPr="00BE1F57">
              <w:rPr>
                <w:rFonts w:eastAsia="Gill Sans MT"/>
                <w:sz w:val="20"/>
                <w:szCs w:val="20"/>
              </w:rPr>
              <w:t>3</w:t>
            </w:r>
          </w:p>
        </w:tc>
        <w:tc>
          <w:tcPr>
            <w:tcW w:w="1680" w:type="dxa"/>
            <w:vAlign w:val="center"/>
          </w:tcPr>
          <w:p w14:paraId="78AD76FF" w14:textId="608ED71E" w:rsidR="2C880ADD" w:rsidRPr="00BE1F57" w:rsidRDefault="2C880ADD" w:rsidP="00FD2238">
            <w:pPr>
              <w:spacing w:before="6" w:line="276" w:lineRule="auto"/>
              <w:jc w:val="center"/>
              <w:rPr>
                <w:sz w:val="20"/>
                <w:szCs w:val="20"/>
              </w:rPr>
            </w:pPr>
            <w:r w:rsidRPr="00BE1F57">
              <w:rPr>
                <w:rFonts w:eastAsia="Gill Sans MT"/>
                <w:sz w:val="20"/>
                <w:szCs w:val="20"/>
              </w:rPr>
              <w:t>4</w:t>
            </w:r>
          </w:p>
        </w:tc>
        <w:tc>
          <w:tcPr>
            <w:tcW w:w="1005" w:type="dxa"/>
            <w:vAlign w:val="center"/>
          </w:tcPr>
          <w:p w14:paraId="4D233AEF" w14:textId="7D2069F2" w:rsidR="2C880ADD" w:rsidRPr="00BE1F57" w:rsidRDefault="2C880ADD" w:rsidP="00DD0E52">
            <w:pPr>
              <w:spacing w:before="51" w:line="276" w:lineRule="auto"/>
              <w:jc w:val="center"/>
              <w:rPr>
                <w:sz w:val="20"/>
                <w:szCs w:val="20"/>
              </w:rPr>
            </w:pPr>
            <w:r w:rsidRPr="00BE1F57">
              <w:rPr>
                <w:rFonts w:eastAsia="Gill Sans MT"/>
                <w:b/>
                <w:bCs/>
                <w:sz w:val="20"/>
                <w:szCs w:val="20"/>
              </w:rPr>
              <w:t>22</w:t>
            </w:r>
          </w:p>
        </w:tc>
      </w:tr>
      <w:tr w:rsidR="2C880ADD" w:rsidRPr="000E67B4" w14:paraId="22F56B90" w14:textId="77777777" w:rsidTr="00FD2238">
        <w:trPr>
          <w:trHeight w:val="240"/>
        </w:trPr>
        <w:tc>
          <w:tcPr>
            <w:tcW w:w="4128" w:type="dxa"/>
            <w:vAlign w:val="center"/>
          </w:tcPr>
          <w:p w14:paraId="393BC76C" w14:textId="6CDEEB44" w:rsidR="2C880ADD" w:rsidRPr="00BE1F57" w:rsidRDefault="00753EEE" w:rsidP="00FD2238">
            <w:pPr>
              <w:spacing w:before="6" w:line="276" w:lineRule="auto"/>
              <w:rPr>
                <w:sz w:val="20"/>
                <w:szCs w:val="20"/>
              </w:rPr>
            </w:pPr>
            <w:r w:rsidRPr="00BE1F57">
              <w:rPr>
                <w:rFonts w:eastAsia="Gill Sans MT"/>
                <w:sz w:val="20"/>
                <w:szCs w:val="20"/>
              </w:rPr>
              <w:t>Zdravlje i okoliš</w:t>
            </w:r>
          </w:p>
        </w:tc>
        <w:tc>
          <w:tcPr>
            <w:tcW w:w="1452" w:type="dxa"/>
            <w:vAlign w:val="center"/>
          </w:tcPr>
          <w:p w14:paraId="01160DDE" w14:textId="514CC4B6" w:rsidR="2C880ADD" w:rsidRPr="00BE1F57" w:rsidRDefault="2C880ADD" w:rsidP="00FD2238">
            <w:pPr>
              <w:spacing w:before="6" w:line="276" w:lineRule="auto"/>
              <w:jc w:val="center"/>
              <w:rPr>
                <w:sz w:val="20"/>
                <w:szCs w:val="20"/>
              </w:rPr>
            </w:pPr>
            <w:r w:rsidRPr="00BE1F57">
              <w:rPr>
                <w:rFonts w:eastAsia="Gill Sans MT"/>
                <w:sz w:val="20"/>
                <w:szCs w:val="20"/>
              </w:rPr>
              <w:t>15</w:t>
            </w:r>
          </w:p>
        </w:tc>
        <w:tc>
          <w:tcPr>
            <w:tcW w:w="1260" w:type="dxa"/>
            <w:vAlign w:val="center"/>
          </w:tcPr>
          <w:p w14:paraId="79DE50AF" w14:textId="67BA4FF1" w:rsidR="2C880ADD" w:rsidRPr="00BE1F57" w:rsidRDefault="2C880ADD" w:rsidP="00FD2238">
            <w:pPr>
              <w:spacing w:before="6" w:line="276" w:lineRule="auto"/>
              <w:jc w:val="center"/>
              <w:rPr>
                <w:sz w:val="20"/>
                <w:szCs w:val="20"/>
              </w:rPr>
            </w:pPr>
            <w:r w:rsidRPr="00BE1F57">
              <w:rPr>
                <w:rFonts w:eastAsia="Gill Sans MT"/>
                <w:sz w:val="20"/>
                <w:szCs w:val="20"/>
              </w:rPr>
              <w:t>5</w:t>
            </w:r>
          </w:p>
        </w:tc>
        <w:tc>
          <w:tcPr>
            <w:tcW w:w="1680" w:type="dxa"/>
            <w:vAlign w:val="center"/>
          </w:tcPr>
          <w:p w14:paraId="5A95E02C" w14:textId="48D5C0E9" w:rsidR="2C880ADD" w:rsidRPr="00BE1F57" w:rsidRDefault="2C880ADD" w:rsidP="00FD2238">
            <w:pPr>
              <w:spacing w:before="6" w:line="276" w:lineRule="auto"/>
              <w:jc w:val="center"/>
              <w:rPr>
                <w:sz w:val="20"/>
                <w:szCs w:val="20"/>
              </w:rPr>
            </w:pPr>
            <w:r w:rsidRPr="00BE1F57">
              <w:rPr>
                <w:rFonts w:eastAsia="Gill Sans MT"/>
                <w:sz w:val="20"/>
                <w:szCs w:val="20"/>
              </w:rPr>
              <w:t>8</w:t>
            </w:r>
          </w:p>
        </w:tc>
        <w:tc>
          <w:tcPr>
            <w:tcW w:w="1005" w:type="dxa"/>
            <w:vAlign w:val="center"/>
          </w:tcPr>
          <w:p w14:paraId="05780F0F" w14:textId="580F9ED2" w:rsidR="2C880ADD" w:rsidRPr="00BE1F57" w:rsidRDefault="2C880ADD" w:rsidP="00DD0E52">
            <w:pPr>
              <w:spacing w:before="51" w:line="276" w:lineRule="auto"/>
              <w:jc w:val="center"/>
              <w:rPr>
                <w:sz w:val="20"/>
                <w:szCs w:val="20"/>
              </w:rPr>
            </w:pPr>
            <w:r w:rsidRPr="00BE1F57">
              <w:rPr>
                <w:rFonts w:eastAsia="Gill Sans MT"/>
                <w:b/>
                <w:bCs/>
                <w:sz w:val="20"/>
                <w:szCs w:val="20"/>
              </w:rPr>
              <w:t>28</w:t>
            </w:r>
          </w:p>
        </w:tc>
      </w:tr>
      <w:tr w:rsidR="2C880ADD" w:rsidRPr="000E67B4" w14:paraId="5EFB30C2" w14:textId="77777777" w:rsidTr="00FD2238">
        <w:trPr>
          <w:trHeight w:val="240"/>
        </w:trPr>
        <w:tc>
          <w:tcPr>
            <w:tcW w:w="4128" w:type="dxa"/>
            <w:vAlign w:val="center"/>
          </w:tcPr>
          <w:p w14:paraId="3D55DB47" w14:textId="3EF48737" w:rsidR="2C880ADD" w:rsidRPr="00BE1F57" w:rsidRDefault="00D95F5D" w:rsidP="00FD2238">
            <w:pPr>
              <w:spacing w:before="6" w:line="276" w:lineRule="auto"/>
              <w:rPr>
                <w:sz w:val="20"/>
                <w:szCs w:val="20"/>
              </w:rPr>
            </w:pPr>
            <w:r w:rsidRPr="00BE1F57">
              <w:rPr>
                <w:rFonts w:eastAsia="Gill Sans MT"/>
                <w:sz w:val="20"/>
                <w:szCs w:val="20"/>
              </w:rPr>
              <w:t>Obrazovanje</w:t>
            </w:r>
          </w:p>
        </w:tc>
        <w:tc>
          <w:tcPr>
            <w:tcW w:w="1452" w:type="dxa"/>
            <w:vAlign w:val="center"/>
          </w:tcPr>
          <w:p w14:paraId="3C4103CB" w14:textId="0C4C41BF" w:rsidR="2C880ADD" w:rsidRPr="00BE1F57" w:rsidRDefault="2C880ADD" w:rsidP="00FD2238">
            <w:pPr>
              <w:spacing w:before="6" w:line="276" w:lineRule="auto"/>
              <w:jc w:val="center"/>
              <w:rPr>
                <w:sz w:val="20"/>
                <w:szCs w:val="20"/>
              </w:rPr>
            </w:pPr>
            <w:r w:rsidRPr="00BE1F57">
              <w:rPr>
                <w:rFonts w:eastAsia="Gill Sans MT"/>
                <w:sz w:val="20"/>
                <w:szCs w:val="20"/>
              </w:rPr>
              <w:t>12</w:t>
            </w:r>
          </w:p>
        </w:tc>
        <w:tc>
          <w:tcPr>
            <w:tcW w:w="1260" w:type="dxa"/>
            <w:vAlign w:val="center"/>
          </w:tcPr>
          <w:p w14:paraId="0FFE29D9" w14:textId="3F929AF6" w:rsidR="2C880ADD" w:rsidRPr="00BE1F57" w:rsidRDefault="2C880ADD" w:rsidP="00FD2238">
            <w:pPr>
              <w:spacing w:before="6" w:line="276" w:lineRule="auto"/>
              <w:jc w:val="center"/>
              <w:rPr>
                <w:sz w:val="20"/>
                <w:szCs w:val="20"/>
              </w:rPr>
            </w:pPr>
            <w:r w:rsidRPr="00BE1F57">
              <w:rPr>
                <w:rFonts w:eastAsia="Gill Sans MT"/>
                <w:sz w:val="20"/>
                <w:szCs w:val="20"/>
              </w:rPr>
              <w:t>4</w:t>
            </w:r>
          </w:p>
        </w:tc>
        <w:tc>
          <w:tcPr>
            <w:tcW w:w="1680" w:type="dxa"/>
            <w:vAlign w:val="center"/>
          </w:tcPr>
          <w:p w14:paraId="1EB56023" w14:textId="614B6FC6" w:rsidR="2C880ADD" w:rsidRPr="00BE1F57" w:rsidRDefault="2C880ADD" w:rsidP="00FD2238">
            <w:pPr>
              <w:spacing w:before="6" w:line="276" w:lineRule="auto"/>
              <w:jc w:val="center"/>
              <w:rPr>
                <w:sz w:val="20"/>
                <w:szCs w:val="20"/>
              </w:rPr>
            </w:pPr>
            <w:r w:rsidRPr="00BE1F57">
              <w:rPr>
                <w:rFonts w:eastAsia="Gill Sans MT"/>
                <w:sz w:val="20"/>
                <w:szCs w:val="20"/>
              </w:rPr>
              <w:t>3</w:t>
            </w:r>
          </w:p>
        </w:tc>
        <w:tc>
          <w:tcPr>
            <w:tcW w:w="1005" w:type="dxa"/>
            <w:vAlign w:val="center"/>
          </w:tcPr>
          <w:p w14:paraId="5BB1303D" w14:textId="33CDC93B" w:rsidR="2C880ADD" w:rsidRPr="00BE1F57" w:rsidRDefault="2C880ADD" w:rsidP="00DD0E52">
            <w:pPr>
              <w:spacing w:before="51" w:line="276" w:lineRule="auto"/>
              <w:jc w:val="center"/>
              <w:rPr>
                <w:sz w:val="20"/>
                <w:szCs w:val="20"/>
              </w:rPr>
            </w:pPr>
            <w:r w:rsidRPr="00BE1F57">
              <w:rPr>
                <w:rFonts w:eastAsia="Gill Sans MT"/>
                <w:b/>
                <w:bCs/>
                <w:sz w:val="20"/>
                <w:szCs w:val="20"/>
              </w:rPr>
              <w:t>19</w:t>
            </w:r>
          </w:p>
        </w:tc>
      </w:tr>
      <w:tr w:rsidR="2C880ADD" w:rsidRPr="000E67B4" w14:paraId="420F757C" w14:textId="77777777" w:rsidTr="00FD2238">
        <w:trPr>
          <w:trHeight w:val="225"/>
        </w:trPr>
        <w:tc>
          <w:tcPr>
            <w:tcW w:w="4128" w:type="dxa"/>
            <w:shd w:val="clear" w:color="auto" w:fill="DAEEF3" w:themeFill="accent5" w:themeFillTint="33"/>
            <w:vAlign w:val="center"/>
          </w:tcPr>
          <w:p w14:paraId="423225F0" w14:textId="6FE6DC1A" w:rsidR="2C880ADD" w:rsidRPr="00BE1F57" w:rsidRDefault="2C880ADD" w:rsidP="00FD2238">
            <w:pPr>
              <w:spacing w:line="276" w:lineRule="auto"/>
              <w:rPr>
                <w:sz w:val="20"/>
                <w:szCs w:val="20"/>
              </w:rPr>
            </w:pPr>
            <w:r w:rsidRPr="00BE1F57">
              <w:rPr>
                <w:rFonts w:eastAsia="Calibri"/>
                <w:sz w:val="20"/>
                <w:szCs w:val="20"/>
              </w:rPr>
              <w:t xml:space="preserve"> </w:t>
            </w:r>
          </w:p>
        </w:tc>
        <w:tc>
          <w:tcPr>
            <w:tcW w:w="1452" w:type="dxa"/>
            <w:shd w:val="clear" w:color="auto" w:fill="DAEEF3" w:themeFill="accent5" w:themeFillTint="33"/>
            <w:vAlign w:val="center"/>
          </w:tcPr>
          <w:p w14:paraId="3FF3D7FE" w14:textId="688C7B99" w:rsidR="2C880ADD" w:rsidRPr="00BE1F57" w:rsidRDefault="2C880ADD" w:rsidP="00FD2238">
            <w:pPr>
              <w:spacing w:before="6" w:line="276" w:lineRule="auto"/>
              <w:jc w:val="center"/>
              <w:rPr>
                <w:sz w:val="20"/>
                <w:szCs w:val="20"/>
              </w:rPr>
            </w:pPr>
            <w:r w:rsidRPr="00BE1F57">
              <w:rPr>
                <w:rFonts w:eastAsia="Gill Sans MT"/>
                <w:b/>
                <w:bCs/>
                <w:color w:val="000000" w:themeColor="text1"/>
                <w:sz w:val="20"/>
                <w:szCs w:val="20"/>
              </w:rPr>
              <w:t>60</w:t>
            </w:r>
          </w:p>
        </w:tc>
        <w:tc>
          <w:tcPr>
            <w:tcW w:w="1260" w:type="dxa"/>
            <w:shd w:val="clear" w:color="auto" w:fill="DAEEF3" w:themeFill="accent5" w:themeFillTint="33"/>
            <w:vAlign w:val="center"/>
          </w:tcPr>
          <w:p w14:paraId="03C9E6E8" w14:textId="71F30230" w:rsidR="2C880ADD" w:rsidRPr="00BE1F57" w:rsidRDefault="2C880ADD" w:rsidP="00FD2238">
            <w:pPr>
              <w:spacing w:before="6" w:line="276" w:lineRule="auto"/>
              <w:jc w:val="center"/>
              <w:rPr>
                <w:sz w:val="20"/>
                <w:szCs w:val="20"/>
              </w:rPr>
            </w:pPr>
            <w:r w:rsidRPr="00BE1F57">
              <w:rPr>
                <w:rFonts w:eastAsia="Gill Sans MT"/>
                <w:b/>
                <w:bCs/>
                <w:color w:val="000000" w:themeColor="text1"/>
                <w:sz w:val="20"/>
                <w:szCs w:val="20"/>
              </w:rPr>
              <w:t>24</w:t>
            </w:r>
          </w:p>
        </w:tc>
        <w:tc>
          <w:tcPr>
            <w:tcW w:w="1680" w:type="dxa"/>
            <w:shd w:val="clear" w:color="auto" w:fill="DAEEF3" w:themeFill="accent5" w:themeFillTint="33"/>
            <w:vAlign w:val="center"/>
          </w:tcPr>
          <w:p w14:paraId="3358668A" w14:textId="3BA11439" w:rsidR="2C880ADD" w:rsidRPr="00BE1F57" w:rsidRDefault="2C880ADD" w:rsidP="00FD2238">
            <w:pPr>
              <w:spacing w:before="6" w:line="276" w:lineRule="auto"/>
              <w:jc w:val="center"/>
              <w:rPr>
                <w:sz w:val="20"/>
                <w:szCs w:val="20"/>
              </w:rPr>
            </w:pPr>
            <w:r w:rsidRPr="00BE1F57">
              <w:rPr>
                <w:rFonts w:eastAsia="Gill Sans MT"/>
                <w:b/>
                <w:bCs/>
                <w:color w:val="000000" w:themeColor="text1"/>
                <w:sz w:val="20"/>
                <w:szCs w:val="20"/>
              </w:rPr>
              <w:t>22</w:t>
            </w:r>
          </w:p>
        </w:tc>
        <w:tc>
          <w:tcPr>
            <w:tcW w:w="1005" w:type="dxa"/>
            <w:shd w:val="clear" w:color="auto" w:fill="DAEEF3" w:themeFill="accent5" w:themeFillTint="33"/>
            <w:vAlign w:val="center"/>
          </w:tcPr>
          <w:p w14:paraId="53D09EBF" w14:textId="21D4642D" w:rsidR="2C880ADD" w:rsidRPr="00BE1F57" w:rsidRDefault="2C880ADD" w:rsidP="00DD0E52">
            <w:pPr>
              <w:spacing w:before="14" w:line="276" w:lineRule="auto"/>
              <w:jc w:val="center"/>
              <w:rPr>
                <w:sz w:val="20"/>
                <w:szCs w:val="20"/>
              </w:rPr>
            </w:pPr>
            <w:r w:rsidRPr="00BE1F57">
              <w:rPr>
                <w:rFonts w:eastAsia="Gill Sans MT"/>
                <w:b/>
                <w:bCs/>
                <w:sz w:val="20"/>
                <w:szCs w:val="20"/>
              </w:rPr>
              <w:t>106</w:t>
            </w:r>
          </w:p>
        </w:tc>
      </w:tr>
      <w:tr w:rsidR="2C880ADD" w:rsidRPr="000E67B4" w14:paraId="73C1CBDE" w14:textId="77777777" w:rsidTr="00FD2238">
        <w:trPr>
          <w:trHeight w:hRule="exact" w:val="567"/>
        </w:trPr>
        <w:tc>
          <w:tcPr>
            <w:tcW w:w="4128" w:type="dxa"/>
            <w:shd w:val="clear" w:color="auto" w:fill="B6DDE8" w:themeFill="accent5" w:themeFillTint="66"/>
            <w:vAlign w:val="center"/>
          </w:tcPr>
          <w:p w14:paraId="3DF4F4D0" w14:textId="404AB696" w:rsidR="2C880ADD" w:rsidRPr="00BE1F57" w:rsidRDefault="00136D22" w:rsidP="00DD0E52">
            <w:pPr>
              <w:spacing w:before="24" w:line="276" w:lineRule="auto"/>
              <w:rPr>
                <w:sz w:val="20"/>
                <w:szCs w:val="20"/>
              </w:rPr>
            </w:pPr>
            <w:r w:rsidRPr="00BE1F57">
              <w:rPr>
                <w:rFonts w:eastAsia="Gill Sans MT"/>
                <w:b/>
                <w:bCs/>
                <w:sz w:val="20"/>
                <w:szCs w:val="20"/>
              </w:rPr>
              <w:t>Sveu</w:t>
            </w:r>
            <w:r w:rsidR="00D95F5D" w:rsidRPr="00BE1F57">
              <w:rPr>
                <w:rFonts w:eastAsia="Gill Sans MT"/>
                <w:b/>
                <w:bCs/>
                <w:sz w:val="20"/>
                <w:szCs w:val="20"/>
              </w:rPr>
              <w:t>kupno bodova</w:t>
            </w:r>
          </w:p>
        </w:tc>
        <w:tc>
          <w:tcPr>
            <w:tcW w:w="1452" w:type="dxa"/>
            <w:shd w:val="clear" w:color="auto" w:fill="B6DDE8" w:themeFill="accent5" w:themeFillTint="66"/>
            <w:vAlign w:val="center"/>
          </w:tcPr>
          <w:p w14:paraId="4CB2F491" w14:textId="58412999" w:rsidR="2C880ADD" w:rsidRPr="00BE1F57" w:rsidRDefault="2C880ADD" w:rsidP="00DD0E52">
            <w:pPr>
              <w:spacing w:before="24" w:line="276" w:lineRule="auto"/>
              <w:jc w:val="center"/>
              <w:rPr>
                <w:sz w:val="20"/>
                <w:szCs w:val="20"/>
              </w:rPr>
            </w:pPr>
            <w:r w:rsidRPr="00BE1F57">
              <w:rPr>
                <w:rFonts w:eastAsia="Gill Sans MT"/>
                <w:b/>
                <w:bCs/>
                <w:sz w:val="20"/>
                <w:szCs w:val="20"/>
              </w:rPr>
              <w:t>163</w:t>
            </w:r>
          </w:p>
        </w:tc>
        <w:tc>
          <w:tcPr>
            <w:tcW w:w="1260" w:type="dxa"/>
            <w:shd w:val="clear" w:color="auto" w:fill="B6DDE8" w:themeFill="accent5" w:themeFillTint="66"/>
            <w:vAlign w:val="center"/>
          </w:tcPr>
          <w:p w14:paraId="13A4CF3F" w14:textId="12A844D1" w:rsidR="2C880ADD" w:rsidRPr="00BE1F57" w:rsidRDefault="2C880ADD" w:rsidP="00DD0E52">
            <w:pPr>
              <w:spacing w:before="24" w:line="276" w:lineRule="auto"/>
              <w:jc w:val="center"/>
              <w:rPr>
                <w:sz w:val="20"/>
                <w:szCs w:val="20"/>
              </w:rPr>
            </w:pPr>
            <w:r w:rsidRPr="00BE1F57">
              <w:rPr>
                <w:rFonts w:eastAsia="Gill Sans MT"/>
                <w:b/>
                <w:bCs/>
                <w:sz w:val="20"/>
                <w:szCs w:val="20"/>
              </w:rPr>
              <w:t>92</w:t>
            </w:r>
          </w:p>
        </w:tc>
        <w:tc>
          <w:tcPr>
            <w:tcW w:w="1680" w:type="dxa"/>
            <w:shd w:val="clear" w:color="auto" w:fill="B6DDE8" w:themeFill="accent5" w:themeFillTint="66"/>
            <w:vAlign w:val="center"/>
          </w:tcPr>
          <w:p w14:paraId="31B8AAC0" w14:textId="1F0F9662" w:rsidR="2C880ADD" w:rsidRPr="00BE1F57" w:rsidRDefault="2C880ADD" w:rsidP="00DD0E52">
            <w:pPr>
              <w:spacing w:before="24" w:line="276" w:lineRule="auto"/>
              <w:jc w:val="center"/>
              <w:rPr>
                <w:sz w:val="20"/>
                <w:szCs w:val="20"/>
              </w:rPr>
            </w:pPr>
            <w:r w:rsidRPr="00BE1F57">
              <w:rPr>
                <w:rFonts w:eastAsia="Gill Sans MT"/>
                <w:b/>
                <w:bCs/>
                <w:sz w:val="20"/>
                <w:szCs w:val="20"/>
              </w:rPr>
              <w:t>79</w:t>
            </w:r>
          </w:p>
        </w:tc>
        <w:tc>
          <w:tcPr>
            <w:tcW w:w="1005" w:type="dxa"/>
            <w:shd w:val="clear" w:color="auto" w:fill="B6DDE8" w:themeFill="accent5" w:themeFillTint="66"/>
            <w:vAlign w:val="center"/>
          </w:tcPr>
          <w:p w14:paraId="32FB5AB7" w14:textId="6B9AD335" w:rsidR="2C880ADD" w:rsidRPr="00BE1F57" w:rsidRDefault="2C880ADD" w:rsidP="00955C07">
            <w:pPr>
              <w:spacing w:before="33" w:line="276" w:lineRule="auto"/>
              <w:jc w:val="center"/>
              <w:rPr>
                <w:sz w:val="20"/>
                <w:szCs w:val="20"/>
              </w:rPr>
            </w:pPr>
            <w:r w:rsidRPr="00BE1F57">
              <w:rPr>
                <w:rFonts w:eastAsia="Gill Sans MT"/>
                <w:b/>
                <w:bCs/>
                <w:sz w:val="20"/>
                <w:szCs w:val="20"/>
              </w:rPr>
              <w:t>33</w:t>
            </w:r>
            <w:r w:rsidR="00955C07" w:rsidRPr="00BE1F57">
              <w:rPr>
                <w:rFonts w:eastAsia="Gill Sans MT"/>
                <w:b/>
                <w:bCs/>
                <w:sz w:val="20"/>
                <w:szCs w:val="20"/>
              </w:rPr>
              <w:t>4</w:t>
            </w:r>
          </w:p>
        </w:tc>
      </w:tr>
    </w:tbl>
    <w:p w14:paraId="3F1A683B" w14:textId="4DB45E52" w:rsidR="02C4BA31" w:rsidRPr="00BD1B6F" w:rsidRDefault="0D908031" w:rsidP="2C880ADD">
      <w:pPr>
        <w:spacing w:before="164" w:line="276" w:lineRule="auto"/>
        <w:jc w:val="both"/>
      </w:pPr>
      <w:r w:rsidRPr="00BD1B6F">
        <w:rPr>
          <w:color w:val="000000" w:themeColor="text1"/>
          <w:sz w:val="24"/>
          <w:szCs w:val="24"/>
        </w:rPr>
        <w:t xml:space="preserve"> </w:t>
      </w:r>
    </w:p>
    <w:p w14:paraId="14E9A868" w14:textId="50FB2382" w:rsidR="00431979" w:rsidRDefault="00431979" w:rsidP="009D581E">
      <w:pPr>
        <w:rPr>
          <w:b/>
          <w:color w:val="000000" w:themeColor="text1"/>
          <w:sz w:val="24"/>
          <w:szCs w:val="24"/>
        </w:rPr>
      </w:pPr>
    </w:p>
    <w:sectPr w:rsidR="00431979" w:rsidSect="00D764F9">
      <w:pgSz w:w="11910" w:h="16840"/>
      <w:pgMar w:top="1340" w:right="1000" w:bottom="940" w:left="90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C1A5D" w14:textId="77777777" w:rsidR="00D764F9" w:rsidRPr="004A23D6" w:rsidRDefault="00D764F9">
      <w:r w:rsidRPr="004A23D6">
        <w:separator/>
      </w:r>
    </w:p>
  </w:endnote>
  <w:endnote w:type="continuationSeparator" w:id="0">
    <w:p w14:paraId="62341773" w14:textId="77777777" w:rsidR="00D764F9" w:rsidRPr="004A23D6" w:rsidRDefault="00D764F9">
      <w:r w:rsidRPr="004A23D6">
        <w:continuationSeparator/>
      </w:r>
    </w:p>
  </w:endnote>
  <w:endnote w:type="continuationNotice" w:id="1">
    <w:p w14:paraId="273076A1" w14:textId="77777777" w:rsidR="00D764F9" w:rsidRPr="004A23D6" w:rsidRDefault="00D76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892226"/>
      <w:docPartObj>
        <w:docPartGallery w:val="Page Numbers (Bottom of Page)"/>
        <w:docPartUnique/>
      </w:docPartObj>
    </w:sdtPr>
    <w:sdtEndPr/>
    <w:sdtContent>
      <w:p w14:paraId="330CF1D6" w14:textId="2C4D3D9C" w:rsidR="003E05DF" w:rsidRPr="004A23D6" w:rsidRDefault="003E05DF">
        <w:pPr>
          <w:pStyle w:val="Footer"/>
          <w:jc w:val="right"/>
        </w:pPr>
        <w:r w:rsidRPr="004A23D6">
          <w:fldChar w:fldCharType="begin"/>
        </w:r>
        <w:r w:rsidRPr="004A23D6">
          <w:instrText>PAGE   \* MERGEFORMAT</w:instrText>
        </w:r>
        <w:r w:rsidRPr="004A23D6">
          <w:fldChar w:fldCharType="separate"/>
        </w:r>
        <w:r w:rsidR="00F836CD">
          <w:rPr>
            <w:noProof/>
          </w:rPr>
          <w:t>1</w:t>
        </w:r>
        <w:r w:rsidRPr="004A23D6">
          <w:fldChar w:fldCharType="end"/>
        </w:r>
      </w:p>
    </w:sdtContent>
  </w:sdt>
  <w:p w14:paraId="6ED39103" w14:textId="77777777" w:rsidR="003E05DF" w:rsidRPr="004A23D6" w:rsidRDefault="003E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111E" w14:textId="77777777" w:rsidR="00824C19" w:rsidRPr="004A23D6" w:rsidRDefault="00824C19" w:rsidP="00824C19">
    <w:pPr>
      <w:pStyle w:val="Footer"/>
      <w:tabs>
        <w:tab w:val="clear" w:pos="4536"/>
        <w:tab w:val="clear" w:pos="9072"/>
        <w:tab w:val="left" w:pos="5274"/>
      </w:tabs>
    </w:pPr>
    <w:r w:rsidRPr="004A23D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D25D9" w14:textId="77777777" w:rsidR="00D764F9" w:rsidRPr="004A23D6" w:rsidRDefault="00D764F9">
      <w:r w:rsidRPr="004A23D6">
        <w:separator/>
      </w:r>
    </w:p>
  </w:footnote>
  <w:footnote w:type="continuationSeparator" w:id="0">
    <w:p w14:paraId="3D9CEE81" w14:textId="77777777" w:rsidR="00D764F9" w:rsidRPr="004A23D6" w:rsidRDefault="00D764F9">
      <w:r w:rsidRPr="004A23D6">
        <w:continuationSeparator/>
      </w:r>
    </w:p>
  </w:footnote>
  <w:footnote w:type="continuationNotice" w:id="1">
    <w:p w14:paraId="08579910" w14:textId="77777777" w:rsidR="00D764F9" w:rsidRPr="004A23D6" w:rsidRDefault="00D764F9"/>
  </w:footnote>
  <w:footnote w:id="2">
    <w:p w14:paraId="03FB7B60" w14:textId="7BDED541" w:rsidR="7BE9CC14" w:rsidRPr="00FD2238" w:rsidRDefault="7BE9CC14" w:rsidP="00743068">
      <w:pPr>
        <w:jc w:val="both"/>
        <w:rPr>
          <w:i/>
          <w:iCs/>
        </w:rPr>
      </w:pPr>
      <w:r w:rsidRPr="004A23D6">
        <w:rPr>
          <w:rStyle w:val="FootnoteReference"/>
        </w:rPr>
        <w:footnoteRef/>
      </w:r>
      <w:r w:rsidRPr="004A23D6">
        <w:t xml:space="preserve"> </w:t>
      </w:r>
      <w:r w:rsidRPr="00FD2238">
        <w:rPr>
          <w:i/>
          <w:iCs/>
          <w:color w:val="000000" w:themeColor="text1"/>
          <w:sz w:val="20"/>
          <w:szCs w:val="20"/>
        </w:rPr>
        <w:t>Zbog nedostupnosti podataka, napredak se prati zamjenskim pokazateljem</w:t>
      </w:r>
      <w:r w:rsidRPr="00FD2238">
        <w:rPr>
          <w:i/>
          <w:iCs/>
          <w:sz w:val="20"/>
          <w:szCs w:val="20"/>
        </w:rPr>
        <w:t xml:space="preserve"> Instituta za razvoj poslovnog upravljanja iz Lausanne (</w:t>
      </w:r>
      <w:r w:rsidRPr="00DA34C4">
        <w:rPr>
          <w:i/>
          <w:iCs/>
          <w:sz w:val="20"/>
          <w:szCs w:val="20"/>
        </w:rPr>
        <w:t>International Institute for Management Development</w:t>
      </w:r>
      <w:r w:rsidRPr="00FD2238">
        <w:rPr>
          <w:i/>
          <w:iCs/>
          <w:sz w:val="20"/>
          <w:szCs w:val="20"/>
        </w:rPr>
        <w:t xml:space="preserve"> - IMD). </w:t>
      </w:r>
      <w:r w:rsidR="39A97A98" w:rsidRPr="00FD2238">
        <w:rPr>
          <w:i/>
          <w:iCs/>
          <w:sz w:val="20"/>
          <w:szCs w:val="20"/>
        </w:rPr>
        <w:t>Opis i kriteriji</w:t>
      </w:r>
      <w:r w:rsidRPr="00FD2238">
        <w:rPr>
          <w:i/>
          <w:iCs/>
          <w:sz w:val="20"/>
          <w:szCs w:val="20"/>
        </w:rPr>
        <w:t xml:space="preserve"> za izračun pokazatelja nalaze se u Prilogu </w:t>
      </w:r>
      <w:r w:rsidR="39A97A98" w:rsidRPr="00FD2238">
        <w:rPr>
          <w:i/>
          <w:iCs/>
          <w:sz w:val="20"/>
          <w:szCs w:val="20"/>
        </w:rPr>
        <w:t>5</w:t>
      </w:r>
    </w:p>
    <w:p w14:paraId="7520A43A" w14:textId="7B2A266A" w:rsidR="7BE9CC14" w:rsidRPr="004A23D6" w:rsidRDefault="7BE9CC14" w:rsidP="00743068">
      <w:pPr>
        <w:pStyle w:val="FootnoteText"/>
        <w:jc w:val="both"/>
      </w:pPr>
    </w:p>
  </w:footnote>
  <w:footnote w:id="3">
    <w:p w14:paraId="42CA30E5" w14:textId="77777777" w:rsidR="00AE7410" w:rsidRPr="00FD2238" w:rsidRDefault="00AE7410" w:rsidP="00AE7410">
      <w:pPr>
        <w:pStyle w:val="FootnoteText"/>
        <w:jc w:val="both"/>
        <w:rPr>
          <w:rFonts w:ascii="Times New Roman" w:hAnsi="Times New Roman"/>
        </w:rPr>
      </w:pPr>
      <w:r w:rsidRPr="00FD2238">
        <w:rPr>
          <w:rStyle w:val="FootnoteReference"/>
          <w:rFonts w:ascii="Times New Roman" w:hAnsi="Times New Roman"/>
        </w:rPr>
        <w:footnoteRef/>
      </w:r>
      <w:r w:rsidRPr="00FD2238">
        <w:rPr>
          <w:rFonts w:ascii="Times New Roman" w:hAnsi="Times New Roman"/>
        </w:rPr>
        <w:t xml:space="preserve"> </w:t>
      </w:r>
      <w:r w:rsidRPr="00FD2238">
        <w:rPr>
          <w:rFonts w:ascii="Times New Roman" w:hAnsi="Times New Roman"/>
          <w:i/>
          <w:iCs/>
        </w:rPr>
        <w:t>EDIH-ovi su neprofitni konzorciji koji će biti dio šire Europske mreže digitalnih inovacijskih centara, sastavljeni od dionika privatnog i javnog sektora, osnovani s ciljem razvoja i pružanja usluga, prvenstveno poduzećima ali i javnom sektoru u području inovacija i digitalizacije proizvoda, usluga, poslovanja i razvoja digitalnih vještina, s naglaskom na napredne tehnologije.</w:t>
      </w:r>
    </w:p>
  </w:footnote>
  <w:footnote w:id="4">
    <w:p w14:paraId="1D00B4A8" w14:textId="05007EBA" w:rsidR="3DEADE81" w:rsidRPr="004A23D6" w:rsidRDefault="3DEADE81" w:rsidP="00743068">
      <w:pPr>
        <w:pStyle w:val="FootnoteText"/>
        <w:jc w:val="both"/>
      </w:pPr>
      <w:r w:rsidRPr="004A23D6">
        <w:rPr>
          <w:rStyle w:val="FootnoteReference"/>
        </w:rPr>
        <w:footnoteRef/>
      </w:r>
      <w:r w:rsidR="700AEA01" w:rsidRPr="004A23D6">
        <w:t xml:space="preserve"> </w:t>
      </w:r>
      <w:r w:rsidR="700AEA01" w:rsidRPr="004A23D6">
        <w:rPr>
          <w:rFonts w:ascii="Times New Roman" w:eastAsia="Times New Roman" w:hAnsi="Times New Roman"/>
          <w:color w:val="000000" w:themeColor="text1"/>
        </w:rPr>
        <w:t>Zbog nedostupnosti podataka, napredak se prati zamjenskim pokazateljem</w:t>
      </w:r>
      <w:r w:rsidR="700AEA01" w:rsidRPr="004A23D6">
        <w:rPr>
          <w:rFonts w:ascii="Times New Roman" w:eastAsia="Times New Roman" w:hAnsi="Times New Roman"/>
        </w:rPr>
        <w:t xml:space="preserve"> Instituta za razvoj poslovnog upravljanja iz Lausanne (</w:t>
      </w:r>
      <w:r w:rsidR="700AEA01" w:rsidRPr="004A23D6">
        <w:rPr>
          <w:rFonts w:ascii="Times New Roman" w:eastAsia="Times New Roman" w:hAnsi="Times New Roman"/>
          <w:i/>
          <w:iCs/>
        </w:rPr>
        <w:t>International Institute for Management Development</w:t>
      </w:r>
      <w:r w:rsidR="700AEA01" w:rsidRPr="004A23D6">
        <w:rPr>
          <w:rFonts w:ascii="Times New Roman" w:eastAsia="Times New Roman" w:hAnsi="Times New Roman"/>
        </w:rPr>
        <w:t xml:space="preserve"> - IMD). Opis i kriteriji za izračun pokazatelja nalaze se u Prilogu 5</w:t>
      </w:r>
    </w:p>
  </w:footnote>
  <w:footnote w:id="5">
    <w:p w14:paraId="620180C7" w14:textId="036541A9" w:rsidR="4CB83C82" w:rsidRPr="004A23D6" w:rsidRDefault="4CB83C82" w:rsidP="00811425">
      <w:pPr>
        <w:pStyle w:val="FootnoteText"/>
        <w:jc w:val="both"/>
      </w:pPr>
      <w:r w:rsidRPr="004A23D6">
        <w:rPr>
          <w:rStyle w:val="FootnoteReference"/>
        </w:rPr>
        <w:footnoteRef/>
      </w:r>
      <w:r w:rsidR="700AEA01" w:rsidRPr="004A23D6">
        <w:t xml:space="preserve"> </w:t>
      </w:r>
      <w:r w:rsidR="700AEA01" w:rsidRPr="004A23D6">
        <w:rPr>
          <w:rFonts w:ascii="Times New Roman" w:eastAsia="Times New Roman" w:hAnsi="Times New Roman"/>
          <w:color w:val="000000" w:themeColor="text1"/>
        </w:rPr>
        <w:t>Zbog nedostupnosti podataka, napredak se prati zamjenskim pokazateljem</w:t>
      </w:r>
      <w:r w:rsidR="700AEA01" w:rsidRPr="004A23D6">
        <w:rPr>
          <w:rFonts w:ascii="Times New Roman" w:eastAsia="Times New Roman" w:hAnsi="Times New Roman"/>
        </w:rPr>
        <w:t xml:space="preserve"> Instituta za razvoj poslovnog upravljanja iz Lausanne (</w:t>
      </w:r>
      <w:r w:rsidR="700AEA01" w:rsidRPr="004A23D6">
        <w:rPr>
          <w:rFonts w:ascii="Times New Roman" w:eastAsia="Times New Roman" w:hAnsi="Times New Roman"/>
          <w:i/>
          <w:iCs/>
        </w:rPr>
        <w:t>International Institute for Management Development</w:t>
      </w:r>
      <w:r w:rsidR="700AEA01" w:rsidRPr="004A23D6">
        <w:rPr>
          <w:rFonts w:ascii="Times New Roman" w:eastAsia="Times New Roman" w:hAnsi="Times New Roman"/>
        </w:rPr>
        <w:t xml:space="preserve"> - IMD). Opis i kriteriji za izračun pokazatelja nalaze se u Prilogu 5</w:t>
      </w:r>
    </w:p>
  </w:footnote>
  <w:footnote w:id="6">
    <w:p w14:paraId="4CFD6F8E" w14:textId="3FE491B5" w:rsidR="72D657CE" w:rsidRPr="004A23D6" w:rsidRDefault="72D657CE" w:rsidP="002152EC">
      <w:pPr>
        <w:tabs>
          <w:tab w:val="left" w:pos="9638"/>
        </w:tabs>
        <w:spacing w:after="120"/>
        <w:jc w:val="both"/>
      </w:pPr>
      <w:r w:rsidRPr="004A23D6">
        <w:rPr>
          <w:rStyle w:val="FootnoteReference"/>
        </w:rPr>
        <w:footnoteRef/>
      </w:r>
      <w:r w:rsidR="23355021" w:rsidRPr="004A23D6">
        <w:rPr>
          <w:i/>
          <w:iCs/>
          <w:color w:val="000000" w:themeColor="text1"/>
          <w:sz w:val="20"/>
          <w:szCs w:val="20"/>
        </w:rPr>
        <w:t>G</w:t>
      </w:r>
      <w:r w:rsidR="23355021" w:rsidRPr="004C1D5B">
        <w:rPr>
          <w:i/>
          <w:color w:val="000000" w:themeColor="text1"/>
          <w:sz w:val="20"/>
          <w:szCs w:val="20"/>
        </w:rPr>
        <w:t xml:space="preserve">JR* Godišnja jedinica rada (engl. Annual Work Unit </w:t>
      </w:r>
      <w:r w:rsidR="00A5631D" w:rsidRPr="004C1D5B">
        <w:rPr>
          <w:i/>
          <w:color w:val="000000" w:themeColor="text1"/>
          <w:sz w:val="20"/>
          <w:szCs w:val="20"/>
        </w:rPr>
        <w:t>-</w:t>
      </w:r>
      <w:r w:rsidR="23355021" w:rsidRPr="004C1D5B">
        <w:rPr>
          <w:i/>
          <w:color w:val="000000" w:themeColor="text1"/>
          <w:sz w:val="20"/>
          <w:szCs w:val="20"/>
        </w:rPr>
        <w:t xml:space="preserve"> AWU), (U nomenklaturi Državnog zavoda za statistiku, referentna jedinica koja izražava opseg rada u godišnjim jedinicama rada.</w:t>
      </w:r>
      <w:r w:rsidR="005E5336" w:rsidRPr="004C1D5B">
        <w:rPr>
          <w:i/>
          <w:color w:val="000000" w:themeColor="text1"/>
          <w:sz w:val="20"/>
          <w:szCs w:val="20"/>
        </w:rPr>
        <w:t>)</w:t>
      </w:r>
      <w:r w:rsidR="23355021" w:rsidRPr="004C1D5B">
        <w:rPr>
          <w:i/>
          <w:color w:val="000000" w:themeColor="text1"/>
          <w:sz w:val="20"/>
          <w:szCs w:val="20"/>
        </w:rPr>
        <w:t xml:space="preserve"> Jedna godišnja jedinica rada odgovara jednoj osobi koja radi puno radno vrijeme na gospodarstvu i iznosi 1.800 sati</w:t>
      </w:r>
    </w:p>
  </w:footnote>
  <w:footnote w:id="7">
    <w:p w14:paraId="1D511F36" w14:textId="1317EEFB" w:rsidR="700AEA01" w:rsidRPr="004A23D6" w:rsidRDefault="700AEA01" w:rsidP="001029ED">
      <w:pPr>
        <w:pStyle w:val="FootnoteText"/>
        <w:jc w:val="both"/>
      </w:pPr>
      <w:r w:rsidRPr="004C1D5B">
        <w:rPr>
          <w:rStyle w:val="FootnoteReference"/>
          <w:i/>
        </w:rPr>
        <w:footnoteRef/>
      </w:r>
      <w:r w:rsidRPr="004C1D5B">
        <w:rPr>
          <w:i/>
        </w:rPr>
        <w:t xml:space="preserve"> </w:t>
      </w:r>
      <w:r w:rsidRPr="004C1D5B">
        <w:rPr>
          <w:rFonts w:ascii="Times New Roman" w:eastAsia="Times New Roman" w:hAnsi="Times New Roman"/>
          <w:i/>
          <w:color w:val="000000" w:themeColor="text1"/>
        </w:rPr>
        <w:t xml:space="preserve">Zbog nedostupnosti podataka, napredak </w:t>
      </w:r>
      <w:r w:rsidR="00746EAC" w:rsidRPr="004C1D5B">
        <w:rPr>
          <w:rFonts w:ascii="Times New Roman" w:eastAsia="Times New Roman" w:hAnsi="Times New Roman"/>
          <w:i/>
          <w:iCs/>
          <w:color w:val="000000" w:themeColor="text1"/>
        </w:rPr>
        <w:t xml:space="preserve">u provedbi strateškog cilja </w:t>
      </w:r>
      <w:r w:rsidRPr="004C1D5B">
        <w:rPr>
          <w:rFonts w:ascii="Times New Roman" w:eastAsia="Times New Roman" w:hAnsi="Times New Roman"/>
          <w:i/>
          <w:color w:val="000000" w:themeColor="text1"/>
        </w:rPr>
        <w:t>se prati zamjenskim pokazateljem</w:t>
      </w:r>
      <w:r w:rsidRPr="004C1D5B">
        <w:rPr>
          <w:rFonts w:ascii="Times New Roman" w:eastAsia="Times New Roman" w:hAnsi="Times New Roman"/>
          <w:i/>
        </w:rPr>
        <w:t xml:space="preserve"> Instituta za razvoj poslovnog upravljanja iz Lausanne (</w:t>
      </w:r>
      <w:r w:rsidRPr="004A23D6">
        <w:rPr>
          <w:rFonts w:ascii="Times New Roman" w:eastAsia="Times New Roman" w:hAnsi="Times New Roman"/>
          <w:i/>
          <w:iCs/>
        </w:rPr>
        <w:t>International Institute for Management Development</w:t>
      </w:r>
      <w:r w:rsidRPr="004C1D5B">
        <w:rPr>
          <w:rFonts w:ascii="Times New Roman" w:eastAsia="Times New Roman" w:hAnsi="Times New Roman"/>
          <w:i/>
        </w:rPr>
        <w:t xml:space="preserve"> - IMD). Opis i kriteriji za izračun pokazatelja nalaze se u Prilogu 5</w:t>
      </w:r>
    </w:p>
  </w:footnote>
  <w:footnote w:id="8">
    <w:p w14:paraId="66318178" w14:textId="1EA823BC" w:rsidR="4CB62513" w:rsidRPr="004A23D6" w:rsidRDefault="4CB62513" w:rsidP="00F47529">
      <w:pPr>
        <w:pStyle w:val="FootnoteText"/>
        <w:jc w:val="both"/>
      </w:pPr>
      <w:r w:rsidRPr="004C1D5B">
        <w:rPr>
          <w:rStyle w:val="FootnoteReference"/>
          <w:i/>
        </w:rPr>
        <w:footnoteRef/>
      </w:r>
      <w:r w:rsidR="657D6FF2" w:rsidRPr="004C1D5B">
        <w:rPr>
          <w:i/>
        </w:rPr>
        <w:t xml:space="preserve"> </w:t>
      </w:r>
      <w:r w:rsidR="657D6FF2" w:rsidRPr="004C1D5B">
        <w:rPr>
          <w:rFonts w:ascii="Times New Roman" w:eastAsia="Times New Roman" w:hAnsi="Times New Roman"/>
          <w:i/>
        </w:rPr>
        <w:t>Pokazatelj se odnosi na omjer BDP-a po stanovniku najrazvijenije županije (Grad Zagreb) u odnosu na najmanje razvijenu županiju (Virovitičko-podravska županija)</w:t>
      </w:r>
    </w:p>
  </w:footnote>
  <w:footnote w:id="9">
    <w:p w14:paraId="23611B25" w14:textId="7F48C5A6" w:rsidR="506EEE25" w:rsidRPr="004C1D5B" w:rsidRDefault="506EEE25" w:rsidP="00D034C7">
      <w:pPr>
        <w:pStyle w:val="FootnoteText"/>
        <w:jc w:val="both"/>
        <w:rPr>
          <w:i/>
        </w:rPr>
      </w:pPr>
      <w:r w:rsidRPr="004C1D5B">
        <w:rPr>
          <w:rStyle w:val="FootnoteReference"/>
          <w:i/>
        </w:rPr>
        <w:footnoteRef/>
      </w:r>
      <w:r w:rsidRPr="004C1D5B">
        <w:rPr>
          <w:i/>
        </w:rPr>
        <w:t xml:space="preserve"> </w:t>
      </w:r>
      <w:r w:rsidRPr="004C1D5B">
        <w:rPr>
          <w:rFonts w:ascii="Times New Roman" w:eastAsia="Times New Roman" w:hAnsi="Times New Roman"/>
          <w:i/>
        </w:rPr>
        <w:t>Izdanje Indeksa regionalne kon</w:t>
      </w:r>
      <w:r w:rsidR="00D4508B" w:rsidRPr="004C1D5B">
        <w:rPr>
          <w:rFonts w:ascii="Times New Roman" w:eastAsia="Times New Roman" w:hAnsi="Times New Roman"/>
          <w:i/>
        </w:rPr>
        <w:t>k</w:t>
      </w:r>
      <w:r w:rsidR="00BA18CF" w:rsidRPr="004C1D5B">
        <w:rPr>
          <w:rFonts w:ascii="Times New Roman" w:eastAsia="Times New Roman" w:hAnsi="Times New Roman"/>
          <w:i/>
        </w:rPr>
        <w:t>u</w:t>
      </w:r>
      <w:r w:rsidRPr="004C1D5B">
        <w:rPr>
          <w:rFonts w:ascii="Times New Roman" w:eastAsia="Times New Roman" w:hAnsi="Times New Roman"/>
          <w:i/>
        </w:rPr>
        <w:t>rentnosti iz 2022. temelji se na ažuriranoj metodologiji i stoga je uz naziv indeksa navedena oznaka RCI 2.0. Rezultati za 2016. i 2019. su ponovno izračunati pomoću nove metodologije i označeni kao RCI 2.0, izdanje 2016. i RCI 2.0, izdanje 2019. Ljestvica s rezultatima ne zamjenjuje RCI ljestvicu objavljenu 2016. i 2019., izrađenu prema staroj metodologiji. Zbog toga se ocjene za RCI 2.0 2019. i RCI 2.0 2016. objavljuju bez rangiranja</w:t>
      </w:r>
    </w:p>
  </w:footnote>
  <w:footnote w:id="10">
    <w:p w14:paraId="3F527F16" w14:textId="25D36D50" w:rsidR="506EEE25" w:rsidRPr="004C1D5B" w:rsidRDefault="506EEE25" w:rsidP="00D034C7">
      <w:pPr>
        <w:spacing w:after="160" w:line="257" w:lineRule="auto"/>
        <w:jc w:val="both"/>
        <w:rPr>
          <w:i/>
          <w:color w:val="000000" w:themeColor="text1"/>
          <w:sz w:val="20"/>
          <w:szCs w:val="20"/>
        </w:rPr>
      </w:pPr>
      <w:r w:rsidRPr="004C1D5B">
        <w:rPr>
          <w:rStyle w:val="FootnoteReference"/>
          <w:i/>
        </w:rPr>
        <w:footnoteRef/>
      </w:r>
      <w:r w:rsidRPr="004C1D5B">
        <w:rPr>
          <w:i/>
        </w:rPr>
        <w:t xml:space="preserve"> </w:t>
      </w:r>
      <w:r w:rsidRPr="004C1D5B">
        <w:rPr>
          <w:i/>
          <w:color w:val="000000" w:themeColor="text1"/>
          <w:sz w:val="20"/>
          <w:szCs w:val="20"/>
        </w:rPr>
        <w:t>RCI 2.0 temelji se na statističkim regijama NUTS 2.</w:t>
      </w:r>
      <w:r w:rsidRPr="004C1D5B">
        <w:rPr>
          <w:rFonts w:ascii="Calibri" w:eastAsia="Calibri" w:hAnsi="Calibri" w:cs="Calibri"/>
          <w:i/>
          <w:color w:val="000000" w:themeColor="text1"/>
        </w:rPr>
        <w:t xml:space="preserve"> </w:t>
      </w:r>
      <w:r w:rsidRPr="004C1D5B">
        <w:rPr>
          <w:i/>
          <w:color w:val="000000" w:themeColor="text1"/>
          <w:sz w:val="20"/>
          <w:szCs w:val="20"/>
        </w:rPr>
        <w:t>Početna i ostvarena vrijednost pokazatelja za Hrvatsku je izračun prosjeka rezultata RCI 2.0 za sljedeće NUTS2 regije: Grad Zagreb (sa Sjevernom Hrvatskom), Panonska i Jadranska Hrvatska. Prosjek za EU=100</w:t>
      </w:r>
    </w:p>
    <w:p w14:paraId="052B2B6B" w14:textId="72021CB7" w:rsidR="506EEE25" w:rsidRPr="004C1D5B" w:rsidRDefault="506EEE25" w:rsidP="00D034C7">
      <w:pPr>
        <w:spacing w:after="160" w:line="257" w:lineRule="auto"/>
        <w:jc w:val="both"/>
        <w:rPr>
          <w:i/>
          <w:color w:val="000000" w:themeColor="text1"/>
          <w:sz w:val="20"/>
          <w:szCs w:val="20"/>
        </w:rPr>
      </w:pPr>
      <w:r w:rsidRPr="004C1D5B">
        <w:rPr>
          <w:i/>
          <w:color w:val="000000" w:themeColor="text1"/>
          <w:sz w:val="20"/>
          <w:szCs w:val="20"/>
        </w:rPr>
        <w:t xml:space="preserve">Izvor: </w:t>
      </w:r>
      <w:hyperlink r:id="rId1" w:anchor="/" w:history="1">
        <w:r w:rsidR="009A6A45" w:rsidRPr="004C1D5B">
          <w:rPr>
            <w:rStyle w:val="Hyperlink"/>
            <w:i/>
            <w:sz w:val="20"/>
            <w:szCs w:val="20"/>
          </w:rPr>
          <w:t>https://ec.europa.eu/regional_policy/assets/regional-competitiveness/index.html#/</w:t>
        </w:r>
      </w:hyperlink>
      <w:r w:rsidRPr="004C1D5B">
        <w:rPr>
          <w:i/>
          <w:color w:val="000000" w:themeColor="text1"/>
          <w:sz w:val="20"/>
          <w:szCs w:val="20"/>
        </w:rPr>
        <w:t xml:space="preserve"> , pristupljeno 17. srpnja 2023.</w:t>
      </w:r>
    </w:p>
    <w:p w14:paraId="7C2800D0" w14:textId="4D50BA16" w:rsidR="506EEE25" w:rsidRPr="004A23D6" w:rsidRDefault="506EEE25" w:rsidP="506EEE25">
      <w:pPr>
        <w:pStyle w:val="FootnoteText"/>
      </w:pPr>
    </w:p>
  </w:footnote>
  <w:footnote w:id="11">
    <w:p w14:paraId="28FECD2E" w14:textId="77777777" w:rsidR="00243C18" w:rsidRPr="004C1D5B" w:rsidRDefault="00243C18" w:rsidP="00243C18">
      <w:pPr>
        <w:spacing w:line="257" w:lineRule="auto"/>
        <w:jc w:val="both"/>
        <w:rPr>
          <w:i/>
        </w:rPr>
      </w:pPr>
      <w:r w:rsidRPr="004C1D5B">
        <w:rPr>
          <w:rStyle w:val="FootnoteReference"/>
          <w:i/>
        </w:rPr>
        <w:footnoteRef/>
      </w:r>
      <w:r w:rsidRPr="004C1D5B">
        <w:rPr>
          <w:i/>
        </w:rPr>
        <w:t xml:space="preserve"> </w:t>
      </w:r>
      <w:r w:rsidRPr="004C1D5B">
        <w:rPr>
          <w:i/>
          <w:sz w:val="20"/>
          <w:szCs w:val="20"/>
        </w:rPr>
        <w:t>Za provedbu ITU mehanizma u financijskom razdoblju 2014.</w:t>
      </w:r>
      <w:r>
        <w:rPr>
          <w:i/>
          <w:sz w:val="20"/>
          <w:szCs w:val="20"/>
        </w:rPr>
        <w:t xml:space="preserve"> </w:t>
      </w:r>
      <w:r w:rsidRPr="004C1D5B">
        <w:rPr>
          <w:i/>
          <w:sz w:val="20"/>
          <w:szCs w:val="20"/>
        </w:rPr>
        <w:t>-</w:t>
      </w:r>
      <w:r>
        <w:rPr>
          <w:i/>
          <w:sz w:val="20"/>
          <w:szCs w:val="20"/>
        </w:rPr>
        <w:t xml:space="preserve"> </w:t>
      </w:r>
      <w:r w:rsidRPr="004C1D5B">
        <w:rPr>
          <w:i/>
          <w:sz w:val="20"/>
          <w:szCs w:val="20"/>
        </w:rPr>
        <w:t>2020. odabrano je 7 najvećih urbanih središta: urbane aglomeracije Zagreb, Split, Rijeka i Osijek (s više od 100.000 stanovnika) te urbana područja Zadar, Pula i Slavonski Brod (s više od 50.000 stanovnika u središnjim naseljima). Izmjenom OPKK 2014.</w:t>
      </w:r>
      <w:r>
        <w:rPr>
          <w:i/>
          <w:sz w:val="20"/>
          <w:szCs w:val="20"/>
        </w:rPr>
        <w:t xml:space="preserve"> </w:t>
      </w:r>
      <w:r w:rsidRPr="004C1D5B">
        <w:rPr>
          <w:i/>
          <w:sz w:val="20"/>
          <w:szCs w:val="20"/>
        </w:rPr>
        <w:t>-</w:t>
      </w:r>
      <w:r>
        <w:rPr>
          <w:i/>
          <w:sz w:val="20"/>
          <w:szCs w:val="20"/>
        </w:rPr>
        <w:t xml:space="preserve"> </w:t>
      </w:r>
      <w:r w:rsidRPr="004C1D5B">
        <w:rPr>
          <w:i/>
          <w:sz w:val="20"/>
          <w:szCs w:val="20"/>
        </w:rPr>
        <w:t>2020. koja je usvojena od strane Europske komisije 31. srpnja 2020., mogućnost korištenja ITU mehanizma dobio je i Grad Karlovac s okolnim područjem</w:t>
      </w:r>
    </w:p>
    <w:p w14:paraId="52121575" w14:textId="77777777" w:rsidR="00243C18" w:rsidRPr="004A23D6" w:rsidRDefault="00243C18" w:rsidP="00243C18">
      <w:pPr>
        <w:pStyle w:val="FootnoteText"/>
      </w:pPr>
    </w:p>
  </w:footnote>
  <w:footnote w:id="12">
    <w:p w14:paraId="2822047F" w14:textId="51CFFEE3" w:rsidR="00AC1CE0" w:rsidRDefault="00AC1CE0">
      <w:pPr>
        <w:pStyle w:val="FootnoteText"/>
      </w:pPr>
      <w:r>
        <w:rPr>
          <w:rStyle w:val="FootnoteReference"/>
        </w:rPr>
        <w:footnoteRef/>
      </w:r>
      <w:r>
        <w:t xml:space="preserve"> </w:t>
      </w:r>
      <w:r w:rsidR="00EC4494">
        <w:rPr>
          <w:rFonts w:ascii="Times New Roman" w:hAnsi="Times New Roman"/>
          <w:i/>
          <w:iCs/>
        </w:rPr>
        <w:t>Popis</w:t>
      </w:r>
      <w:r w:rsidRPr="004C1D5B">
        <w:rPr>
          <w:rFonts w:ascii="Times New Roman" w:hAnsi="Times New Roman"/>
          <w:i/>
          <w:iCs/>
        </w:rPr>
        <w:t xml:space="preserve"> sadrži </w:t>
      </w:r>
      <w:r w:rsidR="00A60124">
        <w:rPr>
          <w:rFonts w:ascii="Times New Roman" w:hAnsi="Times New Roman"/>
          <w:i/>
          <w:iCs/>
        </w:rPr>
        <w:t xml:space="preserve">važeće </w:t>
      </w:r>
      <w:r w:rsidRPr="004C1D5B">
        <w:rPr>
          <w:rFonts w:ascii="Times New Roman" w:hAnsi="Times New Roman"/>
          <w:i/>
          <w:iCs/>
        </w:rPr>
        <w:t>akte strateškog planiranja od nacionalnog značaja koji su doneseni zaključno s danom 31. prosinca 2022. godine</w:t>
      </w:r>
    </w:p>
  </w:footnote>
  <w:footnote w:id="13">
    <w:p w14:paraId="66FDF22A" w14:textId="33721C96" w:rsidR="00302B81" w:rsidRDefault="00302B81">
      <w:pPr>
        <w:pStyle w:val="FootnoteText"/>
      </w:pPr>
      <w:r>
        <w:rPr>
          <w:rStyle w:val="FootnoteReference"/>
        </w:rPr>
        <w:footnoteRef/>
      </w:r>
      <w:r>
        <w:t xml:space="preserve"> </w:t>
      </w:r>
      <w:r w:rsidR="00EC4494">
        <w:rPr>
          <w:rFonts w:ascii="Times New Roman" w:hAnsi="Times New Roman"/>
          <w:i/>
          <w:iCs/>
        </w:rPr>
        <w:t>Popis</w:t>
      </w:r>
      <w:r w:rsidRPr="004C1D5B">
        <w:rPr>
          <w:rFonts w:ascii="Times New Roman" w:hAnsi="Times New Roman"/>
          <w:i/>
          <w:iCs/>
        </w:rPr>
        <w:t xml:space="preserve"> sadrži akte strateškog planiranja od nacionalnog značaja koji su bili u postupku izrade zaključno s danom 31. prosinca 2022. godine</w:t>
      </w:r>
    </w:p>
  </w:footnote>
  <w:footnote w:id="14">
    <w:p w14:paraId="5396F817" w14:textId="4AA9172D" w:rsidR="7C0DB496" w:rsidRDefault="7C0DB496" w:rsidP="7C0DB496">
      <w:pPr>
        <w:pStyle w:val="FootnoteText"/>
      </w:pPr>
      <w:r w:rsidRPr="004A23D6">
        <w:rPr>
          <w:rStyle w:val="FootnoteReference"/>
        </w:rPr>
        <w:footnoteRef/>
      </w:r>
      <w:r w:rsidRPr="004A23D6">
        <w:t xml:space="preserve"> I</w:t>
      </w:r>
      <w:r w:rsidRPr="004A23D6">
        <w:rPr>
          <w:rFonts w:ascii="Times New Roman" w:eastAsia="Times New Roman" w:hAnsi="Times New Roman"/>
        </w:rPr>
        <w:t>zvor:</w:t>
      </w:r>
      <w:r w:rsidRPr="004A23D6">
        <w:rPr>
          <w:rFonts w:cs="Calibri"/>
          <w:sz w:val="22"/>
          <w:szCs w:val="22"/>
        </w:rPr>
        <w:t xml:space="preserve"> </w:t>
      </w:r>
      <w:hyperlink r:id="rId2">
        <w:r w:rsidRPr="004A23D6">
          <w:rPr>
            <w:rStyle w:val="Hyperlink"/>
            <w:rFonts w:ascii="Times New Roman" w:eastAsia="Times New Roman" w:hAnsi="Times New Roman"/>
          </w:rPr>
          <w:t>https://www.imd.org/wp-content/uploads/2023/02/all_criteria_list_wcy_2022.pdf</w:t>
        </w:r>
      </w:hyperlink>
      <w:r w:rsidRPr="004A23D6">
        <w:rPr>
          <w:rFonts w:ascii="Times New Roman" w:eastAsia="Times New Roman" w:hAnsi="Times New Roman"/>
        </w:rPr>
        <w:t xml:space="preserve"> , preuzeto 13. srpnja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F29"/>
    <w:multiLevelType w:val="hybridMultilevel"/>
    <w:tmpl w:val="989AEA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A1ECF"/>
    <w:multiLevelType w:val="multilevel"/>
    <w:tmpl w:val="A09E73CA"/>
    <w:lvl w:ilvl="0">
      <w:start w:val="1"/>
      <w:numFmt w:val="decimal"/>
      <w:lvlText w:val="%1."/>
      <w:lvlJc w:val="left"/>
      <w:pPr>
        <w:ind w:left="360" w:hanging="360"/>
      </w:pPr>
      <w:rPr>
        <w:rFonts w:hint="default"/>
        <w:b/>
        <w:sz w:val="24"/>
        <w:szCs w:val="24"/>
      </w:rPr>
    </w:lvl>
    <w:lvl w:ilvl="1">
      <w:start w:val="1"/>
      <w:numFmt w:val="decimal"/>
      <w:isLgl/>
      <w:lvlText w:val="%1.%2."/>
      <w:lvlJc w:val="left"/>
      <w:pPr>
        <w:ind w:left="1347" w:hanging="420"/>
      </w:pPr>
      <w:rPr>
        <w:rFonts w:hint="default"/>
      </w:rPr>
    </w:lvl>
    <w:lvl w:ilvl="2">
      <w:start w:val="1"/>
      <w:numFmt w:val="decimal"/>
      <w:isLgl/>
      <w:lvlText w:val="%1.%2.%3."/>
      <w:lvlJc w:val="left"/>
      <w:pPr>
        <w:ind w:left="2499" w:hanging="720"/>
      </w:pPr>
      <w:rPr>
        <w:rFonts w:hint="default"/>
      </w:rPr>
    </w:lvl>
    <w:lvl w:ilvl="3">
      <w:start w:val="1"/>
      <w:numFmt w:val="decimal"/>
      <w:isLgl/>
      <w:lvlText w:val="%1.%2.%3.%4."/>
      <w:lvlJc w:val="left"/>
      <w:pPr>
        <w:ind w:left="3351" w:hanging="720"/>
      </w:pPr>
      <w:rPr>
        <w:rFonts w:hint="default"/>
      </w:rPr>
    </w:lvl>
    <w:lvl w:ilvl="4">
      <w:start w:val="1"/>
      <w:numFmt w:val="decimal"/>
      <w:isLgl/>
      <w:lvlText w:val="%1.%2.%3.%4.%5."/>
      <w:lvlJc w:val="left"/>
      <w:pPr>
        <w:ind w:left="4563" w:hanging="1080"/>
      </w:pPr>
      <w:rPr>
        <w:rFonts w:hint="default"/>
      </w:rPr>
    </w:lvl>
    <w:lvl w:ilvl="5">
      <w:start w:val="1"/>
      <w:numFmt w:val="decimal"/>
      <w:isLgl/>
      <w:lvlText w:val="%1.%2.%3.%4.%5.%6."/>
      <w:lvlJc w:val="left"/>
      <w:pPr>
        <w:ind w:left="5415" w:hanging="1080"/>
      </w:pPr>
      <w:rPr>
        <w:rFonts w:hint="default"/>
      </w:rPr>
    </w:lvl>
    <w:lvl w:ilvl="6">
      <w:start w:val="1"/>
      <w:numFmt w:val="decimal"/>
      <w:isLgl/>
      <w:lvlText w:val="%1.%2.%3.%4.%5.%6.%7."/>
      <w:lvlJc w:val="left"/>
      <w:pPr>
        <w:ind w:left="6627" w:hanging="1440"/>
      </w:pPr>
      <w:rPr>
        <w:rFonts w:hint="default"/>
      </w:rPr>
    </w:lvl>
    <w:lvl w:ilvl="7">
      <w:start w:val="1"/>
      <w:numFmt w:val="decimal"/>
      <w:isLgl/>
      <w:lvlText w:val="%1.%2.%3.%4.%5.%6.%7.%8."/>
      <w:lvlJc w:val="left"/>
      <w:pPr>
        <w:ind w:left="7479" w:hanging="1440"/>
      </w:pPr>
      <w:rPr>
        <w:rFonts w:hint="default"/>
      </w:rPr>
    </w:lvl>
    <w:lvl w:ilvl="8">
      <w:start w:val="1"/>
      <w:numFmt w:val="decimal"/>
      <w:isLgl/>
      <w:lvlText w:val="%1.%2.%3.%4.%5.%6.%7.%8.%9."/>
      <w:lvlJc w:val="left"/>
      <w:pPr>
        <w:ind w:left="8691" w:hanging="1800"/>
      </w:pPr>
      <w:rPr>
        <w:rFonts w:hint="default"/>
      </w:rPr>
    </w:lvl>
  </w:abstractNum>
  <w:abstractNum w:abstractNumId="2" w15:restartNumberingAfterBreak="0">
    <w:nsid w:val="0B700941"/>
    <w:multiLevelType w:val="hybridMultilevel"/>
    <w:tmpl w:val="FFFFFFFF"/>
    <w:lvl w:ilvl="0" w:tplc="09904ACC">
      <w:start w:val="1"/>
      <w:numFmt w:val="bullet"/>
      <w:lvlText w:val=""/>
      <w:lvlJc w:val="left"/>
      <w:pPr>
        <w:ind w:left="720" w:hanging="360"/>
      </w:pPr>
      <w:rPr>
        <w:rFonts w:ascii="Symbol" w:hAnsi="Symbol" w:hint="default"/>
      </w:rPr>
    </w:lvl>
    <w:lvl w:ilvl="1" w:tplc="C81A1BC4">
      <w:start w:val="1"/>
      <w:numFmt w:val="bullet"/>
      <w:lvlText w:val="o"/>
      <w:lvlJc w:val="left"/>
      <w:pPr>
        <w:ind w:left="1440" w:hanging="360"/>
      </w:pPr>
      <w:rPr>
        <w:rFonts w:ascii="Courier New" w:hAnsi="Courier New" w:hint="default"/>
      </w:rPr>
    </w:lvl>
    <w:lvl w:ilvl="2" w:tplc="B852A730">
      <w:start w:val="1"/>
      <w:numFmt w:val="bullet"/>
      <w:lvlText w:val=""/>
      <w:lvlJc w:val="left"/>
      <w:pPr>
        <w:ind w:left="2160" w:hanging="360"/>
      </w:pPr>
      <w:rPr>
        <w:rFonts w:ascii="Wingdings" w:hAnsi="Wingdings" w:hint="default"/>
      </w:rPr>
    </w:lvl>
    <w:lvl w:ilvl="3" w:tplc="7A20C170">
      <w:start w:val="1"/>
      <w:numFmt w:val="bullet"/>
      <w:lvlText w:val=""/>
      <w:lvlJc w:val="left"/>
      <w:pPr>
        <w:ind w:left="2880" w:hanging="360"/>
      </w:pPr>
      <w:rPr>
        <w:rFonts w:ascii="Symbol" w:hAnsi="Symbol" w:hint="default"/>
      </w:rPr>
    </w:lvl>
    <w:lvl w:ilvl="4" w:tplc="5900CB0C">
      <w:start w:val="1"/>
      <w:numFmt w:val="bullet"/>
      <w:lvlText w:val="o"/>
      <w:lvlJc w:val="left"/>
      <w:pPr>
        <w:ind w:left="3600" w:hanging="360"/>
      </w:pPr>
      <w:rPr>
        <w:rFonts w:ascii="Courier New" w:hAnsi="Courier New" w:hint="default"/>
      </w:rPr>
    </w:lvl>
    <w:lvl w:ilvl="5" w:tplc="2B06DF10">
      <w:start w:val="1"/>
      <w:numFmt w:val="bullet"/>
      <w:lvlText w:val=""/>
      <w:lvlJc w:val="left"/>
      <w:pPr>
        <w:ind w:left="4320" w:hanging="360"/>
      </w:pPr>
      <w:rPr>
        <w:rFonts w:ascii="Wingdings" w:hAnsi="Wingdings" w:hint="default"/>
      </w:rPr>
    </w:lvl>
    <w:lvl w:ilvl="6" w:tplc="016E3C2E">
      <w:start w:val="1"/>
      <w:numFmt w:val="bullet"/>
      <w:lvlText w:val=""/>
      <w:lvlJc w:val="left"/>
      <w:pPr>
        <w:ind w:left="5040" w:hanging="360"/>
      </w:pPr>
      <w:rPr>
        <w:rFonts w:ascii="Symbol" w:hAnsi="Symbol" w:hint="default"/>
      </w:rPr>
    </w:lvl>
    <w:lvl w:ilvl="7" w:tplc="1A5CB138">
      <w:start w:val="1"/>
      <w:numFmt w:val="bullet"/>
      <w:lvlText w:val="o"/>
      <w:lvlJc w:val="left"/>
      <w:pPr>
        <w:ind w:left="5760" w:hanging="360"/>
      </w:pPr>
      <w:rPr>
        <w:rFonts w:ascii="Courier New" w:hAnsi="Courier New" w:hint="default"/>
      </w:rPr>
    </w:lvl>
    <w:lvl w:ilvl="8" w:tplc="1FAA0F50">
      <w:start w:val="1"/>
      <w:numFmt w:val="bullet"/>
      <w:lvlText w:val=""/>
      <w:lvlJc w:val="left"/>
      <w:pPr>
        <w:ind w:left="6480" w:hanging="360"/>
      </w:pPr>
      <w:rPr>
        <w:rFonts w:ascii="Wingdings" w:hAnsi="Wingdings" w:hint="default"/>
      </w:rPr>
    </w:lvl>
  </w:abstractNum>
  <w:abstractNum w:abstractNumId="3" w15:restartNumberingAfterBreak="0">
    <w:nsid w:val="0BF27826"/>
    <w:multiLevelType w:val="hybridMultilevel"/>
    <w:tmpl w:val="3CAC19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3136B7"/>
    <w:multiLevelType w:val="hybridMultilevel"/>
    <w:tmpl w:val="AF9A58D6"/>
    <w:lvl w:ilvl="0" w:tplc="79726A6C">
      <w:start w:val="1"/>
      <w:numFmt w:val="bullet"/>
      <w:lvlText w:val=""/>
      <w:lvlJc w:val="left"/>
      <w:pPr>
        <w:ind w:left="720" w:hanging="360"/>
      </w:pPr>
      <w:rPr>
        <w:rFonts w:ascii="Symbol" w:hAnsi="Symbol" w:hint="default"/>
      </w:rPr>
    </w:lvl>
    <w:lvl w:ilvl="1" w:tplc="19B6C074">
      <w:start w:val="1"/>
      <w:numFmt w:val="bullet"/>
      <w:lvlText w:val="o"/>
      <w:lvlJc w:val="left"/>
      <w:pPr>
        <w:ind w:left="1440" w:hanging="360"/>
      </w:pPr>
      <w:rPr>
        <w:rFonts w:ascii="Courier New" w:hAnsi="Courier New" w:hint="default"/>
      </w:rPr>
    </w:lvl>
    <w:lvl w:ilvl="2" w:tplc="981A9B2A">
      <w:start w:val="1"/>
      <w:numFmt w:val="bullet"/>
      <w:lvlText w:val=""/>
      <w:lvlJc w:val="left"/>
      <w:pPr>
        <w:ind w:left="2160" w:hanging="360"/>
      </w:pPr>
      <w:rPr>
        <w:rFonts w:ascii="Wingdings" w:hAnsi="Wingdings" w:hint="default"/>
      </w:rPr>
    </w:lvl>
    <w:lvl w:ilvl="3" w:tplc="1A78D360">
      <w:start w:val="1"/>
      <w:numFmt w:val="bullet"/>
      <w:lvlText w:val=""/>
      <w:lvlJc w:val="left"/>
      <w:pPr>
        <w:ind w:left="2880" w:hanging="360"/>
      </w:pPr>
      <w:rPr>
        <w:rFonts w:ascii="Symbol" w:hAnsi="Symbol" w:hint="default"/>
      </w:rPr>
    </w:lvl>
    <w:lvl w:ilvl="4" w:tplc="C61E13D6">
      <w:start w:val="1"/>
      <w:numFmt w:val="bullet"/>
      <w:lvlText w:val="o"/>
      <w:lvlJc w:val="left"/>
      <w:pPr>
        <w:ind w:left="3600" w:hanging="360"/>
      </w:pPr>
      <w:rPr>
        <w:rFonts w:ascii="Courier New" w:hAnsi="Courier New" w:hint="default"/>
      </w:rPr>
    </w:lvl>
    <w:lvl w:ilvl="5" w:tplc="540CB488">
      <w:start w:val="1"/>
      <w:numFmt w:val="bullet"/>
      <w:lvlText w:val=""/>
      <w:lvlJc w:val="left"/>
      <w:pPr>
        <w:ind w:left="4320" w:hanging="360"/>
      </w:pPr>
      <w:rPr>
        <w:rFonts w:ascii="Wingdings" w:hAnsi="Wingdings" w:hint="default"/>
      </w:rPr>
    </w:lvl>
    <w:lvl w:ilvl="6" w:tplc="3F88C83C">
      <w:start w:val="1"/>
      <w:numFmt w:val="bullet"/>
      <w:lvlText w:val=""/>
      <w:lvlJc w:val="left"/>
      <w:pPr>
        <w:ind w:left="5040" w:hanging="360"/>
      </w:pPr>
      <w:rPr>
        <w:rFonts w:ascii="Symbol" w:hAnsi="Symbol" w:hint="default"/>
      </w:rPr>
    </w:lvl>
    <w:lvl w:ilvl="7" w:tplc="1EE0FE4E">
      <w:start w:val="1"/>
      <w:numFmt w:val="bullet"/>
      <w:lvlText w:val="o"/>
      <w:lvlJc w:val="left"/>
      <w:pPr>
        <w:ind w:left="5760" w:hanging="360"/>
      </w:pPr>
      <w:rPr>
        <w:rFonts w:ascii="Courier New" w:hAnsi="Courier New" w:hint="default"/>
      </w:rPr>
    </w:lvl>
    <w:lvl w:ilvl="8" w:tplc="B95694F8">
      <w:start w:val="1"/>
      <w:numFmt w:val="bullet"/>
      <w:lvlText w:val=""/>
      <w:lvlJc w:val="left"/>
      <w:pPr>
        <w:ind w:left="6480" w:hanging="360"/>
      </w:pPr>
      <w:rPr>
        <w:rFonts w:ascii="Wingdings" w:hAnsi="Wingdings" w:hint="default"/>
      </w:rPr>
    </w:lvl>
  </w:abstractNum>
  <w:abstractNum w:abstractNumId="5" w15:restartNumberingAfterBreak="0">
    <w:nsid w:val="0EA46203"/>
    <w:multiLevelType w:val="hybridMultilevel"/>
    <w:tmpl w:val="0D560D90"/>
    <w:lvl w:ilvl="0" w:tplc="041A0001">
      <w:start w:val="1"/>
      <w:numFmt w:val="bullet"/>
      <w:lvlText w:val=""/>
      <w:lvlJc w:val="left"/>
      <w:pPr>
        <w:ind w:left="720" w:hanging="360"/>
      </w:pPr>
      <w:rPr>
        <w:rFonts w:ascii="Symbol" w:hAnsi="Symbol" w:hint="default"/>
      </w:rPr>
    </w:lvl>
    <w:lvl w:ilvl="1" w:tplc="A74A6BEC">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D6EE77"/>
    <w:multiLevelType w:val="hybridMultilevel"/>
    <w:tmpl w:val="FFFFFFFF"/>
    <w:lvl w:ilvl="0" w:tplc="0E66E1EA">
      <w:start w:val="1"/>
      <w:numFmt w:val="bullet"/>
      <w:lvlText w:val=""/>
      <w:lvlJc w:val="left"/>
      <w:pPr>
        <w:ind w:left="720" w:hanging="360"/>
      </w:pPr>
      <w:rPr>
        <w:rFonts w:ascii="Symbol" w:hAnsi="Symbol" w:hint="default"/>
      </w:rPr>
    </w:lvl>
    <w:lvl w:ilvl="1" w:tplc="71F8A5C4">
      <w:start w:val="1"/>
      <w:numFmt w:val="bullet"/>
      <w:lvlText w:val="o"/>
      <w:lvlJc w:val="left"/>
      <w:pPr>
        <w:ind w:left="1440" w:hanging="360"/>
      </w:pPr>
      <w:rPr>
        <w:rFonts w:ascii="Courier New" w:hAnsi="Courier New" w:hint="default"/>
      </w:rPr>
    </w:lvl>
    <w:lvl w:ilvl="2" w:tplc="FAE23762">
      <w:start w:val="1"/>
      <w:numFmt w:val="bullet"/>
      <w:lvlText w:val=""/>
      <w:lvlJc w:val="left"/>
      <w:pPr>
        <w:ind w:left="2160" w:hanging="360"/>
      </w:pPr>
      <w:rPr>
        <w:rFonts w:ascii="Wingdings" w:hAnsi="Wingdings" w:hint="default"/>
      </w:rPr>
    </w:lvl>
    <w:lvl w:ilvl="3" w:tplc="35D21FCC">
      <w:start w:val="1"/>
      <w:numFmt w:val="bullet"/>
      <w:lvlText w:val=""/>
      <w:lvlJc w:val="left"/>
      <w:pPr>
        <w:ind w:left="2880" w:hanging="360"/>
      </w:pPr>
      <w:rPr>
        <w:rFonts w:ascii="Symbol" w:hAnsi="Symbol" w:hint="default"/>
      </w:rPr>
    </w:lvl>
    <w:lvl w:ilvl="4" w:tplc="5C2425E4">
      <w:start w:val="1"/>
      <w:numFmt w:val="bullet"/>
      <w:lvlText w:val="o"/>
      <w:lvlJc w:val="left"/>
      <w:pPr>
        <w:ind w:left="3600" w:hanging="360"/>
      </w:pPr>
      <w:rPr>
        <w:rFonts w:ascii="Courier New" w:hAnsi="Courier New" w:hint="default"/>
      </w:rPr>
    </w:lvl>
    <w:lvl w:ilvl="5" w:tplc="EBBC492A">
      <w:start w:val="1"/>
      <w:numFmt w:val="bullet"/>
      <w:lvlText w:val=""/>
      <w:lvlJc w:val="left"/>
      <w:pPr>
        <w:ind w:left="4320" w:hanging="360"/>
      </w:pPr>
      <w:rPr>
        <w:rFonts w:ascii="Wingdings" w:hAnsi="Wingdings" w:hint="default"/>
      </w:rPr>
    </w:lvl>
    <w:lvl w:ilvl="6" w:tplc="20EA3730">
      <w:start w:val="1"/>
      <w:numFmt w:val="bullet"/>
      <w:lvlText w:val=""/>
      <w:lvlJc w:val="left"/>
      <w:pPr>
        <w:ind w:left="5040" w:hanging="360"/>
      </w:pPr>
      <w:rPr>
        <w:rFonts w:ascii="Symbol" w:hAnsi="Symbol" w:hint="default"/>
      </w:rPr>
    </w:lvl>
    <w:lvl w:ilvl="7" w:tplc="94A88000">
      <w:start w:val="1"/>
      <w:numFmt w:val="bullet"/>
      <w:lvlText w:val="o"/>
      <w:lvlJc w:val="left"/>
      <w:pPr>
        <w:ind w:left="5760" w:hanging="360"/>
      </w:pPr>
      <w:rPr>
        <w:rFonts w:ascii="Courier New" w:hAnsi="Courier New" w:hint="default"/>
      </w:rPr>
    </w:lvl>
    <w:lvl w:ilvl="8" w:tplc="E46A4C72">
      <w:start w:val="1"/>
      <w:numFmt w:val="bullet"/>
      <w:lvlText w:val=""/>
      <w:lvlJc w:val="left"/>
      <w:pPr>
        <w:ind w:left="6480" w:hanging="360"/>
      </w:pPr>
      <w:rPr>
        <w:rFonts w:ascii="Wingdings" w:hAnsi="Wingdings" w:hint="default"/>
      </w:rPr>
    </w:lvl>
  </w:abstractNum>
  <w:abstractNum w:abstractNumId="7" w15:restartNumberingAfterBreak="0">
    <w:nsid w:val="12B49117"/>
    <w:multiLevelType w:val="hybridMultilevel"/>
    <w:tmpl w:val="FFFFFFFF"/>
    <w:lvl w:ilvl="0" w:tplc="630C5FCC">
      <w:start w:val="1"/>
      <w:numFmt w:val="bullet"/>
      <w:lvlText w:val=""/>
      <w:lvlJc w:val="left"/>
      <w:pPr>
        <w:ind w:left="720" w:hanging="360"/>
      </w:pPr>
      <w:rPr>
        <w:rFonts w:ascii="Symbol" w:hAnsi="Symbol" w:hint="default"/>
      </w:rPr>
    </w:lvl>
    <w:lvl w:ilvl="1" w:tplc="795E9876">
      <w:start w:val="1"/>
      <w:numFmt w:val="bullet"/>
      <w:lvlText w:val="o"/>
      <w:lvlJc w:val="left"/>
      <w:pPr>
        <w:ind w:left="1440" w:hanging="360"/>
      </w:pPr>
      <w:rPr>
        <w:rFonts w:ascii="Courier New" w:hAnsi="Courier New" w:hint="default"/>
      </w:rPr>
    </w:lvl>
    <w:lvl w:ilvl="2" w:tplc="676E58AC">
      <w:start w:val="1"/>
      <w:numFmt w:val="bullet"/>
      <w:lvlText w:val=""/>
      <w:lvlJc w:val="left"/>
      <w:pPr>
        <w:ind w:left="2160" w:hanging="360"/>
      </w:pPr>
      <w:rPr>
        <w:rFonts w:ascii="Wingdings" w:hAnsi="Wingdings" w:hint="default"/>
      </w:rPr>
    </w:lvl>
    <w:lvl w:ilvl="3" w:tplc="45F2A30C">
      <w:start w:val="1"/>
      <w:numFmt w:val="bullet"/>
      <w:lvlText w:val=""/>
      <w:lvlJc w:val="left"/>
      <w:pPr>
        <w:ind w:left="2880" w:hanging="360"/>
      </w:pPr>
      <w:rPr>
        <w:rFonts w:ascii="Symbol" w:hAnsi="Symbol" w:hint="default"/>
      </w:rPr>
    </w:lvl>
    <w:lvl w:ilvl="4" w:tplc="B0E6083E">
      <w:start w:val="1"/>
      <w:numFmt w:val="bullet"/>
      <w:lvlText w:val="o"/>
      <w:lvlJc w:val="left"/>
      <w:pPr>
        <w:ind w:left="3600" w:hanging="360"/>
      </w:pPr>
      <w:rPr>
        <w:rFonts w:ascii="Courier New" w:hAnsi="Courier New" w:hint="default"/>
      </w:rPr>
    </w:lvl>
    <w:lvl w:ilvl="5" w:tplc="B16646A4">
      <w:start w:val="1"/>
      <w:numFmt w:val="bullet"/>
      <w:lvlText w:val=""/>
      <w:lvlJc w:val="left"/>
      <w:pPr>
        <w:ind w:left="4320" w:hanging="360"/>
      </w:pPr>
      <w:rPr>
        <w:rFonts w:ascii="Wingdings" w:hAnsi="Wingdings" w:hint="default"/>
      </w:rPr>
    </w:lvl>
    <w:lvl w:ilvl="6" w:tplc="6E3A4536">
      <w:start w:val="1"/>
      <w:numFmt w:val="bullet"/>
      <w:lvlText w:val=""/>
      <w:lvlJc w:val="left"/>
      <w:pPr>
        <w:ind w:left="5040" w:hanging="360"/>
      </w:pPr>
      <w:rPr>
        <w:rFonts w:ascii="Symbol" w:hAnsi="Symbol" w:hint="default"/>
      </w:rPr>
    </w:lvl>
    <w:lvl w:ilvl="7" w:tplc="8E84FA4E">
      <w:start w:val="1"/>
      <w:numFmt w:val="bullet"/>
      <w:lvlText w:val="o"/>
      <w:lvlJc w:val="left"/>
      <w:pPr>
        <w:ind w:left="5760" w:hanging="360"/>
      </w:pPr>
      <w:rPr>
        <w:rFonts w:ascii="Courier New" w:hAnsi="Courier New" w:hint="default"/>
      </w:rPr>
    </w:lvl>
    <w:lvl w:ilvl="8" w:tplc="38CE9518">
      <w:start w:val="1"/>
      <w:numFmt w:val="bullet"/>
      <w:lvlText w:val=""/>
      <w:lvlJc w:val="left"/>
      <w:pPr>
        <w:ind w:left="6480" w:hanging="360"/>
      </w:pPr>
      <w:rPr>
        <w:rFonts w:ascii="Wingdings" w:hAnsi="Wingdings" w:hint="default"/>
      </w:rPr>
    </w:lvl>
  </w:abstractNum>
  <w:abstractNum w:abstractNumId="8" w15:restartNumberingAfterBreak="0">
    <w:nsid w:val="137161F6"/>
    <w:multiLevelType w:val="hybridMultilevel"/>
    <w:tmpl w:val="FFFFFFFF"/>
    <w:lvl w:ilvl="0" w:tplc="E806EDFC">
      <w:start w:val="1"/>
      <w:numFmt w:val="bullet"/>
      <w:lvlText w:val=""/>
      <w:lvlJc w:val="left"/>
      <w:pPr>
        <w:ind w:left="720" w:hanging="360"/>
      </w:pPr>
      <w:rPr>
        <w:rFonts w:ascii="Symbol" w:hAnsi="Symbol" w:hint="default"/>
      </w:rPr>
    </w:lvl>
    <w:lvl w:ilvl="1" w:tplc="726CFAB0">
      <w:start w:val="1"/>
      <w:numFmt w:val="bullet"/>
      <w:lvlText w:val="o"/>
      <w:lvlJc w:val="left"/>
      <w:pPr>
        <w:ind w:left="1440" w:hanging="360"/>
      </w:pPr>
      <w:rPr>
        <w:rFonts w:ascii="Courier New" w:hAnsi="Courier New" w:hint="default"/>
      </w:rPr>
    </w:lvl>
    <w:lvl w:ilvl="2" w:tplc="E77AEBAE">
      <w:start w:val="1"/>
      <w:numFmt w:val="bullet"/>
      <w:lvlText w:val=""/>
      <w:lvlJc w:val="left"/>
      <w:pPr>
        <w:ind w:left="2160" w:hanging="360"/>
      </w:pPr>
      <w:rPr>
        <w:rFonts w:ascii="Wingdings" w:hAnsi="Wingdings" w:hint="default"/>
      </w:rPr>
    </w:lvl>
    <w:lvl w:ilvl="3" w:tplc="119CFB58">
      <w:start w:val="1"/>
      <w:numFmt w:val="bullet"/>
      <w:lvlText w:val=""/>
      <w:lvlJc w:val="left"/>
      <w:pPr>
        <w:ind w:left="2880" w:hanging="360"/>
      </w:pPr>
      <w:rPr>
        <w:rFonts w:ascii="Symbol" w:hAnsi="Symbol" w:hint="default"/>
      </w:rPr>
    </w:lvl>
    <w:lvl w:ilvl="4" w:tplc="26B07D8A">
      <w:start w:val="1"/>
      <w:numFmt w:val="bullet"/>
      <w:lvlText w:val="o"/>
      <w:lvlJc w:val="left"/>
      <w:pPr>
        <w:ind w:left="3600" w:hanging="360"/>
      </w:pPr>
      <w:rPr>
        <w:rFonts w:ascii="Courier New" w:hAnsi="Courier New" w:hint="default"/>
      </w:rPr>
    </w:lvl>
    <w:lvl w:ilvl="5" w:tplc="8D86D1DC">
      <w:start w:val="1"/>
      <w:numFmt w:val="bullet"/>
      <w:lvlText w:val=""/>
      <w:lvlJc w:val="left"/>
      <w:pPr>
        <w:ind w:left="4320" w:hanging="360"/>
      </w:pPr>
      <w:rPr>
        <w:rFonts w:ascii="Wingdings" w:hAnsi="Wingdings" w:hint="default"/>
      </w:rPr>
    </w:lvl>
    <w:lvl w:ilvl="6" w:tplc="A27E4F54">
      <w:start w:val="1"/>
      <w:numFmt w:val="bullet"/>
      <w:lvlText w:val=""/>
      <w:lvlJc w:val="left"/>
      <w:pPr>
        <w:ind w:left="5040" w:hanging="360"/>
      </w:pPr>
      <w:rPr>
        <w:rFonts w:ascii="Symbol" w:hAnsi="Symbol" w:hint="default"/>
      </w:rPr>
    </w:lvl>
    <w:lvl w:ilvl="7" w:tplc="AFB2CFEC">
      <w:start w:val="1"/>
      <w:numFmt w:val="bullet"/>
      <w:lvlText w:val="o"/>
      <w:lvlJc w:val="left"/>
      <w:pPr>
        <w:ind w:left="5760" w:hanging="360"/>
      </w:pPr>
      <w:rPr>
        <w:rFonts w:ascii="Courier New" w:hAnsi="Courier New" w:hint="default"/>
      </w:rPr>
    </w:lvl>
    <w:lvl w:ilvl="8" w:tplc="34E23D58">
      <w:start w:val="1"/>
      <w:numFmt w:val="bullet"/>
      <w:lvlText w:val=""/>
      <w:lvlJc w:val="left"/>
      <w:pPr>
        <w:ind w:left="6480" w:hanging="360"/>
      </w:pPr>
      <w:rPr>
        <w:rFonts w:ascii="Wingdings" w:hAnsi="Wingdings" w:hint="default"/>
      </w:rPr>
    </w:lvl>
  </w:abstractNum>
  <w:abstractNum w:abstractNumId="9" w15:restartNumberingAfterBreak="0">
    <w:nsid w:val="13B55CF2"/>
    <w:multiLevelType w:val="hybridMultilevel"/>
    <w:tmpl w:val="FFFFFFFF"/>
    <w:lvl w:ilvl="0" w:tplc="1C986874">
      <w:start w:val="1"/>
      <w:numFmt w:val="bullet"/>
      <w:lvlText w:val=""/>
      <w:lvlJc w:val="left"/>
      <w:pPr>
        <w:ind w:left="720" w:hanging="360"/>
      </w:pPr>
      <w:rPr>
        <w:rFonts w:ascii="Symbol" w:hAnsi="Symbol" w:hint="default"/>
      </w:rPr>
    </w:lvl>
    <w:lvl w:ilvl="1" w:tplc="BA84EB42">
      <w:start w:val="1"/>
      <w:numFmt w:val="bullet"/>
      <w:lvlText w:val="o"/>
      <w:lvlJc w:val="left"/>
      <w:pPr>
        <w:ind w:left="1440" w:hanging="360"/>
      </w:pPr>
      <w:rPr>
        <w:rFonts w:ascii="Courier New" w:hAnsi="Courier New" w:hint="default"/>
      </w:rPr>
    </w:lvl>
    <w:lvl w:ilvl="2" w:tplc="D400A746">
      <w:start w:val="1"/>
      <w:numFmt w:val="bullet"/>
      <w:lvlText w:val=""/>
      <w:lvlJc w:val="left"/>
      <w:pPr>
        <w:ind w:left="2160" w:hanging="360"/>
      </w:pPr>
      <w:rPr>
        <w:rFonts w:ascii="Wingdings" w:hAnsi="Wingdings" w:hint="default"/>
      </w:rPr>
    </w:lvl>
    <w:lvl w:ilvl="3" w:tplc="C03E957C">
      <w:start w:val="1"/>
      <w:numFmt w:val="bullet"/>
      <w:lvlText w:val=""/>
      <w:lvlJc w:val="left"/>
      <w:pPr>
        <w:ind w:left="2880" w:hanging="360"/>
      </w:pPr>
      <w:rPr>
        <w:rFonts w:ascii="Symbol" w:hAnsi="Symbol" w:hint="default"/>
      </w:rPr>
    </w:lvl>
    <w:lvl w:ilvl="4" w:tplc="3D1E06AE">
      <w:start w:val="1"/>
      <w:numFmt w:val="bullet"/>
      <w:lvlText w:val="o"/>
      <w:lvlJc w:val="left"/>
      <w:pPr>
        <w:ind w:left="3600" w:hanging="360"/>
      </w:pPr>
      <w:rPr>
        <w:rFonts w:ascii="Courier New" w:hAnsi="Courier New" w:hint="default"/>
      </w:rPr>
    </w:lvl>
    <w:lvl w:ilvl="5" w:tplc="A5E4C966">
      <w:start w:val="1"/>
      <w:numFmt w:val="bullet"/>
      <w:lvlText w:val=""/>
      <w:lvlJc w:val="left"/>
      <w:pPr>
        <w:ind w:left="4320" w:hanging="360"/>
      </w:pPr>
      <w:rPr>
        <w:rFonts w:ascii="Wingdings" w:hAnsi="Wingdings" w:hint="default"/>
      </w:rPr>
    </w:lvl>
    <w:lvl w:ilvl="6" w:tplc="F0CC57FE">
      <w:start w:val="1"/>
      <w:numFmt w:val="bullet"/>
      <w:lvlText w:val=""/>
      <w:lvlJc w:val="left"/>
      <w:pPr>
        <w:ind w:left="5040" w:hanging="360"/>
      </w:pPr>
      <w:rPr>
        <w:rFonts w:ascii="Symbol" w:hAnsi="Symbol" w:hint="default"/>
      </w:rPr>
    </w:lvl>
    <w:lvl w:ilvl="7" w:tplc="FF762026">
      <w:start w:val="1"/>
      <w:numFmt w:val="bullet"/>
      <w:lvlText w:val="o"/>
      <w:lvlJc w:val="left"/>
      <w:pPr>
        <w:ind w:left="5760" w:hanging="360"/>
      </w:pPr>
      <w:rPr>
        <w:rFonts w:ascii="Courier New" w:hAnsi="Courier New" w:hint="default"/>
      </w:rPr>
    </w:lvl>
    <w:lvl w:ilvl="8" w:tplc="B85AC332">
      <w:start w:val="1"/>
      <w:numFmt w:val="bullet"/>
      <w:lvlText w:val=""/>
      <w:lvlJc w:val="left"/>
      <w:pPr>
        <w:ind w:left="6480" w:hanging="360"/>
      </w:pPr>
      <w:rPr>
        <w:rFonts w:ascii="Wingdings" w:hAnsi="Wingdings" w:hint="default"/>
      </w:rPr>
    </w:lvl>
  </w:abstractNum>
  <w:abstractNum w:abstractNumId="10" w15:restartNumberingAfterBreak="0">
    <w:nsid w:val="18936F9A"/>
    <w:multiLevelType w:val="hybridMultilevel"/>
    <w:tmpl w:val="6C86B6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23525E"/>
    <w:multiLevelType w:val="hybridMultilevel"/>
    <w:tmpl w:val="4BA2E2BE"/>
    <w:lvl w:ilvl="0" w:tplc="FFFFFFFF">
      <w:start w:val="2"/>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0E5E3A"/>
    <w:multiLevelType w:val="hybridMultilevel"/>
    <w:tmpl w:val="4BA2E2BE"/>
    <w:lvl w:ilvl="0" w:tplc="22BE4E8E">
      <w:start w:val="2"/>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A54CC">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C6C22">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5C9EB2">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6AD02">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C0A0A">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C5E6A">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CEF5E">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8A9C0">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CE6D1C"/>
    <w:multiLevelType w:val="hybridMultilevel"/>
    <w:tmpl w:val="18166D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E150B4"/>
    <w:multiLevelType w:val="hybridMultilevel"/>
    <w:tmpl w:val="9104BB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1D8061B"/>
    <w:multiLevelType w:val="hybridMultilevel"/>
    <w:tmpl w:val="EE96B3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2B07B6B"/>
    <w:multiLevelType w:val="hybridMultilevel"/>
    <w:tmpl w:val="33269C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4EB74AF"/>
    <w:multiLevelType w:val="hybridMultilevel"/>
    <w:tmpl w:val="524CAC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51850A0"/>
    <w:multiLevelType w:val="multilevel"/>
    <w:tmpl w:val="A0D6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B91302"/>
    <w:multiLevelType w:val="hybridMultilevel"/>
    <w:tmpl w:val="37565724"/>
    <w:lvl w:ilvl="0" w:tplc="C4E4FF78">
      <w:start w:val="4"/>
      <w:numFmt w:val="bullet"/>
      <w:lvlText w:val="•"/>
      <w:lvlJc w:val="left"/>
      <w:pPr>
        <w:ind w:left="360" w:firstLine="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7B110C"/>
    <w:multiLevelType w:val="hybridMultilevel"/>
    <w:tmpl w:val="46E060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4B720C2"/>
    <w:multiLevelType w:val="hybridMultilevel"/>
    <w:tmpl w:val="EDCE9E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125A60"/>
    <w:multiLevelType w:val="hybridMultilevel"/>
    <w:tmpl w:val="DED416A8"/>
    <w:lvl w:ilvl="0" w:tplc="041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37926FF8"/>
    <w:multiLevelType w:val="hybridMultilevel"/>
    <w:tmpl w:val="FFFFFFFF"/>
    <w:lvl w:ilvl="0" w:tplc="56C2B3F0">
      <w:start w:val="1"/>
      <w:numFmt w:val="bullet"/>
      <w:lvlText w:val=""/>
      <w:lvlJc w:val="left"/>
      <w:pPr>
        <w:ind w:left="720" w:hanging="360"/>
      </w:pPr>
      <w:rPr>
        <w:rFonts w:ascii="Symbol" w:hAnsi="Symbol" w:hint="default"/>
      </w:rPr>
    </w:lvl>
    <w:lvl w:ilvl="1" w:tplc="9654A31C">
      <w:start w:val="1"/>
      <w:numFmt w:val="bullet"/>
      <w:lvlText w:val="o"/>
      <w:lvlJc w:val="left"/>
      <w:pPr>
        <w:ind w:left="1440" w:hanging="360"/>
      </w:pPr>
      <w:rPr>
        <w:rFonts w:ascii="Courier New" w:hAnsi="Courier New" w:hint="default"/>
      </w:rPr>
    </w:lvl>
    <w:lvl w:ilvl="2" w:tplc="F430569E">
      <w:start w:val="1"/>
      <w:numFmt w:val="bullet"/>
      <w:lvlText w:val=""/>
      <w:lvlJc w:val="left"/>
      <w:pPr>
        <w:ind w:left="2160" w:hanging="360"/>
      </w:pPr>
      <w:rPr>
        <w:rFonts w:ascii="Wingdings" w:hAnsi="Wingdings" w:hint="default"/>
      </w:rPr>
    </w:lvl>
    <w:lvl w:ilvl="3" w:tplc="613CA998">
      <w:start w:val="1"/>
      <w:numFmt w:val="bullet"/>
      <w:lvlText w:val=""/>
      <w:lvlJc w:val="left"/>
      <w:pPr>
        <w:ind w:left="2880" w:hanging="360"/>
      </w:pPr>
      <w:rPr>
        <w:rFonts w:ascii="Symbol" w:hAnsi="Symbol" w:hint="default"/>
      </w:rPr>
    </w:lvl>
    <w:lvl w:ilvl="4" w:tplc="BBE4AA0E">
      <w:start w:val="1"/>
      <w:numFmt w:val="bullet"/>
      <w:lvlText w:val="o"/>
      <w:lvlJc w:val="left"/>
      <w:pPr>
        <w:ind w:left="3600" w:hanging="360"/>
      </w:pPr>
      <w:rPr>
        <w:rFonts w:ascii="Courier New" w:hAnsi="Courier New" w:hint="default"/>
      </w:rPr>
    </w:lvl>
    <w:lvl w:ilvl="5" w:tplc="74D811DE">
      <w:start w:val="1"/>
      <w:numFmt w:val="bullet"/>
      <w:lvlText w:val=""/>
      <w:lvlJc w:val="left"/>
      <w:pPr>
        <w:ind w:left="4320" w:hanging="360"/>
      </w:pPr>
      <w:rPr>
        <w:rFonts w:ascii="Wingdings" w:hAnsi="Wingdings" w:hint="default"/>
      </w:rPr>
    </w:lvl>
    <w:lvl w:ilvl="6" w:tplc="E5B630FA">
      <w:start w:val="1"/>
      <w:numFmt w:val="bullet"/>
      <w:lvlText w:val=""/>
      <w:lvlJc w:val="left"/>
      <w:pPr>
        <w:ind w:left="5040" w:hanging="360"/>
      </w:pPr>
      <w:rPr>
        <w:rFonts w:ascii="Symbol" w:hAnsi="Symbol" w:hint="default"/>
      </w:rPr>
    </w:lvl>
    <w:lvl w:ilvl="7" w:tplc="4594CE06">
      <w:start w:val="1"/>
      <w:numFmt w:val="bullet"/>
      <w:lvlText w:val="o"/>
      <w:lvlJc w:val="left"/>
      <w:pPr>
        <w:ind w:left="5760" w:hanging="360"/>
      </w:pPr>
      <w:rPr>
        <w:rFonts w:ascii="Courier New" w:hAnsi="Courier New" w:hint="default"/>
      </w:rPr>
    </w:lvl>
    <w:lvl w:ilvl="8" w:tplc="411C4AC6">
      <w:start w:val="1"/>
      <w:numFmt w:val="bullet"/>
      <w:lvlText w:val=""/>
      <w:lvlJc w:val="left"/>
      <w:pPr>
        <w:ind w:left="6480" w:hanging="360"/>
      </w:pPr>
      <w:rPr>
        <w:rFonts w:ascii="Wingdings" w:hAnsi="Wingdings" w:hint="default"/>
      </w:rPr>
    </w:lvl>
  </w:abstractNum>
  <w:abstractNum w:abstractNumId="24" w15:restartNumberingAfterBreak="0">
    <w:nsid w:val="3810084D"/>
    <w:multiLevelType w:val="hybridMultilevel"/>
    <w:tmpl w:val="FFFFFFFF"/>
    <w:lvl w:ilvl="0" w:tplc="59D247B2">
      <w:start w:val="1"/>
      <w:numFmt w:val="bullet"/>
      <w:lvlText w:val=""/>
      <w:lvlJc w:val="left"/>
      <w:pPr>
        <w:ind w:left="720" w:hanging="360"/>
      </w:pPr>
      <w:rPr>
        <w:rFonts w:ascii="Symbol" w:hAnsi="Symbol" w:hint="default"/>
      </w:rPr>
    </w:lvl>
    <w:lvl w:ilvl="1" w:tplc="C78271D4">
      <w:start w:val="1"/>
      <w:numFmt w:val="bullet"/>
      <w:lvlText w:val="o"/>
      <w:lvlJc w:val="left"/>
      <w:pPr>
        <w:ind w:left="1440" w:hanging="360"/>
      </w:pPr>
      <w:rPr>
        <w:rFonts w:ascii="Courier New" w:hAnsi="Courier New" w:hint="default"/>
      </w:rPr>
    </w:lvl>
    <w:lvl w:ilvl="2" w:tplc="46A479CA">
      <w:start w:val="1"/>
      <w:numFmt w:val="bullet"/>
      <w:lvlText w:val=""/>
      <w:lvlJc w:val="left"/>
      <w:pPr>
        <w:ind w:left="2160" w:hanging="360"/>
      </w:pPr>
      <w:rPr>
        <w:rFonts w:ascii="Wingdings" w:hAnsi="Wingdings" w:hint="default"/>
      </w:rPr>
    </w:lvl>
    <w:lvl w:ilvl="3" w:tplc="A8E036CE">
      <w:start w:val="1"/>
      <w:numFmt w:val="bullet"/>
      <w:lvlText w:val=""/>
      <w:lvlJc w:val="left"/>
      <w:pPr>
        <w:ind w:left="2880" w:hanging="360"/>
      </w:pPr>
      <w:rPr>
        <w:rFonts w:ascii="Symbol" w:hAnsi="Symbol" w:hint="default"/>
      </w:rPr>
    </w:lvl>
    <w:lvl w:ilvl="4" w:tplc="DD721C1C">
      <w:start w:val="1"/>
      <w:numFmt w:val="bullet"/>
      <w:lvlText w:val="o"/>
      <w:lvlJc w:val="left"/>
      <w:pPr>
        <w:ind w:left="3600" w:hanging="360"/>
      </w:pPr>
      <w:rPr>
        <w:rFonts w:ascii="Courier New" w:hAnsi="Courier New" w:hint="default"/>
      </w:rPr>
    </w:lvl>
    <w:lvl w:ilvl="5" w:tplc="C7D48F40">
      <w:start w:val="1"/>
      <w:numFmt w:val="bullet"/>
      <w:lvlText w:val=""/>
      <w:lvlJc w:val="left"/>
      <w:pPr>
        <w:ind w:left="4320" w:hanging="360"/>
      </w:pPr>
      <w:rPr>
        <w:rFonts w:ascii="Wingdings" w:hAnsi="Wingdings" w:hint="default"/>
      </w:rPr>
    </w:lvl>
    <w:lvl w:ilvl="6" w:tplc="16A041C8">
      <w:start w:val="1"/>
      <w:numFmt w:val="bullet"/>
      <w:lvlText w:val=""/>
      <w:lvlJc w:val="left"/>
      <w:pPr>
        <w:ind w:left="5040" w:hanging="360"/>
      </w:pPr>
      <w:rPr>
        <w:rFonts w:ascii="Symbol" w:hAnsi="Symbol" w:hint="default"/>
      </w:rPr>
    </w:lvl>
    <w:lvl w:ilvl="7" w:tplc="05CE0D82">
      <w:start w:val="1"/>
      <w:numFmt w:val="bullet"/>
      <w:lvlText w:val="o"/>
      <w:lvlJc w:val="left"/>
      <w:pPr>
        <w:ind w:left="5760" w:hanging="360"/>
      </w:pPr>
      <w:rPr>
        <w:rFonts w:ascii="Courier New" w:hAnsi="Courier New" w:hint="default"/>
      </w:rPr>
    </w:lvl>
    <w:lvl w:ilvl="8" w:tplc="7044851E">
      <w:start w:val="1"/>
      <w:numFmt w:val="bullet"/>
      <w:lvlText w:val=""/>
      <w:lvlJc w:val="left"/>
      <w:pPr>
        <w:ind w:left="6480" w:hanging="360"/>
      </w:pPr>
      <w:rPr>
        <w:rFonts w:ascii="Wingdings" w:hAnsi="Wingdings" w:hint="default"/>
      </w:rPr>
    </w:lvl>
  </w:abstractNum>
  <w:abstractNum w:abstractNumId="25" w15:restartNumberingAfterBreak="0">
    <w:nsid w:val="3C304CE2"/>
    <w:multiLevelType w:val="hybridMultilevel"/>
    <w:tmpl w:val="771AB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7170AE"/>
    <w:multiLevelType w:val="hybridMultilevel"/>
    <w:tmpl w:val="31727374"/>
    <w:lvl w:ilvl="0" w:tplc="238ABC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CFD725A"/>
    <w:multiLevelType w:val="hybridMultilevel"/>
    <w:tmpl w:val="8AECF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EE321C"/>
    <w:multiLevelType w:val="hybridMultilevel"/>
    <w:tmpl w:val="FFFFFFFF"/>
    <w:lvl w:ilvl="0" w:tplc="FAC61A9A">
      <w:start w:val="1"/>
      <w:numFmt w:val="bullet"/>
      <w:lvlText w:val=""/>
      <w:lvlJc w:val="left"/>
      <w:pPr>
        <w:ind w:left="720" w:hanging="360"/>
      </w:pPr>
      <w:rPr>
        <w:rFonts w:ascii="Symbol" w:hAnsi="Symbol" w:hint="default"/>
      </w:rPr>
    </w:lvl>
    <w:lvl w:ilvl="1" w:tplc="D67033DE">
      <w:start w:val="1"/>
      <w:numFmt w:val="bullet"/>
      <w:lvlText w:val="o"/>
      <w:lvlJc w:val="left"/>
      <w:pPr>
        <w:ind w:left="1440" w:hanging="360"/>
      </w:pPr>
      <w:rPr>
        <w:rFonts w:ascii="Courier New" w:hAnsi="Courier New" w:hint="default"/>
      </w:rPr>
    </w:lvl>
    <w:lvl w:ilvl="2" w:tplc="29CA977E">
      <w:start w:val="1"/>
      <w:numFmt w:val="bullet"/>
      <w:lvlText w:val=""/>
      <w:lvlJc w:val="left"/>
      <w:pPr>
        <w:ind w:left="2160" w:hanging="360"/>
      </w:pPr>
      <w:rPr>
        <w:rFonts w:ascii="Wingdings" w:hAnsi="Wingdings" w:hint="default"/>
      </w:rPr>
    </w:lvl>
    <w:lvl w:ilvl="3" w:tplc="4B0C8FCE">
      <w:start w:val="1"/>
      <w:numFmt w:val="bullet"/>
      <w:lvlText w:val=""/>
      <w:lvlJc w:val="left"/>
      <w:pPr>
        <w:ind w:left="2880" w:hanging="360"/>
      </w:pPr>
      <w:rPr>
        <w:rFonts w:ascii="Symbol" w:hAnsi="Symbol" w:hint="default"/>
      </w:rPr>
    </w:lvl>
    <w:lvl w:ilvl="4" w:tplc="7C56527A">
      <w:start w:val="1"/>
      <w:numFmt w:val="bullet"/>
      <w:lvlText w:val="o"/>
      <w:lvlJc w:val="left"/>
      <w:pPr>
        <w:ind w:left="3600" w:hanging="360"/>
      </w:pPr>
      <w:rPr>
        <w:rFonts w:ascii="Courier New" w:hAnsi="Courier New" w:hint="default"/>
      </w:rPr>
    </w:lvl>
    <w:lvl w:ilvl="5" w:tplc="949E16A6">
      <w:start w:val="1"/>
      <w:numFmt w:val="bullet"/>
      <w:lvlText w:val=""/>
      <w:lvlJc w:val="left"/>
      <w:pPr>
        <w:ind w:left="4320" w:hanging="360"/>
      </w:pPr>
      <w:rPr>
        <w:rFonts w:ascii="Wingdings" w:hAnsi="Wingdings" w:hint="default"/>
      </w:rPr>
    </w:lvl>
    <w:lvl w:ilvl="6" w:tplc="2610AB86">
      <w:start w:val="1"/>
      <w:numFmt w:val="bullet"/>
      <w:lvlText w:val=""/>
      <w:lvlJc w:val="left"/>
      <w:pPr>
        <w:ind w:left="5040" w:hanging="360"/>
      </w:pPr>
      <w:rPr>
        <w:rFonts w:ascii="Symbol" w:hAnsi="Symbol" w:hint="default"/>
      </w:rPr>
    </w:lvl>
    <w:lvl w:ilvl="7" w:tplc="ADDC6A92">
      <w:start w:val="1"/>
      <w:numFmt w:val="bullet"/>
      <w:lvlText w:val="o"/>
      <w:lvlJc w:val="left"/>
      <w:pPr>
        <w:ind w:left="5760" w:hanging="360"/>
      </w:pPr>
      <w:rPr>
        <w:rFonts w:ascii="Courier New" w:hAnsi="Courier New" w:hint="default"/>
      </w:rPr>
    </w:lvl>
    <w:lvl w:ilvl="8" w:tplc="FCE21BD8">
      <w:start w:val="1"/>
      <w:numFmt w:val="bullet"/>
      <w:lvlText w:val=""/>
      <w:lvlJc w:val="left"/>
      <w:pPr>
        <w:ind w:left="6480" w:hanging="360"/>
      </w:pPr>
      <w:rPr>
        <w:rFonts w:ascii="Wingdings" w:hAnsi="Wingdings" w:hint="default"/>
      </w:rPr>
    </w:lvl>
  </w:abstractNum>
  <w:abstractNum w:abstractNumId="29" w15:restartNumberingAfterBreak="0">
    <w:nsid w:val="40A71B20"/>
    <w:multiLevelType w:val="hybridMultilevel"/>
    <w:tmpl w:val="FFFFFFFF"/>
    <w:lvl w:ilvl="0" w:tplc="D1C289CA">
      <w:start w:val="1"/>
      <w:numFmt w:val="decimal"/>
      <w:lvlText w:val="%1."/>
      <w:lvlJc w:val="left"/>
      <w:pPr>
        <w:ind w:left="720" w:hanging="360"/>
      </w:pPr>
    </w:lvl>
    <w:lvl w:ilvl="1" w:tplc="AE86F488">
      <w:start w:val="1"/>
      <w:numFmt w:val="lowerLetter"/>
      <w:lvlText w:val="%2."/>
      <w:lvlJc w:val="left"/>
      <w:pPr>
        <w:ind w:left="1440" w:hanging="360"/>
      </w:pPr>
    </w:lvl>
    <w:lvl w:ilvl="2" w:tplc="A436578A">
      <w:start w:val="1"/>
      <w:numFmt w:val="lowerRoman"/>
      <w:lvlText w:val="%3."/>
      <w:lvlJc w:val="right"/>
      <w:pPr>
        <w:ind w:left="2160" w:hanging="180"/>
      </w:pPr>
    </w:lvl>
    <w:lvl w:ilvl="3" w:tplc="C6124C50">
      <w:start w:val="1"/>
      <w:numFmt w:val="decimal"/>
      <w:lvlText w:val="%4."/>
      <w:lvlJc w:val="left"/>
      <w:pPr>
        <w:ind w:left="2880" w:hanging="360"/>
      </w:pPr>
    </w:lvl>
    <w:lvl w:ilvl="4" w:tplc="2E62C450">
      <w:start w:val="1"/>
      <w:numFmt w:val="lowerLetter"/>
      <w:lvlText w:val="%5."/>
      <w:lvlJc w:val="left"/>
      <w:pPr>
        <w:ind w:left="3600" w:hanging="360"/>
      </w:pPr>
    </w:lvl>
    <w:lvl w:ilvl="5" w:tplc="ABB255F6">
      <w:start w:val="1"/>
      <w:numFmt w:val="lowerRoman"/>
      <w:lvlText w:val="%6."/>
      <w:lvlJc w:val="right"/>
      <w:pPr>
        <w:ind w:left="4320" w:hanging="180"/>
      </w:pPr>
    </w:lvl>
    <w:lvl w:ilvl="6" w:tplc="2752F142">
      <w:start w:val="1"/>
      <w:numFmt w:val="decimal"/>
      <w:lvlText w:val="%7."/>
      <w:lvlJc w:val="left"/>
      <w:pPr>
        <w:ind w:left="5040" w:hanging="360"/>
      </w:pPr>
    </w:lvl>
    <w:lvl w:ilvl="7" w:tplc="25C2043E">
      <w:start w:val="1"/>
      <w:numFmt w:val="lowerLetter"/>
      <w:lvlText w:val="%8."/>
      <w:lvlJc w:val="left"/>
      <w:pPr>
        <w:ind w:left="5760" w:hanging="360"/>
      </w:pPr>
    </w:lvl>
    <w:lvl w:ilvl="8" w:tplc="318C4366">
      <w:start w:val="1"/>
      <w:numFmt w:val="lowerRoman"/>
      <w:lvlText w:val="%9."/>
      <w:lvlJc w:val="right"/>
      <w:pPr>
        <w:ind w:left="6480" w:hanging="180"/>
      </w:pPr>
    </w:lvl>
  </w:abstractNum>
  <w:abstractNum w:abstractNumId="30" w15:restartNumberingAfterBreak="0">
    <w:nsid w:val="42556D66"/>
    <w:multiLevelType w:val="hybridMultilevel"/>
    <w:tmpl w:val="50820EAA"/>
    <w:lvl w:ilvl="0" w:tplc="0BB6CAE8">
      <w:start w:val="1"/>
      <w:numFmt w:val="bullet"/>
      <w:lvlText w:val=""/>
      <w:lvlJc w:val="left"/>
      <w:pPr>
        <w:ind w:left="720" w:hanging="360"/>
      </w:pPr>
      <w:rPr>
        <w:rFonts w:ascii="Symbol" w:hAnsi="Symbol" w:hint="default"/>
      </w:rPr>
    </w:lvl>
    <w:lvl w:ilvl="1" w:tplc="CB5058FA">
      <w:start w:val="1"/>
      <w:numFmt w:val="bullet"/>
      <w:lvlText w:val="o"/>
      <w:lvlJc w:val="left"/>
      <w:pPr>
        <w:ind w:left="1440" w:hanging="360"/>
      </w:pPr>
      <w:rPr>
        <w:rFonts w:ascii="Courier New" w:hAnsi="Courier New" w:hint="default"/>
      </w:rPr>
    </w:lvl>
    <w:lvl w:ilvl="2" w:tplc="C30889D0">
      <w:start w:val="1"/>
      <w:numFmt w:val="bullet"/>
      <w:lvlText w:val=""/>
      <w:lvlJc w:val="left"/>
      <w:pPr>
        <w:ind w:left="2160" w:hanging="360"/>
      </w:pPr>
      <w:rPr>
        <w:rFonts w:ascii="Wingdings" w:hAnsi="Wingdings" w:hint="default"/>
      </w:rPr>
    </w:lvl>
    <w:lvl w:ilvl="3" w:tplc="83FE233C">
      <w:start w:val="1"/>
      <w:numFmt w:val="bullet"/>
      <w:lvlText w:val=""/>
      <w:lvlJc w:val="left"/>
      <w:pPr>
        <w:ind w:left="2880" w:hanging="360"/>
      </w:pPr>
      <w:rPr>
        <w:rFonts w:ascii="Symbol" w:hAnsi="Symbol" w:hint="default"/>
      </w:rPr>
    </w:lvl>
    <w:lvl w:ilvl="4" w:tplc="02027F66">
      <w:start w:val="1"/>
      <w:numFmt w:val="bullet"/>
      <w:lvlText w:val="o"/>
      <w:lvlJc w:val="left"/>
      <w:pPr>
        <w:ind w:left="3600" w:hanging="360"/>
      </w:pPr>
      <w:rPr>
        <w:rFonts w:ascii="Courier New" w:hAnsi="Courier New" w:hint="default"/>
      </w:rPr>
    </w:lvl>
    <w:lvl w:ilvl="5" w:tplc="0B5884F2">
      <w:start w:val="1"/>
      <w:numFmt w:val="bullet"/>
      <w:lvlText w:val=""/>
      <w:lvlJc w:val="left"/>
      <w:pPr>
        <w:ind w:left="4320" w:hanging="360"/>
      </w:pPr>
      <w:rPr>
        <w:rFonts w:ascii="Wingdings" w:hAnsi="Wingdings" w:hint="default"/>
      </w:rPr>
    </w:lvl>
    <w:lvl w:ilvl="6" w:tplc="9F146778">
      <w:start w:val="1"/>
      <w:numFmt w:val="bullet"/>
      <w:lvlText w:val=""/>
      <w:lvlJc w:val="left"/>
      <w:pPr>
        <w:ind w:left="5040" w:hanging="360"/>
      </w:pPr>
      <w:rPr>
        <w:rFonts w:ascii="Symbol" w:hAnsi="Symbol" w:hint="default"/>
      </w:rPr>
    </w:lvl>
    <w:lvl w:ilvl="7" w:tplc="C220D348">
      <w:start w:val="1"/>
      <w:numFmt w:val="bullet"/>
      <w:lvlText w:val="o"/>
      <w:lvlJc w:val="left"/>
      <w:pPr>
        <w:ind w:left="5760" w:hanging="360"/>
      </w:pPr>
      <w:rPr>
        <w:rFonts w:ascii="Courier New" w:hAnsi="Courier New" w:hint="default"/>
      </w:rPr>
    </w:lvl>
    <w:lvl w:ilvl="8" w:tplc="2F66D11E">
      <w:start w:val="1"/>
      <w:numFmt w:val="bullet"/>
      <w:lvlText w:val=""/>
      <w:lvlJc w:val="left"/>
      <w:pPr>
        <w:ind w:left="6480" w:hanging="360"/>
      </w:pPr>
      <w:rPr>
        <w:rFonts w:ascii="Wingdings" w:hAnsi="Wingdings" w:hint="default"/>
      </w:rPr>
    </w:lvl>
  </w:abstractNum>
  <w:abstractNum w:abstractNumId="31" w15:restartNumberingAfterBreak="0">
    <w:nsid w:val="43409E7F"/>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1E78D2"/>
    <w:multiLevelType w:val="hybridMultilevel"/>
    <w:tmpl w:val="FFFFFFFF"/>
    <w:lvl w:ilvl="0" w:tplc="D5E2C2F6">
      <w:start w:val="1"/>
      <w:numFmt w:val="decimal"/>
      <w:lvlText w:val="%1."/>
      <w:lvlJc w:val="left"/>
      <w:pPr>
        <w:ind w:left="720" w:hanging="360"/>
      </w:pPr>
    </w:lvl>
    <w:lvl w:ilvl="1" w:tplc="FC002F14">
      <w:start w:val="1"/>
      <w:numFmt w:val="lowerLetter"/>
      <w:lvlText w:val="%2."/>
      <w:lvlJc w:val="left"/>
      <w:pPr>
        <w:ind w:left="1440" w:hanging="360"/>
      </w:pPr>
    </w:lvl>
    <w:lvl w:ilvl="2" w:tplc="842C0D9A">
      <w:start w:val="1"/>
      <w:numFmt w:val="lowerRoman"/>
      <w:lvlText w:val="%3."/>
      <w:lvlJc w:val="right"/>
      <w:pPr>
        <w:ind w:left="2160" w:hanging="180"/>
      </w:pPr>
    </w:lvl>
    <w:lvl w:ilvl="3" w:tplc="499E9CA2">
      <w:start w:val="1"/>
      <w:numFmt w:val="decimal"/>
      <w:lvlText w:val="%4."/>
      <w:lvlJc w:val="left"/>
      <w:pPr>
        <w:ind w:left="2880" w:hanging="360"/>
      </w:pPr>
    </w:lvl>
    <w:lvl w:ilvl="4" w:tplc="645C8060">
      <w:start w:val="1"/>
      <w:numFmt w:val="lowerLetter"/>
      <w:lvlText w:val="%5."/>
      <w:lvlJc w:val="left"/>
      <w:pPr>
        <w:ind w:left="3600" w:hanging="360"/>
      </w:pPr>
    </w:lvl>
    <w:lvl w:ilvl="5" w:tplc="70144C1C">
      <w:start w:val="1"/>
      <w:numFmt w:val="lowerRoman"/>
      <w:lvlText w:val="%6."/>
      <w:lvlJc w:val="right"/>
      <w:pPr>
        <w:ind w:left="4320" w:hanging="180"/>
      </w:pPr>
    </w:lvl>
    <w:lvl w:ilvl="6" w:tplc="4B9AC7DC">
      <w:start w:val="1"/>
      <w:numFmt w:val="decimal"/>
      <w:lvlText w:val="%7."/>
      <w:lvlJc w:val="left"/>
      <w:pPr>
        <w:ind w:left="5040" w:hanging="360"/>
      </w:pPr>
    </w:lvl>
    <w:lvl w:ilvl="7" w:tplc="E18C5826">
      <w:start w:val="1"/>
      <w:numFmt w:val="lowerLetter"/>
      <w:lvlText w:val="%8."/>
      <w:lvlJc w:val="left"/>
      <w:pPr>
        <w:ind w:left="5760" w:hanging="360"/>
      </w:pPr>
    </w:lvl>
    <w:lvl w:ilvl="8" w:tplc="FD44A41C">
      <w:start w:val="1"/>
      <w:numFmt w:val="lowerRoman"/>
      <w:lvlText w:val="%9."/>
      <w:lvlJc w:val="right"/>
      <w:pPr>
        <w:ind w:left="6480" w:hanging="180"/>
      </w:pPr>
    </w:lvl>
  </w:abstractNum>
  <w:abstractNum w:abstractNumId="33" w15:restartNumberingAfterBreak="0">
    <w:nsid w:val="486F0480"/>
    <w:multiLevelType w:val="hybridMultilevel"/>
    <w:tmpl w:val="AE5EBA2A"/>
    <w:lvl w:ilvl="0" w:tplc="E77C2F4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CA75DD2"/>
    <w:multiLevelType w:val="multilevel"/>
    <w:tmpl w:val="2C4E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EEFE60"/>
    <w:multiLevelType w:val="multilevel"/>
    <w:tmpl w:val="FFFFFFFF"/>
    <w:lvl w:ilvl="0">
      <w:start w:val="1"/>
      <w:numFmt w:val="decimal"/>
      <w:lvlText w:val="%1."/>
      <w:lvlJc w:val="left"/>
      <w:pPr>
        <w:ind w:left="720" w:hanging="360"/>
      </w:pPr>
    </w:lvl>
    <w:lvl w:ilvl="1">
      <w:start w:val="1"/>
      <w:numFmt w:val="decimal"/>
      <w:lvlText w:val="%1."/>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E32E73"/>
    <w:multiLevelType w:val="hybridMultilevel"/>
    <w:tmpl w:val="7DAE2104"/>
    <w:lvl w:ilvl="0" w:tplc="041A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021055A"/>
    <w:multiLevelType w:val="hybridMultilevel"/>
    <w:tmpl w:val="FFFFFFFF"/>
    <w:lvl w:ilvl="0" w:tplc="B6686A8E">
      <w:start w:val="1"/>
      <w:numFmt w:val="decimal"/>
      <w:lvlText w:val="%1."/>
      <w:lvlJc w:val="left"/>
      <w:pPr>
        <w:ind w:left="720" w:hanging="360"/>
      </w:pPr>
    </w:lvl>
    <w:lvl w:ilvl="1" w:tplc="61A424B6">
      <w:start w:val="1"/>
      <w:numFmt w:val="lowerLetter"/>
      <w:lvlText w:val="%2."/>
      <w:lvlJc w:val="left"/>
      <w:pPr>
        <w:ind w:left="1440" w:hanging="360"/>
      </w:pPr>
    </w:lvl>
    <w:lvl w:ilvl="2" w:tplc="C2B08CD0">
      <w:start w:val="1"/>
      <w:numFmt w:val="lowerRoman"/>
      <w:lvlText w:val="%3."/>
      <w:lvlJc w:val="right"/>
      <w:pPr>
        <w:ind w:left="2160" w:hanging="180"/>
      </w:pPr>
    </w:lvl>
    <w:lvl w:ilvl="3" w:tplc="80E2D5C0">
      <w:start w:val="1"/>
      <w:numFmt w:val="decimal"/>
      <w:lvlText w:val="%4."/>
      <w:lvlJc w:val="left"/>
      <w:pPr>
        <w:ind w:left="2880" w:hanging="360"/>
      </w:pPr>
    </w:lvl>
    <w:lvl w:ilvl="4" w:tplc="CA221E10">
      <w:start w:val="1"/>
      <w:numFmt w:val="lowerLetter"/>
      <w:lvlText w:val="%5."/>
      <w:lvlJc w:val="left"/>
      <w:pPr>
        <w:ind w:left="3600" w:hanging="360"/>
      </w:pPr>
    </w:lvl>
    <w:lvl w:ilvl="5" w:tplc="A282E4B8">
      <w:start w:val="1"/>
      <w:numFmt w:val="lowerRoman"/>
      <w:lvlText w:val="%6."/>
      <w:lvlJc w:val="right"/>
      <w:pPr>
        <w:ind w:left="4320" w:hanging="180"/>
      </w:pPr>
    </w:lvl>
    <w:lvl w:ilvl="6" w:tplc="06646C1E">
      <w:start w:val="1"/>
      <w:numFmt w:val="decimal"/>
      <w:lvlText w:val="%7."/>
      <w:lvlJc w:val="left"/>
      <w:pPr>
        <w:ind w:left="5040" w:hanging="360"/>
      </w:pPr>
    </w:lvl>
    <w:lvl w:ilvl="7" w:tplc="3B1E3F5A">
      <w:start w:val="1"/>
      <w:numFmt w:val="lowerLetter"/>
      <w:lvlText w:val="%8."/>
      <w:lvlJc w:val="left"/>
      <w:pPr>
        <w:ind w:left="5760" w:hanging="360"/>
      </w:pPr>
    </w:lvl>
    <w:lvl w:ilvl="8" w:tplc="CB1806FA">
      <w:start w:val="1"/>
      <w:numFmt w:val="lowerRoman"/>
      <w:lvlText w:val="%9."/>
      <w:lvlJc w:val="right"/>
      <w:pPr>
        <w:ind w:left="6480" w:hanging="180"/>
      </w:pPr>
    </w:lvl>
  </w:abstractNum>
  <w:abstractNum w:abstractNumId="38" w15:restartNumberingAfterBreak="0">
    <w:nsid w:val="62D96FEE"/>
    <w:multiLevelType w:val="hybridMultilevel"/>
    <w:tmpl w:val="D7768134"/>
    <w:lvl w:ilvl="0" w:tplc="583E9B2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668B37CE"/>
    <w:multiLevelType w:val="hybridMultilevel"/>
    <w:tmpl w:val="4A540798"/>
    <w:lvl w:ilvl="0" w:tplc="A7F60E48">
      <w:start w:val="1"/>
      <w:numFmt w:val="decimal"/>
      <w:lvlText w:val="%1."/>
      <w:lvlJc w:val="left"/>
      <w:pPr>
        <w:ind w:left="720" w:hanging="360"/>
      </w:pPr>
    </w:lvl>
    <w:lvl w:ilvl="1" w:tplc="48FEB782">
      <w:start w:val="1"/>
      <w:numFmt w:val="lowerLetter"/>
      <w:lvlText w:val="%2."/>
      <w:lvlJc w:val="left"/>
      <w:pPr>
        <w:ind w:left="1440" w:hanging="360"/>
      </w:pPr>
    </w:lvl>
    <w:lvl w:ilvl="2" w:tplc="8A9C27FE">
      <w:start w:val="1"/>
      <w:numFmt w:val="lowerRoman"/>
      <w:lvlText w:val="%3."/>
      <w:lvlJc w:val="right"/>
      <w:pPr>
        <w:ind w:left="2160" w:hanging="180"/>
      </w:pPr>
    </w:lvl>
    <w:lvl w:ilvl="3" w:tplc="91EEF5FA">
      <w:start w:val="1"/>
      <w:numFmt w:val="decimal"/>
      <w:lvlText w:val="%4."/>
      <w:lvlJc w:val="left"/>
      <w:pPr>
        <w:ind w:left="2880" w:hanging="360"/>
      </w:pPr>
    </w:lvl>
    <w:lvl w:ilvl="4" w:tplc="1A965B70">
      <w:start w:val="1"/>
      <w:numFmt w:val="lowerLetter"/>
      <w:lvlText w:val="%5."/>
      <w:lvlJc w:val="left"/>
      <w:pPr>
        <w:ind w:left="3600" w:hanging="360"/>
      </w:pPr>
    </w:lvl>
    <w:lvl w:ilvl="5" w:tplc="3B1E3746">
      <w:start w:val="1"/>
      <w:numFmt w:val="lowerRoman"/>
      <w:lvlText w:val="%6."/>
      <w:lvlJc w:val="right"/>
      <w:pPr>
        <w:ind w:left="4320" w:hanging="180"/>
      </w:pPr>
    </w:lvl>
    <w:lvl w:ilvl="6" w:tplc="DAFA4526">
      <w:start w:val="1"/>
      <w:numFmt w:val="decimal"/>
      <w:lvlText w:val="%7."/>
      <w:lvlJc w:val="left"/>
      <w:pPr>
        <w:ind w:left="5040" w:hanging="360"/>
      </w:pPr>
    </w:lvl>
    <w:lvl w:ilvl="7" w:tplc="1F543DA6">
      <w:start w:val="1"/>
      <w:numFmt w:val="lowerLetter"/>
      <w:lvlText w:val="%8."/>
      <w:lvlJc w:val="left"/>
      <w:pPr>
        <w:ind w:left="5760" w:hanging="360"/>
      </w:pPr>
    </w:lvl>
    <w:lvl w:ilvl="8" w:tplc="964668B6">
      <w:start w:val="1"/>
      <w:numFmt w:val="lowerRoman"/>
      <w:lvlText w:val="%9."/>
      <w:lvlJc w:val="right"/>
      <w:pPr>
        <w:ind w:left="6480" w:hanging="180"/>
      </w:pPr>
    </w:lvl>
  </w:abstractNum>
  <w:abstractNum w:abstractNumId="40" w15:restartNumberingAfterBreak="0">
    <w:nsid w:val="68AB3FCA"/>
    <w:multiLevelType w:val="hybridMultilevel"/>
    <w:tmpl w:val="DD2C6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9E1CC40"/>
    <w:multiLevelType w:val="hybridMultilevel"/>
    <w:tmpl w:val="FFFFFFFF"/>
    <w:lvl w:ilvl="0" w:tplc="D6AAB5DC">
      <w:start w:val="1"/>
      <w:numFmt w:val="decimal"/>
      <w:lvlText w:val="%1."/>
      <w:lvlJc w:val="left"/>
      <w:pPr>
        <w:ind w:left="720" w:hanging="360"/>
      </w:pPr>
    </w:lvl>
    <w:lvl w:ilvl="1" w:tplc="3BE8AB6A">
      <w:start w:val="1"/>
      <w:numFmt w:val="lowerLetter"/>
      <w:lvlText w:val="%2."/>
      <w:lvlJc w:val="left"/>
      <w:pPr>
        <w:ind w:left="1440" w:hanging="360"/>
      </w:pPr>
    </w:lvl>
    <w:lvl w:ilvl="2" w:tplc="79646C22">
      <w:start w:val="1"/>
      <w:numFmt w:val="lowerRoman"/>
      <w:lvlText w:val="%3."/>
      <w:lvlJc w:val="right"/>
      <w:pPr>
        <w:ind w:left="2160" w:hanging="180"/>
      </w:pPr>
    </w:lvl>
    <w:lvl w:ilvl="3" w:tplc="E57C8540">
      <w:start w:val="1"/>
      <w:numFmt w:val="decimal"/>
      <w:lvlText w:val="%4."/>
      <w:lvlJc w:val="left"/>
      <w:pPr>
        <w:ind w:left="2880" w:hanging="360"/>
      </w:pPr>
    </w:lvl>
    <w:lvl w:ilvl="4" w:tplc="69A092CE">
      <w:start w:val="1"/>
      <w:numFmt w:val="lowerLetter"/>
      <w:lvlText w:val="%5."/>
      <w:lvlJc w:val="left"/>
      <w:pPr>
        <w:ind w:left="3600" w:hanging="360"/>
      </w:pPr>
    </w:lvl>
    <w:lvl w:ilvl="5" w:tplc="5972F6EE">
      <w:start w:val="1"/>
      <w:numFmt w:val="lowerRoman"/>
      <w:lvlText w:val="%6."/>
      <w:lvlJc w:val="right"/>
      <w:pPr>
        <w:ind w:left="4320" w:hanging="180"/>
      </w:pPr>
    </w:lvl>
    <w:lvl w:ilvl="6" w:tplc="D362D230">
      <w:start w:val="1"/>
      <w:numFmt w:val="decimal"/>
      <w:lvlText w:val="%7."/>
      <w:lvlJc w:val="left"/>
      <w:pPr>
        <w:ind w:left="5040" w:hanging="360"/>
      </w:pPr>
    </w:lvl>
    <w:lvl w:ilvl="7" w:tplc="299EE7E4">
      <w:start w:val="1"/>
      <w:numFmt w:val="lowerLetter"/>
      <w:lvlText w:val="%8."/>
      <w:lvlJc w:val="left"/>
      <w:pPr>
        <w:ind w:left="5760" w:hanging="360"/>
      </w:pPr>
    </w:lvl>
    <w:lvl w:ilvl="8" w:tplc="BDBEB846">
      <w:start w:val="1"/>
      <w:numFmt w:val="lowerRoman"/>
      <w:lvlText w:val="%9."/>
      <w:lvlJc w:val="right"/>
      <w:pPr>
        <w:ind w:left="6480" w:hanging="180"/>
      </w:pPr>
    </w:lvl>
  </w:abstractNum>
  <w:abstractNum w:abstractNumId="42" w15:restartNumberingAfterBreak="0">
    <w:nsid w:val="700A122F"/>
    <w:multiLevelType w:val="hybridMultilevel"/>
    <w:tmpl w:val="7AB27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221279F"/>
    <w:multiLevelType w:val="hybridMultilevel"/>
    <w:tmpl w:val="CEDC7EC0"/>
    <w:lvl w:ilvl="0" w:tplc="A2E6BDD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4DA249F"/>
    <w:multiLevelType w:val="hybridMultilevel"/>
    <w:tmpl w:val="51AE0CDE"/>
    <w:lvl w:ilvl="0" w:tplc="C3F649E0">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936824"/>
    <w:multiLevelType w:val="hybridMultilevel"/>
    <w:tmpl w:val="F1AE5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EF004DE"/>
    <w:multiLevelType w:val="hybridMultilevel"/>
    <w:tmpl w:val="B116140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4"/>
  </w:num>
  <w:num w:numId="2">
    <w:abstractNumId w:val="1"/>
  </w:num>
  <w:num w:numId="3">
    <w:abstractNumId w:val="18"/>
  </w:num>
  <w:num w:numId="4">
    <w:abstractNumId w:val="34"/>
  </w:num>
  <w:num w:numId="5">
    <w:abstractNumId w:val="0"/>
  </w:num>
  <w:num w:numId="6">
    <w:abstractNumId w:val="10"/>
  </w:num>
  <w:num w:numId="7">
    <w:abstractNumId w:val="17"/>
  </w:num>
  <w:num w:numId="8">
    <w:abstractNumId w:val="13"/>
  </w:num>
  <w:num w:numId="9">
    <w:abstractNumId w:val="27"/>
  </w:num>
  <w:num w:numId="10">
    <w:abstractNumId w:val="20"/>
  </w:num>
  <w:num w:numId="11">
    <w:abstractNumId w:val="16"/>
  </w:num>
  <w:num w:numId="12">
    <w:abstractNumId w:val="3"/>
  </w:num>
  <w:num w:numId="13">
    <w:abstractNumId w:val="33"/>
  </w:num>
  <w:num w:numId="14">
    <w:abstractNumId w:val="15"/>
  </w:num>
  <w:num w:numId="15">
    <w:abstractNumId w:val="21"/>
  </w:num>
  <w:num w:numId="16">
    <w:abstractNumId w:val="25"/>
  </w:num>
  <w:num w:numId="17">
    <w:abstractNumId w:val="45"/>
  </w:num>
  <w:num w:numId="18">
    <w:abstractNumId w:val="42"/>
  </w:num>
  <w:num w:numId="19">
    <w:abstractNumId w:val="36"/>
  </w:num>
  <w:num w:numId="20">
    <w:abstractNumId w:val="37"/>
  </w:num>
  <w:num w:numId="21">
    <w:abstractNumId w:val="32"/>
  </w:num>
  <w:num w:numId="22">
    <w:abstractNumId w:val="41"/>
  </w:num>
  <w:num w:numId="23">
    <w:abstractNumId w:val="29"/>
  </w:num>
  <w:num w:numId="24">
    <w:abstractNumId w:val="23"/>
  </w:num>
  <w:num w:numId="25">
    <w:abstractNumId w:val="31"/>
  </w:num>
  <w:num w:numId="26">
    <w:abstractNumId w:val="2"/>
  </w:num>
  <w:num w:numId="27">
    <w:abstractNumId w:val="7"/>
  </w:num>
  <w:num w:numId="28">
    <w:abstractNumId w:val="6"/>
  </w:num>
  <w:num w:numId="29">
    <w:abstractNumId w:val="24"/>
  </w:num>
  <w:num w:numId="30">
    <w:abstractNumId w:val="8"/>
  </w:num>
  <w:num w:numId="31">
    <w:abstractNumId w:val="9"/>
  </w:num>
  <w:num w:numId="32">
    <w:abstractNumId w:val="28"/>
  </w:num>
  <w:num w:numId="33">
    <w:abstractNumId w:val="35"/>
  </w:num>
  <w:num w:numId="34">
    <w:abstractNumId w:val="4"/>
  </w:num>
  <w:num w:numId="35">
    <w:abstractNumId w:val="39"/>
  </w:num>
  <w:num w:numId="36">
    <w:abstractNumId w:val="38"/>
  </w:num>
  <w:num w:numId="37">
    <w:abstractNumId w:val="30"/>
  </w:num>
  <w:num w:numId="38">
    <w:abstractNumId w:val="22"/>
  </w:num>
  <w:num w:numId="39">
    <w:abstractNumId w:val="40"/>
  </w:num>
  <w:num w:numId="40">
    <w:abstractNumId w:val="5"/>
  </w:num>
  <w:num w:numId="41">
    <w:abstractNumId w:val="19"/>
  </w:num>
  <w:num w:numId="42">
    <w:abstractNumId w:val="26"/>
  </w:num>
  <w:num w:numId="43">
    <w:abstractNumId w:val="43"/>
  </w:num>
  <w:num w:numId="44">
    <w:abstractNumId w:val="43"/>
  </w:num>
  <w:num w:numId="45">
    <w:abstractNumId w:val="12"/>
  </w:num>
  <w:num w:numId="46">
    <w:abstractNumId w:val="11"/>
  </w:num>
  <w:num w:numId="47">
    <w:abstractNumId w:val="14"/>
  </w:num>
  <w:num w:numId="48">
    <w:abstractNumId w:val="4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07"/>
    <w:rsid w:val="00000061"/>
    <w:rsid w:val="000000CE"/>
    <w:rsid w:val="000002DE"/>
    <w:rsid w:val="0000031C"/>
    <w:rsid w:val="00000456"/>
    <w:rsid w:val="00000476"/>
    <w:rsid w:val="0000047F"/>
    <w:rsid w:val="00000483"/>
    <w:rsid w:val="000008B5"/>
    <w:rsid w:val="00000902"/>
    <w:rsid w:val="00000AE5"/>
    <w:rsid w:val="00000B27"/>
    <w:rsid w:val="00000C75"/>
    <w:rsid w:val="00000C7B"/>
    <w:rsid w:val="00000E1C"/>
    <w:rsid w:val="00000F3E"/>
    <w:rsid w:val="0000119A"/>
    <w:rsid w:val="0000139D"/>
    <w:rsid w:val="000015E7"/>
    <w:rsid w:val="000015EF"/>
    <w:rsid w:val="00001677"/>
    <w:rsid w:val="000016A0"/>
    <w:rsid w:val="00001724"/>
    <w:rsid w:val="000018E6"/>
    <w:rsid w:val="0000196F"/>
    <w:rsid w:val="000019AE"/>
    <w:rsid w:val="00001B12"/>
    <w:rsid w:val="00001BDC"/>
    <w:rsid w:val="00001E99"/>
    <w:rsid w:val="00001F7A"/>
    <w:rsid w:val="00001FF3"/>
    <w:rsid w:val="00002075"/>
    <w:rsid w:val="0000231B"/>
    <w:rsid w:val="0000233B"/>
    <w:rsid w:val="000025BB"/>
    <w:rsid w:val="000027AD"/>
    <w:rsid w:val="0000287B"/>
    <w:rsid w:val="00002901"/>
    <w:rsid w:val="00002A67"/>
    <w:rsid w:val="00002A6D"/>
    <w:rsid w:val="00002B54"/>
    <w:rsid w:val="00002B93"/>
    <w:rsid w:val="00002CA1"/>
    <w:rsid w:val="00002D1F"/>
    <w:rsid w:val="00002E05"/>
    <w:rsid w:val="00002E50"/>
    <w:rsid w:val="00002F62"/>
    <w:rsid w:val="00003074"/>
    <w:rsid w:val="000030F8"/>
    <w:rsid w:val="000031E3"/>
    <w:rsid w:val="00003213"/>
    <w:rsid w:val="000032B1"/>
    <w:rsid w:val="00003577"/>
    <w:rsid w:val="00003630"/>
    <w:rsid w:val="00003671"/>
    <w:rsid w:val="000039A3"/>
    <w:rsid w:val="00003A05"/>
    <w:rsid w:val="00003AD9"/>
    <w:rsid w:val="00003BFB"/>
    <w:rsid w:val="00003D3D"/>
    <w:rsid w:val="00003D94"/>
    <w:rsid w:val="00003E42"/>
    <w:rsid w:val="00003E9F"/>
    <w:rsid w:val="00003F94"/>
    <w:rsid w:val="00003FCB"/>
    <w:rsid w:val="00004004"/>
    <w:rsid w:val="000041C9"/>
    <w:rsid w:val="000041E9"/>
    <w:rsid w:val="000042B1"/>
    <w:rsid w:val="00004315"/>
    <w:rsid w:val="0000453E"/>
    <w:rsid w:val="000046B2"/>
    <w:rsid w:val="000046C9"/>
    <w:rsid w:val="00004BFD"/>
    <w:rsid w:val="00004D22"/>
    <w:rsid w:val="00004FF3"/>
    <w:rsid w:val="000050F4"/>
    <w:rsid w:val="000050F9"/>
    <w:rsid w:val="000050FC"/>
    <w:rsid w:val="000051FF"/>
    <w:rsid w:val="000052AF"/>
    <w:rsid w:val="00005633"/>
    <w:rsid w:val="0000586A"/>
    <w:rsid w:val="00005C0E"/>
    <w:rsid w:val="00005CE5"/>
    <w:rsid w:val="00005D3A"/>
    <w:rsid w:val="00005D89"/>
    <w:rsid w:val="00005F40"/>
    <w:rsid w:val="00005F47"/>
    <w:rsid w:val="00005FB2"/>
    <w:rsid w:val="0000614C"/>
    <w:rsid w:val="000061DF"/>
    <w:rsid w:val="00006225"/>
    <w:rsid w:val="0000633E"/>
    <w:rsid w:val="0000636D"/>
    <w:rsid w:val="0000637E"/>
    <w:rsid w:val="00006534"/>
    <w:rsid w:val="000065BA"/>
    <w:rsid w:val="000065D7"/>
    <w:rsid w:val="0000684B"/>
    <w:rsid w:val="00006862"/>
    <w:rsid w:val="00006870"/>
    <w:rsid w:val="00006A88"/>
    <w:rsid w:val="00006B2B"/>
    <w:rsid w:val="00006B3B"/>
    <w:rsid w:val="00006DB3"/>
    <w:rsid w:val="00006EE6"/>
    <w:rsid w:val="00006F22"/>
    <w:rsid w:val="00007364"/>
    <w:rsid w:val="00007646"/>
    <w:rsid w:val="000076FB"/>
    <w:rsid w:val="00007850"/>
    <w:rsid w:val="00007A13"/>
    <w:rsid w:val="00007B9E"/>
    <w:rsid w:val="00007D42"/>
    <w:rsid w:val="00007D7D"/>
    <w:rsid w:val="00007DB4"/>
    <w:rsid w:val="00007F71"/>
    <w:rsid w:val="00007FA1"/>
    <w:rsid w:val="000103A0"/>
    <w:rsid w:val="000103C0"/>
    <w:rsid w:val="0001073D"/>
    <w:rsid w:val="000107A6"/>
    <w:rsid w:val="00010808"/>
    <w:rsid w:val="00010A65"/>
    <w:rsid w:val="00010BE6"/>
    <w:rsid w:val="00010CD3"/>
    <w:rsid w:val="00010D55"/>
    <w:rsid w:val="00010DA6"/>
    <w:rsid w:val="00010E8F"/>
    <w:rsid w:val="00010F10"/>
    <w:rsid w:val="0001103F"/>
    <w:rsid w:val="0001116C"/>
    <w:rsid w:val="000111FA"/>
    <w:rsid w:val="00011312"/>
    <w:rsid w:val="0001152E"/>
    <w:rsid w:val="00011620"/>
    <w:rsid w:val="00011702"/>
    <w:rsid w:val="0001186F"/>
    <w:rsid w:val="00011872"/>
    <w:rsid w:val="0001189B"/>
    <w:rsid w:val="000118CE"/>
    <w:rsid w:val="00011A50"/>
    <w:rsid w:val="00011B4F"/>
    <w:rsid w:val="00011E0A"/>
    <w:rsid w:val="00011E9A"/>
    <w:rsid w:val="00012014"/>
    <w:rsid w:val="0001207E"/>
    <w:rsid w:val="00012095"/>
    <w:rsid w:val="000123CB"/>
    <w:rsid w:val="000125BF"/>
    <w:rsid w:val="00012838"/>
    <w:rsid w:val="00012AA7"/>
    <w:rsid w:val="00012B1E"/>
    <w:rsid w:val="00012B71"/>
    <w:rsid w:val="00012B98"/>
    <w:rsid w:val="00012BB5"/>
    <w:rsid w:val="00012BBA"/>
    <w:rsid w:val="00012BC2"/>
    <w:rsid w:val="00012C63"/>
    <w:rsid w:val="00012C69"/>
    <w:rsid w:val="00012E53"/>
    <w:rsid w:val="00012F80"/>
    <w:rsid w:val="00013029"/>
    <w:rsid w:val="00013205"/>
    <w:rsid w:val="0001327A"/>
    <w:rsid w:val="000133F8"/>
    <w:rsid w:val="000134A4"/>
    <w:rsid w:val="00013658"/>
    <w:rsid w:val="00013718"/>
    <w:rsid w:val="00013855"/>
    <w:rsid w:val="000138A5"/>
    <w:rsid w:val="00013A26"/>
    <w:rsid w:val="00013AA9"/>
    <w:rsid w:val="000142F0"/>
    <w:rsid w:val="0001445B"/>
    <w:rsid w:val="000144D3"/>
    <w:rsid w:val="000146E1"/>
    <w:rsid w:val="0001476C"/>
    <w:rsid w:val="00014B21"/>
    <w:rsid w:val="00014B37"/>
    <w:rsid w:val="00014CEC"/>
    <w:rsid w:val="00014DF1"/>
    <w:rsid w:val="000150B7"/>
    <w:rsid w:val="00015165"/>
    <w:rsid w:val="000151B9"/>
    <w:rsid w:val="00015253"/>
    <w:rsid w:val="0001559E"/>
    <w:rsid w:val="000156EC"/>
    <w:rsid w:val="00015825"/>
    <w:rsid w:val="00015847"/>
    <w:rsid w:val="0001587F"/>
    <w:rsid w:val="00015947"/>
    <w:rsid w:val="00015B8F"/>
    <w:rsid w:val="00015D5F"/>
    <w:rsid w:val="00015DCD"/>
    <w:rsid w:val="00015E7D"/>
    <w:rsid w:val="0001600B"/>
    <w:rsid w:val="00016277"/>
    <w:rsid w:val="000163CB"/>
    <w:rsid w:val="000163EC"/>
    <w:rsid w:val="0001640A"/>
    <w:rsid w:val="000164EA"/>
    <w:rsid w:val="00016592"/>
    <w:rsid w:val="000165B9"/>
    <w:rsid w:val="00016669"/>
    <w:rsid w:val="000166BE"/>
    <w:rsid w:val="000167C9"/>
    <w:rsid w:val="00016A1F"/>
    <w:rsid w:val="00016BC1"/>
    <w:rsid w:val="00016C7A"/>
    <w:rsid w:val="00016EE6"/>
    <w:rsid w:val="00016F54"/>
    <w:rsid w:val="0001712A"/>
    <w:rsid w:val="0001736A"/>
    <w:rsid w:val="000174B4"/>
    <w:rsid w:val="00017680"/>
    <w:rsid w:val="00017889"/>
    <w:rsid w:val="000178D3"/>
    <w:rsid w:val="00017A71"/>
    <w:rsid w:val="00017AFA"/>
    <w:rsid w:val="00017BA8"/>
    <w:rsid w:val="00017D84"/>
    <w:rsid w:val="00017EA7"/>
    <w:rsid w:val="0001D627"/>
    <w:rsid w:val="00020026"/>
    <w:rsid w:val="0002033E"/>
    <w:rsid w:val="0002042B"/>
    <w:rsid w:val="00020449"/>
    <w:rsid w:val="00020606"/>
    <w:rsid w:val="00020629"/>
    <w:rsid w:val="0002068D"/>
    <w:rsid w:val="0002071E"/>
    <w:rsid w:val="000207E6"/>
    <w:rsid w:val="00020984"/>
    <w:rsid w:val="000209E0"/>
    <w:rsid w:val="00020AED"/>
    <w:rsid w:val="00020BB2"/>
    <w:rsid w:val="00020CC0"/>
    <w:rsid w:val="00020CC6"/>
    <w:rsid w:val="0002121B"/>
    <w:rsid w:val="00021235"/>
    <w:rsid w:val="0002130A"/>
    <w:rsid w:val="000215AA"/>
    <w:rsid w:val="000215BC"/>
    <w:rsid w:val="000218DE"/>
    <w:rsid w:val="00021A71"/>
    <w:rsid w:val="00021DA9"/>
    <w:rsid w:val="00022031"/>
    <w:rsid w:val="00022065"/>
    <w:rsid w:val="0002227E"/>
    <w:rsid w:val="000223A7"/>
    <w:rsid w:val="000226CF"/>
    <w:rsid w:val="00022AFB"/>
    <w:rsid w:val="00022E5E"/>
    <w:rsid w:val="00022E67"/>
    <w:rsid w:val="00022F3E"/>
    <w:rsid w:val="00022FAC"/>
    <w:rsid w:val="0002314E"/>
    <w:rsid w:val="00023163"/>
    <w:rsid w:val="00023375"/>
    <w:rsid w:val="000234B5"/>
    <w:rsid w:val="00023546"/>
    <w:rsid w:val="000235D4"/>
    <w:rsid w:val="000236BB"/>
    <w:rsid w:val="00023700"/>
    <w:rsid w:val="0002371A"/>
    <w:rsid w:val="00023987"/>
    <w:rsid w:val="00023BCB"/>
    <w:rsid w:val="00023BD9"/>
    <w:rsid w:val="00023D91"/>
    <w:rsid w:val="00023DAA"/>
    <w:rsid w:val="00023DBF"/>
    <w:rsid w:val="00024424"/>
    <w:rsid w:val="0002455E"/>
    <w:rsid w:val="0002456A"/>
    <w:rsid w:val="000246FF"/>
    <w:rsid w:val="0002474C"/>
    <w:rsid w:val="00024750"/>
    <w:rsid w:val="0002479F"/>
    <w:rsid w:val="00024817"/>
    <w:rsid w:val="0002497E"/>
    <w:rsid w:val="00024C3B"/>
    <w:rsid w:val="00024E52"/>
    <w:rsid w:val="000250DE"/>
    <w:rsid w:val="0002540B"/>
    <w:rsid w:val="00025850"/>
    <w:rsid w:val="00025874"/>
    <w:rsid w:val="00025BD8"/>
    <w:rsid w:val="00025C52"/>
    <w:rsid w:val="00025C57"/>
    <w:rsid w:val="00025DF8"/>
    <w:rsid w:val="00025E20"/>
    <w:rsid w:val="00025FAC"/>
    <w:rsid w:val="0002624A"/>
    <w:rsid w:val="0002636A"/>
    <w:rsid w:val="00026428"/>
    <w:rsid w:val="000264DF"/>
    <w:rsid w:val="000265D1"/>
    <w:rsid w:val="0002679D"/>
    <w:rsid w:val="000267A7"/>
    <w:rsid w:val="000267F5"/>
    <w:rsid w:val="000269A0"/>
    <w:rsid w:val="00026A10"/>
    <w:rsid w:val="00026A7E"/>
    <w:rsid w:val="00026C27"/>
    <w:rsid w:val="00026E6C"/>
    <w:rsid w:val="00026F0D"/>
    <w:rsid w:val="000270B4"/>
    <w:rsid w:val="000270D6"/>
    <w:rsid w:val="00027414"/>
    <w:rsid w:val="00027476"/>
    <w:rsid w:val="000274D4"/>
    <w:rsid w:val="000274EE"/>
    <w:rsid w:val="000275D4"/>
    <w:rsid w:val="000277AC"/>
    <w:rsid w:val="00027AFC"/>
    <w:rsid w:val="00027B22"/>
    <w:rsid w:val="00027D41"/>
    <w:rsid w:val="00027D81"/>
    <w:rsid w:val="00027ECC"/>
    <w:rsid w:val="00030200"/>
    <w:rsid w:val="0003029A"/>
    <w:rsid w:val="000302EC"/>
    <w:rsid w:val="000304DE"/>
    <w:rsid w:val="00030648"/>
    <w:rsid w:val="000308E0"/>
    <w:rsid w:val="00030A9A"/>
    <w:rsid w:val="00030AF5"/>
    <w:rsid w:val="00030F19"/>
    <w:rsid w:val="00031000"/>
    <w:rsid w:val="0003121D"/>
    <w:rsid w:val="00031243"/>
    <w:rsid w:val="0003140F"/>
    <w:rsid w:val="00031798"/>
    <w:rsid w:val="00031846"/>
    <w:rsid w:val="00031A52"/>
    <w:rsid w:val="00031B78"/>
    <w:rsid w:val="00031C62"/>
    <w:rsid w:val="00031E52"/>
    <w:rsid w:val="0003201E"/>
    <w:rsid w:val="00032026"/>
    <w:rsid w:val="00032106"/>
    <w:rsid w:val="00032107"/>
    <w:rsid w:val="00032168"/>
    <w:rsid w:val="0003223D"/>
    <w:rsid w:val="000322ED"/>
    <w:rsid w:val="00032407"/>
    <w:rsid w:val="000325A0"/>
    <w:rsid w:val="0003261F"/>
    <w:rsid w:val="000327DC"/>
    <w:rsid w:val="0003289E"/>
    <w:rsid w:val="00032AF7"/>
    <w:rsid w:val="00032B1C"/>
    <w:rsid w:val="00032BA9"/>
    <w:rsid w:val="00032BFB"/>
    <w:rsid w:val="00032C3B"/>
    <w:rsid w:val="00032D8A"/>
    <w:rsid w:val="00032F42"/>
    <w:rsid w:val="00032FB6"/>
    <w:rsid w:val="00033034"/>
    <w:rsid w:val="000331F2"/>
    <w:rsid w:val="00033360"/>
    <w:rsid w:val="0003342F"/>
    <w:rsid w:val="000334CA"/>
    <w:rsid w:val="000336C2"/>
    <w:rsid w:val="0003380E"/>
    <w:rsid w:val="00033842"/>
    <w:rsid w:val="000338B1"/>
    <w:rsid w:val="000339E9"/>
    <w:rsid w:val="00033B01"/>
    <w:rsid w:val="00033CC0"/>
    <w:rsid w:val="00033E44"/>
    <w:rsid w:val="00033F02"/>
    <w:rsid w:val="0003402B"/>
    <w:rsid w:val="000340AF"/>
    <w:rsid w:val="000340BB"/>
    <w:rsid w:val="0003411A"/>
    <w:rsid w:val="00034152"/>
    <w:rsid w:val="000342BE"/>
    <w:rsid w:val="00034377"/>
    <w:rsid w:val="00034497"/>
    <w:rsid w:val="00034522"/>
    <w:rsid w:val="00034639"/>
    <w:rsid w:val="0003494F"/>
    <w:rsid w:val="0003499D"/>
    <w:rsid w:val="000349D7"/>
    <w:rsid w:val="00034A33"/>
    <w:rsid w:val="00034B55"/>
    <w:rsid w:val="00034EAB"/>
    <w:rsid w:val="00035110"/>
    <w:rsid w:val="0003530F"/>
    <w:rsid w:val="00035343"/>
    <w:rsid w:val="0003548A"/>
    <w:rsid w:val="00035587"/>
    <w:rsid w:val="0003596E"/>
    <w:rsid w:val="000359BA"/>
    <w:rsid w:val="000359C2"/>
    <w:rsid w:val="00035B71"/>
    <w:rsid w:val="00035D62"/>
    <w:rsid w:val="00035D74"/>
    <w:rsid w:val="00036204"/>
    <w:rsid w:val="00036457"/>
    <w:rsid w:val="00036477"/>
    <w:rsid w:val="000365C7"/>
    <w:rsid w:val="00036815"/>
    <w:rsid w:val="00036826"/>
    <w:rsid w:val="00036854"/>
    <w:rsid w:val="00036A45"/>
    <w:rsid w:val="00036A90"/>
    <w:rsid w:val="00036AEE"/>
    <w:rsid w:val="00036CD9"/>
    <w:rsid w:val="00036CDC"/>
    <w:rsid w:val="00037014"/>
    <w:rsid w:val="00037124"/>
    <w:rsid w:val="000372B3"/>
    <w:rsid w:val="00037334"/>
    <w:rsid w:val="00037428"/>
    <w:rsid w:val="000374FF"/>
    <w:rsid w:val="0003753E"/>
    <w:rsid w:val="000378FD"/>
    <w:rsid w:val="00037B03"/>
    <w:rsid w:val="00037B4E"/>
    <w:rsid w:val="00037CC9"/>
    <w:rsid w:val="00037D6A"/>
    <w:rsid w:val="00037DE1"/>
    <w:rsid w:val="00037DED"/>
    <w:rsid w:val="00037E4F"/>
    <w:rsid w:val="00037EB3"/>
    <w:rsid w:val="00040193"/>
    <w:rsid w:val="000401EF"/>
    <w:rsid w:val="0004045D"/>
    <w:rsid w:val="000404E5"/>
    <w:rsid w:val="0004059C"/>
    <w:rsid w:val="0004072B"/>
    <w:rsid w:val="0004089D"/>
    <w:rsid w:val="000408E6"/>
    <w:rsid w:val="00040C36"/>
    <w:rsid w:val="000410C8"/>
    <w:rsid w:val="000410EE"/>
    <w:rsid w:val="000411A4"/>
    <w:rsid w:val="00041288"/>
    <w:rsid w:val="000412DB"/>
    <w:rsid w:val="00041482"/>
    <w:rsid w:val="000415A5"/>
    <w:rsid w:val="000419D0"/>
    <w:rsid w:val="00041C67"/>
    <w:rsid w:val="00041CEF"/>
    <w:rsid w:val="00041D67"/>
    <w:rsid w:val="0004200B"/>
    <w:rsid w:val="00042231"/>
    <w:rsid w:val="00042254"/>
    <w:rsid w:val="000423CF"/>
    <w:rsid w:val="00042534"/>
    <w:rsid w:val="00042544"/>
    <w:rsid w:val="000426BA"/>
    <w:rsid w:val="0004273E"/>
    <w:rsid w:val="00042788"/>
    <w:rsid w:val="000427CE"/>
    <w:rsid w:val="00042880"/>
    <w:rsid w:val="00042899"/>
    <w:rsid w:val="0004291E"/>
    <w:rsid w:val="00042A22"/>
    <w:rsid w:val="00042A90"/>
    <w:rsid w:val="00042C03"/>
    <w:rsid w:val="00042DEC"/>
    <w:rsid w:val="00042FC6"/>
    <w:rsid w:val="00042FCB"/>
    <w:rsid w:val="00042FEB"/>
    <w:rsid w:val="00043028"/>
    <w:rsid w:val="0004317A"/>
    <w:rsid w:val="0004337A"/>
    <w:rsid w:val="0004338E"/>
    <w:rsid w:val="00043772"/>
    <w:rsid w:val="000437D3"/>
    <w:rsid w:val="000437F0"/>
    <w:rsid w:val="00043AB4"/>
    <w:rsid w:val="00043DA5"/>
    <w:rsid w:val="00043E17"/>
    <w:rsid w:val="00043F34"/>
    <w:rsid w:val="000440B9"/>
    <w:rsid w:val="0004412E"/>
    <w:rsid w:val="000443EE"/>
    <w:rsid w:val="000445F3"/>
    <w:rsid w:val="00044736"/>
    <w:rsid w:val="000447C2"/>
    <w:rsid w:val="00044808"/>
    <w:rsid w:val="000448A9"/>
    <w:rsid w:val="00044CBA"/>
    <w:rsid w:val="00044DB6"/>
    <w:rsid w:val="00044DFC"/>
    <w:rsid w:val="00044FBB"/>
    <w:rsid w:val="0004506B"/>
    <w:rsid w:val="000454B7"/>
    <w:rsid w:val="000454DA"/>
    <w:rsid w:val="000456EA"/>
    <w:rsid w:val="00045709"/>
    <w:rsid w:val="00045907"/>
    <w:rsid w:val="00045B41"/>
    <w:rsid w:val="00045B89"/>
    <w:rsid w:val="00045CA1"/>
    <w:rsid w:val="00045CEF"/>
    <w:rsid w:val="00045EBC"/>
    <w:rsid w:val="00045FFA"/>
    <w:rsid w:val="00046027"/>
    <w:rsid w:val="0004605E"/>
    <w:rsid w:val="000460FF"/>
    <w:rsid w:val="0004611A"/>
    <w:rsid w:val="0004616A"/>
    <w:rsid w:val="00046195"/>
    <w:rsid w:val="00046347"/>
    <w:rsid w:val="000463FA"/>
    <w:rsid w:val="00046806"/>
    <w:rsid w:val="000468D7"/>
    <w:rsid w:val="000468E8"/>
    <w:rsid w:val="00046C71"/>
    <w:rsid w:val="00046CCF"/>
    <w:rsid w:val="00046D66"/>
    <w:rsid w:val="00046EB3"/>
    <w:rsid w:val="00046ED7"/>
    <w:rsid w:val="00046F38"/>
    <w:rsid w:val="00046F90"/>
    <w:rsid w:val="00046FAC"/>
    <w:rsid w:val="00047028"/>
    <w:rsid w:val="0004702D"/>
    <w:rsid w:val="00047221"/>
    <w:rsid w:val="00047304"/>
    <w:rsid w:val="000478B3"/>
    <w:rsid w:val="000479EA"/>
    <w:rsid w:val="00047B1F"/>
    <w:rsid w:val="00047C1A"/>
    <w:rsid w:val="00047CA9"/>
    <w:rsid w:val="00047F22"/>
    <w:rsid w:val="000501D7"/>
    <w:rsid w:val="0005049A"/>
    <w:rsid w:val="000505C2"/>
    <w:rsid w:val="00050646"/>
    <w:rsid w:val="00050648"/>
    <w:rsid w:val="000507A2"/>
    <w:rsid w:val="000507BE"/>
    <w:rsid w:val="00050CFD"/>
    <w:rsid w:val="00050D96"/>
    <w:rsid w:val="00050E6B"/>
    <w:rsid w:val="00050EC7"/>
    <w:rsid w:val="00050FC7"/>
    <w:rsid w:val="00050FE1"/>
    <w:rsid w:val="00051086"/>
    <w:rsid w:val="00051291"/>
    <w:rsid w:val="000512E4"/>
    <w:rsid w:val="00051378"/>
    <w:rsid w:val="000513AA"/>
    <w:rsid w:val="0005145A"/>
    <w:rsid w:val="0005163D"/>
    <w:rsid w:val="00051654"/>
    <w:rsid w:val="0005186B"/>
    <w:rsid w:val="00051A98"/>
    <w:rsid w:val="00051AFF"/>
    <w:rsid w:val="00051BD0"/>
    <w:rsid w:val="00051CA9"/>
    <w:rsid w:val="00051CB8"/>
    <w:rsid w:val="00051D18"/>
    <w:rsid w:val="00051E32"/>
    <w:rsid w:val="00051E68"/>
    <w:rsid w:val="0005205F"/>
    <w:rsid w:val="000521EF"/>
    <w:rsid w:val="000522A4"/>
    <w:rsid w:val="000522BA"/>
    <w:rsid w:val="0005232D"/>
    <w:rsid w:val="00052388"/>
    <w:rsid w:val="00052454"/>
    <w:rsid w:val="00052643"/>
    <w:rsid w:val="00052763"/>
    <w:rsid w:val="00052942"/>
    <w:rsid w:val="00052BA1"/>
    <w:rsid w:val="00052C7B"/>
    <w:rsid w:val="00052E45"/>
    <w:rsid w:val="0005336B"/>
    <w:rsid w:val="0005370B"/>
    <w:rsid w:val="00053711"/>
    <w:rsid w:val="000538F9"/>
    <w:rsid w:val="00053900"/>
    <w:rsid w:val="00053AF3"/>
    <w:rsid w:val="00053C98"/>
    <w:rsid w:val="00053CA8"/>
    <w:rsid w:val="00053D0F"/>
    <w:rsid w:val="00053DA8"/>
    <w:rsid w:val="00053FB3"/>
    <w:rsid w:val="00054073"/>
    <w:rsid w:val="000540E4"/>
    <w:rsid w:val="0005429C"/>
    <w:rsid w:val="000542CE"/>
    <w:rsid w:val="00054321"/>
    <w:rsid w:val="00054332"/>
    <w:rsid w:val="0005476E"/>
    <w:rsid w:val="00054911"/>
    <w:rsid w:val="00054965"/>
    <w:rsid w:val="0005499B"/>
    <w:rsid w:val="000549FE"/>
    <w:rsid w:val="00054A5D"/>
    <w:rsid w:val="00054A6E"/>
    <w:rsid w:val="00054BF5"/>
    <w:rsid w:val="00054C18"/>
    <w:rsid w:val="00054E55"/>
    <w:rsid w:val="00055090"/>
    <w:rsid w:val="00055167"/>
    <w:rsid w:val="000551FF"/>
    <w:rsid w:val="00055218"/>
    <w:rsid w:val="000555D3"/>
    <w:rsid w:val="00055609"/>
    <w:rsid w:val="00055699"/>
    <w:rsid w:val="000558BC"/>
    <w:rsid w:val="000559DA"/>
    <w:rsid w:val="00055DCB"/>
    <w:rsid w:val="00055DDA"/>
    <w:rsid w:val="00055E2B"/>
    <w:rsid w:val="00055E9B"/>
    <w:rsid w:val="00055F5D"/>
    <w:rsid w:val="000560D9"/>
    <w:rsid w:val="00056721"/>
    <w:rsid w:val="0005688E"/>
    <w:rsid w:val="00056A51"/>
    <w:rsid w:val="00056BE7"/>
    <w:rsid w:val="000570AD"/>
    <w:rsid w:val="00057592"/>
    <w:rsid w:val="000576C8"/>
    <w:rsid w:val="0005774F"/>
    <w:rsid w:val="000577C2"/>
    <w:rsid w:val="0005794E"/>
    <w:rsid w:val="0005797C"/>
    <w:rsid w:val="00057C11"/>
    <w:rsid w:val="00060099"/>
    <w:rsid w:val="000600B8"/>
    <w:rsid w:val="0006030D"/>
    <w:rsid w:val="00060335"/>
    <w:rsid w:val="0006042E"/>
    <w:rsid w:val="00060770"/>
    <w:rsid w:val="0006078A"/>
    <w:rsid w:val="0006090E"/>
    <w:rsid w:val="0006096D"/>
    <w:rsid w:val="00060AE4"/>
    <w:rsid w:val="00060D83"/>
    <w:rsid w:val="00060F2E"/>
    <w:rsid w:val="00060F43"/>
    <w:rsid w:val="0006102D"/>
    <w:rsid w:val="00061082"/>
    <w:rsid w:val="00061556"/>
    <w:rsid w:val="00061559"/>
    <w:rsid w:val="000616A5"/>
    <w:rsid w:val="000616C7"/>
    <w:rsid w:val="0006191D"/>
    <w:rsid w:val="00061A38"/>
    <w:rsid w:val="00061AB7"/>
    <w:rsid w:val="00061B66"/>
    <w:rsid w:val="00061BD0"/>
    <w:rsid w:val="00061DF9"/>
    <w:rsid w:val="00061F0A"/>
    <w:rsid w:val="00061F9A"/>
    <w:rsid w:val="0006208B"/>
    <w:rsid w:val="000620D3"/>
    <w:rsid w:val="000621C2"/>
    <w:rsid w:val="000621FA"/>
    <w:rsid w:val="00062275"/>
    <w:rsid w:val="000622E6"/>
    <w:rsid w:val="00062303"/>
    <w:rsid w:val="00062391"/>
    <w:rsid w:val="00062543"/>
    <w:rsid w:val="00062715"/>
    <w:rsid w:val="0006294D"/>
    <w:rsid w:val="00062BA6"/>
    <w:rsid w:val="00062CB6"/>
    <w:rsid w:val="00062EA8"/>
    <w:rsid w:val="0006306E"/>
    <w:rsid w:val="000630BF"/>
    <w:rsid w:val="000633DA"/>
    <w:rsid w:val="00063454"/>
    <w:rsid w:val="000635CF"/>
    <w:rsid w:val="00063621"/>
    <w:rsid w:val="0006365A"/>
    <w:rsid w:val="000638E6"/>
    <w:rsid w:val="00063986"/>
    <w:rsid w:val="00063A07"/>
    <w:rsid w:val="00063CC1"/>
    <w:rsid w:val="00063E79"/>
    <w:rsid w:val="00063F42"/>
    <w:rsid w:val="00064269"/>
    <w:rsid w:val="00064513"/>
    <w:rsid w:val="00064ABA"/>
    <w:rsid w:val="00064AE4"/>
    <w:rsid w:val="00064AF1"/>
    <w:rsid w:val="0006505B"/>
    <w:rsid w:val="000650A0"/>
    <w:rsid w:val="0006525A"/>
    <w:rsid w:val="0006539A"/>
    <w:rsid w:val="0006541D"/>
    <w:rsid w:val="0006547C"/>
    <w:rsid w:val="000654B0"/>
    <w:rsid w:val="00065564"/>
    <w:rsid w:val="000656EF"/>
    <w:rsid w:val="0006582D"/>
    <w:rsid w:val="000658FC"/>
    <w:rsid w:val="00065930"/>
    <w:rsid w:val="00065C0C"/>
    <w:rsid w:val="00065C4E"/>
    <w:rsid w:val="00065C5F"/>
    <w:rsid w:val="00065EB3"/>
    <w:rsid w:val="000660A7"/>
    <w:rsid w:val="0006610A"/>
    <w:rsid w:val="0006639F"/>
    <w:rsid w:val="000664EB"/>
    <w:rsid w:val="00066743"/>
    <w:rsid w:val="0006684C"/>
    <w:rsid w:val="00066869"/>
    <w:rsid w:val="00066918"/>
    <w:rsid w:val="0006697E"/>
    <w:rsid w:val="00066C08"/>
    <w:rsid w:val="00066D7D"/>
    <w:rsid w:val="00066E26"/>
    <w:rsid w:val="00067043"/>
    <w:rsid w:val="0006714B"/>
    <w:rsid w:val="00067314"/>
    <w:rsid w:val="00067370"/>
    <w:rsid w:val="0006740D"/>
    <w:rsid w:val="000677F9"/>
    <w:rsid w:val="00067858"/>
    <w:rsid w:val="00067A44"/>
    <w:rsid w:val="00067DE8"/>
    <w:rsid w:val="0007007C"/>
    <w:rsid w:val="00070099"/>
    <w:rsid w:val="0007035F"/>
    <w:rsid w:val="0007049B"/>
    <w:rsid w:val="00070687"/>
    <w:rsid w:val="00070754"/>
    <w:rsid w:val="00070783"/>
    <w:rsid w:val="000708CC"/>
    <w:rsid w:val="00070AE0"/>
    <w:rsid w:val="00070AFE"/>
    <w:rsid w:val="00070B31"/>
    <w:rsid w:val="00070B91"/>
    <w:rsid w:val="00071023"/>
    <w:rsid w:val="000710B9"/>
    <w:rsid w:val="000711FF"/>
    <w:rsid w:val="0007138F"/>
    <w:rsid w:val="0007154C"/>
    <w:rsid w:val="00071751"/>
    <w:rsid w:val="000718C2"/>
    <w:rsid w:val="00071918"/>
    <w:rsid w:val="00071A3C"/>
    <w:rsid w:val="00071A55"/>
    <w:rsid w:val="00071B11"/>
    <w:rsid w:val="00071C50"/>
    <w:rsid w:val="00071D60"/>
    <w:rsid w:val="00071D6A"/>
    <w:rsid w:val="00071FF4"/>
    <w:rsid w:val="000721F0"/>
    <w:rsid w:val="00072240"/>
    <w:rsid w:val="000722C7"/>
    <w:rsid w:val="0007299C"/>
    <w:rsid w:val="00072B83"/>
    <w:rsid w:val="00072BD9"/>
    <w:rsid w:val="00072C0B"/>
    <w:rsid w:val="00072CEB"/>
    <w:rsid w:val="00072E4F"/>
    <w:rsid w:val="0007319D"/>
    <w:rsid w:val="00073291"/>
    <w:rsid w:val="00073296"/>
    <w:rsid w:val="000732E9"/>
    <w:rsid w:val="00073312"/>
    <w:rsid w:val="00073332"/>
    <w:rsid w:val="000733CE"/>
    <w:rsid w:val="000734C7"/>
    <w:rsid w:val="00073890"/>
    <w:rsid w:val="00073A46"/>
    <w:rsid w:val="00073B62"/>
    <w:rsid w:val="00073BAC"/>
    <w:rsid w:val="00073D38"/>
    <w:rsid w:val="00073DF1"/>
    <w:rsid w:val="00073FC2"/>
    <w:rsid w:val="00074016"/>
    <w:rsid w:val="00074098"/>
    <w:rsid w:val="000743DF"/>
    <w:rsid w:val="00074570"/>
    <w:rsid w:val="000746B3"/>
    <w:rsid w:val="000746F9"/>
    <w:rsid w:val="00074791"/>
    <w:rsid w:val="00074907"/>
    <w:rsid w:val="00074A32"/>
    <w:rsid w:val="00074AA1"/>
    <w:rsid w:val="00074DAF"/>
    <w:rsid w:val="00074E49"/>
    <w:rsid w:val="00074EB5"/>
    <w:rsid w:val="00075172"/>
    <w:rsid w:val="000753DC"/>
    <w:rsid w:val="00075452"/>
    <w:rsid w:val="000755AD"/>
    <w:rsid w:val="00075608"/>
    <w:rsid w:val="00075713"/>
    <w:rsid w:val="00075745"/>
    <w:rsid w:val="000759C0"/>
    <w:rsid w:val="00075A64"/>
    <w:rsid w:val="00075B39"/>
    <w:rsid w:val="00075C16"/>
    <w:rsid w:val="00075C30"/>
    <w:rsid w:val="00075CD7"/>
    <w:rsid w:val="00075F0F"/>
    <w:rsid w:val="00075F87"/>
    <w:rsid w:val="000760B8"/>
    <w:rsid w:val="0007619B"/>
    <w:rsid w:val="000762CB"/>
    <w:rsid w:val="000764B3"/>
    <w:rsid w:val="0007683E"/>
    <w:rsid w:val="000768F9"/>
    <w:rsid w:val="00076984"/>
    <w:rsid w:val="00076B26"/>
    <w:rsid w:val="00076B71"/>
    <w:rsid w:val="00076DAC"/>
    <w:rsid w:val="00076DAE"/>
    <w:rsid w:val="00076DDD"/>
    <w:rsid w:val="00076E95"/>
    <w:rsid w:val="000770DD"/>
    <w:rsid w:val="0007719F"/>
    <w:rsid w:val="000771CF"/>
    <w:rsid w:val="000774F3"/>
    <w:rsid w:val="000775BD"/>
    <w:rsid w:val="00077698"/>
    <w:rsid w:val="000776E5"/>
    <w:rsid w:val="000776F0"/>
    <w:rsid w:val="00077717"/>
    <w:rsid w:val="000777A5"/>
    <w:rsid w:val="0007788C"/>
    <w:rsid w:val="00077A1E"/>
    <w:rsid w:val="00077E37"/>
    <w:rsid w:val="00077FD8"/>
    <w:rsid w:val="00080101"/>
    <w:rsid w:val="000802A6"/>
    <w:rsid w:val="000802BA"/>
    <w:rsid w:val="000803CC"/>
    <w:rsid w:val="000804FA"/>
    <w:rsid w:val="000805BD"/>
    <w:rsid w:val="00080611"/>
    <w:rsid w:val="000808DF"/>
    <w:rsid w:val="00080934"/>
    <w:rsid w:val="000809BF"/>
    <w:rsid w:val="00080A11"/>
    <w:rsid w:val="00080A24"/>
    <w:rsid w:val="00080B99"/>
    <w:rsid w:val="00080C7C"/>
    <w:rsid w:val="00080D0F"/>
    <w:rsid w:val="00080DB9"/>
    <w:rsid w:val="0008115E"/>
    <w:rsid w:val="00081545"/>
    <w:rsid w:val="00081712"/>
    <w:rsid w:val="00081807"/>
    <w:rsid w:val="000819BE"/>
    <w:rsid w:val="00081A70"/>
    <w:rsid w:val="00081BB8"/>
    <w:rsid w:val="00081C63"/>
    <w:rsid w:val="00081D9F"/>
    <w:rsid w:val="00081F2F"/>
    <w:rsid w:val="00081FAD"/>
    <w:rsid w:val="00082010"/>
    <w:rsid w:val="0008215B"/>
    <w:rsid w:val="0008230D"/>
    <w:rsid w:val="0008232F"/>
    <w:rsid w:val="000823CA"/>
    <w:rsid w:val="0008266A"/>
    <w:rsid w:val="0008290E"/>
    <w:rsid w:val="00082957"/>
    <w:rsid w:val="00082C0B"/>
    <w:rsid w:val="00082F85"/>
    <w:rsid w:val="0008309B"/>
    <w:rsid w:val="00083130"/>
    <w:rsid w:val="00083136"/>
    <w:rsid w:val="0008314B"/>
    <w:rsid w:val="00083595"/>
    <w:rsid w:val="000838BC"/>
    <w:rsid w:val="00083C4F"/>
    <w:rsid w:val="00083CA9"/>
    <w:rsid w:val="00083D55"/>
    <w:rsid w:val="00083DF9"/>
    <w:rsid w:val="00084127"/>
    <w:rsid w:val="0008425F"/>
    <w:rsid w:val="000842BF"/>
    <w:rsid w:val="000842DD"/>
    <w:rsid w:val="00084404"/>
    <w:rsid w:val="000844DB"/>
    <w:rsid w:val="000845E0"/>
    <w:rsid w:val="0008460F"/>
    <w:rsid w:val="0008465F"/>
    <w:rsid w:val="0008470A"/>
    <w:rsid w:val="00084714"/>
    <w:rsid w:val="0008472D"/>
    <w:rsid w:val="000848B4"/>
    <w:rsid w:val="00084A31"/>
    <w:rsid w:val="00084E01"/>
    <w:rsid w:val="00084EF3"/>
    <w:rsid w:val="00084F3A"/>
    <w:rsid w:val="00084FBB"/>
    <w:rsid w:val="00084FF7"/>
    <w:rsid w:val="00085126"/>
    <w:rsid w:val="00085142"/>
    <w:rsid w:val="00085199"/>
    <w:rsid w:val="0008539A"/>
    <w:rsid w:val="000854C5"/>
    <w:rsid w:val="000854D5"/>
    <w:rsid w:val="000854EC"/>
    <w:rsid w:val="00085698"/>
    <w:rsid w:val="000857B8"/>
    <w:rsid w:val="000859AD"/>
    <w:rsid w:val="00085A31"/>
    <w:rsid w:val="00085BCD"/>
    <w:rsid w:val="00085BDF"/>
    <w:rsid w:val="00085C73"/>
    <w:rsid w:val="00085EC7"/>
    <w:rsid w:val="00085F4B"/>
    <w:rsid w:val="000860AD"/>
    <w:rsid w:val="000862C4"/>
    <w:rsid w:val="0008643C"/>
    <w:rsid w:val="0008655A"/>
    <w:rsid w:val="000865DD"/>
    <w:rsid w:val="0008667B"/>
    <w:rsid w:val="000867FF"/>
    <w:rsid w:val="00086880"/>
    <w:rsid w:val="00086980"/>
    <w:rsid w:val="000869FA"/>
    <w:rsid w:val="00086CCA"/>
    <w:rsid w:val="000871F4"/>
    <w:rsid w:val="0008739A"/>
    <w:rsid w:val="000873D4"/>
    <w:rsid w:val="000875F3"/>
    <w:rsid w:val="0008766E"/>
    <w:rsid w:val="000876C5"/>
    <w:rsid w:val="0008776A"/>
    <w:rsid w:val="00087783"/>
    <w:rsid w:val="000878FF"/>
    <w:rsid w:val="00087B30"/>
    <w:rsid w:val="00087F32"/>
    <w:rsid w:val="00087F7A"/>
    <w:rsid w:val="00087FE7"/>
    <w:rsid w:val="000901CF"/>
    <w:rsid w:val="00090326"/>
    <w:rsid w:val="00090775"/>
    <w:rsid w:val="0009077F"/>
    <w:rsid w:val="000909E1"/>
    <w:rsid w:val="00090B88"/>
    <w:rsid w:val="00090F1A"/>
    <w:rsid w:val="00090F2F"/>
    <w:rsid w:val="00090F54"/>
    <w:rsid w:val="00090F55"/>
    <w:rsid w:val="000910DD"/>
    <w:rsid w:val="000914AA"/>
    <w:rsid w:val="0009159C"/>
    <w:rsid w:val="000915A2"/>
    <w:rsid w:val="0009170C"/>
    <w:rsid w:val="000917FA"/>
    <w:rsid w:val="0009184B"/>
    <w:rsid w:val="0009188B"/>
    <w:rsid w:val="00091904"/>
    <w:rsid w:val="00091BAE"/>
    <w:rsid w:val="00091C85"/>
    <w:rsid w:val="00091DDB"/>
    <w:rsid w:val="000922A2"/>
    <w:rsid w:val="000922D5"/>
    <w:rsid w:val="00092344"/>
    <w:rsid w:val="00092435"/>
    <w:rsid w:val="000929C0"/>
    <w:rsid w:val="00092A4C"/>
    <w:rsid w:val="00092AF5"/>
    <w:rsid w:val="00092B4C"/>
    <w:rsid w:val="00092C2C"/>
    <w:rsid w:val="00092E06"/>
    <w:rsid w:val="00092E56"/>
    <w:rsid w:val="00092F9B"/>
    <w:rsid w:val="000931C1"/>
    <w:rsid w:val="00093321"/>
    <w:rsid w:val="000933E8"/>
    <w:rsid w:val="0009366B"/>
    <w:rsid w:val="00093793"/>
    <w:rsid w:val="000938A9"/>
    <w:rsid w:val="000939CD"/>
    <w:rsid w:val="000939D5"/>
    <w:rsid w:val="00093AC3"/>
    <w:rsid w:val="00093ACE"/>
    <w:rsid w:val="00093B34"/>
    <w:rsid w:val="00093BFC"/>
    <w:rsid w:val="0009411C"/>
    <w:rsid w:val="00094227"/>
    <w:rsid w:val="000942DD"/>
    <w:rsid w:val="00094301"/>
    <w:rsid w:val="00094315"/>
    <w:rsid w:val="000948B1"/>
    <w:rsid w:val="00094A94"/>
    <w:rsid w:val="00095032"/>
    <w:rsid w:val="0009504C"/>
    <w:rsid w:val="0009538F"/>
    <w:rsid w:val="000954F6"/>
    <w:rsid w:val="000955BB"/>
    <w:rsid w:val="000956FE"/>
    <w:rsid w:val="000957E9"/>
    <w:rsid w:val="0009594C"/>
    <w:rsid w:val="000959B9"/>
    <w:rsid w:val="00095A54"/>
    <w:rsid w:val="00095AB5"/>
    <w:rsid w:val="00095C9D"/>
    <w:rsid w:val="00095E62"/>
    <w:rsid w:val="00095F30"/>
    <w:rsid w:val="0009602D"/>
    <w:rsid w:val="0009608F"/>
    <w:rsid w:val="0009613E"/>
    <w:rsid w:val="0009642C"/>
    <w:rsid w:val="00096539"/>
    <w:rsid w:val="0009656B"/>
    <w:rsid w:val="00096671"/>
    <w:rsid w:val="000966DC"/>
    <w:rsid w:val="0009697A"/>
    <w:rsid w:val="00096A5F"/>
    <w:rsid w:val="00096C21"/>
    <w:rsid w:val="00096C69"/>
    <w:rsid w:val="00096EB6"/>
    <w:rsid w:val="00096F65"/>
    <w:rsid w:val="000971AD"/>
    <w:rsid w:val="000971C3"/>
    <w:rsid w:val="000971F0"/>
    <w:rsid w:val="000976A3"/>
    <w:rsid w:val="000976C7"/>
    <w:rsid w:val="0009773B"/>
    <w:rsid w:val="00097974"/>
    <w:rsid w:val="00097A6A"/>
    <w:rsid w:val="00097EC7"/>
    <w:rsid w:val="00097F1F"/>
    <w:rsid w:val="00097F29"/>
    <w:rsid w:val="00097F2D"/>
    <w:rsid w:val="000A007A"/>
    <w:rsid w:val="000A01F5"/>
    <w:rsid w:val="000A04FA"/>
    <w:rsid w:val="000A05E6"/>
    <w:rsid w:val="000A067F"/>
    <w:rsid w:val="000A0722"/>
    <w:rsid w:val="000A0961"/>
    <w:rsid w:val="000A0C17"/>
    <w:rsid w:val="000A0D3D"/>
    <w:rsid w:val="000A0ECD"/>
    <w:rsid w:val="000A0ED4"/>
    <w:rsid w:val="000A0F3F"/>
    <w:rsid w:val="000A0F4E"/>
    <w:rsid w:val="000A1035"/>
    <w:rsid w:val="000A135C"/>
    <w:rsid w:val="000A13A1"/>
    <w:rsid w:val="000A14C2"/>
    <w:rsid w:val="000A155E"/>
    <w:rsid w:val="000A1727"/>
    <w:rsid w:val="000A1A45"/>
    <w:rsid w:val="000A1AAF"/>
    <w:rsid w:val="000A1ADD"/>
    <w:rsid w:val="000A1C5E"/>
    <w:rsid w:val="000A1F3D"/>
    <w:rsid w:val="000A202C"/>
    <w:rsid w:val="000A2035"/>
    <w:rsid w:val="000A2183"/>
    <w:rsid w:val="000A2187"/>
    <w:rsid w:val="000A21DE"/>
    <w:rsid w:val="000A2379"/>
    <w:rsid w:val="000A23D1"/>
    <w:rsid w:val="000A23DE"/>
    <w:rsid w:val="000A23E3"/>
    <w:rsid w:val="000A2409"/>
    <w:rsid w:val="000A2598"/>
    <w:rsid w:val="000A265E"/>
    <w:rsid w:val="000A2813"/>
    <w:rsid w:val="000A2B1A"/>
    <w:rsid w:val="000A2C04"/>
    <w:rsid w:val="000A2CE8"/>
    <w:rsid w:val="000A2DFE"/>
    <w:rsid w:val="000A2E88"/>
    <w:rsid w:val="000A30DE"/>
    <w:rsid w:val="000A31F7"/>
    <w:rsid w:val="000A32E6"/>
    <w:rsid w:val="000A350A"/>
    <w:rsid w:val="000A3515"/>
    <w:rsid w:val="000A35D6"/>
    <w:rsid w:val="000A366D"/>
    <w:rsid w:val="000A3792"/>
    <w:rsid w:val="000A37BD"/>
    <w:rsid w:val="000A39AC"/>
    <w:rsid w:val="000A3C89"/>
    <w:rsid w:val="000A3CB7"/>
    <w:rsid w:val="000A3DEA"/>
    <w:rsid w:val="000A3F82"/>
    <w:rsid w:val="000A3FF2"/>
    <w:rsid w:val="000A4284"/>
    <w:rsid w:val="000A44B9"/>
    <w:rsid w:val="000A452B"/>
    <w:rsid w:val="000A46C3"/>
    <w:rsid w:val="000A46D3"/>
    <w:rsid w:val="000A4A26"/>
    <w:rsid w:val="000A4A8A"/>
    <w:rsid w:val="000A4AC1"/>
    <w:rsid w:val="000A4FE4"/>
    <w:rsid w:val="000A50B7"/>
    <w:rsid w:val="000A53D6"/>
    <w:rsid w:val="000A5459"/>
    <w:rsid w:val="000A5518"/>
    <w:rsid w:val="000A55FD"/>
    <w:rsid w:val="000A573D"/>
    <w:rsid w:val="000A5B20"/>
    <w:rsid w:val="000A5BE9"/>
    <w:rsid w:val="000A5BEE"/>
    <w:rsid w:val="000A5C41"/>
    <w:rsid w:val="000A5DF4"/>
    <w:rsid w:val="000A5E46"/>
    <w:rsid w:val="000A5F76"/>
    <w:rsid w:val="000A6075"/>
    <w:rsid w:val="000A61AE"/>
    <w:rsid w:val="000A61C1"/>
    <w:rsid w:val="000A6229"/>
    <w:rsid w:val="000A6411"/>
    <w:rsid w:val="000A6431"/>
    <w:rsid w:val="000A65C4"/>
    <w:rsid w:val="000A66AC"/>
    <w:rsid w:val="000A6745"/>
    <w:rsid w:val="000A6BF5"/>
    <w:rsid w:val="000A6D62"/>
    <w:rsid w:val="000A6EC9"/>
    <w:rsid w:val="000A6F4A"/>
    <w:rsid w:val="000A6F4F"/>
    <w:rsid w:val="000A6FAD"/>
    <w:rsid w:val="000A73E4"/>
    <w:rsid w:val="000A7537"/>
    <w:rsid w:val="000A76D8"/>
    <w:rsid w:val="000A7798"/>
    <w:rsid w:val="000A782B"/>
    <w:rsid w:val="000A784A"/>
    <w:rsid w:val="000A7A43"/>
    <w:rsid w:val="000A7D09"/>
    <w:rsid w:val="000A7D7B"/>
    <w:rsid w:val="000A7E91"/>
    <w:rsid w:val="000A7EA3"/>
    <w:rsid w:val="000A7F1A"/>
    <w:rsid w:val="000B0055"/>
    <w:rsid w:val="000B0154"/>
    <w:rsid w:val="000B017B"/>
    <w:rsid w:val="000B02F1"/>
    <w:rsid w:val="000B0358"/>
    <w:rsid w:val="000B067A"/>
    <w:rsid w:val="000B068D"/>
    <w:rsid w:val="000B06B6"/>
    <w:rsid w:val="000B06B9"/>
    <w:rsid w:val="000B07DB"/>
    <w:rsid w:val="000B0A4E"/>
    <w:rsid w:val="000B0DF5"/>
    <w:rsid w:val="000B0EAD"/>
    <w:rsid w:val="000B0FB8"/>
    <w:rsid w:val="000B10AF"/>
    <w:rsid w:val="000B1169"/>
    <w:rsid w:val="000B116A"/>
    <w:rsid w:val="000B123E"/>
    <w:rsid w:val="000B150A"/>
    <w:rsid w:val="000B156B"/>
    <w:rsid w:val="000B15B0"/>
    <w:rsid w:val="000B1600"/>
    <w:rsid w:val="000B16E6"/>
    <w:rsid w:val="000B1709"/>
    <w:rsid w:val="000B1947"/>
    <w:rsid w:val="000B19A7"/>
    <w:rsid w:val="000B19D4"/>
    <w:rsid w:val="000B1C1F"/>
    <w:rsid w:val="000B1C26"/>
    <w:rsid w:val="000B1CB9"/>
    <w:rsid w:val="000B1D97"/>
    <w:rsid w:val="000B1F71"/>
    <w:rsid w:val="000B2002"/>
    <w:rsid w:val="000B2076"/>
    <w:rsid w:val="000B2203"/>
    <w:rsid w:val="000B2343"/>
    <w:rsid w:val="000B23AC"/>
    <w:rsid w:val="000B244A"/>
    <w:rsid w:val="000B2588"/>
    <w:rsid w:val="000B25FB"/>
    <w:rsid w:val="000B269B"/>
    <w:rsid w:val="000B291F"/>
    <w:rsid w:val="000B2BBF"/>
    <w:rsid w:val="000B2C73"/>
    <w:rsid w:val="000B2E21"/>
    <w:rsid w:val="000B3115"/>
    <w:rsid w:val="000B3153"/>
    <w:rsid w:val="000B3368"/>
    <w:rsid w:val="000B365A"/>
    <w:rsid w:val="000B3717"/>
    <w:rsid w:val="000B382D"/>
    <w:rsid w:val="000B3889"/>
    <w:rsid w:val="000B38EA"/>
    <w:rsid w:val="000B39CF"/>
    <w:rsid w:val="000B39EC"/>
    <w:rsid w:val="000B3A1E"/>
    <w:rsid w:val="000B3A46"/>
    <w:rsid w:val="000B3AA3"/>
    <w:rsid w:val="000B3C2C"/>
    <w:rsid w:val="000B3D84"/>
    <w:rsid w:val="000B3F71"/>
    <w:rsid w:val="000B3FF5"/>
    <w:rsid w:val="000B4143"/>
    <w:rsid w:val="000B414D"/>
    <w:rsid w:val="000B41F7"/>
    <w:rsid w:val="000B46AF"/>
    <w:rsid w:val="000B46B1"/>
    <w:rsid w:val="000B46F8"/>
    <w:rsid w:val="000B4AA2"/>
    <w:rsid w:val="000B4AFD"/>
    <w:rsid w:val="000B4B16"/>
    <w:rsid w:val="000B4B53"/>
    <w:rsid w:val="000B4B6D"/>
    <w:rsid w:val="000B4B82"/>
    <w:rsid w:val="000B4CE9"/>
    <w:rsid w:val="000B4DA1"/>
    <w:rsid w:val="000B4EF6"/>
    <w:rsid w:val="000B5011"/>
    <w:rsid w:val="000B501B"/>
    <w:rsid w:val="000B506D"/>
    <w:rsid w:val="000B510D"/>
    <w:rsid w:val="000B527B"/>
    <w:rsid w:val="000B52BB"/>
    <w:rsid w:val="000B5397"/>
    <w:rsid w:val="000B56B5"/>
    <w:rsid w:val="000B56EE"/>
    <w:rsid w:val="000B5708"/>
    <w:rsid w:val="000B5807"/>
    <w:rsid w:val="000B59B2"/>
    <w:rsid w:val="000B5C22"/>
    <w:rsid w:val="000B5CAD"/>
    <w:rsid w:val="000B5E8D"/>
    <w:rsid w:val="000B5EA8"/>
    <w:rsid w:val="000B5FE2"/>
    <w:rsid w:val="000B616E"/>
    <w:rsid w:val="000B6237"/>
    <w:rsid w:val="000B647D"/>
    <w:rsid w:val="000B64AE"/>
    <w:rsid w:val="000B6535"/>
    <w:rsid w:val="000B6538"/>
    <w:rsid w:val="000B6557"/>
    <w:rsid w:val="000B68C1"/>
    <w:rsid w:val="000B69C5"/>
    <w:rsid w:val="000B6A6F"/>
    <w:rsid w:val="000B6C54"/>
    <w:rsid w:val="000B6EBE"/>
    <w:rsid w:val="000B6EE6"/>
    <w:rsid w:val="000B7051"/>
    <w:rsid w:val="000B7444"/>
    <w:rsid w:val="000B7497"/>
    <w:rsid w:val="000B7589"/>
    <w:rsid w:val="000B761F"/>
    <w:rsid w:val="000B76E7"/>
    <w:rsid w:val="000B77D7"/>
    <w:rsid w:val="000B7816"/>
    <w:rsid w:val="000B78EF"/>
    <w:rsid w:val="000B7B7C"/>
    <w:rsid w:val="000B7D88"/>
    <w:rsid w:val="000B7DA5"/>
    <w:rsid w:val="000B7FB9"/>
    <w:rsid w:val="000C0095"/>
    <w:rsid w:val="000C00D5"/>
    <w:rsid w:val="000C0292"/>
    <w:rsid w:val="000C02E2"/>
    <w:rsid w:val="000C06CD"/>
    <w:rsid w:val="000C0712"/>
    <w:rsid w:val="000C0840"/>
    <w:rsid w:val="000C092F"/>
    <w:rsid w:val="000C098E"/>
    <w:rsid w:val="000C09A9"/>
    <w:rsid w:val="000C09E2"/>
    <w:rsid w:val="000C0B10"/>
    <w:rsid w:val="000C0CFE"/>
    <w:rsid w:val="000C0F8B"/>
    <w:rsid w:val="000C1008"/>
    <w:rsid w:val="000C100B"/>
    <w:rsid w:val="000C131E"/>
    <w:rsid w:val="000C1329"/>
    <w:rsid w:val="000C1332"/>
    <w:rsid w:val="000C1439"/>
    <w:rsid w:val="000C15E7"/>
    <w:rsid w:val="000C1789"/>
    <w:rsid w:val="000C181C"/>
    <w:rsid w:val="000C1852"/>
    <w:rsid w:val="000C1CB4"/>
    <w:rsid w:val="000C1F81"/>
    <w:rsid w:val="000C202A"/>
    <w:rsid w:val="000C21F8"/>
    <w:rsid w:val="000C224F"/>
    <w:rsid w:val="000C2323"/>
    <w:rsid w:val="000C2439"/>
    <w:rsid w:val="000C24D9"/>
    <w:rsid w:val="000C2836"/>
    <w:rsid w:val="000C2864"/>
    <w:rsid w:val="000C2921"/>
    <w:rsid w:val="000C2A3E"/>
    <w:rsid w:val="000C2A63"/>
    <w:rsid w:val="000C2C2E"/>
    <w:rsid w:val="000C2C3E"/>
    <w:rsid w:val="000C2CA5"/>
    <w:rsid w:val="000C2DC5"/>
    <w:rsid w:val="000C2DCE"/>
    <w:rsid w:val="000C2DEC"/>
    <w:rsid w:val="000C3584"/>
    <w:rsid w:val="000C374E"/>
    <w:rsid w:val="000C38AE"/>
    <w:rsid w:val="000C38D8"/>
    <w:rsid w:val="000C3A12"/>
    <w:rsid w:val="000C3A58"/>
    <w:rsid w:val="000C3BDC"/>
    <w:rsid w:val="000C3CB2"/>
    <w:rsid w:val="000C3DA9"/>
    <w:rsid w:val="000C3DCB"/>
    <w:rsid w:val="000C3E13"/>
    <w:rsid w:val="000C3F53"/>
    <w:rsid w:val="000C3F87"/>
    <w:rsid w:val="000C432E"/>
    <w:rsid w:val="000C4428"/>
    <w:rsid w:val="000C44DC"/>
    <w:rsid w:val="000C45D6"/>
    <w:rsid w:val="000C461D"/>
    <w:rsid w:val="000C4788"/>
    <w:rsid w:val="000C48E2"/>
    <w:rsid w:val="000C49CE"/>
    <w:rsid w:val="000C4A94"/>
    <w:rsid w:val="000C4AF8"/>
    <w:rsid w:val="000C4B97"/>
    <w:rsid w:val="000C4BEE"/>
    <w:rsid w:val="000C50BD"/>
    <w:rsid w:val="000C50CD"/>
    <w:rsid w:val="000C5161"/>
    <w:rsid w:val="000C52F6"/>
    <w:rsid w:val="000C54C6"/>
    <w:rsid w:val="000C5639"/>
    <w:rsid w:val="000C567E"/>
    <w:rsid w:val="000C573D"/>
    <w:rsid w:val="000C59F2"/>
    <w:rsid w:val="000C59F3"/>
    <w:rsid w:val="000C5D1E"/>
    <w:rsid w:val="000C5DEF"/>
    <w:rsid w:val="000C5E42"/>
    <w:rsid w:val="000C5F92"/>
    <w:rsid w:val="000C6293"/>
    <w:rsid w:val="000C649C"/>
    <w:rsid w:val="000C651C"/>
    <w:rsid w:val="000C660B"/>
    <w:rsid w:val="000C661F"/>
    <w:rsid w:val="000C66F8"/>
    <w:rsid w:val="000C677D"/>
    <w:rsid w:val="000C6810"/>
    <w:rsid w:val="000C6B1A"/>
    <w:rsid w:val="000C6B7D"/>
    <w:rsid w:val="000C6C20"/>
    <w:rsid w:val="000C6EFB"/>
    <w:rsid w:val="000C709A"/>
    <w:rsid w:val="000C70A3"/>
    <w:rsid w:val="000C70D0"/>
    <w:rsid w:val="000C70D3"/>
    <w:rsid w:val="000C716D"/>
    <w:rsid w:val="000C7205"/>
    <w:rsid w:val="000C72CE"/>
    <w:rsid w:val="000C7324"/>
    <w:rsid w:val="000C74C6"/>
    <w:rsid w:val="000C7674"/>
    <w:rsid w:val="000C76D3"/>
    <w:rsid w:val="000C77FB"/>
    <w:rsid w:val="000C79F5"/>
    <w:rsid w:val="000C7BC9"/>
    <w:rsid w:val="000C7DBA"/>
    <w:rsid w:val="000C7EA1"/>
    <w:rsid w:val="000C7F0E"/>
    <w:rsid w:val="000D021E"/>
    <w:rsid w:val="000D030B"/>
    <w:rsid w:val="000D03FA"/>
    <w:rsid w:val="000D0405"/>
    <w:rsid w:val="000D0474"/>
    <w:rsid w:val="000D0626"/>
    <w:rsid w:val="000D074A"/>
    <w:rsid w:val="000D0755"/>
    <w:rsid w:val="000D0769"/>
    <w:rsid w:val="000D080B"/>
    <w:rsid w:val="000D098C"/>
    <w:rsid w:val="000D0D64"/>
    <w:rsid w:val="000D0F2E"/>
    <w:rsid w:val="000D0F94"/>
    <w:rsid w:val="000D0FC7"/>
    <w:rsid w:val="000D1039"/>
    <w:rsid w:val="000D11A8"/>
    <w:rsid w:val="000D156F"/>
    <w:rsid w:val="000D15D4"/>
    <w:rsid w:val="000D1735"/>
    <w:rsid w:val="000D19A0"/>
    <w:rsid w:val="000D19CC"/>
    <w:rsid w:val="000D1ACD"/>
    <w:rsid w:val="000D1BAF"/>
    <w:rsid w:val="000D1C6E"/>
    <w:rsid w:val="000D1CBC"/>
    <w:rsid w:val="000D1E64"/>
    <w:rsid w:val="000D1E94"/>
    <w:rsid w:val="000D1EB4"/>
    <w:rsid w:val="000D1FAE"/>
    <w:rsid w:val="000D21A3"/>
    <w:rsid w:val="000D2242"/>
    <w:rsid w:val="000D25D6"/>
    <w:rsid w:val="000D2866"/>
    <w:rsid w:val="000D2C92"/>
    <w:rsid w:val="000D2D60"/>
    <w:rsid w:val="000D3012"/>
    <w:rsid w:val="000D3035"/>
    <w:rsid w:val="000D307F"/>
    <w:rsid w:val="000D3161"/>
    <w:rsid w:val="000D341A"/>
    <w:rsid w:val="000D343A"/>
    <w:rsid w:val="000D370A"/>
    <w:rsid w:val="000D3827"/>
    <w:rsid w:val="000D3914"/>
    <w:rsid w:val="000D3947"/>
    <w:rsid w:val="000D39F3"/>
    <w:rsid w:val="000D3CBD"/>
    <w:rsid w:val="000D3EDF"/>
    <w:rsid w:val="000D40DF"/>
    <w:rsid w:val="000D4211"/>
    <w:rsid w:val="000D429D"/>
    <w:rsid w:val="000D42A4"/>
    <w:rsid w:val="000D42D1"/>
    <w:rsid w:val="000D42D4"/>
    <w:rsid w:val="000D460C"/>
    <w:rsid w:val="000D4670"/>
    <w:rsid w:val="000D4925"/>
    <w:rsid w:val="000D4981"/>
    <w:rsid w:val="000D4B3E"/>
    <w:rsid w:val="000D4C3B"/>
    <w:rsid w:val="000D4D53"/>
    <w:rsid w:val="000D4E92"/>
    <w:rsid w:val="000D4FBB"/>
    <w:rsid w:val="000D4FFB"/>
    <w:rsid w:val="000D5468"/>
    <w:rsid w:val="000D552C"/>
    <w:rsid w:val="000D5640"/>
    <w:rsid w:val="000D5739"/>
    <w:rsid w:val="000D579B"/>
    <w:rsid w:val="000D5870"/>
    <w:rsid w:val="000D5933"/>
    <w:rsid w:val="000D59B4"/>
    <w:rsid w:val="000D5D8A"/>
    <w:rsid w:val="000D5DDC"/>
    <w:rsid w:val="000D5F80"/>
    <w:rsid w:val="000D5FC5"/>
    <w:rsid w:val="000D6095"/>
    <w:rsid w:val="000D6129"/>
    <w:rsid w:val="000D61C3"/>
    <w:rsid w:val="000D61FB"/>
    <w:rsid w:val="000D6245"/>
    <w:rsid w:val="000D631E"/>
    <w:rsid w:val="000D651E"/>
    <w:rsid w:val="000D66B8"/>
    <w:rsid w:val="000D696F"/>
    <w:rsid w:val="000D6A47"/>
    <w:rsid w:val="000D6B3D"/>
    <w:rsid w:val="000D6B74"/>
    <w:rsid w:val="000D6D1D"/>
    <w:rsid w:val="000D6DA6"/>
    <w:rsid w:val="000D7087"/>
    <w:rsid w:val="000D711F"/>
    <w:rsid w:val="000D7198"/>
    <w:rsid w:val="000D7228"/>
    <w:rsid w:val="000D727D"/>
    <w:rsid w:val="000D7285"/>
    <w:rsid w:val="000D72AD"/>
    <w:rsid w:val="000D72C6"/>
    <w:rsid w:val="000D7497"/>
    <w:rsid w:val="000D74B4"/>
    <w:rsid w:val="000D74C1"/>
    <w:rsid w:val="000D7505"/>
    <w:rsid w:val="000D7557"/>
    <w:rsid w:val="000D75A1"/>
    <w:rsid w:val="000D75AB"/>
    <w:rsid w:val="000D791A"/>
    <w:rsid w:val="000D7A18"/>
    <w:rsid w:val="000D7ADA"/>
    <w:rsid w:val="000D7D12"/>
    <w:rsid w:val="000D7D83"/>
    <w:rsid w:val="000D7D9E"/>
    <w:rsid w:val="000E0007"/>
    <w:rsid w:val="000E000B"/>
    <w:rsid w:val="000E0139"/>
    <w:rsid w:val="000E0186"/>
    <w:rsid w:val="000E0205"/>
    <w:rsid w:val="000E022D"/>
    <w:rsid w:val="000E0477"/>
    <w:rsid w:val="000E065E"/>
    <w:rsid w:val="000E0918"/>
    <w:rsid w:val="000E09AB"/>
    <w:rsid w:val="000E09EC"/>
    <w:rsid w:val="000E0A39"/>
    <w:rsid w:val="000E0AB7"/>
    <w:rsid w:val="000E0AF1"/>
    <w:rsid w:val="000E0B41"/>
    <w:rsid w:val="000E0C8C"/>
    <w:rsid w:val="000E0C9D"/>
    <w:rsid w:val="000E0CD3"/>
    <w:rsid w:val="000E0CE2"/>
    <w:rsid w:val="000E0D53"/>
    <w:rsid w:val="000E0DD4"/>
    <w:rsid w:val="000E0EE5"/>
    <w:rsid w:val="000E1139"/>
    <w:rsid w:val="000E14CA"/>
    <w:rsid w:val="000E1579"/>
    <w:rsid w:val="000E1594"/>
    <w:rsid w:val="000E15D0"/>
    <w:rsid w:val="000E16C7"/>
    <w:rsid w:val="000E16DD"/>
    <w:rsid w:val="000E1822"/>
    <w:rsid w:val="000E19DA"/>
    <w:rsid w:val="000E1AC0"/>
    <w:rsid w:val="000E1BE8"/>
    <w:rsid w:val="000E1CD0"/>
    <w:rsid w:val="000E1EF9"/>
    <w:rsid w:val="000E1F08"/>
    <w:rsid w:val="000E1F23"/>
    <w:rsid w:val="000E20F3"/>
    <w:rsid w:val="000E21B9"/>
    <w:rsid w:val="000E22FF"/>
    <w:rsid w:val="000E254E"/>
    <w:rsid w:val="000E2629"/>
    <w:rsid w:val="000E2643"/>
    <w:rsid w:val="000E2757"/>
    <w:rsid w:val="000E28AC"/>
    <w:rsid w:val="000E2922"/>
    <w:rsid w:val="000E2957"/>
    <w:rsid w:val="000E299C"/>
    <w:rsid w:val="000E29E9"/>
    <w:rsid w:val="000E2A03"/>
    <w:rsid w:val="000E2B9E"/>
    <w:rsid w:val="000E2C78"/>
    <w:rsid w:val="000E2D8D"/>
    <w:rsid w:val="000E2DA4"/>
    <w:rsid w:val="000E2E56"/>
    <w:rsid w:val="000E2EA2"/>
    <w:rsid w:val="000E2ED7"/>
    <w:rsid w:val="000E2F1E"/>
    <w:rsid w:val="000E317C"/>
    <w:rsid w:val="000E31C1"/>
    <w:rsid w:val="000E31F5"/>
    <w:rsid w:val="000E3255"/>
    <w:rsid w:val="000E37AE"/>
    <w:rsid w:val="000E38EF"/>
    <w:rsid w:val="000E39BA"/>
    <w:rsid w:val="000E3BD7"/>
    <w:rsid w:val="000E3CA9"/>
    <w:rsid w:val="000E3D1B"/>
    <w:rsid w:val="000E3D3C"/>
    <w:rsid w:val="000E3E69"/>
    <w:rsid w:val="000E3FC1"/>
    <w:rsid w:val="000E4083"/>
    <w:rsid w:val="000E40B4"/>
    <w:rsid w:val="000E4201"/>
    <w:rsid w:val="000E4348"/>
    <w:rsid w:val="000E4502"/>
    <w:rsid w:val="000E4515"/>
    <w:rsid w:val="000E4593"/>
    <w:rsid w:val="000E45A9"/>
    <w:rsid w:val="000E4688"/>
    <w:rsid w:val="000E47BC"/>
    <w:rsid w:val="000E48B0"/>
    <w:rsid w:val="000E49D2"/>
    <w:rsid w:val="000E49FD"/>
    <w:rsid w:val="000E4B90"/>
    <w:rsid w:val="000E4BF1"/>
    <w:rsid w:val="000E4D74"/>
    <w:rsid w:val="000E4E7A"/>
    <w:rsid w:val="000E4F03"/>
    <w:rsid w:val="000E50F0"/>
    <w:rsid w:val="000E5248"/>
    <w:rsid w:val="000E52C8"/>
    <w:rsid w:val="000E5421"/>
    <w:rsid w:val="000E5684"/>
    <w:rsid w:val="000E57D9"/>
    <w:rsid w:val="000E5907"/>
    <w:rsid w:val="000E5A07"/>
    <w:rsid w:val="000E5ADF"/>
    <w:rsid w:val="000E5B04"/>
    <w:rsid w:val="000E5E6B"/>
    <w:rsid w:val="000E60B2"/>
    <w:rsid w:val="000E6312"/>
    <w:rsid w:val="000E641F"/>
    <w:rsid w:val="000E64DE"/>
    <w:rsid w:val="000E662C"/>
    <w:rsid w:val="000E66F8"/>
    <w:rsid w:val="000E66FE"/>
    <w:rsid w:val="000E670A"/>
    <w:rsid w:val="000E67B4"/>
    <w:rsid w:val="000E68C7"/>
    <w:rsid w:val="000E6990"/>
    <w:rsid w:val="000E6D16"/>
    <w:rsid w:val="000E6D8E"/>
    <w:rsid w:val="000E6FD3"/>
    <w:rsid w:val="000E7035"/>
    <w:rsid w:val="000E71AD"/>
    <w:rsid w:val="000E72FE"/>
    <w:rsid w:val="000E7421"/>
    <w:rsid w:val="000E74CA"/>
    <w:rsid w:val="000E77A8"/>
    <w:rsid w:val="000E77F4"/>
    <w:rsid w:val="000E7915"/>
    <w:rsid w:val="000E7971"/>
    <w:rsid w:val="000E79B6"/>
    <w:rsid w:val="000E7B84"/>
    <w:rsid w:val="000E7E55"/>
    <w:rsid w:val="000E7F60"/>
    <w:rsid w:val="000F00A0"/>
    <w:rsid w:val="000F0102"/>
    <w:rsid w:val="000F0281"/>
    <w:rsid w:val="000F028E"/>
    <w:rsid w:val="000F0399"/>
    <w:rsid w:val="000F0437"/>
    <w:rsid w:val="000F0497"/>
    <w:rsid w:val="000F0A5E"/>
    <w:rsid w:val="000F0AC1"/>
    <w:rsid w:val="000F0B27"/>
    <w:rsid w:val="000F0BCC"/>
    <w:rsid w:val="000F0CF6"/>
    <w:rsid w:val="000F0EE2"/>
    <w:rsid w:val="000F0FBD"/>
    <w:rsid w:val="000F12E7"/>
    <w:rsid w:val="000F13A1"/>
    <w:rsid w:val="000F13F6"/>
    <w:rsid w:val="000F14F0"/>
    <w:rsid w:val="000F15F9"/>
    <w:rsid w:val="000F167A"/>
    <w:rsid w:val="000F168A"/>
    <w:rsid w:val="000F17B9"/>
    <w:rsid w:val="000F1E0F"/>
    <w:rsid w:val="000F1E37"/>
    <w:rsid w:val="000F1EF0"/>
    <w:rsid w:val="000F21EF"/>
    <w:rsid w:val="000F2280"/>
    <w:rsid w:val="000F229D"/>
    <w:rsid w:val="000F2321"/>
    <w:rsid w:val="000F2339"/>
    <w:rsid w:val="000F2344"/>
    <w:rsid w:val="000F252B"/>
    <w:rsid w:val="000F25BD"/>
    <w:rsid w:val="000F2723"/>
    <w:rsid w:val="000F2741"/>
    <w:rsid w:val="000F284B"/>
    <w:rsid w:val="000F2948"/>
    <w:rsid w:val="000F2A1C"/>
    <w:rsid w:val="000F2D8A"/>
    <w:rsid w:val="000F2FFA"/>
    <w:rsid w:val="000F3080"/>
    <w:rsid w:val="000F30D7"/>
    <w:rsid w:val="000F315A"/>
    <w:rsid w:val="000F32C3"/>
    <w:rsid w:val="000F3342"/>
    <w:rsid w:val="000F3559"/>
    <w:rsid w:val="000F35DC"/>
    <w:rsid w:val="000F3651"/>
    <w:rsid w:val="000F36D6"/>
    <w:rsid w:val="000F38D9"/>
    <w:rsid w:val="000F3923"/>
    <w:rsid w:val="000F392C"/>
    <w:rsid w:val="000F395C"/>
    <w:rsid w:val="000F3A2F"/>
    <w:rsid w:val="000F3AA9"/>
    <w:rsid w:val="000F3EBC"/>
    <w:rsid w:val="000F3F33"/>
    <w:rsid w:val="000F4024"/>
    <w:rsid w:val="000F4029"/>
    <w:rsid w:val="000F4199"/>
    <w:rsid w:val="000F43A4"/>
    <w:rsid w:val="000F43ED"/>
    <w:rsid w:val="000F4483"/>
    <w:rsid w:val="000F4608"/>
    <w:rsid w:val="000F47FF"/>
    <w:rsid w:val="000F4873"/>
    <w:rsid w:val="000F48A1"/>
    <w:rsid w:val="000F4959"/>
    <w:rsid w:val="000F4A32"/>
    <w:rsid w:val="000F4A35"/>
    <w:rsid w:val="000F4AD0"/>
    <w:rsid w:val="000F4AD8"/>
    <w:rsid w:val="000F4CE2"/>
    <w:rsid w:val="000F4DD0"/>
    <w:rsid w:val="000F4F45"/>
    <w:rsid w:val="000F4FD1"/>
    <w:rsid w:val="000F51F7"/>
    <w:rsid w:val="000F527B"/>
    <w:rsid w:val="000F529C"/>
    <w:rsid w:val="000F52BD"/>
    <w:rsid w:val="000F533F"/>
    <w:rsid w:val="000F538A"/>
    <w:rsid w:val="000F558E"/>
    <w:rsid w:val="000F5947"/>
    <w:rsid w:val="000F59AB"/>
    <w:rsid w:val="000F59EA"/>
    <w:rsid w:val="000F5B0D"/>
    <w:rsid w:val="000F5B72"/>
    <w:rsid w:val="000F5C76"/>
    <w:rsid w:val="000F5D90"/>
    <w:rsid w:val="000F5E9B"/>
    <w:rsid w:val="000F5F02"/>
    <w:rsid w:val="000F6296"/>
    <w:rsid w:val="000F62A8"/>
    <w:rsid w:val="000F66F2"/>
    <w:rsid w:val="000F670E"/>
    <w:rsid w:val="000F689C"/>
    <w:rsid w:val="000F68D8"/>
    <w:rsid w:val="000F6B51"/>
    <w:rsid w:val="000F6DDF"/>
    <w:rsid w:val="000F6E00"/>
    <w:rsid w:val="000F701A"/>
    <w:rsid w:val="000F7171"/>
    <w:rsid w:val="000F71C1"/>
    <w:rsid w:val="000F74A6"/>
    <w:rsid w:val="000F75E4"/>
    <w:rsid w:val="000F7702"/>
    <w:rsid w:val="000F7779"/>
    <w:rsid w:val="000F79B9"/>
    <w:rsid w:val="000F7B2F"/>
    <w:rsid w:val="000F7C96"/>
    <w:rsid w:val="000F7CD7"/>
    <w:rsid w:val="000F7D60"/>
    <w:rsid w:val="000F7D8A"/>
    <w:rsid w:val="000F7DC9"/>
    <w:rsid w:val="00100389"/>
    <w:rsid w:val="001003E4"/>
    <w:rsid w:val="0010072F"/>
    <w:rsid w:val="001007F0"/>
    <w:rsid w:val="0010080E"/>
    <w:rsid w:val="00100854"/>
    <w:rsid w:val="0010085C"/>
    <w:rsid w:val="001009D3"/>
    <w:rsid w:val="00100B9A"/>
    <w:rsid w:val="00100C6F"/>
    <w:rsid w:val="00100CAA"/>
    <w:rsid w:val="00100CC4"/>
    <w:rsid w:val="00101112"/>
    <w:rsid w:val="00101961"/>
    <w:rsid w:val="00101BC7"/>
    <w:rsid w:val="00101BD8"/>
    <w:rsid w:val="00101C35"/>
    <w:rsid w:val="00101DCC"/>
    <w:rsid w:val="00101F29"/>
    <w:rsid w:val="00102144"/>
    <w:rsid w:val="00102187"/>
    <w:rsid w:val="00102363"/>
    <w:rsid w:val="001025DF"/>
    <w:rsid w:val="001025E9"/>
    <w:rsid w:val="0010283A"/>
    <w:rsid w:val="001029D5"/>
    <w:rsid w:val="001029E1"/>
    <w:rsid w:val="001029ED"/>
    <w:rsid w:val="00102B47"/>
    <w:rsid w:val="00102E61"/>
    <w:rsid w:val="00102E9C"/>
    <w:rsid w:val="00102EA5"/>
    <w:rsid w:val="00102EC1"/>
    <w:rsid w:val="00102EDE"/>
    <w:rsid w:val="00103023"/>
    <w:rsid w:val="001031DC"/>
    <w:rsid w:val="00103211"/>
    <w:rsid w:val="00103324"/>
    <w:rsid w:val="0010365F"/>
    <w:rsid w:val="00103787"/>
    <w:rsid w:val="001037E9"/>
    <w:rsid w:val="00103B5D"/>
    <w:rsid w:val="00103C0C"/>
    <w:rsid w:val="00103E58"/>
    <w:rsid w:val="00103E6D"/>
    <w:rsid w:val="00103F00"/>
    <w:rsid w:val="0010405C"/>
    <w:rsid w:val="00104152"/>
    <w:rsid w:val="001043CF"/>
    <w:rsid w:val="001044D5"/>
    <w:rsid w:val="00104505"/>
    <w:rsid w:val="0010454C"/>
    <w:rsid w:val="001045B6"/>
    <w:rsid w:val="0010465F"/>
    <w:rsid w:val="00104666"/>
    <w:rsid w:val="0010472C"/>
    <w:rsid w:val="001049F3"/>
    <w:rsid w:val="00104A7D"/>
    <w:rsid w:val="00104B35"/>
    <w:rsid w:val="00104FBE"/>
    <w:rsid w:val="00105246"/>
    <w:rsid w:val="001053D2"/>
    <w:rsid w:val="001055A8"/>
    <w:rsid w:val="0010576E"/>
    <w:rsid w:val="001058DE"/>
    <w:rsid w:val="00105944"/>
    <w:rsid w:val="00105973"/>
    <w:rsid w:val="00105A50"/>
    <w:rsid w:val="00105A70"/>
    <w:rsid w:val="00105B51"/>
    <w:rsid w:val="00105BD6"/>
    <w:rsid w:val="00105CE4"/>
    <w:rsid w:val="00105F04"/>
    <w:rsid w:val="00105F40"/>
    <w:rsid w:val="00106163"/>
    <w:rsid w:val="00106286"/>
    <w:rsid w:val="00106297"/>
    <w:rsid w:val="00106396"/>
    <w:rsid w:val="001063EC"/>
    <w:rsid w:val="0010640C"/>
    <w:rsid w:val="0010655D"/>
    <w:rsid w:val="00106870"/>
    <w:rsid w:val="001068DE"/>
    <w:rsid w:val="001069D3"/>
    <w:rsid w:val="00106A7E"/>
    <w:rsid w:val="00106B7B"/>
    <w:rsid w:val="00106D85"/>
    <w:rsid w:val="00106F36"/>
    <w:rsid w:val="00107080"/>
    <w:rsid w:val="001070E3"/>
    <w:rsid w:val="00107222"/>
    <w:rsid w:val="0010723F"/>
    <w:rsid w:val="001072CA"/>
    <w:rsid w:val="00107402"/>
    <w:rsid w:val="001074E8"/>
    <w:rsid w:val="001075B4"/>
    <w:rsid w:val="001075DB"/>
    <w:rsid w:val="001076EC"/>
    <w:rsid w:val="001077E2"/>
    <w:rsid w:val="00107923"/>
    <w:rsid w:val="00107947"/>
    <w:rsid w:val="001079DC"/>
    <w:rsid w:val="00107B36"/>
    <w:rsid w:val="00107C8E"/>
    <w:rsid w:val="00107D21"/>
    <w:rsid w:val="00107E1E"/>
    <w:rsid w:val="00110122"/>
    <w:rsid w:val="0011014C"/>
    <w:rsid w:val="0011016F"/>
    <w:rsid w:val="001103B6"/>
    <w:rsid w:val="001106AA"/>
    <w:rsid w:val="001106D9"/>
    <w:rsid w:val="0011070E"/>
    <w:rsid w:val="00110A3A"/>
    <w:rsid w:val="00110CF0"/>
    <w:rsid w:val="00110DFE"/>
    <w:rsid w:val="00110E2E"/>
    <w:rsid w:val="00110FC7"/>
    <w:rsid w:val="00111055"/>
    <w:rsid w:val="0011108C"/>
    <w:rsid w:val="00111116"/>
    <w:rsid w:val="0011116F"/>
    <w:rsid w:val="0011122C"/>
    <w:rsid w:val="0011141B"/>
    <w:rsid w:val="001114EC"/>
    <w:rsid w:val="00111699"/>
    <w:rsid w:val="001116A9"/>
    <w:rsid w:val="001116B0"/>
    <w:rsid w:val="001116C4"/>
    <w:rsid w:val="001117C5"/>
    <w:rsid w:val="001117C6"/>
    <w:rsid w:val="00111A5E"/>
    <w:rsid w:val="00111AAC"/>
    <w:rsid w:val="00111D98"/>
    <w:rsid w:val="00111F7E"/>
    <w:rsid w:val="001122D1"/>
    <w:rsid w:val="001122E6"/>
    <w:rsid w:val="001122F2"/>
    <w:rsid w:val="0011237B"/>
    <w:rsid w:val="00112384"/>
    <w:rsid w:val="00112E9F"/>
    <w:rsid w:val="00113119"/>
    <w:rsid w:val="001131AF"/>
    <w:rsid w:val="001132A6"/>
    <w:rsid w:val="00113350"/>
    <w:rsid w:val="001133D1"/>
    <w:rsid w:val="001134DD"/>
    <w:rsid w:val="001135A1"/>
    <w:rsid w:val="00113629"/>
    <w:rsid w:val="0011363B"/>
    <w:rsid w:val="0011369D"/>
    <w:rsid w:val="0011369F"/>
    <w:rsid w:val="001136D8"/>
    <w:rsid w:val="00113753"/>
    <w:rsid w:val="0011379C"/>
    <w:rsid w:val="001137E6"/>
    <w:rsid w:val="001137F2"/>
    <w:rsid w:val="00113881"/>
    <w:rsid w:val="00113955"/>
    <w:rsid w:val="00113A4E"/>
    <w:rsid w:val="00113A92"/>
    <w:rsid w:val="00113ADF"/>
    <w:rsid w:val="00113B27"/>
    <w:rsid w:val="00113B59"/>
    <w:rsid w:val="00113CBF"/>
    <w:rsid w:val="00113D53"/>
    <w:rsid w:val="00113D76"/>
    <w:rsid w:val="00113DCA"/>
    <w:rsid w:val="0011402C"/>
    <w:rsid w:val="00114083"/>
    <w:rsid w:val="00114094"/>
    <w:rsid w:val="00114259"/>
    <w:rsid w:val="0011430E"/>
    <w:rsid w:val="001143E6"/>
    <w:rsid w:val="0011459A"/>
    <w:rsid w:val="00114E4D"/>
    <w:rsid w:val="0011517C"/>
    <w:rsid w:val="001151B0"/>
    <w:rsid w:val="00115219"/>
    <w:rsid w:val="00115234"/>
    <w:rsid w:val="001152C7"/>
    <w:rsid w:val="001152F6"/>
    <w:rsid w:val="001154E8"/>
    <w:rsid w:val="0011551C"/>
    <w:rsid w:val="001155E9"/>
    <w:rsid w:val="001156E8"/>
    <w:rsid w:val="0011586D"/>
    <w:rsid w:val="00115BF1"/>
    <w:rsid w:val="00115C92"/>
    <w:rsid w:val="00115D41"/>
    <w:rsid w:val="00115E27"/>
    <w:rsid w:val="00116097"/>
    <w:rsid w:val="00116118"/>
    <w:rsid w:val="001161A7"/>
    <w:rsid w:val="00116201"/>
    <w:rsid w:val="0011622F"/>
    <w:rsid w:val="001162AD"/>
    <w:rsid w:val="0011636F"/>
    <w:rsid w:val="00116573"/>
    <w:rsid w:val="001166FA"/>
    <w:rsid w:val="00116767"/>
    <w:rsid w:val="001167D6"/>
    <w:rsid w:val="001169BB"/>
    <w:rsid w:val="00116A0F"/>
    <w:rsid w:val="00116C42"/>
    <w:rsid w:val="001170E6"/>
    <w:rsid w:val="0011710E"/>
    <w:rsid w:val="0011752B"/>
    <w:rsid w:val="00117AEE"/>
    <w:rsid w:val="00117C1F"/>
    <w:rsid w:val="00117CCB"/>
    <w:rsid w:val="00117DB8"/>
    <w:rsid w:val="00117E07"/>
    <w:rsid w:val="0012003A"/>
    <w:rsid w:val="0012008F"/>
    <w:rsid w:val="001203A6"/>
    <w:rsid w:val="00120427"/>
    <w:rsid w:val="0012087C"/>
    <w:rsid w:val="0012094F"/>
    <w:rsid w:val="00120BF5"/>
    <w:rsid w:val="00120C07"/>
    <w:rsid w:val="00120C59"/>
    <w:rsid w:val="00120DDA"/>
    <w:rsid w:val="00120E3A"/>
    <w:rsid w:val="00120F37"/>
    <w:rsid w:val="00120FEE"/>
    <w:rsid w:val="00121054"/>
    <w:rsid w:val="001213CA"/>
    <w:rsid w:val="0012141F"/>
    <w:rsid w:val="0012148B"/>
    <w:rsid w:val="0012154C"/>
    <w:rsid w:val="001215D0"/>
    <w:rsid w:val="001215D6"/>
    <w:rsid w:val="001215F0"/>
    <w:rsid w:val="00121612"/>
    <w:rsid w:val="00121741"/>
    <w:rsid w:val="001217C6"/>
    <w:rsid w:val="001217CE"/>
    <w:rsid w:val="001217D3"/>
    <w:rsid w:val="0012188F"/>
    <w:rsid w:val="00121C32"/>
    <w:rsid w:val="00121DE3"/>
    <w:rsid w:val="00121E2F"/>
    <w:rsid w:val="00121EB0"/>
    <w:rsid w:val="001220A8"/>
    <w:rsid w:val="0012221A"/>
    <w:rsid w:val="0012222E"/>
    <w:rsid w:val="0012235A"/>
    <w:rsid w:val="001224D9"/>
    <w:rsid w:val="0012261E"/>
    <w:rsid w:val="00122660"/>
    <w:rsid w:val="0012273D"/>
    <w:rsid w:val="00122746"/>
    <w:rsid w:val="00122A8A"/>
    <w:rsid w:val="00122CAE"/>
    <w:rsid w:val="00122F43"/>
    <w:rsid w:val="00122FAF"/>
    <w:rsid w:val="001230DE"/>
    <w:rsid w:val="001231B2"/>
    <w:rsid w:val="001231CF"/>
    <w:rsid w:val="0012326D"/>
    <w:rsid w:val="00123636"/>
    <w:rsid w:val="0012393B"/>
    <w:rsid w:val="00123A50"/>
    <w:rsid w:val="00123AA2"/>
    <w:rsid w:val="00123AE2"/>
    <w:rsid w:val="00123AFD"/>
    <w:rsid w:val="00123D04"/>
    <w:rsid w:val="00123FDA"/>
    <w:rsid w:val="001240B0"/>
    <w:rsid w:val="0012416C"/>
    <w:rsid w:val="00124185"/>
    <w:rsid w:val="0012433B"/>
    <w:rsid w:val="00124453"/>
    <w:rsid w:val="0012463F"/>
    <w:rsid w:val="001246A9"/>
    <w:rsid w:val="001246FC"/>
    <w:rsid w:val="001248F7"/>
    <w:rsid w:val="0012492A"/>
    <w:rsid w:val="0012494D"/>
    <w:rsid w:val="001249A1"/>
    <w:rsid w:val="00124B7C"/>
    <w:rsid w:val="00124B87"/>
    <w:rsid w:val="00124BB7"/>
    <w:rsid w:val="00124BE4"/>
    <w:rsid w:val="00124C36"/>
    <w:rsid w:val="00124DA6"/>
    <w:rsid w:val="00124EC1"/>
    <w:rsid w:val="0012516F"/>
    <w:rsid w:val="001254F8"/>
    <w:rsid w:val="001257AE"/>
    <w:rsid w:val="00125A8A"/>
    <w:rsid w:val="00125AE6"/>
    <w:rsid w:val="00125B1E"/>
    <w:rsid w:val="00125B39"/>
    <w:rsid w:val="00125C9E"/>
    <w:rsid w:val="0012619C"/>
    <w:rsid w:val="001265D9"/>
    <w:rsid w:val="00126651"/>
    <w:rsid w:val="0012672B"/>
    <w:rsid w:val="001267A5"/>
    <w:rsid w:val="00126926"/>
    <w:rsid w:val="001269C0"/>
    <w:rsid w:val="00126E48"/>
    <w:rsid w:val="00126F20"/>
    <w:rsid w:val="00126F40"/>
    <w:rsid w:val="001270CF"/>
    <w:rsid w:val="0012712A"/>
    <w:rsid w:val="001273EF"/>
    <w:rsid w:val="0012751D"/>
    <w:rsid w:val="00127596"/>
    <w:rsid w:val="0012763B"/>
    <w:rsid w:val="00127668"/>
    <w:rsid w:val="001277B2"/>
    <w:rsid w:val="00127947"/>
    <w:rsid w:val="00127A49"/>
    <w:rsid w:val="00127A9A"/>
    <w:rsid w:val="00127E2B"/>
    <w:rsid w:val="00127FB9"/>
    <w:rsid w:val="001300C1"/>
    <w:rsid w:val="001301A8"/>
    <w:rsid w:val="0013047B"/>
    <w:rsid w:val="001304CD"/>
    <w:rsid w:val="00130502"/>
    <w:rsid w:val="0013055B"/>
    <w:rsid w:val="001305FE"/>
    <w:rsid w:val="00130640"/>
    <w:rsid w:val="0013069A"/>
    <w:rsid w:val="001306A5"/>
    <w:rsid w:val="001307BE"/>
    <w:rsid w:val="001308BE"/>
    <w:rsid w:val="00130C6A"/>
    <w:rsid w:val="00130DAA"/>
    <w:rsid w:val="00130E39"/>
    <w:rsid w:val="00130E96"/>
    <w:rsid w:val="00130EA5"/>
    <w:rsid w:val="00130F5A"/>
    <w:rsid w:val="00130FA6"/>
    <w:rsid w:val="00131533"/>
    <w:rsid w:val="0013154D"/>
    <w:rsid w:val="001315D2"/>
    <w:rsid w:val="001315F0"/>
    <w:rsid w:val="0013167A"/>
    <w:rsid w:val="00131934"/>
    <w:rsid w:val="00131C1C"/>
    <w:rsid w:val="00131C69"/>
    <w:rsid w:val="00131EAC"/>
    <w:rsid w:val="00132083"/>
    <w:rsid w:val="001321F0"/>
    <w:rsid w:val="0013220B"/>
    <w:rsid w:val="00132348"/>
    <w:rsid w:val="00132829"/>
    <w:rsid w:val="001328AB"/>
    <w:rsid w:val="00132BFD"/>
    <w:rsid w:val="00132EF5"/>
    <w:rsid w:val="00132F13"/>
    <w:rsid w:val="001330E8"/>
    <w:rsid w:val="0013310E"/>
    <w:rsid w:val="0013317D"/>
    <w:rsid w:val="00133280"/>
    <w:rsid w:val="00133297"/>
    <w:rsid w:val="00133323"/>
    <w:rsid w:val="001333D7"/>
    <w:rsid w:val="0013344D"/>
    <w:rsid w:val="001337EB"/>
    <w:rsid w:val="00133888"/>
    <w:rsid w:val="00133974"/>
    <w:rsid w:val="00133A9B"/>
    <w:rsid w:val="00133B1B"/>
    <w:rsid w:val="00133B62"/>
    <w:rsid w:val="00133B8B"/>
    <w:rsid w:val="00133E27"/>
    <w:rsid w:val="00133EE7"/>
    <w:rsid w:val="00133FF3"/>
    <w:rsid w:val="00134339"/>
    <w:rsid w:val="001343F4"/>
    <w:rsid w:val="00134595"/>
    <w:rsid w:val="001345CA"/>
    <w:rsid w:val="001345E1"/>
    <w:rsid w:val="0013473D"/>
    <w:rsid w:val="00134AD1"/>
    <w:rsid w:val="00134CDF"/>
    <w:rsid w:val="00134E49"/>
    <w:rsid w:val="00134FC4"/>
    <w:rsid w:val="00135072"/>
    <w:rsid w:val="0013520A"/>
    <w:rsid w:val="0013526B"/>
    <w:rsid w:val="001352A2"/>
    <w:rsid w:val="00135341"/>
    <w:rsid w:val="001355E4"/>
    <w:rsid w:val="0013568B"/>
    <w:rsid w:val="00135847"/>
    <w:rsid w:val="001358FC"/>
    <w:rsid w:val="001359BA"/>
    <w:rsid w:val="00135DB8"/>
    <w:rsid w:val="00135F48"/>
    <w:rsid w:val="00136169"/>
    <w:rsid w:val="0013634D"/>
    <w:rsid w:val="00136515"/>
    <w:rsid w:val="00136568"/>
    <w:rsid w:val="00136679"/>
    <w:rsid w:val="0013668C"/>
    <w:rsid w:val="0013678E"/>
    <w:rsid w:val="001367F0"/>
    <w:rsid w:val="0013688D"/>
    <w:rsid w:val="00136949"/>
    <w:rsid w:val="0013696A"/>
    <w:rsid w:val="001369ED"/>
    <w:rsid w:val="00136ADC"/>
    <w:rsid w:val="00136BA3"/>
    <w:rsid w:val="00136C65"/>
    <w:rsid w:val="00136D22"/>
    <w:rsid w:val="001371E7"/>
    <w:rsid w:val="001372EF"/>
    <w:rsid w:val="001373EB"/>
    <w:rsid w:val="001374D4"/>
    <w:rsid w:val="0013783E"/>
    <w:rsid w:val="001379E1"/>
    <w:rsid w:val="00137ADA"/>
    <w:rsid w:val="00137BC4"/>
    <w:rsid w:val="00137C3F"/>
    <w:rsid w:val="0014005A"/>
    <w:rsid w:val="001400AA"/>
    <w:rsid w:val="00140278"/>
    <w:rsid w:val="001404FC"/>
    <w:rsid w:val="001405EF"/>
    <w:rsid w:val="0014068C"/>
    <w:rsid w:val="00140898"/>
    <w:rsid w:val="00140926"/>
    <w:rsid w:val="0014098D"/>
    <w:rsid w:val="001409BD"/>
    <w:rsid w:val="001409DF"/>
    <w:rsid w:val="00140A3F"/>
    <w:rsid w:val="00141075"/>
    <w:rsid w:val="001412B1"/>
    <w:rsid w:val="001412D6"/>
    <w:rsid w:val="001414E0"/>
    <w:rsid w:val="001414FB"/>
    <w:rsid w:val="001415CF"/>
    <w:rsid w:val="001415E3"/>
    <w:rsid w:val="001419CD"/>
    <w:rsid w:val="00141A52"/>
    <w:rsid w:val="00141AD9"/>
    <w:rsid w:val="00141BEA"/>
    <w:rsid w:val="00141C5A"/>
    <w:rsid w:val="00141E72"/>
    <w:rsid w:val="00141E7D"/>
    <w:rsid w:val="00141E9E"/>
    <w:rsid w:val="00142207"/>
    <w:rsid w:val="0014223B"/>
    <w:rsid w:val="001423DC"/>
    <w:rsid w:val="00142508"/>
    <w:rsid w:val="001425C2"/>
    <w:rsid w:val="00142606"/>
    <w:rsid w:val="001426C6"/>
    <w:rsid w:val="0014274B"/>
    <w:rsid w:val="00142848"/>
    <w:rsid w:val="0014289A"/>
    <w:rsid w:val="001429F9"/>
    <w:rsid w:val="00142CC2"/>
    <w:rsid w:val="00142F34"/>
    <w:rsid w:val="00142F56"/>
    <w:rsid w:val="001431D9"/>
    <w:rsid w:val="00143368"/>
    <w:rsid w:val="0014341D"/>
    <w:rsid w:val="0014357B"/>
    <w:rsid w:val="001436B8"/>
    <w:rsid w:val="001436FD"/>
    <w:rsid w:val="00143749"/>
    <w:rsid w:val="001437BD"/>
    <w:rsid w:val="0014385B"/>
    <w:rsid w:val="00143AB1"/>
    <w:rsid w:val="00143AB7"/>
    <w:rsid w:val="00143D24"/>
    <w:rsid w:val="00143D86"/>
    <w:rsid w:val="00143E02"/>
    <w:rsid w:val="00143F28"/>
    <w:rsid w:val="001442FE"/>
    <w:rsid w:val="00144466"/>
    <w:rsid w:val="001444D5"/>
    <w:rsid w:val="00144565"/>
    <w:rsid w:val="00144576"/>
    <w:rsid w:val="001445F5"/>
    <w:rsid w:val="001446E7"/>
    <w:rsid w:val="00144769"/>
    <w:rsid w:val="00144832"/>
    <w:rsid w:val="001448E9"/>
    <w:rsid w:val="00144908"/>
    <w:rsid w:val="001449BA"/>
    <w:rsid w:val="00144B04"/>
    <w:rsid w:val="00144E7D"/>
    <w:rsid w:val="00144E98"/>
    <w:rsid w:val="00144FB8"/>
    <w:rsid w:val="00145094"/>
    <w:rsid w:val="001451AA"/>
    <w:rsid w:val="001451EF"/>
    <w:rsid w:val="00145201"/>
    <w:rsid w:val="0014526C"/>
    <w:rsid w:val="001452E9"/>
    <w:rsid w:val="001453B8"/>
    <w:rsid w:val="001455D8"/>
    <w:rsid w:val="001456A5"/>
    <w:rsid w:val="0014589C"/>
    <w:rsid w:val="001458C9"/>
    <w:rsid w:val="00145994"/>
    <w:rsid w:val="00145A58"/>
    <w:rsid w:val="00145ABA"/>
    <w:rsid w:val="00145AEE"/>
    <w:rsid w:val="00145B65"/>
    <w:rsid w:val="00145BF1"/>
    <w:rsid w:val="00145BF8"/>
    <w:rsid w:val="00145D86"/>
    <w:rsid w:val="00145E4B"/>
    <w:rsid w:val="00145F08"/>
    <w:rsid w:val="00145F58"/>
    <w:rsid w:val="00145F84"/>
    <w:rsid w:val="001461E1"/>
    <w:rsid w:val="001463A6"/>
    <w:rsid w:val="001464AE"/>
    <w:rsid w:val="00146512"/>
    <w:rsid w:val="0014657F"/>
    <w:rsid w:val="00146588"/>
    <w:rsid w:val="0014659A"/>
    <w:rsid w:val="00146A58"/>
    <w:rsid w:val="00146B31"/>
    <w:rsid w:val="00146B7C"/>
    <w:rsid w:val="00146BD5"/>
    <w:rsid w:val="00146E22"/>
    <w:rsid w:val="00146E7A"/>
    <w:rsid w:val="00146F05"/>
    <w:rsid w:val="00147013"/>
    <w:rsid w:val="00147033"/>
    <w:rsid w:val="00147247"/>
    <w:rsid w:val="00147317"/>
    <w:rsid w:val="001474C9"/>
    <w:rsid w:val="0014760C"/>
    <w:rsid w:val="00147613"/>
    <w:rsid w:val="0014774A"/>
    <w:rsid w:val="00147793"/>
    <w:rsid w:val="00147925"/>
    <w:rsid w:val="00147A5F"/>
    <w:rsid w:val="00147A66"/>
    <w:rsid w:val="00147AA9"/>
    <w:rsid w:val="00147DF9"/>
    <w:rsid w:val="00147E06"/>
    <w:rsid w:val="00147E68"/>
    <w:rsid w:val="00147F86"/>
    <w:rsid w:val="0015017C"/>
    <w:rsid w:val="0015054B"/>
    <w:rsid w:val="001505EA"/>
    <w:rsid w:val="0015070A"/>
    <w:rsid w:val="0015083B"/>
    <w:rsid w:val="00150863"/>
    <w:rsid w:val="001508E5"/>
    <w:rsid w:val="00150A3A"/>
    <w:rsid w:val="00150E11"/>
    <w:rsid w:val="00151003"/>
    <w:rsid w:val="00151018"/>
    <w:rsid w:val="001511BC"/>
    <w:rsid w:val="001511E4"/>
    <w:rsid w:val="0015126D"/>
    <w:rsid w:val="00151334"/>
    <w:rsid w:val="0015193A"/>
    <w:rsid w:val="001519A4"/>
    <w:rsid w:val="00151A2A"/>
    <w:rsid w:val="00151B3E"/>
    <w:rsid w:val="00151B9B"/>
    <w:rsid w:val="00151CA3"/>
    <w:rsid w:val="00151CEE"/>
    <w:rsid w:val="00151EED"/>
    <w:rsid w:val="001520C1"/>
    <w:rsid w:val="00152170"/>
    <w:rsid w:val="00152175"/>
    <w:rsid w:val="001522EF"/>
    <w:rsid w:val="00152336"/>
    <w:rsid w:val="0015245B"/>
    <w:rsid w:val="0015288D"/>
    <w:rsid w:val="001528FA"/>
    <w:rsid w:val="00152A10"/>
    <w:rsid w:val="00152ADB"/>
    <w:rsid w:val="00152B26"/>
    <w:rsid w:val="00152BC6"/>
    <w:rsid w:val="00152CC0"/>
    <w:rsid w:val="00152F95"/>
    <w:rsid w:val="00152FC0"/>
    <w:rsid w:val="00153015"/>
    <w:rsid w:val="0015301E"/>
    <w:rsid w:val="00153241"/>
    <w:rsid w:val="00153268"/>
    <w:rsid w:val="001533AA"/>
    <w:rsid w:val="0015355C"/>
    <w:rsid w:val="001536C7"/>
    <w:rsid w:val="00153784"/>
    <w:rsid w:val="001539A2"/>
    <w:rsid w:val="00153B1B"/>
    <w:rsid w:val="00153B3F"/>
    <w:rsid w:val="00153BF6"/>
    <w:rsid w:val="00153CFE"/>
    <w:rsid w:val="00153D80"/>
    <w:rsid w:val="00153F0B"/>
    <w:rsid w:val="0015413C"/>
    <w:rsid w:val="001541DC"/>
    <w:rsid w:val="00154239"/>
    <w:rsid w:val="00154267"/>
    <w:rsid w:val="00154433"/>
    <w:rsid w:val="0015467D"/>
    <w:rsid w:val="001546C6"/>
    <w:rsid w:val="001547A5"/>
    <w:rsid w:val="00154838"/>
    <w:rsid w:val="0015497D"/>
    <w:rsid w:val="00154C0C"/>
    <w:rsid w:val="00154CCC"/>
    <w:rsid w:val="00154D62"/>
    <w:rsid w:val="00154D69"/>
    <w:rsid w:val="00154D76"/>
    <w:rsid w:val="00154E81"/>
    <w:rsid w:val="00154FF7"/>
    <w:rsid w:val="001551B3"/>
    <w:rsid w:val="001551B9"/>
    <w:rsid w:val="0015521D"/>
    <w:rsid w:val="0015529B"/>
    <w:rsid w:val="0015531C"/>
    <w:rsid w:val="0015534B"/>
    <w:rsid w:val="001554D2"/>
    <w:rsid w:val="001555FA"/>
    <w:rsid w:val="0015581C"/>
    <w:rsid w:val="001558C1"/>
    <w:rsid w:val="00155A98"/>
    <w:rsid w:val="00155C8C"/>
    <w:rsid w:val="00155C96"/>
    <w:rsid w:val="00155CFB"/>
    <w:rsid w:val="00155E9A"/>
    <w:rsid w:val="00155E9E"/>
    <w:rsid w:val="00155EF5"/>
    <w:rsid w:val="001561B9"/>
    <w:rsid w:val="00156245"/>
    <w:rsid w:val="00156303"/>
    <w:rsid w:val="00156445"/>
    <w:rsid w:val="001564CE"/>
    <w:rsid w:val="001565FC"/>
    <w:rsid w:val="001566AA"/>
    <w:rsid w:val="00156734"/>
    <w:rsid w:val="00156BDA"/>
    <w:rsid w:val="00156CB7"/>
    <w:rsid w:val="00156F5D"/>
    <w:rsid w:val="00156F62"/>
    <w:rsid w:val="00157226"/>
    <w:rsid w:val="00157263"/>
    <w:rsid w:val="00157362"/>
    <w:rsid w:val="001575E3"/>
    <w:rsid w:val="0015778D"/>
    <w:rsid w:val="001577EA"/>
    <w:rsid w:val="001578CB"/>
    <w:rsid w:val="00157C43"/>
    <w:rsid w:val="00157C59"/>
    <w:rsid w:val="00157D9D"/>
    <w:rsid w:val="00157DBD"/>
    <w:rsid w:val="00157DDD"/>
    <w:rsid w:val="00157F03"/>
    <w:rsid w:val="0016001A"/>
    <w:rsid w:val="001601EE"/>
    <w:rsid w:val="001602AE"/>
    <w:rsid w:val="001604FF"/>
    <w:rsid w:val="001605EF"/>
    <w:rsid w:val="00160685"/>
    <w:rsid w:val="0016069A"/>
    <w:rsid w:val="00160707"/>
    <w:rsid w:val="0016075F"/>
    <w:rsid w:val="00160900"/>
    <w:rsid w:val="00160B1D"/>
    <w:rsid w:val="00160BAB"/>
    <w:rsid w:val="00160C70"/>
    <w:rsid w:val="00160CB8"/>
    <w:rsid w:val="00160D6E"/>
    <w:rsid w:val="00161052"/>
    <w:rsid w:val="0016108A"/>
    <w:rsid w:val="0016114A"/>
    <w:rsid w:val="0016138F"/>
    <w:rsid w:val="001613BA"/>
    <w:rsid w:val="001613F4"/>
    <w:rsid w:val="00161521"/>
    <w:rsid w:val="0016152D"/>
    <w:rsid w:val="00161642"/>
    <w:rsid w:val="00161696"/>
    <w:rsid w:val="00161708"/>
    <w:rsid w:val="001617DA"/>
    <w:rsid w:val="0016184C"/>
    <w:rsid w:val="001618D1"/>
    <w:rsid w:val="00161C9C"/>
    <w:rsid w:val="00161D2D"/>
    <w:rsid w:val="00161E2E"/>
    <w:rsid w:val="0016203F"/>
    <w:rsid w:val="0016204C"/>
    <w:rsid w:val="00162156"/>
    <w:rsid w:val="00162165"/>
    <w:rsid w:val="001621B3"/>
    <w:rsid w:val="001623D4"/>
    <w:rsid w:val="00162506"/>
    <w:rsid w:val="00162956"/>
    <w:rsid w:val="0016297B"/>
    <w:rsid w:val="00162DB1"/>
    <w:rsid w:val="00162E5F"/>
    <w:rsid w:val="00162EA7"/>
    <w:rsid w:val="00162EC3"/>
    <w:rsid w:val="00162F60"/>
    <w:rsid w:val="00163019"/>
    <w:rsid w:val="0016317E"/>
    <w:rsid w:val="001633AA"/>
    <w:rsid w:val="00163445"/>
    <w:rsid w:val="0016345D"/>
    <w:rsid w:val="001634BC"/>
    <w:rsid w:val="00163562"/>
    <w:rsid w:val="001636D6"/>
    <w:rsid w:val="001637D9"/>
    <w:rsid w:val="00163904"/>
    <w:rsid w:val="00163C00"/>
    <w:rsid w:val="00163C53"/>
    <w:rsid w:val="00163C72"/>
    <w:rsid w:val="00163CCF"/>
    <w:rsid w:val="00163F0A"/>
    <w:rsid w:val="00163FE4"/>
    <w:rsid w:val="0016405B"/>
    <w:rsid w:val="001640E0"/>
    <w:rsid w:val="00164407"/>
    <w:rsid w:val="001644FA"/>
    <w:rsid w:val="00164528"/>
    <w:rsid w:val="00164966"/>
    <w:rsid w:val="00164995"/>
    <w:rsid w:val="001649BF"/>
    <w:rsid w:val="00164B56"/>
    <w:rsid w:val="00164B65"/>
    <w:rsid w:val="00164D1D"/>
    <w:rsid w:val="00164FCD"/>
    <w:rsid w:val="0016501B"/>
    <w:rsid w:val="00165294"/>
    <w:rsid w:val="00165441"/>
    <w:rsid w:val="0016549A"/>
    <w:rsid w:val="001656CE"/>
    <w:rsid w:val="001657E1"/>
    <w:rsid w:val="001657F4"/>
    <w:rsid w:val="00165960"/>
    <w:rsid w:val="001659D1"/>
    <w:rsid w:val="00165CD0"/>
    <w:rsid w:val="00165D54"/>
    <w:rsid w:val="00165E0F"/>
    <w:rsid w:val="00165EC6"/>
    <w:rsid w:val="00165F12"/>
    <w:rsid w:val="00165FE5"/>
    <w:rsid w:val="001662CB"/>
    <w:rsid w:val="001665F8"/>
    <w:rsid w:val="0016669E"/>
    <w:rsid w:val="0016670E"/>
    <w:rsid w:val="001669C4"/>
    <w:rsid w:val="00166A94"/>
    <w:rsid w:val="00166ACE"/>
    <w:rsid w:val="00166B24"/>
    <w:rsid w:val="00166BD7"/>
    <w:rsid w:val="00166C85"/>
    <w:rsid w:val="00166C9F"/>
    <w:rsid w:val="0016739E"/>
    <w:rsid w:val="0016748D"/>
    <w:rsid w:val="001675E7"/>
    <w:rsid w:val="00167619"/>
    <w:rsid w:val="00167882"/>
    <w:rsid w:val="00167B40"/>
    <w:rsid w:val="00167B63"/>
    <w:rsid w:val="00167BE4"/>
    <w:rsid w:val="00167C1C"/>
    <w:rsid w:val="00167C76"/>
    <w:rsid w:val="00167E71"/>
    <w:rsid w:val="0017027C"/>
    <w:rsid w:val="001702AC"/>
    <w:rsid w:val="00170389"/>
    <w:rsid w:val="0017038C"/>
    <w:rsid w:val="001703B3"/>
    <w:rsid w:val="001704C9"/>
    <w:rsid w:val="00170639"/>
    <w:rsid w:val="0017073E"/>
    <w:rsid w:val="001707F8"/>
    <w:rsid w:val="00170C13"/>
    <w:rsid w:val="00170C19"/>
    <w:rsid w:val="00170C43"/>
    <w:rsid w:val="00170C84"/>
    <w:rsid w:val="00170CEA"/>
    <w:rsid w:val="00170DCC"/>
    <w:rsid w:val="00170DF6"/>
    <w:rsid w:val="00171028"/>
    <w:rsid w:val="001712C0"/>
    <w:rsid w:val="001712FE"/>
    <w:rsid w:val="0017131E"/>
    <w:rsid w:val="0017175E"/>
    <w:rsid w:val="00171781"/>
    <w:rsid w:val="001717F2"/>
    <w:rsid w:val="0017198A"/>
    <w:rsid w:val="00171A65"/>
    <w:rsid w:val="00171A9A"/>
    <w:rsid w:val="00171BBB"/>
    <w:rsid w:val="00171BE2"/>
    <w:rsid w:val="00171CD9"/>
    <w:rsid w:val="00171D4A"/>
    <w:rsid w:val="00171F05"/>
    <w:rsid w:val="00171FC1"/>
    <w:rsid w:val="00172298"/>
    <w:rsid w:val="0017238A"/>
    <w:rsid w:val="0017238D"/>
    <w:rsid w:val="0017256A"/>
    <w:rsid w:val="0017262B"/>
    <w:rsid w:val="00172709"/>
    <w:rsid w:val="00172777"/>
    <w:rsid w:val="001729A7"/>
    <w:rsid w:val="001729C1"/>
    <w:rsid w:val="00172A70"/>
    <w:rsid w:val="00172BE4"/>
    <w:rsid w:val="00172C39"/>
    <w:rsid w:val="00172CE1"/>
    <w:rsid w:val="001731D9"/>
    <w:rsid w:val="0017334E"/>
    <w:rsid w:val="0017352C"/>
    <w:rsid w:val="00173591"/>
    <w:rsid w:val="00173627"/>
    <w:rsid w:val="001738FD"/>
    <w:rsid w:val="00173D39"/>
    <w:rsid w:val="00173E38"/>
    <w:rsid w:val="00173E44"/>
    <w:rsid w:val="00173FA3"/>
    <w:rsid w:val="001742D0"/>
    <w:rsid w:val="001743AA"/>
    <w:rsid w:val="001744A4"/>
    <w:rsid w:val="001744DF"/>
    <w:rsid w:val="001745D0"/>
    <w:rsid w:val="001745D3"/>
    <w:rsid w:val="00174625"/>
    <w:rsid w:val="00174653"/>
    <w:rsid w:val="00174674"/>
    <w:rsid w:val="00174684"/>
    <w:rsid w:val="001747AB"/>
    <w:rsid w:val="001748F3"/>
    <w:rsid w:val="00174912"/>
    <w:rsid w:val="001749A2"/>
    <w:rsid w:val="00174AF2"/>
    <w:rsid w:val="00174BF1"/>
    <w:rsid w:val="00174C04"/>
    <w:rsid w:val="00174C13"/>
    <w:rsid w:val="00174D68"/>
    <w:rsid w:val="00174D83"/>
    <w:rsid w:val="00174DD6"/>
    <w:rsid w:val="00174E30"/>
    <w:rsid w:val="00174FDF"/>
    <w:rsid w:val="001750FD"/>
    <w:rsid w:val="00175179"/>
    <w:rsid w:val="00175445"/>
    <w:rsid w:val="00175669"/>
    <w:rsid w:val="001757A6"/>
    <w:rsid w:val="001758DB"/>
    <w:rsid w:val="001758E2"/>
    <w:rsid w:val="00175920"/>
    <w:rsid w:val="00175AA2"/>
    <w:rsid w:val="00175B73"/>
    <w:rsid w:val="00175BEB"/>
    <w:rsid w:val="00175C6B"/>
    <w:rsid w:val="00175C78"/>
    <w:rsid w:val="00175E94"/>
    <w:rsid w:val="00175E9A"/>
    <w:rsid w:val="00176068"/>
    <w:rsid w:val="001760D3"/>
    <w:rsid w:val="00176211"/>
    <w:rsid w:val="001763C8"/>
    <w:rsid w:val="001763CA"/>
    <w:rsid w:val="00176422"/>
    <w:rsid w:val="00176539"/>
    <w:rsid w:val="001768CA"/>
    <w:rsid w:val="00176959"/>
    <w:rsid w:val="001769FE"/>
    <w:rsid w:val="00176ABF"/>
    <w:rsid w:val="00176BE2"/>
    <w:rsid w:val="00176F59"/>
    <w:rsid w:val="0017711E"/>
    <w:rsid w:val="0017721F"/>
    <w:rsid w:val="00177583"/>
    <w:rsid w:val="00177822"/>
    <w:rsid w:val="00177854"/>
    <w:rsid w:val="00177890"/>
    <w:rsid w:val="00177968"/>
    <w:rsid w:val="00177DDB"/>
    <w:rsid w:val="00180286"/>
    <w:rsid w:val="001802CF"/>
    <w:rsid w:val="001803F4"/>
    <w:rsid w:val="0018067D"/>
    <w:rsid w:val="00180730"/>
    <w:rsid w:val="001807A6"/>
    <w:rsid w:val="00180888"/>
    <w:rsid w:val="00180993"/>
    <w:rsid w:val="00180A21"/>
    <w:rsid w:val="00180AAF"/>
    <w:rsid w:val="00180C19"/>
    <w:rsid w:val="00180CD2"/>
    <w:rsid w:val="00180D0D"/>
    <w:rsid w:val="0018104F"/>
    <w:rsid w:val="00181321"/>
    <w:rsid w:val="00181367"/>
    <w:rsid w:val="001813EA"/>
    <w:rsid w:val="0018149C"/>
    <w:rsid w:val="00181715"/>
    <w:rsid w:val="00181B6F"/>
    <w:rsid w:val="00181BC3"/>
    <w:rsid w:val="00181C61"/>
    <w:rsid w:val="00181CBC"/>
    <w:rsid w:val="00181FAF"/>
    <w:rsid w:val="00181FCD"/>
    <w:rsid w:val="00182102"/>
    <w:rsid w:val="001822F3"/>
    <w:rsid w:val="001824C2"/>
    <w:rsid w:val="00182547"/>
    <w:rsid w:val="00182665"/>
    <w:rsid w:val="0018276D"/>
    <w:rsid w:val="0018282F"/>
    <w:rsid w:val="00182893"/>
    <w:rsid w:val="00182B1D"/>
    <w:rsid w:val="00182DC9"/>
    <w:rsid w:val="00183082"/>
    <w:rsid w:val="001830AE"/>
    <w:rsid w:val="001832E0"/>
    <w:rsid w:val="0018379B"/>
    <w:rsid w:val="0018379E"/>
    <w:rsid w:val="001837DE"/>
    <w:rsid w:val="00183801"/>
    <w:rsid w:val="0018387A"/>
    <w:rsid w:val="001838F7"/>
    <w:rsid w:val="00183A55"/>
    <w:rsid w:val="00183BF3"/>
    <w:rsid w:val="00183BF5"/>
    <w:rsid w:val="00183D56"/>
    <w:rsid w:val="00183D7D"/>
    <w:rsid w:val="0018404B"/>
    <w:rsid w:val="001840E1"/>
    <w:rsid w:val="00184103"/>
    <w:rsid w:val="001842E3"/>
    <w:rsid w:val="001845BA"/>
    <w:rsid w:val="001846F2"/>
    <w:rsid w:val="00184719"/>
    <w:rsid w:val="00184732"/>
    <w:rsid w:val="0018496B"/>
    <w:rsid w:val="00184B75"/>
    <w:rsid w:val="00184BF6"/>
    <w:rsid w:val="00184C14"/>
    <w:rsid w:val="00184D88"/>
    <w:rsid w:val="00184EA2"/>
    <w:rsid w:val="00185014"/>
    <w:rsid w:val="00185051"/>
    <w:rsid w:val="0018515A"/>
    <w:rsid w:val="00185185"/>
    <w:rsid w:val="00185187"/>
    <w:rsid w:val="001851C0"/>
    <w:rsid w:val="00185306"/>
    <w:rsid w:val="0018547B"/>
    <w:rsid w:val="00185626"/>
    <w:rsid w:val="001859F6"/>
    <w:rsid w:val="00185B42"/>
    <w:rsid w:val="00185BC0"/>
    <w:rsid w:val="00185BD1"/>
    <w:rsid w:val="00185EC3"/>
    <w:rsid w:val="00185EC8"/>
    <w:rsid w:val="00185F52"/>
    <w:rsid w:val="001860AC"/>
    <w:rsid w:val="001860DE"/>
    <w:rsid w:val="00186145"/>
    <w:rsid w:val="001861C4"/>
    <w:rsid w:val="00186254"/>
    <w:rsid w:val="001864B1"/>
    <w:rsid w:val="001864F1"/>
    <w:rsid w:val="001864FE"/>
    <w:rsid w:val="0018651A"/>
    <w:rsid w:val="00186830"/>
    <w:rsid w:val="00186844"/>
    <w:rsid w:val="00186857"/>
    <w:rsid w:val="00186931"/>
    <w:rsid w:val="00186A00"/>
    <w:rsid w:val="00186CBE"/>
    <w:rsid w:val="00186E3B"/>
    <w:rsid w:val="00186EE8"/>
    <w:rsid w:val="00186FC6"/>
    <w:rsid w:val="00187076"/>
    <w:rsid w:val="001871BE"/>
    <w:rsid w:val="001875B4"/>
    <w:rsid w:val="0018768B"/>
    <w:rsid w:val="00187895"/>
    <w:rsid w:val="001878FF"/>
    <w:rsid w:val="00187A80"/>
    <w:rsid w:val="00187B25"/>
    <w:rsid w:val="00187C46"/>
    <w:rsid w:val="00187F86"/>
    <w:rsid w:val="00190293"/>
    <w:rsid w:val="001902BE"/>
    <w:rsid w:val="00190483"/>
    <w:rsid w:val="001907F8"/>
    <w:rsid w:val="00190859"/>
    <w:rsid w:val="001908B3"/>
    <w:rsid w:val="001909F5"/>
    <w:rsid w:val="00190AE3"/>
    <w:rsid w:val="00190C91"/>
    <w:rsid w:val="00190D32"/>
    <w:rsid w:val="00191103"/>
    <w:rsid w:val="001913BC"/>
    <w:rsid w:val="00191484"/>
    <w:rsid w:val="00191548"/>
    <w:rsid w:val="001915D3"/>
    <w:rsid w:val="00191638"/>
    <w:rsid w:val="00191871"/>
    <w:rsid w:val="00191AC0"/>
    <w:rsid w:val="00191BF9"/>
    <w:rsid w:val="00191C82"/>
    <w:rsid w:val="00191D0C"/>
    <w:rsid w:val="00191ECD"/>
    <w:rsid w:val="00191FD9"/>
    <w:rsid w:val="001920C3"/>
    <w:rsid w:val="00192272"/>
    <w:rsid w:val="00192468"/>
    <w:rsid w:val="00192476"/>
    <w:rsid w:val="00192595"/>
    <w:rsid w:val="00192712"/>
    <w:rsid w:val="0019292C"/>
    <w:rsid w:val="00192B2E"/>
    <w:rsid w:val="00192F1F"/>
    <w:rsid w:val="00192FF6"/>
    <w:rsid w:val="00193001"/>
    <w:rsid w:val="0019305D"/>
    <w:rsid w:val="001931D3"/>
    <w:rsid w:val="00193245"/>
    <w:rsid w:val="001932B2"/>
    <w:rsid w:val="00193373"/>
    <w:rsid w:val="001933EA"/>
    <w:rsid w:val="001934CF"/>
    <w:rsid w:val="0019364B"/>
    <w:rsid w:val="001936BB"/>
    <w:rsid w:val="001936C0"/>
    <w:rsid w:val="00193851"/>
    <w:rsid w:val="001938A1"/>
    <w:rsid w:val="001938BE"/>
    <w:rsid w:val="001938FE"/>
    <w:rsid w:val="00193B70"/>
    <w:rsid w:val="00193BD5"/>
    <w:rsid w:val="00193DEB"/>
    <w:rsid w:val="00193EF2"/>
    <w:rsid w:val="00193F3A"/>
    <w:rsid w:val="00193FFB"/>
    <w:rsid w:val="00194066"/>
    <w:rsid w:val="00194179"/>
    <w:rsid w:val="001942E2"/>
    <w:rsid w:val="001945DB"/>
    <w:rsid w:val="001949B6"/>
    <w:rsid w:val="001949D3"/>
    <w:rsid w:val="00194AB9"/>
    <w:rsid w:val="00194C79"/>
    <w:rsid w:val="00194D96"/>
    <w:rsid w:val="00194DDE"/>
    <w:rsid w:val="001950DA"/>
    <w:rsid w:val="0019526B"/>
    <w:rsid w:val="0019556C"/>
    <w:rsid w:val="001956A9"/>
    <w:rsid w:val="001956AF"/>
    <w:rsid w:val="00195757"/>
    <w:rsid w:val="001957EE"/>
    <w:rsid w:val="0019580B"/>
    <w:rsid w:val="001959D1"/>
    <w:rsid w:val="00195C25"/>
    <w:rsid w:val="00195C35"/>
    <w:rsid w:val="00195D2E"/>
    <w:rsid w:val="00195DE9"/>
    <w:rsid w:val="00195F19"/>
    <w:rsid w:val="001961B1"/>
    <w:rsid w:val="0019644B"/>
    <w:rsid w:val="0019651B"/>
    <w:rsid w:val="001965E9"/>
    <w:rsid w:val="0019662A"/>
    <w:rsid w:val="0019687C"/>
    <w:rsid w:val="00196888"/>
    <w:rsid w:val="00196BE3"/>
    <w:rsid w:val="00196DB6"/>
    <w:rsid w:val="00196EC2"/>
    <w:rsid w:val="00196F46"/>
    <w:rsid w:val="00196FDC"/>
    <w:rsid w:val="001970BA"/>
    <w:rsid w:val="0019731C"/>
    <w:rsid w:val="00197381"/>
    <w:rsid w:val="00197462"/>
    <w:rsid w:val="001974C6"/>
    <w:rsid w:val="00197959"/>
    <w:rsid w:val="001979D4"/>
    <w:rsid w:val="00197B3D"/>
    <w:rsid w:val="00197BD0"/>
    <w:rsid w:val="00197BE4"/>
    <w:rsid w:val="00197DD8"/>
    <w:rsid w:val="001A00ED"/>
    <w:rsid w:val="001A0264"/>
    <w:rsid w:val="001A0306"/>
    <w:rsid w:val="001A0428"/>
    <w:rsid w:val="001A0451"/>
    <w:rsid w:val="001A04AC"/>
    <w:rsid w:val="001A05A5"/>
    <w:rsid w:val="001A05F7"/>
    <w:rsid w:val="001A07F4"/>
    <w:rsid w:val="001A0966"/>
    <w:rsid w:val="001A0AD6"/>
    <w:rsid w:val="001A0AEB"/>
    <w:rsid w:val="001A0C2B"/>
    <w:rsid w:val="001A0DD8"/>
    <w:rsid w:val="001A0DDD"/>
    <w:rsid w:val="001A0DE4"/>
    <w:rsid w:val="001A0E4B"/>
    <w:rsid w:val="001A0F69"/>
    <w:rsid w:val="001A0F94"/>
    <w:rsid w:val="001A104E"/>
    <w:rsid w:val="001A11AB"/>
    <w:rsid w:val="001A122B"/>
    <w:rsid w:val="001A132D"/>
    <w:rsid w:val="001A171A"/>
    <w:rsid w:val="001A173A"/>
    <w:rsid w:val="001A175B"/>
    <w:rsid w:val="001A17B2"/>
    <w:rsid w:val="001A17BE"/>
    <w:rsid w:val="001A185B"/>
    <w:rsid w:val="001A18DC"/>
    <w:rsid w:val="001A19E6"/>
    <w:rsid w:val="001A1A10"/>
    <w:rsid w:val="001A1AF6"/>
    <w:rsid w:val="001A1B1F"/>
    <w:rsid w:val="001A1C51"/>
    <w:rsid w:val="001A1C56"/>
    <w:rsid w:val="001A1C8F"/>
    <w:rsid w:val="001A1DAC"/>
    <w:rsid w:val="001A209B"/>
    <w:rsid w:val="001A22D6"/>
    <w:rsid w:val="001A2328"/>
    <w:rsid w:val="001A232E"/>
    <w:rsid w:val="001A234D"/>
    <w:rsid w:val="001A2363"/>
    <w:rsid w:val="001A24A8"/>
    <w:rsid w:val="001A28F1"/>
    <w:rsid w:val="001A2912"/>
    <w:rsid w:val="001A2AC3"/>
    <w:rsid w:val="001A2C17"/>
    <w:rsid w:val="001A2D22"/>
    <w:rsid w:val="001A2ECB"/>
    <w:rsid w:val="001A2FC4"/>
    <w:rsid w:val="001A2FFC"/>
    <w:rsid w:val="001A3268"/>
    <w:rsid w:val="001A3422"/>
    <w:rsid w:val="001A36D1"/>
    <w:rsid w:val="001A382B"/>
    <w:rsid w:val="001A3BE8"/>
    <w:rsid w:val="001A3D2C"/>
    <w:rsid w:val="001A3E19"/>
    <w:rsid w:val="001A3E89"/>
    <w:rsid w:val="001A3F1A"/>
    <w:rsid w:val="001A3F88"/>
    <w:rsid w:val="001A419B"/>
    <w:rsid w:val="001A429B"/>
    <w:rsid w:val="001A437E"/>
    <w:rsid w:val="001A4431"/>
    <w:rsid w:val="001A4468"/>
    <w:rsid w:val="001A46FA"/>
    <w:rsid w:val="001A4772"/>
    <w:rsid w:val="001A495B"/>
    <w:rsid w:val="001A4AAA"/>
    <w:rsid w:val="001A4BB8"/>
    <w:rsid w:val="001A4BE6"/>
    <w:rsid w:val="001A4D06"/>
    <w:rsid w:val="001A4D09"/>
    <w:rsid w:val="001A4D65"/>
    <w:rsid w:val="001A4DB8"/>
    <w:rsid w:val="001A4E06"/>
    <w:rsid w:val="001A4F83"/>
    <w:rsid w:val="001A5155"/>
    <w:rsid w:val="001A5213"/>
    <w:rsid w:val="001A533C"/>
    <w:rsid w:val="001A5416"/>
    <w:rsid w:val="001A5B58"/>
    <w:rsid w:val="001A5CFB"/>
    <w:rsid w:val="001A5E34"/>
    <w:rsid w:val="001A5F55"/>
    <w:rsid w:val="001A637F"/>
    <w:rsid w:val="001A6487"/>
    <w:rsid w:val="001A6579"/>
    <w:rsid w:val="001A6644"/>
    <w:rsid w:val="001A666E"/>
    <w:rsid w:val="001A66F0"/>
    <w:rsid w:val="001A6809"/>
    <w:rsid w:val="001A6868"/>
    <w:rsid w:val="001A68FF"/>
    <w:rsid w:val="001A6C23"/>
    <w:rsid w:val="001A6C57"/>
    <w:rsid w:val="001A6D25"/>
    <w:rsid w:val="001A70E1"/>
    <w:rsid w:val="001A710F"/>
    <w:rsid w:val="001A727E"/>
    <w:rsid w:val="001A7322"/>
    <w:rsid w:val="001A75A6"/>
    <w:rsid w:val="001A77A9"/>
    <w:rsid w:val="001A784C"/>
    <w:rsid w:val="001A7C34"/>
    <w:rsid w:val="001A7FF9"/>
    <w:rsid w:val="001B0026"/>
    <w:rsid w:val="001B0044"/>
    <w:rsid w:val="001B0168"/>
    <w:rsid w:val="001B048E"/>
    <w:rsid w:val="001B04F4"/>
    <w:rsid w:val="001B0655"/>
    <w:rsid w:val="001B067A"/>
    <w:rsid w:val="001B07D1"/>
    <w:rsid w:val="001B0878"/>
    <w:rsid w:val="001B0891"/>
    <w:rsid w:val="001B09DB"/>
    <w:rsid w:val="001B0A66"/>
    <w:rsid w:val="001B0AD3"/>
    <w:rsid w:val="001B0CF3"/>
    <w:rsid w:val="001B0D57"/>
    <w:rsid w:val="001B0E97"/>
    <w:rsid w:val="001B0F0E"/>
    <w:rsid w:val="001B0F32"/>
    <w:rsid w:val="001B106B"/>
    <w:rsid w:val="001B10B9"/>
    <w:rsid w:val="001B124A"/>
    <w:rsid w:val="001B138C"/>
    <w:rsid w:val="001B13C5"/>
    <w:rsid w:val="001B1604"/>
    <w:rsid w:val="001B167D"/>
    <w:rsid w:val="001B16A4"/>
    <w:rsid w:val="001B1B30"/>
    <w:rsid w:val="001B201B"/>
    <w:rsid w:val="001B20AF"/>
    <w:rsid w:val="001B21CC"/>
    <w:rsid w:val="001B21D8"/>
    <w:rsid w:val="001B2240"/>
    <w:rsid w:val="001B24AE"/>
    <w:rsid w:val="001B2523"/>
    <w:rsid w:val="001B2619"/>
    <w:rsid w:val="001B27E8"/>
    <w:rsid w:val="001B2858"/>
    <w:rsid w:val="001B2BA0"/>
    <w:rsid w:val="001B2E2D"/>
    <w:rsid w:val="001B2E97"/>
    <w:rsid w:val="001B2F88"/>
    <w:rsid w:val="001B30D3"/>
    <w:rsid w:val="001B3248"/>
    <w:rsid w:val="001B3450"/>
    <w:rsid w:val="001B3520"/>
    <w:rsid w:val="001B36A4"/>
    <w:rsid w:val="001B3A42"/>
    <w:rsid w:val="001B3BA8"/>
    <w:rsid w:val="001B3BBF"/>
    <w:rsid w:val="001B4092"/>
    <w:rsid w:val="001B4115"/>
    <w:rsid w:val="001B4232"/>
    <w:rsid w:val="001B4249"/>
    <w:rsid w:val="001B451A"/>
    <w:rsid w:val="001B4644"/>
    <w:rsid w:val="001B48D4"/>
    <w:rsid w:val="001B4A32"/>
    <w:rsid w:val="001B4E0E"/>
    <w:rsid w:val="001B532B"/>
    <w:rsid w:val="001B54A5"/>
    <w:rsid w:val="001B56F9"/>
    <w:rsid w:val="001B592C"/>
    <w:rsid w:val="001B5A35"/>
    <w:rsid w:val="001B5A3C"/>
    <w:rsid w:val="001B5B5F"/>
    <w:rsid w:val="001B5B61"/>
    <w:rsid w:val="001B5BCE"/>
    <w:rsid w:val="001B5C27"/>
    <w:rsid w:val="001B5D53"/>
    <w:rsid w:val="001B5DE3"/>
    <w:rsid w:val="001B5EDB"/>
    <w:rsid w:val="001B5F0E"/>
    <w:rsid w:val="001B61F6"/>
    <w:rsid w:val="001B62EA"/>
    <w:rsid w:val="001B6394"/>
    <w:rsid w:val="001B63BE"/>
    <w:rsid w:val="001B6432"/>
    <w:rsid w:val="001B6442"/>
    <w:rsid w:val="001B6458"/>
    <w:rsid w:val="001B652B"/>
    <w:rsid w:val="001B677E"/>
    <w:rsid w:val="001B6821"/>
    <w:rsid w:val="001B6AD1"/>
    <w:rsid w:val="001B6AE0"/>
    <w:rsid w:val="001B6CD0"/>
    <w:rsid w:val="001B6CDA"/>
    <w:rsid w:val="001B6E2C"/>
    <w:rsid w:val="001B6FD0"/>
    <w:rsid w:val="001B7056"/>
    <w:rsid w:val="001B70DD"/>
    <w:rsid w:val="001B71E5"/>
    <w:rsid w:val="001B731B"/>
    <w:rsid w:val="001B7425"/>
    <w:rsid w:val="001B7507"/>
    <w:rsid w:val="001B754A"/>
    <w:rsid w:val="001B763E"/>
    <w:rsid w:val="001B765D"/>
    <w:rsid w:val="001B78EE"/>
    <w:rsid w:val="001B79A5"/>
    <w:rsid w:val="001B7C16"/>
    <w:rsid w:val="001B7C21"/>
    <w:rsid w:val="001B7C33"/>
    <w:rsid w:val="001B7F33"/>
    <w:rsid w:val="001B7F53"/>
    <w:rsid w:val="001C0091"/>
    <w:rsid w:val="001C035E"/>
    <w:rsid w:val="001C04BB"/>
    <w:rsid w:val="001C0544"/>
    <w:rsid w:val="001C0647"/>
    <w:rsid w:val="001C067D"/>
    <w:rsid w:val="001C067E"/>
    <w:rsid w:val="001C0759"/>
    <w:rsid w:val="001C078B"/>
    <w:rsid w:val="001C0A08"/>
    <w:rsid w:val="001C0BEA"/>
    <w:rsid w:val="001C0CE9"/>
    <w:rsid w:val="001C0F24"/>
    <w:rsid w:val="001C12CB"/>
    <w:rsid w:val="001C13B7"/>
    <w:rsid w:val="001C17F9"/>
    <w:rsid w:val="001C1809"/>
    <w:rsid w:val="001C18E6"/>
    <w:rsid w:val="001C1985"/>
    <w:rsid w:val="001C1AE4"/>
    <w:rsid w:val="001C1B38"/>
    <w:rsid w:val="001C1C70"/>
    <w:rsid w:val="001C1E10"/>
    <w:rsid w:val="001C2125"/>
    <w:rsid w:val="001C22EA"/>
    <w:rsid w:val="001C23A8"/>
    <w:rsid w:val="001C2449"/>
    <w:rsid w:val="001C25EC"/>
    <w:rsid w:val="001C2A4A"/>
    <w:rsid w:val="001C2BF3"/>
    <w:rsid w:val="001C2D1D"/>
    <w:rsid w:val="001C2D73"/>
    <w:rsid w:val="001C30CB"/>
    <w:rsid w:val="001C343E"/>
    <w:rsid w:val="001C38B0"/>
    <w:rsid w:val="001C3980"/>
    <w:rsid w:val="001C3A18"/>
    <w:rsid w:val="001C3AC7"/>
    <w:rsid w:val="001C3C5A"/>
    <w:rsid w:val="001C3D9A"/>
    <w:rsid w:val="001C3F9E"/>
    <w:rsid w:val="001C4066"/>
    <w:rsid w:val="001C41CC"/>
    <w:rsid w:val="001C41D3"/>
    <w:rsid w:val="001C46D6"/>
    <w:rsid w:val="001C46F4"/>
    <w:rsid w:val="001C46F7"/>
    <w:rsid w:val="001C479C"/>
    <w:rsid w:val="001C4838"/>
    <w:rsid w:val="001C49B1"/>
    <w:rsid w:val="001C49D3"/>
    <w:rsid w:val="001C4C0C"/>
    <w:rsid w:val="001C4C34"/>
    <w:rsid w:val="001C4CDF"/>
    <w:rsid w:val="001C4D31"/>
    <w:rsid w:val="001C4F55"/>
    <w:rsid w:val="001C4FC5"/>
    <w:rsid w:val="001C5019"/>
    <w:rsid w:val="001C5124"/>
    <w:rsid w:val="001C51FA"/>
    <w:rsid w:val="001C5511"/>
    <w:rsid w:val="001C5922"/>
    <w:rsid w:val="001C5AC7"/>
    <w:rsid w:val="001C5B91"/>
    <w:rsid w:val="001C5C5D"/>
    <w:rsid w:val="001C5C99"/>
    <w:rsid w:val="001C5D46"/>
    <w:rsid w:val="001C5D47"/>
    <w:rsid w:val="001C5D50"/>
    <w:rsid w:val="001C5E6B"/>
    <w:rsid w:val="001C5FC8"/>
    <w:rsid w:val="001C61E5"/>
    <w:rsid w:val="001C636A"/>
    <w:rsid w:val="001C6777"/>
    <w:rsid w:val="001C679C"/>
    <w:rsid w:val="001C67E1"/>
    <w:rsid w:val="001C68B7"/>
    <w:rsid w:val="001C68D8"/>
    <w:rsid w:val="001C68E6"/>
    <w:rsid w:val="001C692C"/>
    <w:rsid w:val="001C69B9"/>
    <w:rsid w:val="001C6AB4"/>
    <w:rsid w:val="001C6AB8"/>
    <w:rsid w:val="001C6BC7"/>
    <w:rsid w:val="001C6D14"/>
    <w:rsid w:val="001C700C"/>
    <w:rsid w:val="001C71E5"/>
    <w:rsid w:val="001C72AE"/>
    <w:rsid w:val="001C740E"/>
    <w:rsid w:val="001C7455"/>
    <w:rsid w:val="001C758A"/>
    <w:rsid w:val="001C75CC"/>
    <w:rsid w:val="001C78C3"/>
    <w:rsid w:val="001C7951"/>
    <w:rsid w:val="001C7A41"/>
    <w:rsid w:val="001C7AAD"/>
    <w:rsid w:val="001C7B49"/>
    <w:rsid w:val="001C7C1F"/>
    <w:rsid w:val="001C7DC2"/>
    <w:rsid w:val="001D0253"/>
    <w:rsid w:val="001D0284"/>
    <w:rsid w:val="001D0342"/>
    <w:rsid w:val="001D03A3"/>
    <w:rsid w:val="001D03B1"/>
    <w:rsid w:val="001D0403"/>
    <w:rsid w:val="001D060C"/>
    <w:rsid w:val="001D06B1"/>
    <w:rsid w:val="001D076B"/>
    <w:rsid w:val="001D0931"/>
    <w:rsid w:val="001D0A48"/>
    <w:rsid w:val="001D0C74"/>
    <w:rsid w:val="001D0C8F"/>
    <w:rsid w:val="001D0CA5"/>
    <w:rsid w:val="001D0CCD"/>
    <w:rsid w:val="001D0E5E"/>
    <w:rsid w:val="001D13F7"/>
    <w:rsid w:val="001D148C"/>
    <w:rsid w:val="001D1565"/>
    <w:rsid w:val="001D1695"/>
    <w:rsid w:val="001D18F7"/>
    <w:rsid w:val="001D1B54"/>
    <w:rsid w:val="001D1B60"/>
    <w:rsid w:val="001D1BAC"/>
    <w:rsid w:val="001D1CE4"/>
    <w:rsid w:val="001D1E2D"/>
    <w:rsid w:val="001D2046"/>
    <w:rsid w:val="001D231A"/>
    <w:rsid w:val="001D250A"/>
    <w:rsid w:val="001D2623"/>
    <w:rsid w:val="001D271D"/>
    <w:rsid w:val="001D2863"/>
    <w:rsid w:val="001D2991"/>
    <w:rsid w:val="001D2E48"/>
    <w:rsid w:val="001D2EAF"/>
    <w:rsid w:val="001D2F65"/>
    <w:rsid w:val="001D30E0"/>
    <w:rsid w:val="001D311D"/>
    <w:rsid w:val="001D3175"/>
    <w:rsid w:val="001D3197"/>
    <w:rsid w:val="001D3264"/>
    <w:rsid w:val="001D3388"/>
    <w:rsid w:val="001D3602"/>
    <w:rsid w:val="001D379A"/>
    <w:rsid w:val="001D3A1C"/>
    <w:rsid w:val="001D3DBD"/>
    <w:rsid w:val="001D3E09"/>
    <w:rsid w:val="001D3F81"/>
    <w:rsid w:val="001D4278"/>
    <w:rsid w:val="001D4313"/>
    <w:rsid w:val="001D4327"/>
    <w:rsid w:val="001D447D"/>
    <w:rsid w:val="001D4683"/>
    <w:rsid w:val="001D47D7"/>
    <w:rsid w:val="001D49A6"/>
    <w:rsid w:val="001D49DF"/>
    <w:rsid w:val="001D4AFC"/>
    <w:rsid w:val="001D4D1D"/>
    <w:rsid w:val="001D504B"/>
    <w:rsid w:val="001D52A1"/>
    <w:rsid w:val="001D52CE"/>
    <w:rsid w:val="001D5638"/>
    <w:rsid w:val="001D59C3"/>
    <w:rsid w:val="001D5A4B"/>
    <w:rsid w:val="001D5C0B"/>
    <w:rsid w:val="001D5CBB"/>
    <w:rsid w:val="001D5DBA"/>
    <w:rsid w:val="001D5FB6"/>
    <w:rsid w:val="001D5FD1"/>
    <w:rsid w:val="001D605A"/>
    <w:rsid w:val="001D61AD"/>
    <w:rsid w:val="001D62F0"/>
    <w:rsid w:val="001D63DE"/>
    <w:rsid w:val="001D6613"/>
    <w:rsid w:val="001D6695"/>
    <w:rsid w:val="001D6698"/>
    <w:rsid w:val="001D6A30"/>
    <w:rsid w:val="001D6AD9"/>
    <w:rsid w:val="001D6BBA"/>
    <w:rsid w:val="001D6C1F"/>
    <w:rsid w:val="001D6C7C"/>
    <w:rsid w:val="001D6CC2"/>
    <w:rsid w:val="001D6DA8"/>
    <w:rsid w:val="001D6EAF"/>
    <w:rsid w:val="001D70DD"/>
    <w:rsid w:val="001D7255"/>
    <w:rsid w:val="001D72F8"/>
    <w:rsid w:val="001D74C4"/>
    <w:rsid w:val="001D7533"/>
    <w:rsid w:val="001D75A1"/>
    <w:rsid w:val="001D75B8"/>
    <w:rsid w:val="001D777B"/>
    <w:rsid w:val="001D7ABB"/>
    <w:rsid w:val="001D7B8D"/>
    <w:rsid w:val="001D7CDD"/>
    <w:rsid w:val="001D7ED2"/>
    <w:rsid w:val="001E0039"/>
    <w:rsid w:val="001E00E5"/>
    <w:rsid w:val="001E0129"/>
    <w:rsid w:val="001E019F"/>
    <w:rsid w:val="001E04F7"/>
    <w:rsid w:val="001E0693"/>
    <w:rsid w:val="001E07DF"/>
    <w:rsid w:val="001E081E"/>
    <w:rsid w:val="001E0842"/>
    <w:rsid w:val="001E092A"/>
    <w:rsid w:val="001E0B32"/>
    <w:rsid w:val="001E0BF7"/>
    <w:rsid w:val="001E0DFA"/>
    <w:rsid w:val="001E0E03"/>
    <w:rsid w:val="001E0FCE"/>
    <w:rsid w:val="001E1047"/>
    <w:rsid w:val="001E11C8"/>
    <w:rsid w:val="001E1258"/>
    <w:rsid w:val="001E12FB"/>
    <w:rsid w:val="001E1621"/>
    <w:rsid w:val="001E17EB"/>
    <w:rsid w:val="001E1BC0"/>
    <w:rsid w:val="001E1BC6"/>
    <w:rsid w:val="001E1DBE"/>
    <w:rsid w:val="001E1ED3"/>
    <w:rsid w:val="001E1F36"/>
    <w:rsid w:val="001E22DA"/>
    <w:rsid w:val="001E2307"/>
    <w:rsid w:val="001E232E"/>
    <w:rsid w:val="001E2342"/>
    <w:rsid w:val="001E24A1"/>
    <w:rsid w:val="001E2627"/>
    <w:rsid w:val="001E266B"/>
    <w:rsid w:val="001E26BC"/>
    <w:rsid w:val="001E2783"/>
    <w:rsid w:val="001E2793"/>
    <w:rsid w:val="001E282B"/>
    <w:rsid w:val="001E282C"/>
    <w:rsid w:val="001E293A"/>
    <w:rsid w:val="001E29D9"/>
    <w:rsid w:val="001E2C94"/>
    <w:rsid w:val="001E2CC4"/>
    <w:rsid w:val="001E2E74"/>
    <w:rsid w:val="001E30DF"/>
    <w:rsid w:val="001E31FC"/>
    <w:rsid w:val="001E324F"/>
    <w:rsid w:val="001E334C"/>
    <w:rsid w:val="001E33D4"/>
    <w:rsid w:val="001E3518"/>
    <w:rsid w:val="001E3519"/>
    <w:rsid w:val="001E3729"/>
    <w:rsid w:val="001E376F"/>
    <w:rsid w:val="001E37D6"/>
    <w:rsid w:val="001E37E2"/>
    <w:rsid w:val="001E385F"/>
    <w:rsid w:val="001E38ED"/>
    <w:rsid w:val="001E39C8"/>
    <w:rsid w:val="001E3A42"/>
    <w:rsid w:val="001E3B47"/>
    <w:rsid w:val="001E3B8D"/>
    <w:rsid w:val="001E3CA2"/>
    <w:rsid w:val="001E3F58"/>
    <w:rsid w:val="001E3FB1"/>
    <w:rsid w:val="001E4004"/>
    <w:rsid w:val="001E415B"/>
    <w:rsid w:val="001E4199"/>
    <w:rsid w:val="001E41E0"/>
    <w:rsid w:val="001E4217"/>
    <w:rsid w:val="001E440E"/>
    <w:rsid w:val="001E443E"/>
    <w:rsid w:val="001E4539"/>
    <w:rsid w:val="001E46AE"/>
    <w:rsid w:val="001E46C2"/>
    <w:rsid w:val="001E47E7"/>
    <w:rsid w:val="001E481B"/>
    <w:rsid w:val="001E48FA"/>
    <w:rsid w:val="001E4A43"/>
    <w:rsid w:val="001E4D35"/>
    <w:rsid w:val="001E50A4"/>
    <w:rsid w:val="001E50C0"/>
    <w:rsid w:val="001E515D"/>
    <w:rsid w:val="001E516F"/>
    <w:rsid w:val="001E51FB"/>
    <w:rsid w:val="001E5374"/>
    <w:rsid w:val="001E537B"/>
    <w:rsid w:val="001E543F"/>
    <w:rsid w:val="001E5460"/>
    <w:rsid w:val="001E57E3"/>
    <w:rsid w:val="001E5807"/>
    <w:rsid w:val="001E580D"/>
    <w:rsid w:val="001E6322"/>
    <w:rsid w:val="001E64E6"/>
    <w:rsid w:val="001E6596"/>
    <w:rsid w:val="001E6864"/>
    <w:rsid w:val="001E694A"/>
    <w:rsid w:val="001E6C65"/>
    <w:rsid w:val="001E6D55"/>
    <w:rsid w:val="001E6E69"/>
    <w:rsid w:val="001E6F4E"/>
    <w:rsid w:val="001E7008"/>
    <w:rsid w:val="001E7076"/>
    <w:rsid w:val="001E72A4"/>
    <w:rsid w:val="001E730D"/>
    <w:rsid w:val="001E73FC"/>
    <w:rsid w:val="001E750E"/>
    <w:rsid w:val="001E7540"/>
    <w:rsid w:val="001E7845"/>
    <w:rsid w:val="001E7A0E"/>
    <w:rsid w:val="001E7A39"/>
    <w:rsid w:val="001E7B5D"/>
    <w:rsid w:val="001E7D66"/>
    <w:rsid w:val="001E7D7B"/>
    <w:rsid w:val="001E7E41"/>
    <w:rsid w:val="001E7E4F"/>
    <w:rsid w:val="001F0246"/>
    <w:rsid w:val="001F0274"/>
    <w:rsid w:val="001F0398"/>
    <w:rsid w:val="001F0568"/>
    <w:rsid w:val="001F05FB"/>
    <w:rsid w:val="001F0617"/>
    <w:rsid w:val="001F090B"/>
    <w:rsid w:val="001F09A2"/>
    <w:rsid w:val="001F0B29"/>
    <w:rsid w:val="001F0C30"/>
    <w:rsid w:val="001F0F9A"/>
    <w:rsid w:val="001F13B5"/>
    <w:rsid w:val="001F144E"/>
    <w:rsid w:val="001F1811"/>
    <w:rsid w:val="001F1B9D"/>
    <w:rsid w:val="001F1C44"/>
    <w:rsid w:val="001F1D47"/>
    <w:rsid w:val="001F1D88"/>
    <w:rsid w:val="001F1DEF"/>
    <w:rsid w:val="001F220F"/>
    <w:rsid w:val="001F2425"/>
    <w:rsid w:val="001F243C"/>
    <w:rsid w:val="001F255F"/>
    <w:rsid w:val="001F278A"/>
    <w:rsid w:val="001F2BD2"/>
    <w:rsid w:val="001F2D50"/>
    <w:rsid w:val="001F2D8A"/>
    <w:rsid w:val="001F2E9A"/>
    <w:rsid w:val="001F2F9E"/>
    <w:rsid w:val="001F3375"/>
    <w:rsid w:val="001F33C4"/>
    <w:rsid w:val="001F39FF"/>
    <w:rsid w:val="001F3C54"/>
    <w:rsid w:val="001F3C81"/>
    <w:rsid w:val="001F3DC7"/>
    <w:rsid w:val="001F3F4A"/>
    <w:rsid w:val="001F3F55"/>
    <w:rsid w:val="001F412C"/>
    <w:rsid w:val="001F415F"/>
    <w:rsid w:val="001F4172"/>
    <w:rsid w:val="001F432C"/>
    <w:rsid w:val="001F4468"/>
    <w:rsid w:val="001F46EE"/>
    <w:rsid w:val="001F4A03"/>
    <w:rsid w:val="001F4AF7"/>
    <w:rsid w:val="001F4B17"/>
    <w:rsid w:val="001F4C50"/>
    <w:rsid w:val="001F4D7E"/>
    <w:rsid w:val="001F4EB9"/>
    <w:rsid w:val="001F4F65"/>
    <w:rsid w:val="001F53A1"/>
    <w:rsid w:val="001F53DA"/>
    <w:rsid w:val="001F5486"/>
    <w:rsid w:val="001F54C9"/>
    <w:rsid w:val="001F55CE"/>
    <w:rsid w:val="001F56E1"/>
    <w:rsid w:val="001F5752"/>
    <w:rsid w:val="001F57D1"/>
    <w:rsid w:val="001F5A05"/>
    <w:rsid w:val="001F5A63"/>
    <w:rsid w:val="001F5B58"/>
    <w:rsid w:val="001F5D5C"/>
    <w:rsid w:val="001F5F26"/>
    <w:rsid w:val="001F60B0"/>
    <w:rsid w:val="001F619A"/>
    <w:rsid w:val="001F6208"/>
    <w:rsid w:val="001F6564"/>
    <w:rsid w:val="001F66CF"/>
    <w:rsid w:val="001F66FB"/>
    <w:rsid w:val="001F6759"/>
    <w:rsid w:val="001F6990"/>
    <w:rsid w:val="001F69C1"/>
    <w:rsid w:val="001F6CC6"/>
    <w:rsid w:val="001F6D1B"/>
    <w:rsid w:val="001F6D2D"/>
    <w:rsid w:val="001F6EF7"/>
    <w:rsid w:val="001F6EFB"/>
    <w:rsid w:val="001F70BA"/>
    <w:rsid w:val="001F7147"/>
    <w:rsid w:val="001F727F"/>
    <w:rsid w:val="001F7283"/>
    <w:rsid w:val="001F731F"/>
    <w:rsid w:val="001F7390"/>
    <w:rsid w:val="001F7488"/>
    <w:rsid w:val="001F74C1"/>
    <w:rsid w:val="001F7654"/>
    <w:rsid w:val="001F7691"/>
    <w:rsid w:val="001F786F"/>
    <w:rsid w:val="001F78CF"/>
    <w:rsid w:val="001F7999"/>
    <w:rsid w:val="001F799E"/>
    <w:rsid w:val="001F7A8A"/>
    <w:rsid w:val="001F7BB4"/>
    <w:rsid w:val="001F7BDA"/>
    <w:rsid w:val="001F7C2F"/>
    <w:rsid w:val="001F7CFA"/>
    <w:rsid w:val="002001A2"/>
    <w:rsid w:val="00200267"/>
    <w:rsid w:val="00200633"/>
    <w:rsid w:val="002008C5"/>
    <w:rsid w:val="0020095C"/>
    <w:rsid w:val="00200B90"/>
    <w:rsid w:val="00200DAF"/>
    <w:rsid w:val="002011D5"/>
    <w:rsid w:val="0020128F"/>
    <w:rsid w:val="00201367"/>
    <w:rsid w:val="0020153E"/>
    <w:rsid w:val="00201884"/>
    <w:rsid w:val="002019DE"/>
    <w:rsid w:val="00201D28"/>
    <w:rsid w:val="00201D6F"/>
    <w:rsid w:val="00201DDE"/>
    <w:rsid w:val="00201F4D"/>
    <w:rsid w:val="002021A8"/>
    <w:rsid w:val="00202312"/>
    <w:rsid w:val="00202318"/>
    <w:rsid w:val="00202340"/>
    <w:rsid w:val="002026A7"/>
    <w:rsid w:val="002027D2"/>
    <w:rsid w:val="0020287A"/>
    <w:rsid w:val="002029D3"/>
    <w:rsid w:val="00202AA2"/>
    <w:rsid w:val="00202AC4"/>
    <w:rsid w:val="00202B28"/>
    <w:rsid w:val="00202BEA"/>
    <w:rsid w:val="00202C3B"/>
    <w:rsid w:val="00202CB0"/>
    <w:rsid w:val="00202D1D"/>
    <w:rsid w:val="002030C3"/>
    <w:rsid w:val="002030F7"/>
    <w:rsid w:val="00203264"/>
    <w:rsid w:val="002033DD"/>
    <w:rsid w:val="0020341E"/>
    <w:rsid w:val="0020344E"/>
    <w:rsid w:val="002034AA"/>
    <w:rsid w:val="002035D7"/>
    <w:rsid w:val="0020372F"/>
    <w:rsid w:val="0020375F"/>
    <w:rsid w:val="002037A0"/>
    <w:rsid w:val="0020385C"/>
    <w:rsid w:val="00203A43"/>
    <w:rsid w:val="00203AF5"/>
    <w:rsid w:val="00203D13"/>
    <w:rsid w:val="00203D73"/>
    <w:rsid w:val="00203DC9"/>
    <w:rsid w:val="00203FBE"/>
    <w:rsid w:val="002040D4"/>
    <w:rsid w:val="002040F6"/>
    <w:rsid w:val="0020412E"/>
    <w:rsid w:val="0020413F"/>
    <w:rsid w:val="002041E8"/>
    <w:rsid w:val="00204396"/>
    <w:rsid w:val="002043C1"/>
    <w:rsid w:val="002043E9"/>
    <w:rsid w:val="002044DE"/>
    <w:rsid w:val="002045D8"/>
    <w:rsid w:val="00204648"/>
    <w:rsid w:val="00204BEB"/>
    <w:rsid w:val="00204DEE"/>
    <w:rsid w:val="00205016"/>
    <w:rsid w:val="0020504E"/>
    <w:rsid w:val="0020509D"/>
    <w:rsid w:val="002050BD"/>
    <w:rsid w:val="00205127"/>
    <w:rsid w:val="0020516F"/>
    <w:rsid w:val="00205264"/>
    <w:rsid w:val="002052EE"/>
    <w:rsid w:val="002052FA"/>
    <w:rsid w:val="002053F7"/>
    <w:rsid w:val="00205490"/>
    <w:rsid w:val="002054CA"/>
    <w:rsid w:val="00205522"/>
    <w:rsid w:val="002055D8"/>
    <w:rsid w:val="00205A05"/>
    <w:rsid w:val="00205D15"/>
    <w:rsid w:val="00205E1C"/>
    <w:rsid w:val="00205E4C"/>
    <w:rsid w:val="00206432"/>
    <w:rsid w:val="00206466"/>
    <w:rsid w:val="00206624"/>
    <w:rsid w:val="00206635"/>
    <w:rsid w:val="00206727"/>
    <w:rsid w:val="00206765"/>
    <w:rsid w:val="002067B0"/>
    <w:rsid w:val="00206A9B"/>
    <w:rsid w:val="00206C9F"/>
    <w:rsid w:val="00206F28"/>
    <w:rsid w:val="00206FE8"/>
    <w:rsid w:val="00207215"/>
    <w:rsid w:val="002072A7"/>
    <w:rsid w:val="00207340"/>
    <w:rsid w:val="00207379"/>
    <w:rsid w:val="002073A8"/>
    <w:rsid w:val="002075B8"/>
    <w:rsid w:val="002076ED"/>
    <w:rsid w:val="00207812"/>
    <w:rsid w:val="002078A7"/>
    <w:rsid w:val="0020794C"/>
    <w:rsid w:val="00207AF9"/>
    <w:rsid w:val="00207CCF"/>
    <w:rsid w:val="00207E48"/>
    <w:rsid w:val="00207E5B"/>
    <w:rsid w:val="00207F00"/>
    <w:rsid w:val="00210222"/>
    <w:rsid w:val="002103A2"/>
    <w:rsid w:val="002105EA"/>
    <w:rsid w:val="00210643"/>
    <w:rsid w:val="0021085F"/>
    <w:rsid w:val="002108EE"/>
    <w:rsid w:val="002109B9"/>
    <w:rsid w:val="002109BD"/>
    <w:rsid w:val="00210DA1"/>
    <w:rsid w:val="00210DB6"/>
    <w:rsid w:val="00210E30"/>
    <w:rsid w:val="00210E73"/>
    <w:rsid w:val="00210E97"/>
    <w:rsid w:val="002111B4"/>
    <w:rsid w:val="00211310"/>
    <w:rsid w:val="0021167D"/>
    <w:rsid w:val="002119F5"/>
    <w:rsid w:val="00211AEC"/>
    <w:rsid w:val="00211AF6"/>
    <w:rsid w:val="00211D29"/>
    <w:rsid w:val="00211D9D"/>
    <w:rsid w:val="00211DD4"/>
    <w:rsid w:val="00211ECA"/>
    <w:rsid w:val="00211F3F"/>
    <w:rsid w:val="0021237D"/>
    <w:rsid w:val="0021238B"/>
    <w:rsid w:val="00212483"/>
    <w:rsid w:val="002124F6"/>
    <w:rsid w:val="0021255D"/>
    <w:rsid w:val="002125B6"/>
    <w:rsid w:val="002125C4"/>
    <w:rsid w:val="002126D0"/>
    <w:rsid w:val="002127AA"/>
    <w:rsid w:val="002128C6"/>
    <w:rsid w:val="00212BEE"/>
    <w:rsid w:val="00212C41"/>
    <w:rsid w:val="00212E59"/>
    <w:rsid w:val="00212F4B"/>
    <w:rsid w:val="00212F8A"/>
    <w:rsid w:val="00213085"/>
    <w:rsid w:val="002130DF"/>
    <w:rsid w:val="00213105"/>
    <w:rsid w:val="0021318E"/>
    <w:rsid w:val="002133AA"/>
    <w:rsid w:val="002136DD"/>
    <w:rsid w:val="0021381F"/>
    <w:rsid w:val="0021389A"/>
    <w:rsid w:val="00213907"/>
    <w:rsid w:val="00213B57"/>
    <w:rsid w:val="00213CCC"/>
    <w:rsid w:val="00213F2F"/>
    <w:rsid w:val="0021411F"/>
    <w:rsid w:val="002141EE"/>
    <w:rsid w:val="0021425E"/>
    <w:rsid w:val="0021427E"/>
    <w:rsid w:val="00214591"/>
    <w:rsid w:val="00214613"/>
    <w:rsid w:val="0021462E"/>
    <w:rsid w:val="002147A2"/>
    <w:rsid w:val="0021495A"/>
    <w:rsid w:val="00214A9B"/>
    <w:rsid w:val="00214ABD"/>
    <w:rsid w:val="00214AE2"/>
    <w:rsid w:val="00214DF3"/>
    <w:rsid w:val="00214EB0"/>
    <w:rsid w:val="00215109"/>
    <w:rsid w:val="0021512D"/>
    <w:rsid w:val="00215227"/>
    <w:rsid w:val="002152EC"/>
    <w:rsid w:val="00215461"/>
    <w:rsid w:val="0021575D"/>
    <w:rsid w:val="00215938"/>
    <w:rsid w:val="00215B98"/>
    <w:rsid w:val="00215E1A"/>
    <w:rsid w:val="00215EB8"/>
    <w:rsid w:val="00215FE4"/>
    <w:rsid w:val="0021609B"/>
    <w:rsid w:val="00216247"/>
    <w:rsid w:val="002162D5"/>
    <w:rsid w:val="002162D9"/>
    <w:rsid w:val="00216475"/>
    <w:rsid w:val="002166B4"/>
    <w:rsid w:val="002168B9"/>
    <w:rsid w:val="002168C6"/>
    <w:rsid w:val="002169B9"/>
    <w:rsid w:val="00216A60"/>
    <w:rsid w:val="00216A78"/>
    <w:rsid w:val="00216D45"/>
    <w:rsid w:val="00216D92"/>
    <w:rsid w:val="00216DEE"/>
    <w:rsid w:val="00216F07"/>
    <w:rsid w:val="00216FB8"/>
    <w:rsid w:val="002173A4"/>
    <w:rsid w:val="00217538"/>
    <w:rsid w:val="002177DB"/>
    <w:rsid w:val="00217834"/>
    <w:rsid w:val="00217858"/>
    <w:rsid w:val="0021786E"/>
    <w:rsid w:val="002178B4"/>
    <w:rsid w:val="002178D6"/>
    <w:rsid w:val="00217C46"/>
    <w:rsid w:val="00217D55"/>
    <w:rsid w:val="00217EFF"/>
    <w:rsid w:val="002200A9"/>
    <w:rsid w:val="00220359"/>
    <w:rsid w:val="00220390"/>
    <w:rsid w:val="0022047C"/>
    <w:rsid w:val="00220605"/>
    <w:rsid w:val="0022083B"/>
    <w:rsid w:val="0022101D"/>
    <w:rsid w:val="0022118E"/>
    <w:rsid w:val="002211D0"/>
    <w:rsid w:val="002212D1"/>
    <w:rsid w:val="002213CB"/>
    <w:rsid w:val="00221481"/>
    <w:rsid w:val="00221604"/>
    <w:rsid w:val="00221657"/>
    <w:rsid w:val="002218DD"/>
    <w:rsid w:val="00221933"/>
    <w:rsid w:val="002219B2"/>
    <w:rsid w:val="00221A33"/>
    <w:rsid w:val="00221B14"/>
    <w:rsid w:val="00221BA0"/>
    <w:rsid w:val="00221BD1"/>
    <w:rsid w:val="00221E7C"/>
    <w:rsid w:val="00221EA3"/>
    <w:rsid w:val="00221EC9"/>
    <w:rsid w:val="00221ECE"/>
    <w:rsid w:val="00221F37"/>
    <w:rsid w:val="00222217"/>
    <w:rsid w:val="002222E5"/>
    <w:rsid w:val="0022249C"/>
    <w:rsid w:val="0022253C"/>
    <w:rsid w:val="00222894"/>
    <w:rsid w:val="002228E7"/>
    <w:rsid w:val="002229CD"/>
    <w:rsid w:val="002229E5"/>
    <w:rsid w:val="00222A2C"/>
    <w:rsid w:val="00222A4C"/>
    <w:rsid w:val="00222CEB"/>
    <w:rsid w:val="00222D0D"/>
    <w:rsid w:val="00222EC4"/>
    <w:rsid w:val="00222F9C"/>
    <w:rsid w:val="00223003"/>
    <w:rsid w:val="00223355"/>
    <w:rsid w:val="00223388"/>
    <w:rsid w:val="00223562"/>
    <w:rsid w:val="00223586"/>
    <w:rsid w:val="002235E4"/>
    <w:rsid w:val="00223601"/>
    <w:rsid w:val="00223625"/>
    <w:rsid w:val="00223639"/>
    <w:rsid w:val="00223907"/>
    <w:rsid w:val="00223918"/>
    <w:rsid w:val="00223985"/>
    <w:rsid w:val="00223D37"/>
    <w:rsid w:val="00223E6D"/>
    <w:rsid w:val="0022425E"/>
    <w:rsid w:val="0022426E"/>
    <w:rsid w:val="0022435A"/>
    <w:rsid w:val="002244B9"/>
    <w:rsid w:val="00224BA3"/>
    <w:rsid w:val="00224BE7"/>
    <w:rsid w:val="00224C52"/>
    <w:rsid w:val="00224C6F"/>
    <w:rsid w:val="00224DB5"/>
    <w:rsid w:val="00224F04"/>
    <w:rsid w:val="00224F28"/>
    <w:rsid w:val="00224F2B"/>
    <w:rsid w:val="002251C4"/>
    <w:rsid w:val="0022528B"/>
    <w:rsid w:val="00225291"/>
    <w:rsid w:val="00225396"/>
    <w:rsid w:val="002254B3"/>
    <w:rsid w:val="002256CD"/>
    <w:rsid w:val="0022581B"/>
    <w:rsid w:val="00225A33"/>
    <w:rsid w:val="00225A65"/>
    <w:rsid w:val="00225CDA"/>
    <w:rsid w:val="00225DC2"/>
    <w:rsid w:val="00225EAD"/>
    <w:rsid w:val="002260D1"/>
    <w:rsid w:val="00226104"/>
    <w:rsid w:val="00226137"/>
    <w:rsid w:val="00226218"/>
    <w:rsid w:val="00226289"/>
    <w:rsid w:val="0022636D"/>
    <w:rsid w:val="002267BB"/>
    <w:rsid w:val="002267DD"/>
    <w:rsid w:val="00226A07"/>
    <w:rsid w:val="00226A3B"/>
    <w:rsid w:val="00226ADB"/>
    <w:rsid w:val="00226AE1"/>
    <w:rsid w:val="00226B05"/>
    <w:rsid w:val="00226BC9"/>
    <w:rsid w:val="00226D14"/>
    <w:rsid w:val="00226E6C"/>
    <w:rsid w:val="00226E72"/>
    <w:rsid w:val="00226EA7"/>
    <w:rsid w:val="00226F45"/>
    <w:rsid w:val="0022701B"/>
    <w:rsid w:val="0022730B"/>
    <w:rsid w:val="00227320"/>
    <w:rsid w:val="00227547"/>
    <w:rsid w:val="00227712"/>
    <w:rsid w:val="0022776D"/>
    <w:rsid w:val="00227AA7"/>
    <w:rsid w:val="00227AEF"/>
    <w:rsid w:val="00227CF2"/>
    <w:rsid w:val="00227DDE"/>
    <w:rsid w:val="00227DEC"/>
    <w:rsid w:val="00227E6E"/>
    <w:rsid w:val="00227F4E"/>
    <w:rsid w:val="00227F56"/>
    <w:rsid w:val="00227F8C"/>
    <w:rsid w:val="0023008F"/>
    <w:rsid w:val="00230298"/>
    <w:rsid w:val="002302D1"/>
    <w:rsid w:val="002303A2"/>
    <w:rsid w:val="002306F7"/>
    <w:rsid w:val="002308F7"/>
    <w:rsid w:val="00230D1D"/>
    <w:rsid w:val="00230E91"/>
    <w:rsid w:val="00230EA0"/>
    <w:rsid w:val="0023117E"/>
    <w:rsid w:val="002311A7"/>
    <w:rsid w:val="002311BB"/>
    <w:rsid w:val="002315F2"/>
    <w:rsid w:val="00231615"/>
    <w:rsid w:val="002316D0"/>
    <w:rsid w:val="002317EC"/>
    <w:rsid w:val="002319AA"/>
    <w:rsid w:val="00231A17"/>
    <w:rsid w:val="00231A65"/>
    <w:rsid w:val="00231B3D"/>
    <w:rsid w:val="00231C67"/>
    <w:rsid w:val="00231C7D"/>
    <w:rsid w:val="00231E45"/>
    <w:rsid w:val="00232095"/>
    <w:rsid w:val="00232128"/>
    <w:rsid w:val="00232156"/>
    <w:rsid w:val="00232315"/>
    <w:rsid w:val="0023245B"/>
    <w:rsid w:val="0023256C"/>
    <w:rsid w:val="00232776"/>
    <w:rsid w:val="00232802"/>
    <w:rsid w:val="00232826"/>
    <w:rsid w:val="00232875"/>
    <w:rsid w:val="002328CA"/>
    <w:rsid w:val="002328F8"/>
    <w:rsid w:val="00232F46"/>
    <w:rsid w:val="002330BE"/>
    <w:rsid w:val="00233107"/>
    <w:rsid w:val="002332E7"/>
    <w:rsid w:val="0023333D"/>
    <w:rsid w:val="00233390"/>
    <w:rsid w:val="0023346C"/>
    <w:rsid w:val="002336F0"/>
    <w:rsid w:val="002337EF"/>
    <w:rsid w:val="002338DB"/>
    <w:rsid w:val="00233958"/>
    <w:rsid w:val="00233986"/>
    <w:rsid w:val="00233A7A"/>
    <w:rsid w:val="00233B4E"/>
    <w:rsid w:val="00233CA2"/>
    <w:rsid w:val="00233E99"/>
    <w:rsid w:val="00234225"/>
    <w:rsid w:val="00234405"/>
    <w:rsid w:val="0023455F"/>
    <w:rsid w:val="002345B7"/>
    <w:rsid w:val="00234606"/>
    <w:rsid w:val="00234718"/>
    <w:rsid w:val="0023478B"/>
    <w:rsid w:val="002348AF"/>
    <w:rsid w:val="00234945"/>
    <w:rsid w:val="002349E2"/>
    <w:rsid w:val="00234B20"/>
    <w:rsid w:val="00234B56"/>
    <w:rsid w:val="00234E10"/>
    <w:rsid w:val="00234E86"/>
    <w:rsid w:val="00234F23"/>
    <w:rsid w:val="00234F99"/>
    <w:rsid w:val="0023525C"/>
    <w:rsid w:val="00235263"/>
    <w:rsid w:val="0023557C"/>
    <w:rsid w:val="00235647"/>
    <w:rsid w:val="00235838"/>
    <w:rsid w:val="00235861"/>
    <w:rsid w:val="0023586A"/>
    <w:rsid w:val="0023592E"/>
    <w:rsid w:val="002359F7"/>
    <w:rsid w:val="00235D37"/>
    <w:rsid w:val="00235FA4"/>
    <w:rsid w:val="0023603E"/>
    <w:rsid w:val="0023610A"/>
    <w:rsid w:val="00236375"/>
    <w:rsid w:val="0023649E"/>
    <w:rsid w:val="0023659D"/>
    <w:rsid w:val="0023670F"/>
    <w:rsid w:val="0023688C"/>
    <w:rsid w:val="002368AF"/>
    <w:rsid w:val="00236A8F"/>
    <w:rsid w:val="00236E95"/>
    <w:rsid w:val="002372E4"/>
    <w:rsid w:val="002375C5"/>
    <w:rsid w:val="002375E0"/>
    <w:rsid w:val="002375F4"/>
    <w:rsid w:val="00240000"/>
    <w:rsid w:val="0024004F"/>
    <w:rsid w:val="00240376"/>
    <w:rsid w:val="00240388"/>
    <w:rsid w:val="002404EF"/>
    <w:rsid w:val="0024053F"/>
    <w:rsid w:val="002406A4"/>
    <w:rsid w:val="0024071F"/>
    <w:rsid w:val="00240A5E"/>
    <w:rsid w:val="00240C3A"/>
    <w:rsid w:val="00240D02"/>
    <w:rsid w:val="00240D5F"/>
    <w:rsid w:val="00240D64"/>
    <w:rsid w:val="00240F1D"/>
    <w:rsid w:val="002412C2"/>
    <w:rsid w:val="002412FA"/>
    <w:rsid w:val="0024133C"/>
    <w:rsid w:val="002419CC"/>
    <w:rsid w:val="00241AF9"/>
    <w:rsid w:val="00241B86"/>
    <w:rsid w:val="00241C34"/>
    <w:rsid w:val="00241C57"/>
    <w:rsid w:val="00241CFA"/>
    <w:rsid w:val="00241D03"/>
    <w:rsid w:val="00241D68"/>
    <w:rsid w:val="00241E71"/>
    <w:rsid w:val="00241F0C"/>
    <w:rsid w:val="0024205A"/>
    <w:rsid w:val="0024218F"/>
    <w:rsid w:val="00242238"/>
    <w:rsid w:val="0024240B"/>
    <w:rsid w:val="00242481"/>
    <w:rsid w:val="0024252F"/>
    <w:rsid w:val="002429CC"/>
    <w:rsid w:val="00242A34"/>
    <w:rsid w:val="00242B3B"/>
    <w:rsid w:val="00242C7D"/>
    <w:rsid w:val="00242CB7"/>
    <w:rsid w:val="00242D55"/>
    <w:rsid w:val="00242DA0"/>
    <w:rsid w:val="00242DC2"/>
    <w:rsid w:val="00242E52"/>
    <w:rsid w:val="00242FF3"/>
    <w:rsid w:val="002432BE"/>
    <w:rsid w:val="002432E0"/>
    <w:rsid w:val="0024335B"/>
    <w:rsid w:val="00243728"/>
    <w:rsid w:val="002438CF"/>
    <w:rsid w:val="00243A8F"/>
    <w:rsid w:val="00243B68"/>
    <w:rsid w:val="00243C18"/>
    <w:rsid w:val="00243C93"/>
    <w:rsid w:val="00243CB0"/>
    <w:rsid w:val="00243FB0"/>
    <w:rsid w:val="002440AD"/>
    <w:rsid w:val="002440F4"/>
    <w:rsid w:val="0024415F"/>
    <w:rsid w:val="00244262"/>
    <w:rsid w:val="002442C9"/>
    <w:rsid w:val="002446AD"/>
    <w:rsid w:val="002446AF"/>
    <w:rsid w:val="0024477A"/>
    <w:rsid w:val="0024485A"/>
    <w:rsid w:val="002449AA"/>
    <w:rsid w:val="00244B11"/>
    <w:rsid w:val="00244BCE"/>
    <w:rsid w:val="00244C39"/>
    <w:rsid w:val="00244D53"/>
    <w:rsid w:val="00244E07"/>
    <w:rsid w:val="00244EB7"/>
    <w:rsid w:val="00244FBD"/>
    <w:rsid w:val="0024518C"/>
    <w:rsid w:val="00245389"/>
    <w:rsid w:val="002453A3"/>
    <w:rsid w:val="0024541B"/>
    <w:rsid w:val="002455DC"/>
    <w:rsid w:val="0024573E"/>
    <w:rsid w:val="0024574D"/>
    <w:rsid w:val="002457FD"/>
    <w:rsid w:val="002458C8"/>
    <w:rsid w:val="00245969"/>
    <w:rsid w:val="00245C78"/>
    <w:rsid w:val="00245FEF"/>
    <w:rsid w:val="00246164"/>
    <w:rsid w:val="002461C1"/>
    <w:rsid w:val="00246236"/>
    <w:rsid w:val="00246354"/>
    <w:rsid w:val="00246598"/>
    <w:rsid w:val="00246613"/>
    <w:rsid w:val="00246AA8"/>
    <w:rsid w:val="00246AAB"/>
    <w:rsid w:val="00246C49"/>
    <w:rsid w:val="00246D88"/>
    <w:rsid w:val="00246EA7"/>
    <w:rsid w:val="00246FA1"/>
    <w:rsid w:val="0024756C"/>
    <w:rsid w:val="00247799"/>
    <w:rsid w:val="002477AA"/>
    <w:rsid w:val="002478A3"/>
    <w:rsid w:val="002478F2"/>
    <w:rsid w:val="00247920"/>
    <w:rsid w:val="00247BD9"/>
    <w:rsid w:val="00247D3F"/>
    <w:rsid w:val="0025009B"/>
    <w:rsid w:val="0025046D"/>
    <w:rsid w:val="002504C3"/>
    <w:rsid w:val="002504F2"/>
    <w:rsid w:val="002505CC"/>
    <w:rsid w:val="002508B7"/>
    <w:rsid w:val="002508D7"/>
    <w:rsid w:val="00250CB5"/>
    <w:rsid w:val="00250CB8"/>
    <w:rsid w:val="00250CBB"/>
    <w:rsid w:val="00250D4F"/>
    <w:rsid w:val="00250DC8"/>
    <w:rsid w:val="00250FAF"/>
    <w:rsid w:val="0025102B"/>
    <w:rsid w:val="002510C7"/>
    <w:rsid w:val="002510F7"/>
    <w:rsid w:val="002513B7"/>
    <w:rsid w:val="002514C1"/>
    <w:rsid w:val="0025153C"/>
    <w:rsid w:val="00251600"/>
    <w:rsid w:val="002516D0"/>
    <w:rsid w:val="00251921"/>
    <w:rsid w:val="0025199E"/>
    <w:rsid w:val="00251AF0"/>
    <w:rsid w:val="00251CBE"/>
    <w:rsid w:val="00251D29"/>
    <w:rsid w:val="00251DDD"/>
    <w:rsid w:val="00251E8B"/>
    <w:rsid w:val="00251E9D"/>
    <w:rsid w:val="00251EDF"/>
    <w:rsid w:val="00251F58"/>
    <w:rsid w:val="00252107"/>
    <w:rsid w:val="00252293"/>
    <w:rsid w:val="0025239B"/>
    <w:rsid w:val="00252698"/>
    <w:rsid w:val="00252765"/>
    <w:rsid w:val="00252851"/>
    <w:rsid w:val="002529D0"/>
    <w:rsid w:val="00252A56"/>
    <w:rsid w:val="00252B36"/>
    <w:rsid w:val="00252BC9"/>
    <w:rsid w:val="00252C88"/>
    <w:rsid w:val="00252D96"/>
    <w:rsid w:val="00252F32"/>
    <w:rsid w:val="00252F76"/>
    <w:rsid w:val="00253075"/>
    <w:rsid w:val="002530AF"/>
    <w:rsid w:val="002531C6"/>
    <w:rsid w:val="002532F6"/>
    <w:rsid w:val="00253511"/>
    <w:rsid w:val="00253685"/>
    <w:rsid w:val="0025380C"/>
    <w:rsid w:val="00253959"/>
    <w:rsid w:val="0025399C"/>
    <w:rsid w:val="00253AF4"/>
    <w:rsid w:val="00253B92"/>
    <w:rsid w:val="00253E29"/>
    <w:rsid w:val="00253F56"/>
    <w:rsid w:val="00253FCA"/>
    <w:rsid w:val="00254001"/>
    <w:rsid w:val="002541E8"/>
    <w:rsid w:val="0025440D"/>
    <w:rsid w:val="00254433"/>
    <w:rsid w:val="0025447D"/>
    <w:rsid w:val="00254518"/>
    <w:rsid w:val="0025477A"/>
    <w:rsid w:val="00254811"/>
    <w:rsid w:val="00254A2E"/>
    <w:rsid w:val="00254AE8"/>
    <w:rsid w:val="00254C45"/>
    <w:rsid w:val="00254C83"/>
    <w:rsid w:val="00254F3E"/>
    <w:rsid w:val="00254F91"/>
    <w:rsid w:val="00254F96"/>
    <w:rsid w:val="00255152"/>
    <w:rsid w:val="0025546C"/>
    <w:rsid w:val="002555AB"/>
    <w:rsid w:val="00255611"/>
    <w:rsid w:val="0025574F"/>
    <w:rsid w:val="002557DB"/>
    <w:rsid w:val="0025588E"/>
    <w:rsid w:val="00255891"/>
    <w:rsid w:val="0025590D"/>
    <w:rsid w:val="00255A29"/>
    <w:rsid w:val="00255D27"/>
    <w:rsid w:val="00255E40"/>
    <w:rsid w:val="00255E48"/>
    <w:rsid w:val="00255EC8"/>
    <w:rsid w:val="00255ED4"/>
    <w:rsid w:val="00256035"/>
    <w:rsid w:val="002562B9"/>
    <w:rsid w:val="0025645D"/>
    <w:rsid w:val="0025653D"/>
    <w:rsid w:val="002566DB"/>
    <w:rsid w:val="00256777"/>
    <w:rsid w:val="002568C2"/>
    <w:rsid w:val="00256A68"/>
    <w:rsid w:val="00256B00"/>
    <w:rsid w:val="00256BFE"/>
    <w:rsid w:val="00256D20"/>
    <w:rsid w:val="00256E1D"/>
    <w:rsid w:val="00256EC3"/>
    <w:rsid w:val="00256EED"/>
    <w:rsid w:val="0025715B"/>
    <w:rsid w:val="002572A8"/>
    <w:rsid w:val="0025744A"/>
    <w:rsid w:val="002575B8"/>
    <w:rsid w:val="00257752"/>
    <w:rsid w:val="0025775F"/>
    <w:rsid w:val="002578A4"/>
    <w:rsid w:val="002578EF"/>
    <w:rsid w:val="002579D3"/>
    <w:rsid w:val="00257A5F"/>
    <w:rsid w:val="00257B68"/>
    <w:rsid w:val="00257B9B"/>
    <w:rsid w:val="00257DD5"/>
    <w:rsid w:val="00257F42"/>
    <w:rsid w:val="00257F72"/>
    <w:rsid w:val="00260082"/>
    <w:rsid w:val="0026018A"/>
    <w:rsid w:val="0026023D"/>
    <w:rsid w:val="0026054F"/>
    <w:rsid w:val="00260645"/>
    <w:rsid w:val="00260890"/>
    <w:rsid w:val="00260951"/>
    <w:rsid w:val="002609FB"/>
    <w:rsid w:val="00260A44"/>
    <w:rsid w:val="00260A8D"/>
    <w:rsid w:val="00260AA0"/>
    <w:rsid w:val="00260BA8"/>
    <w:rsid w:val="00260C17"/>
    <w:rsid w:val="00260CD2"/>
    <w:rsid w:val="00260E61"/>
    <w:rsid w:val="00260EC1"/>
    <w:rsid w:val="00261130"/>
    <w:rsid w:val="00261160"/>
    <w:rsid w:val="00261540"/>
    <w:rsid w:val="002615F3"/>
    <w:rsid w:val="00261744"/>
    <w:rsid w:val="00261924"/>
    <w:rsid w:val="002619EC"/>
    <w:rsid w:val="00261AF6"/>
    <w:rsid w:val="00261C67"/>
    <w:rsid w:val="00261DE6"/>
    <w:rsid w:val="00261F49"/>
    <w:rsid w:val="00262242"/>
    <w:rsid w:val="002622A1"/>
    <w:rsid w:val="0026236C"/>
    <w:rsid w:val="002623C3"/>
    <w:rsid w:val="002627BF"/>
    <w:rsid w:val="0026299A"/>
    <w:rsid w:val="00262A0A"/>
    <w:rsid w:val="00262D53"/>
    <w:rsid w:val="00262D7E"/>
    <w:rsid w:val="00262E49"/>
    <w:rsid w:val="00263019"/>
    <w:rsid w:val="00263195"/>
    <w:rsid w:val="00263218"/>
    <w:rsid w:val="0026333B"/>
    <w:rsid w:val="002633FC"/>
    <w:rsid w:val="00263739"/>
    <w:rsid w:val="002637F2"/>
    <w:rsid w:val="00263824"/>
    <w:rsid w:val="00263953"/>
    <w:rsid w:val="00263B3B"/>
    <w:rsid w:val="00263B42"/>
    <w:rsid w:val="00263B9A"/>
    <w:rsid w:val="0026454C"/>
    <w:rsid w:val="00264768"/>
    <w:rsid w:val="00264878"/>
    <w:rsid w:val="00264AD6"/>
    <w:rsid w:val="00264AF6"/>
    <w:rsid w:val="00264B4C"/>
    <w:rsid w:val="00264BE7"/>
    <w:rsid w:val="00264FCA"/>
    <w:rsid w:val="00265032"/>
    <w:rsid w:val="002650B4"/>
    <w:rsid w:val="002651A8"/>
    <w:rsid w:val="00265247"/>
    <w:rsid w:val="00265248"/>
    <w:rsid w:val="002654AE"/>
    <w:rsid w:val="0026553C"/>
    <w:rsid w:val="00265655"/>
    <w:rsid w:val="002656B8"/>
    <w:rsid w:val="00265947"/>
    <w:rsid w:val="00265B16"/>
    <w:rsid w:val="00265BAD"/>
    <w:rsid w:val="00265C79"/>
    <w:rsid w:val="00265CCA"/>
    <w:rsid w:val="00265CE4"/>
    <w:rsid w:val="00265FE7"/>
    <w:rsid w:val="0026603E"/>
    <w:rsid w:val="00266062"/>
    <w:rsid w:val="0026606D"/>
    <w:rsid w:val="00266074"/>
    <w:rsid w:val="0026609B"/>
    <w:rsid w:val="002661A9"/>
    <w:rsid w:val="00266536"/>
    <w:rsid w:val="002665AA"/>
    <w:rsid w:val="0026663B"/>
    <w:rsid w:val="0026668C"/>
    <w:rsid w:val="00266818"/>
    <w:rsid w:val="00266A33"/>
    <w:rsid w:val="00266AD1"/>
    <w:rsid w:val="00266B3A"/>
    <w:rsid w:val="00266BB2"/>
    <w:rsid w:val="00266BCE"/>
    <w:rsid w:val="00266D28"/>
    <w:rsid w:val="00266D7D"/>
    <w:rsid w:val="00266DAD"/>
    <w:rsid w:val="00266E72"/>
    <w:rsid w:val="00267645"/>
    <w:rsid w:val="00267701"/>
    <w:rsid w:val="0026770A"/>
    <w:rsid w:val="00267D17"/>
    <w:rsid w:val="00267D71"/>
    <w:rsid w:val="00267F4C"/>
    <w:rsid w:val="00267FC3"/>
    <w:rsid w:val="00270028"/>
    <w:rsid w:val="002701EC"/>
    <w:rsid w:val="0027023B"/>
    <w:rsid w:val="00270357"/>
    <w:rsid w:val="0027049F"/>
    <w:rsid w:val="002704AB"/>
    <w:rsid w:val="0027054A"/>
    <w:rsid w:val="002705A5"/>
    <w:rsid w:val="002707C9"/>
    <w:rsid w:val="002707E5"/>
    <w:rsid w:val="00270986"/>
    <w:rsid w:val="002709FB"/>
    <w:rsid w:val="00270E9D"/>
    <w:rsid w:val="00270EE6"/>
    <w:rsid w:val="00270FB6"/>
    <w:rsid w:val="00271204"/>
    <w:rsid w:val="002712AE"/>
    <w:rsid w:val="0027131D"/>
    <w:rsid w:val="00271577"/>
    <w:rsid w:val="0027159D"/>
    <w:rsid w:val="00271609"/>
    <w:rsid w:val="00271634"/>
    <w:rsid w:val="002716F4"/>
    <w:rsid w:val="00271947"/>
    <w:rsid w:val="002719E0"/>
    <w:rsid w:val="00271B99"/>
    <w:rsid w:val="00271C40"/>
    <w:rsid w:val="00271E1C"/>
    <w:rsid w:val="0027205A"/>
    <w:rsid w:val="002720A9"/>
    <w:rsid w:val="002720BB"/>
    <w:rsid w:val="002721C6"/>
    <w:rsid w:val="002721FD"/>
    <w:rsid w:val="002722B4"/>
    <w:rsid w:val="0027235C"/>
    <w:rsid w:val="0027265C"/>
    <w:rsid w:val="00272709"/>
    <w:rsid w:val="00272798"/>
    <w:rsid w:val="00272CDE"/>
    <w:rsid w:val="002731E8"/>
    <w:rsid w:val="00273279"/>
    <w:rsid w:val="0027352E"/>
    <w:rsid w:val="00273718"/>
    <w:rsid w:val="0027375A"/>
    <w:rsid w:val="002738F4"/>
    <w:rsid w:val="00273A68"/>
    <w:rsid w:val="00273A7F"/>
    <w:rsid w:val="00273CB4"/>
    <w:rsid w:val="00273DDE"/>
    <w:rsid w:val="0027426B"/>
    <w:rsid w:val="00274277"/>
    <w:rsid w:val="00274404"/>
    <w:rsid w:val="00274718"/>
    <w:rsid w:val="00274AC8"/>
    <w:rsid w:val="00274AD3"/>
    <w:rsid w:val="00274C48"/>
    <w:rsid w:val="00274F35"/>
    <w:rsid w:val="00274F5E"/>
    <w:rsid w:val="00275069"/>
    <w:rsid w:val="00275216"/>
    <w:rsid w:val="0027537F"/>
    <w:rsid w:val="00275AA5"/>
    <w:rsid w:val="00275F37"/>
    <w:rsid w:val="00275FAF"/>
    <w:rsid w:val="0027605C"/>
    <w:rsid w:val="002760D2"/>
    <w:rsid w:val="0027619A"/>
    <w:rsid w:val="002761EC"/>
    <w:rsid w:val="0027642A"/>
    <w:rsid w:val="00276472"/>
    <w:rsid w:val="0027649D"/>
    <w:rsid w:val="002764A2"/>
    <w:rsid w:val="0027655E"/>
    <w:rsid w:val="002765C8"/>
    <w:rsid w:val="002765E7"/>
    <w:rsid w:val="00276741"/>
    <w:rsid w:val="00276846"/>
    <w:rsid w:val="00276869"/>
    <w:rsid w:val="00276898"/>
    <w:rsid w:val="00276A24"/>
    <w:rsid w:val="00276AB2"/>
    <w:rsid w:val="00276D5F"/>
    <w:rsid w:val="00276EF0"/>
    <w:rsid w:val="00277015"/>
    <w:rsid w:val="002772A1"/>
    <w:rsid w:val="002772C9"/>
    <w:rsid w:val="0027733D"/>
    <w:rsid w:val="002773A0"/>
    <w:rsid w:val="002773DB"/>
    <w:rsid w:val="0027755F"/>
    <w:rsid w:val="002779E1"/>
    <w:rsid w:val="0028004E"/>
    <w:rsid w:val="0028007C"/>
    <w:rsid w:val="00280125"/>
    <w:rsid w:val="002801E4"/>
    <w:rsid w:val="00280452"/>
    <w:rsid w:val="00280456"/>
    <w:rsid w:val="002806F7"/>
    <w:rsid w:val="0028077F"/>
    <w:rsid w:val="00280826"/>
    <w:rsid w:val="002808DA"/>
    <w:rsid w:val="00280A02"/>
    <w:rsid w:val="00280A46"/>
    <w:rsid w:val="00280B47"/>
    <w:rsid w:val="00280B62"/>
    <w:rsid w:val="00280B98"/>
    <w:rsid w:val="00280D38"/>
    <w:rsid w:val="00280D65"/>
    <w:rsid w:val="00281014"/>
    <w:rsid w:val="002810B1"/>
    <w:rsid w:val="00281102"/>
    <w:rsid w:val="002812BB"/>
    <w:rsid w:val="002813BB"/>
    <w:rsid w:val="002813CF"/>
    <w:rsid w:val="002813D9"/>
    <w:rsid w:val="00281451"/>
    <w:rsid w:val="002814FB"/>
    <w:rsid w:val="00281633"/>
    <w:rsid w:val="0028167B"/>
    <w:rsid w:val="002816FE"/>
    <w:rsid w:val="002818D8"/>
    <w:rsid w:val="00281C41"/>
    <w:rsid w:val="00281ED7"/>
    <w:rsid w:val="00281FDC"/>
    <w:rsid w:val="002820E2"/>
    <w:rsid w:val="0028242D"/>
    <w:rsid w:val="00282447"/>
    <w:rsid w:val="00282826"/>
    <w:rsid w:val="0028298B"/>
    <w:rsid w:val="00282A3F"/>
    <w:rsid w:val="00282A5C"/>
    <w:rsid w:val="00282AFF"/>
    <w:rsid w:val="00282D86"/>
    <w:rsid w:val="00282F73"/>
    <w:rsid w:val="00282F78"/>
    <w:rsid w:val="0028302A"/>
    <w:rsid w:val="002830CE"/>
    <w:rsid w:val="00283100"/>
    <w:rsid w:val="00283110"/>
    <w:rsid w:val="002831BF"/>
    <w:rsid w:val="00283217"/>
    <w:rsid w:val="002833C3"/>
    <w:rsid w:val="00283419"/>
    <w:rsid w:val="0028372F"/>
    <w:rsid w:val="00283827"/>
    <w:rsid w:val="00283A25"/>
    <w:rsid w:val="00283B1F"/>
    <w:rsid w:val="00283BE7"/>
    <w:rsid w:val="00283CF6"/>
    <w:rsid w:val="00283DAB"/>
    <w:rsid w:val="00283DE5"/>
    <w:rsid w:val="00283E0C"/>
    <w:rsid w:val="00283E5D"/>
    <w:rsid w:val="00283E9B"/>
    <w:rsid w:val="00283F58"/>
    <w:rsid w:val="00284197"/>
    <w:rsid w:val="002841C7"/>
    <w:rsid w:val="00284207"/>
    <w:rsid w:val="0028456F"/>
    <w:rsid w:val="00284856"/>
    <w:rsid w:val="00284968"/>
    <w:rsid w:val="00284BFC"/>
    <w:rsid w:val="00284C44"/>
    <w:rsid w:val="00284CEB"/>
    <w:rsid w:val="00284D16"/>
    <w:rsid w:val="00284DAE"/>
    <w:rsid w:val="00284DE2"/>
    <w:rsid w:val="00285069"/>
    <w:rsid w:val="0028521F"/>
    <w:rsid w:val="002852B9"/>
    <w:rsid w:val="002853D0"/>
    <w:rsid w:val="002855C4"/>
    <w:rsid w:val="00285724"/>
    <w:rsid w:val="00285925"/>
    <w:rsid w:val="00285943"/>
    <w:rsid w:val="00285BD9"/>
    <w:rsid w:val="00286336"/>
    <w:rsid w:val="00286487"/>
    <w:rsid w:val="00286639"/>
    <w:rsid w:val="002866F0"/>
    <w:rsid w:val="0028684D"/>
    <w:rsid w:val="002868B9"/>
    <w:rsid w:val="0028693F"/>
    <w:rsid w:val="002869C9"/>
    <w:rsid w:val="00286A93"/>
    <w:rsid w:val="00286CED"/>
    <w:rsid w:val="00286D1E"/>
    <w:rsid w:val="0028707A"/>
    <w:rsid w:val="002874EF"/>
    <w:rsid w:val="002875EA"/>
    <w:rsid w:val="002875EC"/>
    <w:rsid w:val="002876B4"/>
    <w:rsid w:val="002878B9"/>
    <w:rsid w:val="0028790A"/>
    <w:rsid w:val="00287924"/>
    <w:rsid w:val="00287AB3"/>
    <w:rsid w:val="00287BFB"/>
    <w:rsid w:val="00287CCB"/>
    <w:rsid w:val="00287F28"/>
    <w:rsid w:val="002901BE"/>
    <w:rsid w:val="00290338"/>
    <w:rsid w:val="0029038B"/>
    <w:rsid w:val="00290607"/>
    <w:rsid w:val="002907F4"/>
    <w:rsid w:val="00290AE1"/>
    <w:rsid w:val="00290B58"/>
    <w:rsid w:val="00290BBC"/>
    <w:rsid w:val="00290C02"/>
    <w:rsid w:val="00290C11"/>
    <w:rsid w:val="00290CE2"/>
    <w:rsid w:val="00290D66"/>
    <w:rsid w:val="002910BC"/>
    <w:rsid w:val="00291186"/>
    <w:rsid w:val="0029132E"/>
    <w:rsid w:val="00291431"/>
    <w:rsid w:val="00291763"/>
    <w:rsid w:val="00291824"/>
    <w:rsid w:val="00291942"/>
    <w:rsid w:val="00291E39"/>
    <w:rsid w:val="00291E44"/>
    <w:rsid w:val="00291EA6"/>
    <w:rsid w:val="00291F1B"/>
    <w:rsid w:val="00292178"/>
    <w:rsid w:val="002921CB"/>
    <w:rsid w:val="0029235B"/>
    <w:rsid w:val="002925FE"/>
    <w:rsid w:val="00292750"/>
    <w:rsid w:val="00292782"/>
    <w:rsid w:val="00292861"/>
    <w:rsid w:val="00292865"/>
    <w:rsid w:val="002928B9"/>
    <w:rsid w:val="002929DD"/>
    <w:rsid w:val="00292A5F"/>
    <w:rsid w:val="00292AF1"/>
    <w:rsid w:val="00292B21"/>
    <w:rsid w:val="00292B34"/>
    <w:rsid w:val="00292C5F"/>
    <w:rsid w:val="00292CA1"/>
    <w:rsid w:val="00292D30"/>
    <w:rsid w:val="00292F7E"/>
    <w:rsid w:val="00292F88"/>
    <w:rsid w:val="002931DD"/>
    <w:rsid w:val="002934AA"/>
    <w:rsid w:val="00293781"/>
    <w:rsid w:val="002938BB"/>
    <w:rsid w:val="00293C31"/>
    <w:rsid w:val="00293C88"/>
    <w:rsid w:val="00293CEE"/>
    <w:rsid w:val="00293DF6"/>
    <w:rsid w:val="002940B5"/>
    <w:rsid w:val="002944E3"/>
    <w:rsid w:val="002945E9"/>
    <w:rsid w:val="002947B1"/>
    <w:rsid w:val="00294AAA"/>
    <w:rsid w:val="00294C4D"/>
    <w:rsid w:val="002950A7"/>
    <w:rsid w:val="00295136"/>
    <w:rsid w:val="0029519F"/>
    <w:rsid w:val="00295389"/>
    <w:rsid w:val="002955D3"/>
    <w:rsid w:val="002958B2"/>
    <w:rsid w:val="002959F0"/>
    <w:rsid w:val="00295A6A"/>
    <w:rsid w:val="00295B19"/>
    <w:rsid w:val="00295BE8"/>
    <w:rsid w:val="00295C5B"/>
    <w:rsid w:val="002960C3"/>
    <w:rsid w:val="00296368"/>
    <w:rsid w:val="00296422"/>
    <w:rsid w:val="0029656D"/>
    <w:rsid w:val="0029674F"/>
    <w:rsid w:val="002967B1"/>
    <w:rsid w:val="002967DC"/>
    <w:rsid w:val="00296825"/>
    <w:rsid w:val="00296878"/>
    <w:rsid w:val="002968DD"/>
    <w:rsid w:val="00296AF7"/>
    <w:rsid w:val="00296C31"/>
    <w:rsid w:val="00296D25"/>
    <w:rsid w:val="00296FAD"/>
    <w:rsid w:val="00297021"/>
    <w:rsid w:val="002970D6"/>
    <w:rsid w:val="0029710C"/>
    <w:rsid w:val="002972D5"/>
    <w:rsid w:val="00297313"/>
    <w:rsid w:val="002973B9"/>
    <w:rsid w:val="002973C6"/>
    <w:rsid w:val="00297500"/>
    <w:rsid w:val="002978B0"/>
    <w:rsid w:val="0029795A"/>
    <w:rsid w:val="00297A0A"/>
    <w:rsid w:val="00297DD8"/>
    <w:rsid w:val="002A0261"/>
    <w:rsid w:val="002A0268"/>
    <w:rsid w:val="002A032F"/>
    <w:rsid w:val="002A033B"/>
    <w:rsid w:val="002A06F2"/>
    <w:rsid w:val="002A07AE"/>
    <w:rsid w:val="002A07C2"/>
    <w:rsid w:val="002A09FF"/>
    <w:rsid w:val="002A0F6C"/>
    <w:rsid w:val="002A0FF8"/>
    <w:rsid w:val="002A10D4"/>
    <w:rsid w:val="002A1341"/>
    <w:rsid w:val="002A1832"/>
    <w:rsid w:val="002A18E7"/>
    <w:rsid w:val="002A1A05"/>
    <w:rsid w:val="002A1A1C"/>
    <w:rsid w:val="002A1A49"/>
    <w:rsid w:val="002A1AB5"/>
    <w:rsid w:val="002A1B04"/>
    <w:rsid w:val="002A1F06"/>
    <w:rsid w:val="002A1F18"/>
    <w:rsid w:val="002A21BE"/>
    <w:rsid w:val="002A22C4"/>
    <w:rsid w:val="002A23B9"/>
    <w:rsid w:val="002A2515"/>
    <w:rsid w:val="002A252F"/>
    <w:rsid w:val="002A2571"/>
    <w:rsid w:val="002A277C"/>
    <w:rsid w:val="002A2D8B"/>
    <w:rsid w:val="002A2F2A"/>
    <w:rsid w:val="002A31CC"/>
    <w:rsid w:val="002A3464"/>
    <w:rsid w:val="002A35BD"/>
    <w:rsid w:val="002A367F"/>
    <w:rsid w:val="002A3685"/>
    <w:rsid w:val="002A3B71"/>
    <w:rsid w:val="002A3B96"/>
    <w:rsid w:val="002A3C2D"/>
    <w:rsid w:val="002A3C33"/>
    <w:rsid w:val="002A3CBB"/>
    <w:rsid w:val="002A3E33"/>
    <w:rsid w:val="002A3F65"/>
    <w:rsid w:val="002A425A"/>
    <w:rsid w:val="002A4323"/>
    <w:rsid w:val="002A444B"/>
    <w:rsid w:val="002A45F5"/>
    <w:rsid w:val="002A46F8"/>
    <w:rsid w:val="002A4747"/>
    <w:rsid w:val="002A48C4"/>
    <w:rsid w:val="002A4946"/>
    <w:rsid w:val="002A4CB1"/>
    <w:rsid w:val="002A4CD2"/>
    <w:rsid w:val="002A4D00"/>
    <w:rsid w:val="002A4E44"/>
    <w:rsid w:val="002A4F04"/>
    <w:rsid w:val="002A50E1"/>
    <w:rsid w:val="002A50F7"/>
    <w:rsid w:val="002A5149"/>
    <w:rsid w:val="002A535A"/>
    <w:rsid w:val="002A53AF"/>
    <w:rsid w:val="002A5674"/>
    <w:rsid w:val="002A58E7"/>
    <w:rsid w:val="002A5905"/>
    <w:rsid w:val="002A5A8F"/>
    <w:rsid w:val="002A5B92"/>
    <w:rsid w:val="002A5CE9"/>
    <w:rsid w:val="002A5FC7"/>
    <w:rsid w:val="002A600F"/>
    <w:rsid w:val="002A6019"/>
    <w:rsid w:val="002A6055"/>
    <w:rsid w:val="002A6109"/>
    <w:rsid w:val="002A63AC"/>
    <w:rsid w:val="002A63B1"/>
    <w:rsid w:val="002A661C"/>
    <w:rsid w:val="002A67DA"/>
    <w:rsid w:val="002A6956"/>
    <w:rsid w:val="002A69F3"/>
    <w:rsid w:val="002A6C2E"/>
    <w:rsid w:val="002A6CBA"/>
    <w:rsid w:val="002A6CED"/>
    <w:rsid w:val="002A6D18"/>
    <w:rsid w:val="002A6D8F"/>
    <w:rsid w:val="002A6DB9"/>
    <w:rsid w:val="002A6E46"/>
    <w:rsid w:val="002A6F1F"/>
    <w:rsid w:val="002A715B"/>
    <w:rsid w:val="002A71AC"/>
    <w:rsid w:val="002A73AF"/>
    <w:rsid w:val="002A75EB"/>
    <w:rsid w:val="002A7620"/>
    <w:rsid w:val="002A766C"/>
    <w:rsid w:val="002A798A"/>
    <w:rsid w:val="002A7A40"/>
    <w:rsid w:val="002A7B10"/>
    <w:rsid w:val="002A7EC1"/>
    <w:rsid w:val="002A7EC3"/>
    <w:rsid w:val="002B0171"/>
    <w:rsid w:val="002B024E"/>
    <w:rsid w:val="002B02FE"/>
    <w:rsid w:val="002B0347"/>
    <w:rsid w:val="002B057A"/>
    <w:rsid w:val="002B074E"/>
    <w:rsid w:val="002B0ACA"/>
    <w:rsid w:val="002B0ADF"/>
    <w:rsid w:val="002B0B80"/>
    <w:rsid w:val="002B0C2D"/>
    <w:rsid w:val="002B0D83"/>
    <w:rsid w:val="002B0D87"/>
    <w:rsid w:val="002B0FA4"/>
    <w:rsid w:val="002B1183"/>
    <w:rsid w:val="002B118B"/>
    <w:rsid w:val="002B126E"/>
    <w:rsid w:val="002B12D4"/>
    <w:rsid w:val="002B1321"/>
    <w:rsid w:val="002B1386"/>
    <w:rsid w:val="002B159E"/>
    <w:rsid w:val="002B1A10"/>
    <w:rsid w:val="002B1A61"/>
    <w:rsid w:val="002B1BEB"/>
    <w:rsid w:val="002B1DC8"/>
    <w:rsid w:val="002B1F48"/>
    <w:rsid w:val="002B2015"/>
    <w:rsid w:val="002B212A"/>
    <w:rsid w:val="002B22CA"/>
    <w:rsid w:val="002B23CF"/>
    <w:rsid w:val="002B24BA"/>
    <w:rsid w:val="002B25A0"/>
    <w:rsid w:val="002B2676"/>
    <w:rsid w:val="002B278D"/>
    <w:rsid w:val="002B2808"/>
    <w:rsid w:val="002B2830"/>
    <w:rsid w:val="002B285F"/>
    <w:rsid w:val="002B2AAA"/>
    <w:rsid w:val="002B2B01"/>
    <w:rsid w:val="002B2C32"/>
    <w:rsid w:val="002B2CD0"/>
    <w:rsid w:val="002B2CE2"/>
    <w:rsid w:val="002B2FF4"/>
    <w:rsid w:val="002B311F"/>
    <w:rsid w:val="002B3225"/>
    <w:rsid w:val="002B33A6"/>
    <w:rsid w:val="002B34FB"/>
    <w:rsid w:val="002B3537"/>
    <w:rsid w:val="002B3566"/>
    <w:rsid w:val="002B3B46"/>
    <w:rsid w:val="002B3D04"/>
    <w:rsid w:val="002B3E70"/>
    <w:rsid w:val="002B3F60"/>
    <w:rsid w:val="002B40BD"/>
    <w:rsid w:val="002B4195"/>
    <w:rsid w:val="002B41BD"/>
    <w:rsid w:val="002B4216"/>
    <w:rsid w:val="002B4684"/>
    <w:rsid w:val="002B46BD"/>
    <w:rsid w:val="002B4862"/>
    <w:rsid w:val="002B48CA"/>
    <w:rsid w:val="002B49CB"/>
    <w:rsid w:val="002B4CCE"/>
    <w:rsid w:val="002B4D19"/>
    <w:rsid w:val="002B4D52"/>
    <w:rsid w:val="002B4DBA"/>
    <w:rsid w:val="002B4F7A"/>
    <w:rsid w:val="002B4FE6"/>
    <w:rsid w:val="002B50EF"/>
    <w:rsid w:val="002B5154"/>
    <w:rsid w:val="002B5360"/>
    <w:rsid w:val="002B546E"/>
    <w:rsid w:val="002B5484"/>
    <w:rsid w:val="002B54D7"/>
    <w:rsid w:val="002B559C"/>
    <w:rsid w:val="002B57A4"/>
    <w:rsid w:val="002B57E1"/>
    <w:rsid w:val="002B5914"/>
    <w:rsid w:val="002B599A"/>
    <w:rsid w:val="002B5A00"/>
    <w:rsid w:val="002B5C0E"/>
    <w:rsid w:val="002B5CBC"/>
    <w:rsid w:val="002B5CDC"/>
    <w:rsid w:val="002B5CF4"/>
    <w:rsid w:val="002B5D04"/>
    <w:rsid w:val="002B5D60"/>
    <w:rsid w:val="002B5E1E"/>
    <w:rsid w:val="002B5EBE"/>
    <w:rsid w:val="002B5FEC"/>
    <w:rsid w:val="002B604C"/>
    <w:rsid w:val="002B61AE"/>
    <w:rsid w:val="002B62BB"/>
    <w:rsid w:val="002B66B9"/>
    <w:rsid w:val="002B6739"/>
    <w:rsid w:val="002B6808"/>
    <w:rsid w:val="002B68D9"/>
    <w:rsid w:val="002B6B9E"/>
    <w:rsid w:val="002B7003"/>
    <w:rsid w:val="002B7166"/>
    <w:rsid w:val="002B761D"/>
    <w:rsid w:val="002B7732"/>
    <w:rsid w:val="002B77C8"/>
    <w:rsid w:val="002B788A"/>
    <w:rsid w:val="002B79E0"/>
    <w:rsid w:val="002B7ABA"/>
    <w:rsid w:val="002B7BB7"/>
    <w:rsid w:val="002B7EF4"/>
    <w:rsid w:val="002C0264"/>
    <w:rsid w:val="002C05D4"/>
    <w:rsid w:val="002C0620"/>
    <w:rsid w:val="002C0740"/>
    <w:rsid w:val="002C091E"/>
    <w:rsid w:val="002C09F4"/>
    <w:rsid w:val="002C0A6B"/>
    <w:rsid w:val="002C0BAA"/>
    <w:rsid w:val="002C0C21"/>
    <w:rsid w:val="002C0E87"/>
    <w:rsid w:val="002C106A"/>
    <w:rsid w:val="002C10E6"/>
    <w:rsid w:val="002C1289"/>
    <w:rsid w:val="002C1461"/>
    <w:rsid w:val="002C1494"/>
    <w:rsid w:val="002C1587"/>
    <w:rsid w:val="002C1750"/>
    <w:rsid w:val="002C1894"/>
    <w:rsid w:val="002C18EC"/>
    <w:rsid w:val="002C1A17"/>
    <w:rsid w:val="002C1C03"/>
    <w:rsid w:val="002C1CCD"/>
    <w:rsid w:val="002C1DE4"/>
    <w:rsid w:val="002C1E01"/>
    <w:rsid w:val="002C21BD"/>
    <w:rsid w:val="002C21D5"/>
    <w:rsid w:val="002C22CA"/>
    <w:rsid w:val="002C2368"/>
    <w:rsid w:val="002C24AE"/>
    <w:rsid w:val="002C253E"/>
    <w:rsid w:val="002C25AA"/>
    <w:rsid w:val="002C2686"/>
    <w:rsid w:val="002C282C"/>
    <w:rsid w:val="002C29F5"/>
    <w:rsid w:val="002C2A81"/>
    <w:rsid w:val="002C2AA4"/>
    <w:rsid w:val="002C2B2E"/>
    <w:rsid w:val="002C2C0C"/>
    <w:rsid w:val="002C2CD0"/>
    <w:rsid w:val="002C2D36"/>
    <w:rsid w:val="002C2F91"/>
    <w:rsid w:val="002C3148"/>
    <w:rsid w:val="002C3232"/>
    <w:rsid w:val="002C363E"/>
    <w:rsid w:val="002C3733"/>
    <w:rsid w:val="002C37FE"/>
    <w:rsid w:val="002C383A"/>
    <w:rsid w:val="002C38B6"/>
    <w:rsid w:val="002C38E7"/>
    <w:rsid w:val="002C39AC"/>
    <w:rsid w:val="002C39FC"/>
    <w:rsid w:val="002C39FE"/>
    <w:rsid w:val="002C3BD4"/>
    <w:rsid w:val="002C3CCE"/>
    <w:rsid w:val="002C3E05"/>
    <w:rsid w:val="002C4016"/>
    <w:rsid w:val="002C4499"/>
    <w:rsid w:val="002C47D8"/>
    <w:rsid w:val="002C47E8"/>
    <w:rsid w:val="002C492B"/>
    <w:rsid w:val="002C499A"/>
    <w:rsid w:val="002C4A5F"/>
    <w:rsid w:val="002C4CBD"/>
    <w:rsid w:val="002C4E90"/>
    <w:rsid w:val="002C502C"/>
    <w:rsid w:val="002C50EC"/>
    <w:rsid w:val="002C5101"/>
    <w:rsid w:val="002C563F"/>
    <w:rsid w:val="002C57CA"/>
    <w:rsid w:val="002C591D"/>
    <w:rsid w:val="002C5946"/>
    <w:rsid w:val="002C5F54"/>
    <w:rsid w:val="002C602A"/>
    <w:rsid w:val="002C6085"/>
    <w:rsid w:val="002C60E5"/>
    <w:rsid w:val="002C60E6"/>
    <w:rsid w:val="002C61FA"/>
    <w:rsid w:val="002C62C4"/>
    <w:rsid w:val="002C62C6"/>
    <w:rsid w:val="002C6379"/>
    <w:rsid w:val="002C63A7"/>
    <w:rsid w:val="002C6507"/>
    <w:rsid w:val="002C6882"/>
    <w:rsid w:val="002C6905"/>
    <w:rsid w:val="002C6937"/>
    <w:rsid w:val="002C6A4A"/>
    <w:rsid w:val="002C6D38"/>
    <w:rsid w:val="002C6E4E"/>
    <w:rsid w:val="002C6E70"/>
    <w:rsid w:val="002C6ED1"/>
    <w:rsid w:val="002C7222"/>
    <w:rsid w:val="002C743A"/>
    <w:rsid w:val="002C7458"/>
    <w:rsid w:val="002C7562"/>
    <w:rsid w:val="002C756D"/>
    <w:rsid w:val="002C77CA"/>
    <w:rsid w:val="002C786B"/>
    <w:rsid w:val="002C789E"/>
    <w:rsid w:val="002C79FE"/>
    <w:rsid w:val="002C7C6D"/>
    <w:rsid w:val="002C7D46"/>
    <w:rsid w:val="002C7F10"/>
    <w:rsid w:val="002C9C57"/>
    <w:rsid w:val="002D0018"/>
    <w:rsid w:val="002D00F5"/>
    <w:rsid w:val="002D00FF"/>
    <w:rsid w:val="002D011E"/>
    <w:rsid w:val="002D045D"/>
    <w:rsid w:val="002D05ED"/>
    <w:rsid w:val="002D06AF"/>
    <w:rsid w:val="002D077D"/>
    <w:rsid w:val="002D0810"/>
    <w:rsid w:val="002D086D"/>
    <w:rsid w:val="002D08BB"/>
    <w:rsid w:val="002D0AFE"/>
    <w:rsid w:val="002D0BF5"/>
    <w:rsid w:val="002D105C"/>
    <w:rsid w:val="002D10BC"/>
    <w:rsid w:val="002D128E"/>
    <w:rsid w:val="002D12DE"/>
    <w:rsid w:val="002D1651"/>
    <w:rsid w:val="002D1693"/>
    <w:rsid w:val="002D1826"/>
    <w:rsid w:val="002D1A17"/>
    <w:rsid w:val="002D1B14"/>
    <w:rsid w:val="002D1B98"/>
    <w:rsid w:val="002D1BA7"/>
    <w:rsid w:val="002D1BDE"/>
    <w:rsid w:val="002D1E9F"/>
    <w:rsid w:val="002D1F4C"/>
    <w:rsid w:val="002D20D7"/>
    <w:rsid w:val="002D215C"/>
    <w:rsid w:val="002D220A"/>
    <w:rsid w:val="002D222C"/>
    <w:rsid w:val="002D22D8"/>
    <w:rsid w:val="002D2443"/>
    <w:rsid w:val="002D24BC"/>
    <w:rsid w:val="002D25BC"/>
    <w:rsid w:val="002D25E9"/>
    <w:rsid w:val="002D289A"/>
    <w:rsid w:val="002D2A17"/>
    <w:rsid w:val="002D2AC3"/>
    <w:rsid w:val="002D2B4E"/>
    <w:rsid w:val="002D2CFF"/>
    <w:rsid w:val="002D2D48"/>
    <w:rsid w:val="002D2F31"/>
    <w:rsid w:val="002D2F34"/>
    <w:rsid w:val="002D3064"/>
    <w:rsid w:val="002D3074"/>
    <w:rsid w:val="002D31EA"/>
    <w:rsid w:val="002D31FC"/>
    <w:rsid w:val="002D3289"/>
    <w:rsid w:val="002D3384"/>
    <w:rsid w:val="002D3498"/>
    <w:rsid w:val="002D35D2"/>
    <w:rsid w:val="002D3626"/>
    <w:rsid w:val="002D3628"/>
    <w:rsid w:val="002D375F"/>
    <w:rsid w:val="002D3855"/>
    <w:rsid w:val="002D38AA"/>
    <w:rsid w:val="002D3C93"/>
    <w:rsid w:val="002D3E02"/>
    <w:rsid w:val="002D3EC6"/>
    <w:rsid w:val="002D3F39"/>
    <w:rsid w:val="002D3F40"/>
    <w:rsid w:val="002D40CA"/>
    <w:rsid w:val="002D411A"/>
    <w:rsid w:val="002D4127"/>
    <w:rsid w:val="002D4319"/>
    <w:rsid w:val="002D431C"/>
    <w:rsid w:val="002D43AF"/>
    <w:rsid w:val="002D4581"/>
    <w:rsid w:val="002D4624"/>
    <w:rsid w:val="002D48E9"/>
    <w:rsid w:val="002D4973"/>
    <w:rsid w:val="002D4D11"/>
    <w:rsid w:val="002D4DB9"/>
    <w:rsid w:val="002D4EA6"/>
    <w:rsid w:val="002D4EC5"/>
    <w:rsid w:val="002D5175"/>
    <w:rsid w:val="002D524E"/>
    <w:rsid w:val="002D5429"/>
    <w:rsid w:val="002D54E0"/>
    <w:rsid w:val="002D54EB"/>
    <w:rsid w:val="002D570E"/>
    <w:rsid w:val="002D5794"/>
    <w:rsid w:val="002D591F"/>
    <w:rsid w:val="002D5949"/>
    <w:rsid w:val="002D5998"/>
    <w:rsid w:val="002D5D2A"/>
    <w:rsid w:val="002D5DB2"/>
    <w:rsid w:val="002D62BE"/>
    <w:rsid w:val="002D6484"/>
    <w:rsid w:val="002D64C2"/>
    <w:rsid w:val="002D65B3"/>
    <w:rsid w:val="002D6988"/>
    <w:rsid w:val="002D69D0"/>
    <w:rsid w:val="002D6C51"/>
    <w:rsid w:val="002D6CEC"/>
    <w:rsid w:val="002D6E19"/>
    <w:rsid w:val="002D6E21"/>
    <w:rsid w:val="002D6E75"/>
    <w:rsid w:val="002D6FE4"/>
    <w:rsid w:val="002D70C5"/>
    <w:rsid w:val="002D76BA"/>
    <w:rsid w:val="002D7765"/>
    <w:rsid w:val="002D78B5"/>
    <w:rsid w:val="002D792D"/>
    <w:rsid w:val="002D7A59"/>
    <w:rsid w:val="002D7AC1"/>
    <w:rsid w:val="002D7AF4"/>
    <w:rsid w:val="002D7B52"/>
    <w:rsid w:val="002D7B9E"/>
    <w:rsid w:val="002D7D23"/>
    <w:rsid w:val="002D7D55"/>
    <w:rsid w:val="002D7E89"/>
    <w:rsid w:val="002E0076"/>
    <w:rsid w:val="002E0084"/>
    <w:rsid w:val="002E00A2"/>
    <w:rsid w:val="002E0185"/>
    <w:rsid w:val="002E0331"/>
    <w:rsid w:val="002E043A"/>
    <w:rsid w:val="002E04EF"/>
    <w:rsid w:val="002E04FC"/>
    <w:rsid w:val="002E0507"/>
    <w:rsid w:val="002E060D"/>
    <w:rsid w:val="002E07C4"/>
    <w:rsid w:val="002E092D"/>
    <w:rsid w:val="002E0C17"/>
    <w:rsid w:val="002E0F54"/>
    <w:rsid w:val="002E12C8"/>
    <w:rsid w:val="002E12ED"/>
    <w:rsid w:val="002E1446"/>
    <w:rsid w:val="002E15CA"/>
    <w:rsid w:val="002E16B6"/>
    <w:rsid w:val="002E16FB"/>
    <w:rsid w:val="002E1716"/>
    <w:rsid w:val="002E177B"/>
    <w:rsid w:val="002E181E"/>
    <w:rsid w:val="002E1953"/>
    <w:rsid w:val="002E1A01"/>
    <w:rsid w:val="002E1B5C"/>
    <w:rsid w:val="002E1D18"/>
    <w:rsid w:val="002E1D28"/>
    <w:rsid w:val="002E1DB3"/>
    <w:rsid w:val="002E1DD8"/>
    <w:rsid w:val="002E1DFE"/>
    <w:rsid w:val="002E209C"/>
    <w:rsid w:val="002E2392"/>
    <w:rsid w:val="002E23F6"/>
    <w:rsid w:val="002E24A9"/>
    <w:rsid w:val="002E2547"/>
    <w:rsid w:val="002E25FA"/>
    <w:rsid w:val="002E265E"/>
    <w:rsid w:val="002E26A6"/>
    <w:rsid w:val="002E2A16"/>
    <w:rsid w:val="002E2C30"/>
    <w:rsid w:val="002E2C41"/>
    <w:rsid w:val="002E2CBF"/>
    <w:rsid w:val="002E2E9A"/>
    <w:rsid w:val="002E2EF9"/>
    <w:rsid w:val="002E3051"/>
    <w:rsid w:val="002E3070"/>
    <w:rsid w:val="002E316D"/>
    <w:rsid w:val="002E33AA"/>
    <w:rsid w:val="002E33CB"/>
    <w:rsid w:val="002E3797"/>
    <w:rsid w:val="002E3883"/>
    <w:rsid w:val="002E3995"/>
    <w:rsid w:val="002E39E2"/>
    <w:rsid w:val="002E3D75"/>
    <w:rsid w:val="002E3FF0"/>
    <w:rsid w:val="002E40A2"/>
    <w:rsid w:val="002E40F9"/>
    <w:rsid w:val="002E4122"/>
    <w:rsid w:val="002E413B"/>
    <w:rsid w:val="002E4273"/>
    <w:rsid w:val="002E4423"/>
    <w:rsid w:val="002E442C"/>
    <w:rsid w:val="002E4547"/>
    <w:rsid w:val="002E45FB"/>
    <w:rsid w:val="002E46E5"/>
    <w:rsid w:val="002E4961"/>
    <w:rsid w:val="002E49A2"/>
    <w:rsid w:val="002E4DC7"/>
    <w:rsid w:val="002E4E51"/>
    <w:rsid w:val="002E5029"/>
    <w:rsid w:val="002E505E"/>
    <w:rsid w:val="002E5281"/>
    <w:rsid w:val="002E52FF"/>
    <w:rsid w:val="002E5320"/>
    <w:rsid w:val="002E5537"/>
    <w:rsid w:val="002E5A6E"/>
    <w:rsid w:val="002E5CC7"/>
    <w:rsid w:val="002E5DE8"/>
    <w:rsid w:val="002E5E52"/>
    <w:rsid w:val="002E5EE2"/>
    <w:rsid w:val="002E5FEE"/>
    <w:rsid w:val="002E62CF"/>
    <w:rsid w:val="002E6381"/>
    <w:rsid w:val="002E63A7"/>
    <w:rsid w:val="002E64B0"/>
    <w:rsid w:val="002E64E2"/>
    <w:rsid w:val="002E66B1"/>
    <w:rsid w:val="002E672E"/>
    <w:rsid w:val="002E69FC"/>
    <w:rsid w:val="002E6AF7"/>
    <w:rsid w:val="002E6D8E"/>
    <w:rsid w:val="002E700C"/>
    <w:rsid w:val="002E71FB"/>
    <w:rsid w:val="002E7262"/>
    <w:rsid w:val="002E72F4"/>
    <w:rsid w:val="002E73E8"/>
    <w:rsid w:val="002E7496"/>
    <w:rsid w:val="002E752B"/>
    <w:rsid w:val="002E7552"/>
    <w:rsid w:val="002E7629"/>
    <w:rsid w:val="002E7642"/>
    <w:rsid w:val="002E76E3"/>
    <w:rsid w:val="002E7859"/>
    <w:rsid w:val="002E79DC"/>
    <w:rsid w:val="002E7B65"/>
    <w:rsid w:val="002E7D86"/>
    <w:rsid w:val="002E7EB0"/>
    <w:rsid w:val="002E7F9F"/>
    <w:rsid w:val="002E7FA6"/>
    <w:rsid w:val="002F04DC"/>
    <w:rsid w:val="002F0592"/>
    <w:rsid w:val="002F07D0"/>
    <w:rsid w:val="002F08FF"/>
    <w:rsid w:val="002F09AA"/>
    <w:rsid w:val="002F09F8"/>
    <w:rsid w:val="002F0AEC"/>
    <w:rsid w:val="002F0B1B"/>
    <w:rsid w:val="002F0B6A"/>
    <w:rsid w:val="002F0D46"/>
    <w:rsid w:val="002F0D68"/>
    <w:rsid w:val="002F0D9B"/>
    <w:rsid w:val="002F0DAF"/>
    <w:rsid w:val="002F1179"/>
    <w:rsid w:val="002F13CA"/>
    <w:rsid w:val="002F14AD"/>
    <w:rsid w:val="002F1657"/>
    <w:rsid w:val="002F167B"/>
    <w:rsid w:val="002F16F7"/>
    <w:rsid w:val="002F191D"/>
    <w:rsid w:val="002F19A8"/>
    <w:rsid w:val="002F1C78"/>
    <w:rsid w:val="002F1D65"/>
    <w:rsid w:val="002F1FB9"/>
    <w:rsid w:val="002F2151"/>
    <w:rsid w:val="002F21D1"/>
    <w:rsid w:val="002F2300"/>
    <w:rsid w:val="002F236E"/>
    <w:rsid w:val="002F2395"/>
    <w:rsid w:val="002F23F6"/>
    <w:rsid w:val="002F246E"/>
    <w:rsid w:val="002F25F6"/>
    <w:rsid w:val="002F25FD"/>
    <w:rsid w:val="002F2707"/>
    <w:rsid w:val="002F277E"/>
    <w:rsid w:val="002F2845"/>
    <w:rsid w:val="002F28A2"/>
    <w:rsid w:val="002F2937"/>
    <w:rsid w:val="002F2B88"/>
    <w:rsid w:val="002F2D2C"/>
    <w:rsid w:val="002F2E4F"/>
    <w:rsid w:val="002F2F09"/>
    <w:rsid w:val="002F2FD8"/>
    <w:rsid w:val="002F30B2"/>
    <w:rsid w:val="002F30D9"/>
    <w:rsid w:val="002F326B"/>
    <w:rsid w:val="002F3368"/>
    <w:rsid w:val="002F346A"/>
    <w:rsid w:val="002F3777"/>
    <w:rsid w:val="002F3820"/>
    <w:rsid w:val="002F3863"/>
    <w:rsid w:val="002F386D"/>
    <w:rsid w:val="002F3893"/>
    <w:rsid w:val="002F3B39"/>
    <w:rsid w:val="002F3F02"/>
    <w:rsid w:val="002F3F53"/>
    <w:rsid w:val="002F3F8E"/>
    <w:rsid w:val="002F4068"/>
    <w:rsid w:val="002F4174"/>
    <w:rsid w:val="002F41B5"/>
    <w:rsid w:val="002F41DB"/>
    <w:rsid w:val="002F41EA"/>
    <w:rsid w:val="002F43EC"/>
    <w:rsid w:val="002F445D"/>
    <w:rsid w:val="002F477A"/>
    <w:rsid w:val="002F478F"/>
    <w:rsid w:val="002F4799"/>
    <w:rsid w:val="002F4858"/>
    <w:rsid w:val="002F4A51"/>
    <w:rsid w:val="002F4AF7"/>
    <w:rsid w:val="002F4B6D"/>
    <w:rsid w:val="002F4BF5"/>
    <w:rsid w:val="002F5097"/>
    <w:rsid w:val="002F5179"/>
    <w:rsid w:val="002F56F3"/>
    <w:rsid w:val="002F592C"/>
    <w:rsid w:val="002F5935"/>
    <w:rsid w:val="002F59E1"/>
    <w:rsid w:val="002F5D96"/>
    <w:rsid w:val="002F5E97"/>
    <w:rsid w:val="002F5F6A"/>
    <w:rsid w:val="002F61CD"/>
    <w:rsid w:val="002F675C"/>
    <w:rsid w:val="002F685E"/>
    <w:rsid w:val="002F687D"/>
    <w:rsid w:val="002F68D9"/>
    <w:rsid w:val="002F6972"/>
    <w:rsid w:val="002F6BC9"/>
    <w:rsid w:val="002F6C12"/>
    <w:rsid w:val="002F6C94"/>
    <w:rsid w:val="002F6D0D"/>
    <w:rsid w:val="002F6DD1"/>
    <w:rsid w:val="002F6DE8"/>
    <w:rsid w:val="002F6F13"/>
    <w:rsid w:val="002F708A"/>
    <w:rsid w:val="002F7159"/>
    <w:rsid w:val="002F724C"/>
    <w:rsid w:val="002F736A"/>
    <w:rsid w:val="002F7460"/>
    <w:rsid w:val="002F74AB"/>
    <w:rsid w:val="002F74FC"/>
    <w:rsid w:val="002F750C"/>
    <w:rsid w:val="002F751A"/>
    <w:rsid w:val="002F7837"/>
    <w:rsid w:val="002F797E"/>
    <w:rsid w:val="002F79C5"/>
    <w:rsid w:val="002F7BCE"/>
    <w:rsid w:val="002F7E68"/>
    <w:rsid w:val="002F7ED9"/>
    <w:rsid w:val="002F7EFE"/>
    <w:rsid w:val="003000C0"/>
    <w:rsid w:val="00300105"/>
    <w:rsid w:val="0030019E"/>
    <w:rsid w:val="003004A7"/>
    <w:rsid w:val="003006CC"/>
    <w:rsid w:val="003006E4"/>
    <w:rsid w:val="003007DE"/>
    <w:rsid w:val="00300943"/>
    <w:rsid w:val="003009A2"/>
    <w:rsid w:val="003009BD"/>
    <w:rsid w:val="00300D6B"/>
    <w:rsid w:val="00300DA3"/>
    <w:rsid w:val="00300E9F"/>
    <w:rsid w:val="00300FA2"/>
    <w:rsid w:val="00301417"/>
    <w:rsid w:val="00301472"/>
    <w:rsid w:val="00301731"/>
    <w:rsid w:val="00301973"/>
    <w:rsid w:val="00301B8A"/>
    <w:rsid w:val="00301CB1"/>
    <w:rsid w:val="00301DCA"/>
    <w:rsid w:val="0030215B"/>
    <w:rsid w:val="00302252"/>
    <w:rsid w:val="00302314"/>
    <w:rsid w:val="003024AA"/>
    <w:rsid w:val="003024F2"/>
    <w:rsid w:val="0030257C"/>
    <w:rsid w:val="00302715"/>
    <w:rsid w:val="00302731"/>
    <w:rsid w:val="003027C0"/>
    <w:rsid w:val="003027CF"/>
    <w:rsid w:val="00302889"/>
    <w:rsid w:val="003028E9"/>
    <w:rsid w:val="00302B81"/>
    <w:rsid w:val="00302BFD"/>
    <w:rsid w:val="00302C70"/>
    <w:rsid w:val="00302E7D"/>
    <w:rsid w:val="00302F87"/>
    <w:rsid w:val="0030301A"/>
    <w:rsid w:val="003033FF"/>
    <w:rsid w:val="00303411"/>
    <w:rsid w:val="00303455"/>
    <w:rsid w:val="003034B0"/>
    <w:rsid w:val="00303558"/>
    <w:rsid w:val="003037D2"/>
    <w:rsid w:val="00303C98"/>
    <w:rsid w:val="00303D62"/>
    <w:rsid w:val="003040B9"/>
    <w:rsid w:val="003040D9"/>
    <w:rsid w:val="003042B1"/>
    <w:rsid w:val="003043BB"/>
    <w:rsid w:val="00304412"/>
    <w:rsid w:val="003044AE"/>
    <w:rsid w:val="003046D4"/>
    <w:rsid w:val="00304AFF"/>
    <w:rsid w:val="00304BAC"/>
    <w:rsid w:val="00304EE3"/>
    <w:rsid w:val="003050FC"/>
    <w:rsid w:val="003053D7"/>
    <w:rsid w:val="003056B3"/>
    <w:rsid w:val="00305771"/>
    <w:rsid w:val="0030580E"/>
    <w:rsid w:val="00305A92"/>
    <w:rsid w:val="00305A98"/>
    <w:rsid w:val="00305B1B"/>
    <w:rsid w:val="00305B49"/>
    <w:rsid w:val="00305B77"/>
    <w:rsid w:val="00305BF6"/>
    <w:rsid w:val="00305D47"/>
    <w:rsid w:val="00305E2C"/>
    <w:rsid w:val="00305ECA"/>
    <w:rsid w:val="00305F2C"/>
    <w:rsid w:val="00305FBD"/>
    <w:rsid w:val="00306369"/>
    <w:rsid w:val="0030647F"/>
    <w:rsid w:val="003065B6"/>
    <w:rsid w:val="003065F0"/>
    <w:rsid w:val="0030690C"/>
    <w:rsid w:val="00306959"/>
    <w:rsid w:val="00306A0F"/>
    <w:rsid w:val="00306ADE"/>
    <w:rsid w:val="00306CE2"/>
    <w:rsid w:val="00306D62"/>
    <w:rsid w:val="003070AB"/>
    <w:rsid w:val="003071AF"/>
    <w:rsid w:val="0030723D"/>
    <w:rsid w:val="00307270"/>
    <w:rsid w:val="00307298"/>
    <w:rsid w:val="0030744C"/>
    <w:rsid w:val="003076D9"/>
    <w:rsid w:val="003077F4"/>
    <w:rsid w:val="00307AEF"/>
    <w:rsid w:val="00307B00"/>
    <w:rsid w:val="00307C0D"/>
    <w:rsid w:val="00307E3C"/>
    <w:rsid w:val="00307FE1"/>
    <w:rsid w:val="003100A8"/>
    <w:rsid w:val="003102B5"/>
    <w:rsid w:val="00310533"/>
    <w:rsid w:val="00310595"/>
    <w:rsid w:val="003105ED"/>
    <w:rsid w:val="00310627"/>
    <w:rsid w:val="0031067F"/>
    <w:rsid w:val="0031079A"/>
    <w:rsid w:val="0031089A"/>
    <w:rsid w:val="003109AA"/>
    <w:rsid w:val="00310B7B"/>
    <w:rsid w:val="00310B7C"/>
    <w:rsid w:val="00310C78"/>
    <w:rsid w:val="00310CA7"/>
    <w:rsid w:val="00310DB2"/>
    <w:rsid w:val="00310DB8"/>
    <w:rsid w:val="00310F54"/>
    <w:rsid w:val="00311021"/>
    <w:rsid w:val="003110A8"/>
    <w:rsid w:val="003113A6"/>
    <w:rsid w:val="0031159A"/>
    <w:rsid w:val="00311727"/>
    <w:rsid w:val="003117E8"/>
    <w:rsid w:val="003118EC"/>
    <w:rsid w:val="00311AF2"/>
    <w:rsid w:val="00311C01"/>
    <w:rsid w:val="00311D3E"/>
    <w:rsid w:val="00311D42"/>
    <w:rsid w:val="00311DF8"/>
    <w:rsid w:val="0031209C"/>
    <w:rsid w:val="003120D9"/>
    <w:rsid w:val="0031270E"/>
    <w:rsid w:val="00312917"/>
    <w:rsid w:val="00312A50"/>
    <w:rsid w:val="00312A53"/>
    <w:rsid w:val="00312B73"/>
    <w:rsid w:val="00312BB9"/>
    <w:rsid w:val="00312EE4"/>
    <w:rsid w:val="00313883"/>
    <w:rsid w:val="003138B8"/>
    <w:rsid w:val="003138E1"/>
    <w:rsid w:val="0031398B"/>
    <w:rsid w:val="00313A2E"/>
    <w:rsid w:val="00313E37"/>
    <w:rsid w:val="00314065"/>
    <w:rsid w:val="003140C1"/>
    <w:rsid w:val="00314129"/>
    <w:rsid w:val="00314179"/>
    <w:rsid w:val="003142A3"/>
    <w:rsid w:val="0031437C"/>
    <w:rsid w:val="0031444F"/>
    <w:rsid w:val="00314714"/>
    <w:rsid w:val="003147C8"/>
    <w:rsid w:val="00314C70"/>
    <w:rsid w:val="00314CC0"/>
    <w:rsid w:val="00314DB3"/>
    <w:rsid w:val="003150F3"/>
    <w:rsid w:val="00315133"/>
    <w:rsid w:val="00315215"/>
    <w:rsid w:val="00315258"/>
    <w:rsid w:val="00315372"/>
    <w:rsid w:val="003153DD"/>
    <w:rsid w:val="003153F5"/>
    <w:rsid w:val="003156AA"/>
    <w:rsid w:val="003157ED"/>
    <w:rsid w:val="0031597A"/>
    <w:rsid w:val="00315ABD"/>
    <w:rsid w:val="00315AFD"/>
    <w:rsid w:val="00315F53"/>
    <w:rsid w:val="00316312"/>
    <w:rsid w:val="003163F2"/>
    <w:rsid w:val="003163F3"/>
    <w:rsid w:val="003165FB"/>
    <w:rsid w:val="003167F1"/>
    <w:rsid w:val="00316A91"/>
    <w:rsid w:val="00316BA3"/>
    <w:rsid w:val="00316BC6"/>
    <w:rsid w:val="00316C30"/>
    <w:rsid w:val="00316C3B"/>
    <w:rsid w:val="00316DF7"/>
    <w:rsid w:val="00316EA0"/>
    <w:rsid w:val="00316FF2"/>
    <w:rsid w:val="00317168"/>
    <w:rsid w:val="003173B6"/>
    <w:rsid w:val="00317415"/>
    <w:rsid w:val="0031756F"/>
    <w:rsid w:val="003177EC"/>
    <w:rsid w:val="00317AA4"/>
    <w:rsid w:val="00317AB1"/>
    <w:rsid w:val="00317CDA"/>
    <w:rsid w:val="00317D2C"/>
    <w:rsid w:val="00317DB5"/>
    <w:rsid w:val="00320086"/>
    <w:rsid w:val="003202C6"/>
    <w:rsid w:val="0032030E"/>
    <w:rsid w:val="0032037B"/>
    <w:rsid w:val="003203C3"/>
    <w:rsid w:val="003203FD"/>
    <w:rsid w:val="00320647"/>
    <w:rsid w:val="003208C3"/>
    <w:rsid w:val="003209FE"/>
    <w:rsid w:val="00320A60"/>
    <w:rsid w:val="00320A7E"/>
    <w:rsid w:val="00320E53"/>
    <w:rsid w:val="00320FB6"/>
    <w:rsid w:val="0032120A"/>
    <w:rsid w:val="00321369"/>
    <w:rsid w:val="00321384"/>
    <w:rsid w:val="003214B0"/>
    <w:rsid w:val="003215FC"/>
    <w:rsid w:val="00321614"/>
    <w:rsid w:val="00321731"/>
    <w:rsid w:val="00321AEA"/>
    <w:rsid w:val="00321AF2"/>
    <w:rsid w:val="00321BC1"/>
    <w:rsid w:val="00321C7E"/>
    <w:rsid w:val="00321D48"/>
    <w:rsid w:val="00321E1A"/>
    <w:rsid w:val="00321E5D"/>
    <w:rsid w:val="00321EC3"/>
    <w:rsid w:val="003220D6"/>
    <w:rsid w:val="003224C3"/>
    <w:rsid w:val="003227F2"/>
    <w:rsid w:val="003227F6"/>
    <w:rsid w:val="003228AE"/>
    <w:rsid w:val="0032296F"/>
    <w:rsid w:val="00322AEA"/>
    <w:rsid w:val="00322BF9"/>
    <w:rsid w:val="00322C1C"/>
    <w:rsid w:val="00322D7D"/>
    <w:rsid w:val="00322D98"/>
    <w:rsid w:val="00322E5A"/>
    <w:rsid w:val="00322EBE"/>
    <w:rsid w:val="003230BD"/>
    <w:rsid w:val="00323340"/>
    <w:rsid w:val="00323748"/>
    <w:rsid w:val="0032399C"/>
    <w:rsid w:val="00323AB9"/>
    <w:rsid w:val="00323B89"/>
    <w:rsid w:val="00323CE5"/>
    <w:rsid w:val="00323F6E"/>
    <w:rsid w:val="0032431A"/>
    <w:rsid w:val="00324331"/>
    <w:rsid w:val="0032438B"/>
    <w:rsid w:val="0032440E"/>
    <w:rsid w:val="0032447C"/>
    <w:rsid w:val="003245C9"/>
    <w:rsid w:val="0032490F"/>
    <w:rsid w:val="00324AB3"/>
    <w:rsid w:val="00324B2B"/>
    <w:rsid w:val="00324C58"/>
    <w:rsid w:val="00324E02"/>
    <w:rsid w:val="00324E1B"/>
    <w:rsid w:val="00324E5B"/>
    <w:rsid w:val="00325040"/>
    <w:rsid w:val="00325094"/>
    <w:rsid w:val="00325107"/>
    <w:rsid w:val="00325198"/>
    <w:rsid w:val="00325343"/>
    <w:rsid w:val="00325386"/>
    <w:rsid w:val="00325388"/>
    <w:rsid w:val="00325475"/>
    <w:rsid w:val="0032575B"/>
    <w:rsid w:val="00325A98"/>
    <w:rsid w:val="00325AB7"/>
    <w:rsid w:val="00325BF6"/>
    <w:rsid w:val="00325D36"/>
    <w:rsid w:val="00325E30"/>
    <w:rsid w:val="00325E45"/>
    <w:rsid w:val="00325EEA"/>
    <w:rsid w:val="0032607E"/>
    <w:rsid w:val="00326210"/>
    <w:rsid w:val="00326295"/>
    <w:rsid w:val="00326471"/>
    <w:rsid w:val="00326544"/>
    <w:rsid w:val="0032655A"/>
    <w:rsid w:val="0032660C"/>
    <w:rsid w:val="0032661B"/>
    <w:rsid w:val="0032671D"/>
    <w:rsid w:val="003267AB"/>
    <w:rsid w:val="003268F3"/>
    <w:rsid w:val="00326990"/>
    <w:rsid w:val="00326A61"/>
    <w:rsid w:val="00326B56"/>
    <w:rsid w:val="00326C0F"/>
    <w:rsid w:val="00326D86"/>
    <w:rsid w:val="00326E32"/>
    <w:rsid w:val="00326E87"/>
    <w:rsid w:val="00326F66"/>
    <w:rsid w:val="00326F9D"/>
    <w:rsid w:val="00326FD0"/>
    <w:rsid w:val="00326FDC"/>
    <w:rsid w:val="0032700F"/>
    <w:rsid w:val="00327024"/>
    <w:rsid w:val="00327642"/>
    <w:rsid w:val="003278D2"/>
    <w:rsid w:val="00327B12"/>
    <w:rsid w:val="00327BB6"/>
    <w:rsid w:val="00327C1C"/>
    <w:rsid w:val="00327CA6"/>
    <w:rsid w:val="00327CBA"/>
    <w:rsid w:val="00327D9F"/>
    <w:rsid w:val="00327E2F"/>
    <w:rsid w:val="00327FF0"/>
    <w:rsid w:val="00330044"/>
    <w:rsid w:val="0033007F"/>
    <w:rsid w:val="00330107"/>
    <w:rsid w:val="003301AA"/>
    <w:rsid w:val="003303FC"/>
    <w:rsid w:val="00330445"/>
    <w:rsid w:val="003304E4"/>
    <w:rsid w:val="003306A9"/>
    <w:rsid w:val="003308D3"/>
    <w:rsid w:val="003308ED"/>
    <w:rsid w:val="003309CB"/>
    <w:rsid w:val="00330B9B"/>
    <w:rsid w:val="00330C84"/>
    <w:rsid w:val="00330DA5"/>
    <w:rsid w:val="00330FE6"/>
    <w:rsid w:val="00331080"/>
    <w:rsid w:val="0033116D"/>
    <w:rsid w:val="00331547"/>
    <w:rsid w:val="00331697"/>
    <w:rsid w:val="003317C3"/>
    <w:rsid w:val="0033188C"/>
    <w:rsid w:val="003318D6"/>
    <w:rsid w:val="00331D41"/>
    <w:rsid w:val="00332116"/>
    <w:rsid w:val="003322A9"/>
    <w:rsid w:val="003322E8"/>
    <w:rsid w:val="00332445"/>
    <w:rsid w:val="00332597"/>
    <w:rsid w:val="003329FD"/>
    <w:rsid w:val="00332B79"/>
    <w:rsid w:val="00332B94"/>
    <w:rsid w:val="00332C2D"/>
    <w:rsid w:val="00332FCE"/>
    <w:rsid w:val="00333104"/>
    <w:rsid w:val="0033323E"/>
    <w:rsid w:val="003332BC"/>
    <w:rsid w:val="0033351F"/>
    <w:rsid w:val="00333628"/>
    <w:rsid w:val="0033398F"/>
    <w:rsid w:val="00333AC4"/>
    <w:rsid w:val="00333E68"/>
    <w:rsid w:val="00333EC4"/>
    <w:rsid w:val="00334034"/>
    <w:rsid w:val="003340A3"/>
    <w:rsid w:val="003340D9"/>
    <w:rsid w:val="0033433C"/>
    <w:rsid w:val="003345FD"/>
    <w:rsid w:val="00334712"/>
    <w:rsid w:val="00334738"/>
    <w:rsid w:val="003349EA"/>
    <w:rsid w:val="00334B2F"/>
    <w:rsid w:val="00334EA9"/>
    <w:rsid w:val="00334EEA"/>
    <w:rsid w:val="00334F34"/>
    <w:rsid w:val="003350D6"/>
    <w:rsid w:val="00335138"/>
    <w:rsid w:val="0033517F"/>
    <w:rsid w:val="003351E6"/>
    <w:rsid w:val="00335295"/>
    <w:rsid w:val="003352BC"/>
    <w:rsid w:val="00335323"/>
    <w:rsid w:val="00335415"/>
    <w:rsid w:val="00335422"/>
    <w:rsid w:val="003355BC"/>
    <w:rsid w:val="003356C1"/>
    <w:rsid w:val="00335A92"/>
    <w:rsid w:val="00335CD8"/>
    <w:rsid w:val="00335F05"/>
    <w:rsid w:val="00335F2F"/>
    <w:rsid w:val="0033612A"/>
    <w:rsid w:val="00336201"/>
    <w:rsid w:val="003364FA"/>
    <w:rsid w:val="00336524"/>
    <w:rsid w:val="0033656F"/>
    <w:rsid w:val="00336878"/>
    <w:rsid w:val="003368C3"/>
    <w:rsid w:val="00336913"/>
    <w:rsid w:val="00336947"/>
    <w:rsid w:val="00336973"/>
    <w:rsid w:val="00336A0E"/>
    <w:rsid w:val="00336A37"/>
    <w:rsid w:val="00336B45"/>
    <w:rsid w:val="00336F6A"/>
    <w:rsid w:val="0033721E"/>
    <w:rsid w:val="00337245"/>
    <w:rsid w:val="00337363"/>
    <w:rsid w:val="003373AE"/>
    <w:rsid w:val="00337453"/>
    <w:rsid w:val="003374B2"/>
    <w:rsid w:val="003374B5"/>
    <w:rsid w:val="003375B6"/>
    <w:rsid w:val="003376DE"/>
    <w:rsid w:val="00337A59"/>
    <w:rsid w:val="00337BD6"/>
    <w:rsid w:val="00337BF2"/>
    <w:rsid w:val="00337BF4"/>
    <w:rsid w:val="00337C5D"/>
    <w:rsid w:val="00337D12"/>
    <w:rsid w:val="00337D83"/>
    <w:rsid w:val="00337E2A"/>
    <w:rsid w:val="00337ECB"/>
    <w:rsid w:val="00340242"/>
    <w:rsid w:val="00340429"/>
    <w:rsid w:val="00340431"/>
    <w:rsid w:val="00340484"/>
    <w:rsid w:val="003405FC"/>
    <w:rsid w:val="003406EF"/>
    <w:rsid w:val="0034070C"/>
    <w:rsid w:val="00340993"/>
    <w:rsid w:val="00340A38"/>
    <w:rsid w:val="00340BBC"/>
    <w:rsid w:val="00340CD3"/>
    <w:rsid w:val="0034105B"/>
    <w:rsid w:val="003418C4"/>
    <w:rsid w:val="00341C56"/>
    <w:rsid w:val="00341C8B"/>
    <w:rsid w:val="00341D79"/>
    <w:rsid w:val="00341EC9"/>
    <w:rsid w:val="0034205A"/>
    <w:rsid w:val="00342194"/>
    <w:rsid w:val="003423E3"/>
    <w:rsid w:val="0034275A"/>
    <w:rsid w:val="00342905"/>
    <w:rsid w:val="00342B2A"/>
    <w:rsid w:val="00342C6B"/>
    <w:rsid w:val="00342CAE"/>
    <w:rsid w:val="00342CFB"/>
    <w:rsid w:val="00342D4A"/>
    <w:rsid w:val="003433E2"/>
    <w:rsid w:val="003434AB"/>
    <w:rsid w:val="00343729"/>
    <w:rsid w:val="003437B5"/>
    <w:rsid w:val="003438A5"/>
    <w:rsid w:val="00343A67"/>
    <w:rsid w:val="00343AE3"/>
    <w:rsid w:val="00343B09"/>
    <w:rsid w:val="00343B37"/>
    <w:rsid w:val="00343B4E"/>
    <w:rsid w:val="00343BBC"/>
    <w:rsid w:val="00343BC8"/>
    <w:rsid w:val="00343C7A"/>
    <w:rsid w:val="00343CE7"/>
    <w:rsid w:val="00343D0E"/>
    <w:rsid w:val="00343D45"/>
    <w:rsid w:val="00343EFD"/>
    <w:rsid w:val="00344036"/>
    <w:rsid w:val="003441A2"/>
    <w:rsid w:val="00344208"/>
    <w:rsid w:val="0034425C"/>
    <w:rsid w:val="003442FF"/>
    <w:rsid w:val="0034445D"/>
    <w:rsid w:val="00344848"/>
    <w:rsid w:val="003449AD"/>
    <w:rsid w:val="00344A3A"/>
    <w:rsid w:val="00344B0D"/>
    <w:rsid w:val="00344BA9"/>
    <w:rsid w:val="00344F0A"/>
    <w:rsid w:val="00345372"/>
    <w:rsid w:val="003459AE"/>
    <w:rsid w:val="00345BB2"/>
    <w:rsid w:val="00345FF3"/>
    <w:rsid w:val="003461E6"/>
    <w:rsid w:val="003462C8"/>
    <w:rsid w:val="00346488"/>
    <w:rsid w:val="0034656E"/>
    <w:rsid w:val="003465DE"/>
    <w:rsid w:val="00346797"/>
    <w:rsid w:val="003468DC"/>
    <w:rsid w:val="00346A03"/>
    <w:rsid w:val="00346C30"/>
    <w:rsid w:val="00346CB7"/>
    <w:rsid w:val="00346CC1"/>
    <w:rsid w:val="00346DC4"/>
    <w:rsid w:val="00346E3F"/>
    <w:rsid w:val="00346EA2"/>
    <w:rsid w:val="00347133"/>
    <w:rsid w:val="00347762"/>
    <w:rsid w:val="003477A8"/>
    <w:rsid w:val="00347811"/>
    <w:rsid w:val="003479BC"/>
    <w:rsid w:val="00347AA4"/>
    <w:rsid w:val="00347C6E"/>
    <w:rsid w:val="00350147"/>
    <w:rsid w:val="0035026C"/>
    <w:rsid w:val="0035035F"/>
    <w:rsid w:val="00350498"/>
    <w:rsid w:val="00350625"/>
    <w:rsid w:val="0035064C"/>
    <w:rsid w:val="00350703"/>
    <w:rsid w:val="00350A84"/>
    <w:rsid w:val="00350BC1"/>
    <w:rsid w:val="00350D88"/>
    <w:rsid w:val="00350E4D"/>
    <w:rsid w:val="00350F25"/>
    <w:rsid w:val="00351023"/>
    <w:rsid w:val="00351063"/>
    <w:rsid w:val="0035131C"/>
    <w:rsid w:val="00351339"/>
    <w:rsid w:val="00351363"/>
    <w:rsid w:val="00351473"/>
    <w:rsid w:val="003517BF"/>
    <w:rsid w:val="003519D8"/>
    <w:rsid w:val="00351BB2"/>
    <w:rsid w:val="00351CAB"/>
    <w:rsid w:val="00351DD5"/>
    <w:rsid w:val="00352070"/>
    <w:rsid w:val="0035211F"/>
    <w:rsid w:val="00352651"/>
    <w:rsid w:val="003526CC"/>
    <w:rsid w:val="00352715"/>
    <w:rsid w:val="00352875"/>
    <w:rsid w:val="00352A9A"/>
    <w:rsid w:val="00352B71"/>
    <w:rsid w:val="00352D10"/>
    <w:rsid w:val="0035322C"/>
    <w:rsid w:val="0035356A"/>
    <w:rsid w:val="003535FD"/>
    <w:rsid w:val="003536CA"/>
    <w:rsid w:val="003536F5"/>
    <w:rsid w:val="00353707"/>
    <w:rsid w:val="00353908"/>
    <w:rsid w:val="003539FF"/>
    <w:rsid w:val="00353BBF"/>
    <w:rsid w:val="00353DD2"/>
    <w:rsid w:val="00353FF3"/>
    <w:rsid w:val="003543F3"/>
    <w:rsid w:val="00354639"/>
    <w:rsid w:val="00354642"/>
    <w:rsid w:val="0035467B"/>
    <w:rsid w:val="003548B0"/>
    <w:rsid w:val="00354C33"/>
    <w:rsid w:val="00354D40"/>
    <w:rsid w:val="00354F6C"/>
    <w:rsid w:val="003550CD"/>
    <w:rsid w:val="003551C3"/>
    <w:rsid w:val="00355207"/>
    <w:rsid w:val="003552FB"/>
    <w:rsid w:val="0035532B"/>
    <w:rsid w:val="003553DF"/>
    <w:rsid w:val="0035545D"/>
    <w:rsid w:val="00355469"/>
    <w:rsid w:val="0035560F"/>
    <w:rsid w:val="0035593B"/>
    <w:rsid w:val="003559DE"/>
    <w:rsid w:val="00355ACC"/>
    <w:rsid w:val="00355B5F"/>
    <w:rsid w:val="00355BD9"/>
    <w:rsid w:val="00355BE4"/>
    <w:rsid w:val="00355D1B"/>
    <w:rsid w:val="00355D4F"/>
    <w:rsid w:val="00355DA9"/>
    <w:rsid w:val="00355E2D"/>
    <w:rsid w:val="00355ED3"/>
    <w:rsid w:val="00355F38"/>
    <w:rsid w:val="00355F76"/>
    <w:rsid w:val="0035605A"/>
    <w:rsid w:val="003561E0"/>
    <w:rsid w:val="003562A9"/>
    <w:rsid w:val="00356316"/>
    <w:rsid w:val="00356347"/>
    <w:rsid w:val="0035634A"/>
    <w:rsid w:val="00356385"/>
    <w:rsid w:val="003565AF"/>
    <w:rsid w:val="003567C8"/>
    <w:rsid w:val="003567FB"/>
    <w:rsid w:val="00356859"/>
    <w:rsid w:val="00356875"/>
    <w:rsid w:val="00356B1C"/>
    <w:rsid w:val="00356E30"/>
    <w:rsid w:val="00356E7D"/>
    <w:rsid w:val="00356EF9"/>
    <w:rsid w:val="00357387"/>
    <w:rsid w:val="0035749D"/>
    <w:rsid w:val="00357618"/>
    <w:rsid w:val="00357669"/>
    <w:rsid w:val="003576CF"/>
    <w:rsid w:val="00357960"/>
    <w:rsid w:val="00357988"/>
    <w:rsid w:val="00357D1B"/>
    <w:rsid w:val="00357E3A"/>
    <w:rsid w:val="00357F25"/>
    <w:rsid w:val="00360177"/>
    <w:rsid w:val="003601DD"/>
    <w:rsid w:val="00360200"/>
    <w:rsid w:val="003602B6"/>
    <w:rsid w:val="003602E1"/>
    <w:rsid w:val="00360352"/>
    <w:rsid w:val="003603E2"/>
    <w:rsid w:val="00360469"/>
    <w:rsid w:val="003604FB"/>
    <w:rsid w:val="003607BC"/>
    <w:rsid w:val="00360859"/>
    <w:rsid w:val="00360931"/>
    <w:rsid w:val="00360A85"/>
    <w:rsid w:val="00360B38"/>
    <w:rsid w:val="00360B46"/>
    <w:rsid w:val="00360B4C"/>
    <w:rsid w:val="00360C77"/>
    <w:rsid w:val="00360E13"/>
    <w:rsid w:val="00360F21"/>
    <w:rsid w:val="00360F43"/>
    <w:rsid w:val="0036111A"/>
    <w:rsid w:val="003611F1"/>
    <w:rsid w:val="003611F4"/>
    <w:rsid w:val="00361225"/>
    <w:rsid w:val="003612B2"/>
    <w:rsid w:val="00361433"/>
    <w:rsid w:val="00361486"/>
    <w:rsid w:val="003614F5"/>
    <w:rsid w:val="00361522"/>
    <w:rsid w:val="003619B7"/>
    <w:rsid w:val="00361A0E"/>
    <w:rsid w:val="00361A54"/>
    <w:rsid w:val="00361A64"/>
    <w:rsid w:val="00361AD3"/>
    <w:rsid w:val="00361C22"/>
    <w:rsid w:val="00361C95"/>
    <w:rsid w:val="00361D04"/>
    <w:rsid w:val="00361D21"/>
    <w:rsid w:val="00361FC3"/>
    <w:rsid w:val="00362003"/>
    <w:rsid w:val="0036200B"/>
    <w:rsid w:val="00362048"/>
    <w:rsid w:val="00362176"/>
    <w:rsid w:val="003623B1"/>
    <w:rsid w:val="00362434"/>
    <w:rsid w:val="003629AD"/>
    <w:rsid w:val="00362A61"/>
    <w:rsid w:val="00362B8F"/>
    <w:rsid w:val="00362CFA"/>
    <w:rsid w:val="00362D93"/>
    <w:rsid w:val="00362E14"/>
    <w:rsid w:val="00362E6D"/>
    <w:rsid w:val="00362EFA"/>
    <w:rsid w:val="00363079"/>
    <w:rsid w:val="0036328D"/>
    <w:rsid w:val="00363295"/>
    <w:rsid w:val="003632BA"/>
    <w:rsid w:val="0036333E"/>
    <w:rsid w:val="00363402"/>
    <w:rsid w:val="003634E9"/>
    <w:rsid w:val="0036369B"/>
    <w:rsid w:val="003636A3"/>
    <w:rsid w:val="003636CD"/>
    <w:rsid w:val="00363980"/>
    <w:rsid w:val="00363B37"/>
    <w:rsid w:val="00363E6D"/>
    <w:rsid w:val="00363E78"/>
    <w:rsid w:val="00363EEE"/>
    <w:rsid w:val="00364149"/>
    <w:rsid w:val="0036414E"/>
    <w:rsid w:val="00364180"/>
    <w:rsid w:val="003641A2"/>
    <w:rsid w:val="003641A6"/>
    <w:rsid w:val="00364350"/>
    <w:rsid w:val="00364540"/>
    <w:rsid w:val="00364555"/>
    <w:rsid w:val="003646C3"/>
    <w:rsid w:val="003646CA"/>
    <w:rsid w:val="003649BB"/>
    <w:rsid w:val="00364A1C"/>
    <w:rsid w:val="00364A4B"/>
    <w:rsid w:val="00364B08"/>
    <w:rsid w:val="00364B49"/>
    <w:rsid w:val="00364BB6"/>
    <w:rsid w:val="00364C05"/>
    <w:rsid w:val="00364CE9"/>
    <w:rsid w:val="00364D06"/>
    <w:rsid w:val="00364D4A"/>
    <w:rsid w:val="00364DDA"/>
    <w:rsid w:val="00364DFF"/>
    <w:rsid w:val="00364EAC"/>
    <w:rsid w:val="00364FC9"/>
    <w:rsid w:val="00365071"/>
    <w:rsid w:val="0036509F"/>
    <w:rsid w:val="00365350"/>
    <w:rsid w:val="00365562"/>
    <w:rsid w:val="00365687"/>
    <w:rsid w:val="0036584B"/>
    <w:rsid w:val="00365884"/>
    <w:rsid w:val="00365A42"/>
    <w:rsid w:val="00365BCD"/>
    <w:rsid w:val="00365C9E"/>
    <w:rsid w:val="00365E65"/>
    <w:rsid w:val="00365ED5"/>
    <w:rsid w:val="00365FEE"/>
    <w:rsid w:val="0036630E"/>
    <w:rsid w:val="003663D2"/>
    <w:rsid w:val="00366437"/>
    <w:rsid w:val="00366512"/>
    <w:rsid w:val="00366634"/>
    <w:rsid w:val="0036671A"/>
    <w:rsid w:val="0036679C"/>
    <w:rsid w:val="0036680B"/>
    <w:rsid w:val="00366826"/>
    <w:rsid w:val="00366A24"/>
    <w:rsid w:val="00366FF0"/>
    <w:rsid w:val="0036702E"/>
    <w:rsid w:val="00367072"/>
    <w:rsid w:val="003670E2"/>
    <w:rsid w:val="00367125"/>
    <w:rsid w:val="0036714F"/>
    <w:rsid w:val="003671E5"/>
    <w:rsid w:val="003673BD"/>
    <w:rsid w:val="003674CC"/>
    <w:rsid w:val="003674D5"/>
    <w:rsid w:val="00367644"/>
    <w:rsid w:val="003676E3"/>
    <w:rsid w:val="00367799"/>
    <w:rsid w:val="003677AD"/>
    <w:rsid w:val="00367817"/>
    <w:rsid w:val="00367870"/>
    <w:rsid w:val="0036798C"/>
    <w:rsid w:val="003679F8"/>
    <w:rsid w:val="00367A2E"/>
    <w:rsid w:val="00367B51"/>
    <w:rsid w:val="00367B5F"/>
    <w:rsid w:val="00367DD9"/>
    <w:rsid w:val="00367DE3"/>
    <w:rsid w:val="0037007A"/>
    <w:rsid w:val="003702DB"/>
    <w:rsid w:val="00370331"/>
    <w:rsid w:val="0037046A"/>
    <w:rsid w:val="0037046D"/>
    <w:rsid w:val="003704E0"/>
    <w:rsid w:val="00370709"/>
    <w:rsid w:val="00370802"/>
    <w:rsid w:val="003709E7"/>
    <w:rsid w:val="00370A75"/>
    <w:rsid w:val="00370B8B"/>
    <w:rsid w:val="00370C1D"/>
    <w:rsid w:val="00370CB7"/>
    <w:rsid w:val="00370D4F"/>
    <w:rsid w:val="00370F7A"/>
    <w:rsid w:val="003714C4"/>
    <w:rsid w:val="003715A4"/>
    <w:rsid w:val="00371917"/>
    <w:rsid w:val="0037191E"/>
    <w:rsid w:val="0037195F"/>
    <w:rsid w:val="003719C2"/>
    <w:rsid w:val="003719D0"/>
    <w:rsid w:val="00371AAC"/>
    <w:rsid w:val="00371CC5"/>
    <w:rsid w:val="00372034"/>
    <w:rsid w:val="003721EA"/>
    <w:rsid w:val="0037227B"/>
    <w:rsid w:val="0037233C"/>
    <w:rsid w:val="003723A6"/>
    <w:rsid w:val="003724C8"/>
    <w:rsid w:val="00372590"/>
    <w:rsid w:val="003725D7"/>
    <w:rsid w:val="003725F1"/>
    <w:rsid w:val="003726A4"/>
    <w:rsid w:val="00372992"/>
    <w:rsid w:val="00372B0D"/>
    <w:rsid w:val="00372B3E"/>
    <w:rsid w:val="00372DFA"/>
    <w:rsid w:val="00372F5E"/>
    <w:rsid w:val="00372F9E"/>
    <w:rsid w:val="00373029"/>
    <w:rsid w:val="00373101"/>
    <w:rsid w:val="00373154"/>
    <w:rsid w:val="003734C7"/>
    <w:rsid w:val="0037359B"/>
    <w:rsid w:val="0037366F"/>
    <w:rsid w:val="00373982"/>
    <w:rsid w:val="00373991"/>
    <w:rsid w:val="00373B6B"/>
    <w:rsid w:val="00373B8E"/>
    <w:rsid w:val="00373C96"/>
    <w:rsid w:val="00373DCB"/>
    <w:rsid w:val="00373DE8"/>
    <w:rsid w:val="00373E8E"/>
    <w:rsid w:val="00373EAE"/>
    <w:rsid w:val="00373FF8"/>
    <w:rsid w:val="0037411E"/>
    <w:rsid w:val="00374231"/>
    <w:rsid w:val="003743B2"/>
    <w:rsid w:val="003746DF"/>
    <w:rsid w:val="00374866"/>
    <w:rsid w:val="00374907"/>
    <w:rsid w:val="003749AC"/>
    <w:rsid w:val="00374A39"/>
    <w:rsid w:val="00374A82"/>
    <w:rsid w:val="00374BC0"/>
    <w:rsid w:val="00374C63"/>
    <w:rsid w:val="00374EC1"/>
    <w:rsid w:val="00374F11"/>
    <w:rsid w:val="00374F4A"/>
    <w:rsid w:val="00374F58"/>
    <w:rsid w:val="00375127"/>
    <w:rsid w:val="00375156"/>
    <w:rsid w:val="0037523E"/>
    <w:rsid w:val="00375490"/>
    <w:rsid w:val="003755D4"/>
    <w:rsid w:val="00375661"/>
    <w:rsid w:val="003756C6"/>
    <w:rsid w:val="0037574C"/>
    <w:rsid w:val="003757A7"/>
    <w:rsid w:val="003757F2"/>
    <w:rsid w:val="0037580E"/>
    <w:rsid w:val="003758E0"/>
    <w:rsid w:val="003759F7"/>
    <w:rsid w:val="003759FA"/>
    <w:rsid w:val="00375ABF"/>
    <w:rsid w:val="00375B2F"/>
    <w:rsid w:val="00375C54"/>
    <w:rsid w:val="00375F13"/>
    <w:rsid w:val="00375F24"/>
    <w:rsid w:val="00375FEA"/>
    <w:rsid w:val="003761F3"/>
    <w:rsid w:val="0037628D"/>
    <w:rsid w:val="003763F7"/>
    <w:rsid w:val="00376484"/>
    <w:rsid w:val="00376567"/>
    <w:rsid w:val="003765BD"/>
    <w:rsid w:val="0037661B"/>
    <w:rsid w:val="003766C0"/>
    <w:rsid w:val="00376718"/>
    <w:rsid w:val="003767F4"/>
    <w:rsid w:val="0037687C"/>
    <w:rsid w:val="00376886"/>
    <w:rsid w:val="003769E2"/>
    <w:rsid w:val="00376C84"/>
    <w:rsid w:val="00376F11"/>
    <w:rsid w:val="00377429"/>
    <w:rsid w:val="003776A0"/>
    <w:rsid w:val="003777D7"/>
    <w:rsid w:val="003778AA"/>
    <w:rsid w:val="00377934"/>
    <w:rsid w:val="00377947"/>
    <w:rsid w:val="003779A8"/>
    <w:rsid w:val="00377D7F"/>
    <w:rsid w:val="00377E81"/>
    <w:rsid w:val="00377F47"/>
    <w:rsid w:val="0038004C"/>
    <w:rsid w:val="0038004F"/>
    <w:rsid w:val="003803D5"/>
    <w:rsid w:val="00380750"/>
    <w:rsid w:val="00380A6C"/>
    <w:rsid w:val="00380E05"/>
    <w:rsid w:val="003810AF"/>
    <w:rsid w:val="00381169"/>
    <w:rsid w:val="0038130A"/>
    <w:rsid w:val="0038133D"/>
    <w:rsid w:val="00381355"/>
    <w:rsid w:val="0038156D"/>
    <w:rsid w:val="00381712"/>
    <w:rsid w:val="0038171C"/>
    <w:rsid w:val="00381821"/>
    <w:rsid w:val="00381A0C"/>
    <w:rsid w:val="00381ADD"/>
    <w:rsid w:val="00381CEF"/>
    <w:rsid w:val="00381D07"/>
    <w:rsid w:val="0038210D"/>
    <w:rsid w:val="00382128"/>
    <w:rsid w:val="003821CA"/>
    <w:rsid w:val="0038235E"/>
    <w:rsid w:val="00382583"/>
    <w:rsid w:val="003825DE"/>
    <w:rsid w:val="00382682"/>
    <w:rsid w:val="00382AB5"/>
    <w:rsid w:val="00382B48"/>
    <w:rsid w:val="00382BE3"/>
    <w:rsid w:val="00382C44"/>
    <w:rsid w:val="00382D85"/>
    <w:rsid w:val="00383446"/>
    <w:rsid w:val="00383518"/>
    <w:rsid w:val="00383523"/>
    <w:rsid w:val="00383573"/>
    <w:rsid w:val="00383611"/>
    <w:rsid w:val="00383630"/>
    <w:rsid w:val="00383737"/>
    <w:rsid w:val="0038373D"/>
    <w:rsid w:val="00383892"/>
    <w:rsid w:val="00383917"/>
    <w:rsid w:val="00383A2A"/>
    <w:rsid w:val="00383A6D"/>
    <w:rsid w:val="00383D0B"/>
    <w:rsid w:val="00383D68"/>
    <w:rsid w:val="00383E93"/>
    <w:rsid w:val="00383ECD"/>
    <w:rsid w:val="00384009"/>
    <w:rsid w:val="00384048"/>
    <w:rsid w:val="0038477B"/>
    <w:rsid w:val="00384868"/>
    <w:rsid w:val="00384A30"/>
    <w:rsid w:val="00384C3D"/>
    <w:rsid w:val="00384D78"/>
    <w:rsid w:val="00384FBD"/>
    <w:rsid w:val="0038501F"/>
    <w:rsid w:val="003851AD"/>
    <w:rsid w:val="003854AF"/>
    <w:rsid w:val="003857AA"/>
    <w:rsid w:val="00385939"/>
    <w:rsid w:val="00385998"/>
    <w:rsid w:val="003859D4"/>
    <w:rsid w:val="00385ABF"/>
    <w:rsid w:val="00385B14"/>
    <w:rsid w:val="00385CB5"/>
    <w:rsid w:val="00385DB7"/>
    <w:rsid w:val="00385EEB"/>
    <w:rsid w:val="00385F55"/>
    <w:rsid w:val="003861B7"/>
    <w:rsid w:val="003861E5"/>
    <w:rsid w:val="00386347"/>
    <w:rsid w:val="0038639D"/>
    <w:rsid w:val="00386454"/>
    <w:rsid w:val="00386488"/>
    <w:rsid w:val="0038649E"/>
    <w:rsid w:val="00386552"/>
    <w:rsid w:val="003865A4"/>
    <w:rsid w:val="003865C2"/>
    <w:rsid w:val="00386723"/>
    <w:rsid w:val="0038680C"/>
    <w:rsid w:val="00386C3B"/>
    <w:rsid w:val="00386C4B"/>
    <w:rsid w:val="00386CF4"/>
    <w:rsid w:val="00386FEA"/>
    <w:rsid w:val="00387094"/>
    <w:rsid w:val="003872C2"/>
    <w:rsid w:val="003873BE"/>
    <w:rsid w:val="0038780C"/>
    <w:rsid w:val="00387971"/>
    <w:rsid w:val="003879FA"/>
    <w:rsid w:val="00387B48"/>
    <w:rsid w:val="00387B83"/>
    <w:rsid w:val="00387BDD"/>
    <w:rsid w:val="00387BF2"/>
    <w:rsid w:val="00387CBC"/>
    <w:rsid w:val="00387F95"/>
    <w:rsid w:val="00387FD7"/>
    <w:rsid w:val="003900DA"/>
    <w:rsid w:val="00390433"/>
    <w:rsid w:val="003907B5"/>
    <w:rsid w:val="00390898"/>
    <w:rsid w:val="0039093D"/>
    <w:rsid w:val="00390940"/>
    <w:rsid w:val="00390B67"/>
    <w:rsid w:val="00390C39"/>
    <w:rsid w:val="00390C66"/>
    <w:rsid w:val="00390D41"/>
    <w:rsid w:val="00390E92"/>
    <w:rsid w:val="00390EA6"/>
    <w:rsid w:val="00390F8E"/>
    <w:rsid w:val="00391033"/>
    <w:rsid w:val="00391261"/>
    <w:rsid w:val="003913FD"/>
    <w:rsid w:val="00391540"/>
    <w:rsid w:val="003917C4"/>
    <w:rsid w:val="00391915"/>
    <w:rsid w:val="00391937"/>
    <w:rsid w:val="00391979"/>
    <w:rsid w:val="00391AA2"/>
    <w:rsid w:val="00391B9E"/>
    <w:rsid w:val="00391BAA"/>
    <w:rsid w:val="00391BF6"/>
    <w:rsid w:val="00391EE8"/>
    <w:rsid w:val="00391F7C"/>
    <w:rsid w:val="0039220B"/>
    <w:rsid w:val="00392222"/>
    <w:rsid w:val="00392310"/>
    <w:rsid w:val="0039266C"/>
    <w:rsid w:val="00392736"/>
    <w:rsid w:val="00392808"/>
    <w:rsid w:val="003929AE"/>
    <w:rsid w:val="00392C86"/>
    <w:rsid w:val="00392EE9"/>
    <w:rsid w:val="00392FA7"/>
    <w:rsid w:val="0039324B"/>
    <w:rsid w:val="003932D6"/>
    <w:rsid w:val="0039342C"/>
    <w:rsid w:val="0039345E"/>
    <w:rsid w:val="00393464"/>
    <w:rsid w:val="00393487"/>
    <w:rsid w:val="003935DA"/>
    <w:rsid w:val="003936F8"/>
    <w:rsid w:val="003937C6"/>
    <w:rsid w:val="00393889"/>
    <w:rsid w:val="003938BF"/>
    <w:rsid w:val="0039397F"/>
    <w:rsid w:val="003939A8"/>
    <w:rsid w:val="00393CC1"/>
    <w:rsid w:val="00393DEC"/>
    <w:rsid w:val="00393E44"/>
    <w:rsid w:val="00393E51"/>
    <w:rsid w:val="00393E7C"/>
    <w:rsid w:val="0039414C"/>
    <w:rsid w:val="0039419E"/>
    <w:rsid w:val="003941DD"/>
    <w:rsid w:val="003941F4"/>
    <w:rsid w:val="00394361"/>
    <w:rsid w:val="00394678"/>
    <w:rsid w:val="00394AB4"/>
    <w:rsid w:val="00394C02"/>
    <w:rsid w:val="00394C3C"/>
    <w:rsid w:val="00394C93"/>
    <w:rsid w:val="0039528E"/>
    <w:rsid w:val="003953A5"/>
    <w:rsid w:val="00395459"/>
    <w:rsid w:val="0039560B"/>
    <w:rsid w:val="00395A4B"/>
    <w:rsid w:val="00395BA1"/>
    <w:rsid w:val="00395C41"/>
    <w:rsid w:val="003960EA"/>
    <w:rsid w:val="00396244"/>
    <w:rsid w:val="00396342"/>
    <w:rsid w:val="003963F2"/>
    <w:rsid w:val="00396541"/>
    <w:rsid w:val="003967D9"/>
    <w:rsid w:val="003969D3"/>
    <w:rsid w:val="00396A36"/>
    <w:rsid w:val="00396AF0"/>
    <w:rsid w:val="00396B7B"/>
    <w:rsid w:val="00396DA1"/>
    <w:rsid w:val="00396DCD"/>
    <w:rsid w:val="00396E1E"/>
    <w:rsid w:val="00396E67"/>
    <w:rsid w:val="00396F4F"/>
    <w:rsid w:val="00396FD7"/>
    <w:rsid w:val="00396FF5"/>
    <w:rsid w:val="0039707D"/>
    <w:rsid w:val="003971D4"/>
    <w:rsid w:val="00397414"/>
    <w:rsid w:val="003975EF"/>
    <w:rsid w:val="00397605"/>
    <w:rsid w:val="00397656"/>
    <w:rsid w:val="0039777D"/>
    <w:rsid w:val="0039782C"/>
    <w:rsid w:val="003978AC"/>
    <w:rsid w:val="0039798C"/>
    <w:rsid w:val="00397AF1"/>
    <w:rsid w:val="00397DAE"/>
    <w:rsid w:val="00397FC5"/>
    <w:rsid w:val="003A0205"/>
    <w:rsid w:val="003A0278"/>
    <w:rsid w:val="003A02A7"/>
    <w:rsid w:val="003A0430"/>
    <w:rsid w:val="003A0478"/>
    <w:rsid w:val="003A05F7"/>
    <w:rsid w:val="003A067D"/>
    <w:rsid w:val="003A06EF"/>
    <w:rsid w:val="003A0779"/>
    <w:rsid w:val="003A07BD"/>
    <w:rsid w:val="003A07C1"/>
    <w:rsid w:val="003A0A0F"/>
    <w:rsid w:val="003A0CCA"/>
    <w:rsid w:val="003A0DFF"/>
    <w:rsid w:val="003A1053"/>
    <w:rsid w:val="003A1346"/>
    <w:rsid w:val="003A1552"/>
    <w:rsid w:val="003A15CA"/>
    <w:rsid w:val="003A1624"/>
    <w:rsid w:val="003A16A5"/>
    <w:rsid w:val="003A16F6"/>
    <w:rsid w:val="003A177F"/>
    <w:rsid w:val="003A1941"/>
    <w:rsid w:val="003A1B64"/>
    <w:rsid w:val="003A1BB2"/>
    <w:rsid w:val="003A1BBF"/>
    <w:rsid w:val="003A1CCF"/>
    <w:rsid w:val="003A1CDC"/>
    <w:rsid w:val="003A1E83"/>
    <w:rsid w:val="003A1F11"/>
    <w:rsid w:val="003A1F84"/>
    <w:rsid w:val="003A2098"/>
    <w:rsid w:val="003A2169"/>
    <w:rsid w:val="003A21C5"/>
    <w:rsid w:val="003A2251"/>
    <w:rsid w:val="003A23F7"/>
    <w:rsid w:val="003A2463"/>
    <w:rsid w:val="003A25FE"/>
    <w:rsid w:val="003A26A5"/>
    <w:rsid w:val="003A28B2"/>
    <w:rsid w:val="003A2901"/>
    <w:rsid w:val="003A29AE"/>
    <w:rsid w:val="003A2A76"/>
    <w:rsid w:val="003A2A97"/>
    <w:rsid w:val="003A2F28"/>
    <w:rsid w:val="003A2F34"/>
    <w:rsid w:val="003A31A2"/>
    <w:rsid w:val="003A31D1"/>
    <w:rsid w:val="003A31D4"/>
    <w:rsid w:val="003A321E"/>
    <w:rsid w:val="003A328D"/>
    <w:rsid w:val="003A32ED"/>
    <w:rsid w:val="003A33BD"/>
    <w:rsid w:val="003A3677"/>
    <w:rsid w:val="003A36A0"/>
    <w:rsid w:val="003A36C1"/>
    <w:rsid w:val="003A37F3"/>
    <w:rsid w:val="003A3820"/>
    <w:rsid w:val="003A39EC"/>
    <w:rsid w:val="003A3A31"/>
    <w:rsid w:val="003A3B48"/>
    <w:rsid w:val="003A3B5F"/>
    <w:rsid w:val="003A3D99"/>
    <w:rsid w:val="003A3E26"/>
    <w:rsid w:val="003A4028"/>
    <w:rsid w:val="003A411A"/>
    <w:rsid w:val="003A4143"/>
    <w:rsid w:val="003A456F"/>
    <w:rsid w:val="003A476E"/>
    <w:rsid w:val="003A494F"/>
    <w:rsid w:val="003A498F"/>
    <w:rsid w:val="003A4990"/>
    <w:rsid w:val="003A49F5"/>
    <w:rsid w:val="003A4AF1"/>
    <w:rsid w:val="003A4CC0"/>
    <w:rsid w:val="003A4CC9"/>
    <w:rsid w:val="003A4DA2"/>
    <w:rsid w:val="003A4E8A"/>
    <w:rsid w:val="003A4F7D"/>
    <w:rsid w:val="003A5332"/>
    <w:rsid w:val="003A54CC"/>
    <w:rsid w:val="003A5571"/>
    <w:rsid w:val="003A5815"/>
    <w:rsid w:val="003A58AA"/>
    <w:rsid w:val="003A5973"/>
    <w:rsid w:val="003A5B2E"/>
    <w:rsid w:val="003A5CC3"/>
    <w:rsid w:val="003A5EBF"/>
    <w:rsid w:val="003A5F4F"/>
    <w:rsid w:val="003A613D"/>
    <w:rsid w:val="003A6170"/>
    <w:rsid w:val="003A63B2"/>
    <w:rsid w:val="003A6486"/>
    <w:rsid w:val="003A651A"/>
    <w:rsid w:val="003A6535"/>
    <w:rsid w:val="003A65CA"/>
    <w:rsid w:val="003A67B2"/>
    <w:rsid w:val="003A6807"/>
    <w:rsid w:val="003A687C"/>
    <w:rsid w:val="003A6887"/>
    <w:rsid w:val="003A6916"/>
    <w:rsid w:val="003A6963"/>
    <w:rsid w:val="003A69CF"/>
    <w:rsid w:val="003A6B6E"/>
    <w:rsid w:val="003A6CD4"/>
    <w:rsid w:val="003A6D35"/>
    <w:rsid w:val="003A6E33"/>
    <w:rsid w:val="003A6F13"/>
    <w:rsid w:val="003A7042"/>
    <w:rsid w:val="003A712A"/>
    <w:rsid w:val="003A7381"/>
    <w:rsid w:val="003A7524"/>
    <w:rsid w:val="003A75CD"/>
    <w:rsid w:val="003A75E1"/>
    <w:rsid w:val="003A764A"/>
    <w:rsid w:val="003A76CF"/>
    <w:rsid w:val="003A77A4"/>
    <w:rsid w:val="003A77F8"/>
    <w:rsid w:val="003A7B35"/>
    <w:rsid w:val="003A7C17"/>
    <w:rsid w:val="003A7C6E"/>
    <w:rsid w:val="003A7C9E"/>
    <w:rsid w:val="003A7FBB"/>
    <w:rsid w:val="003B00F3"/>
    <w:rsid w:val="003B0179"/>
    <w:rsid w:val="003B02EA"/>
    <w:rsid w:val="003B03D4"/>
    <w:rsid w:val="003B052C"/>
    <w:rsid w:val="003B05A8"/>
    <w:rsid w:val="003B0950"/>
    <w:rsid w:val="003B09FA"/>
    <w:rsid w:val="003B0C51"/>
    <w:rsid w:val="003B0C7A"/>
    <w:rsid w:val="003B0D1E"/>
    <w:rsid w:val="003B0DA6"/>
    <w:rsid w:val="003B0F51"/>
    <w:rsid w:val="003B0F6A"/>
    <w:rsid w:val="003B105C"/>
    <w:rsid w:val="003B1245"/>
    <w:rsid w:val="003B13BC"/>
    <w:rsid w:val="003B1548"/>
    <w:rsid w:val="003B1596"/>
    <w:rsid w:val="003B18C7"/>
    <w:rsid w:val="003B1A2E"/>
    <w:rsid w:val="003B1AB3"/>
    <w:rsid w:val="003B1B7A"/>
    <w:rsid w:val="003B1DF7"/>
    <w:rsid w:val="003B1E4C"/>
    <w:rsid w:val="003B1E82"/>
    <w:rsid w:val="003B1F87"/>
    <w:rsid w:val="003B213F"/>
    <w:rsid w:val="003B2208"/>
    <w:rsid w:val="003B220A"/>
    <w:rsid w:val="003B22F8"/>
    <w:rsid w:val="003B2760"/>
    <w:rsid w:val="003B27F5"/>
    <w:rsid w:val="003B287C"/>
    <w:rsid w:val="003B2935"/>
    <w:rsid w:val="003B2A78"/>
    <w:rsid w:val="003B2AE4"/>
    <w:rsid w:val="003B2B33"/>
    <w:rsid w:val="003B2CE2"/>
    <w:rsid w:val="003B2DB5"/>
    <w:rsid w:val="003B2EA1"/>
    <w:rsid w:val="003B306E"/>
    <w:rsid w:val="003B320D"/>
    <w:rsid w:val="003B326A"/>
    <w:rsid w:val="003B3291"/>
    <w:rsid w:val="003B3507"/>
    <w:rsid w:val="003B371A"/>
    <w:rsid w:val="003B3733"/>
    <w:rsid w:val="003B3753"/>
    <w:rsid w:val="003B378D"/>
    <w:rsid w:val="003B391F"/>
    <w:rsid w:val="003B3B91"/>
    <w:rsid w:val="003B3B97"/>
    <w:rsid w:val="003B3D03"/>
    <w:rsid w:val="003B3E46"/>
    <w:rsid w:val="003B41E6"/>
    <w:rsid w:val="003B432A"/>
    <w:rsid w:val="003B43C2"/>
    <w:rsid w:val="003B44D9"/>
    <w:rsid w:val="003B4735"/>
    <w:rsid w:val="003B48F2"/>
    <w:rsid w:val="003B4AD6"/>
    <w:rsid w:val="003B4C0B"/>
    <w:rsid w:val="003B4CCF"/>
    <w:rsid w:val="003B4E43"/>
    <w:rsid w:val="003B4F8B"/>
    <w:rsid w:val="003B4F99"/>
    <w:rsid w:val="003B528E"/>
    <w:rsid w:val="003B549E"/>
    <w:rsid w:val="003B553A"/>
    <w:rsid w:val="003B56FD"/>
    <w:rsid w:val="003B57B2"/>
    <w:rsid w:val="003B5840"/>
    <w:rsid w:val="003B590C"/>
    <w:rsid w:val="003B5B04"/>
    <w:rsid w:val="003B5B0B"/>
    <w:rsid w:val="003B5B55"/>
    <w:rsid w:val="003B5B5F"/>
    <w:rsid w:val="003B5BDF"/>
    <w:rsid w:val="003B5C06"/>
    <w:rsid w:val="003B5D88"/>
    <w:rsid w:val="003B5E33"/>
    <w:rsid w:val="003B5E76"/>
    <w:rsid w:val="003B602F"/>
    <w:rsid w:val="003B6201"/>
    <w:rsid w:val="003B628C"/>
    <w:rsid w:val="003B6292"/>
    <w:rsid w:val="003B6346"/>
    <w:rsid w:val="003B64BC"/>
    <w:rsid w:val="003B69C8"/>
    <w:rsid w:val="003B6AC6"/>
    <w:rsid w:val="003B6B85"/>
    <w:rsid w:val="003B6D0B"/>
    <w:rsid w:val="003B6D48"/>
    <w:rsid w:val="003B6D71"/>
    <w:rsid w:val="003B6DFB"/>
    <w:rsid w:val="003B6EDC"/>
    <w:rsid w:val="003B714E"/>
    <w:rsid w:val="003B7185"/>
    <w:rsid w:val="003B720E"/>
    <w:rsid w:val="003B72F3"/>
    <w:rsid w:val="003B7383"/>
    <w:rsid w:val="003B7475"/>
    <w:rsid w:val="003B7494"/>
    <w:rsid w:val="003B74C1"/>
    <w:rsid w:val="003B74EC"/>
    <w:rsid w:val="003B74F1"/>
    <w:rsid w:val="003B7540"/>
    <w:rsid w:val="003B758C"/>
    <w:rsid w:val="003B76E9"/>
    <w:rsid w:val="003B76F9"/>
    <w:rsid w:val="003B7747"/>
    <w:rsid w:val="003B7949"/>
    <w:rsid w:val="003B79B8"/>
    <w:rsid w:val="003B79E7"/>
    <w:rsid w:val="003B7B29"/>
    <w:rsid w:val="003B7C5E"/>
    <w:rsid w:val="003B7CC2"/>
    <w:rsid w:val="003B7D0F"/>
    <w:rsid w:val="003C0044"/>
    <w:rsid w:val="003C00A2"/>
    <w:rsid w:val="003C01DA"/>
    <w:rsid w:val="003C038E"/>
    <w:rsid w:val="003C0549"/>
    <w:rsid w:val="003C06D5"/>
    <w:rsid w:val="003C0765"/>
    <w:rsid w:val="003C0926"/>
    <w:rsid w:val="003C0A3D"/>
    <w:rsid w:val="003C0AC5"/>
    <w:rsid w:val="003C0AC7"/>
    <w:rsid w:val="003C0B2E"/>
    <w:rsid w:val="003C0B81"/>
    <w:rsid w:val="003C0BA5"/>
    <w:rsid w:val="003C0BC8"/>
    <w:rsid w:val="003C0CBE"/>
    <w:rsid w:val="003C0D7B"/>
    <w:rsid w:val="003C0E20"/>
    <w:rsid w:val="003C1071"/>
    <w:rsid w:val="003C1073"/>
    <w:rsid w:val="003C1168"/>
    <w:rsid w:val="003C1214"/>
    <w:rsid w:val="003C12D8"/>
    <w:rsid w:val="003C1357"/>
    <w:rsid w:val="003C1562"/>
    <w:rsid w:val="003C16C4"/>
    <w:rsid w:val="003C18F3"/>
    <w:rsid w:val="003C18FD"/>
    <w:rsid w:val="003C1911"/>
    <w:rsid w:val="003C19AB"/>
    <w:rsid w:val="003C1AF1"/>
    <w:rsid w:val="003C1B8D"/>
    <w:rsid w:val="003C1C0E"/>
    <w:rsid w:val="003C1C13"/>
    <w:rsid w:val="003C1C24"/>
    <w:rsid w:val="003C1C79"/>
    <w:rsid w:val="003C1CC3"/>
    <w:rsid w:val="003C1F21"/>
    <w:rsid w:val="003C1FB1"/>
    <w:rsid w:val="003C1FED"/>
    <w:rsid w:val="003C211B"/>
    <w:rsid w:val="003C2154"/>
    <w:rsid w:val="003C220E"/>
    <w:rsid w:val="003C237B"/>
    <w:rsid w:val="003C2579"/>
    <w:rsid w:val="003C278B"/>
    <w:rsid w:val="003C278C"/>
    <w:rsid w:val="003C280E"/>
    <w:rsid w:val="003C292A"/>
    <w:rsid w:val="003C2AF4"/>
    <w:rsid w:val="003C2B5F"/>
    <w:rsid w:val="003C2D69"/>
    <w:rsid w:val="003C2D94"/>
    <w:rsid w:val="003C2DBC"/>
    <w:rsid w:val="003C2F24"/>
    <w:rsid w:val="003C306C"/>
    <w:rsid w:val="003C30E1"/>
    <w:rsid w:val="003C319D"/>
    <w:rsid w:val="003C31B7"/>
    <w:rsid w:val="003C3377"/>
    <w:rsid w:val="003C340F"/>
    <w:rsid w:val="003C3503"/>
    <w:rsid w:val="003C36A7"/>
    <w:rsid w:val="003C3729"/>
    <w:rsid w:val="003C383C"/>
    <w:rsid w:val="003C3A36"/>
    <w:rsid w:val="003C3B93"/>
    <w:rsid w:val="003C3C2E"/>
    <w:rsid w:val="003C3C57"/>
    <w:rsid w:val="003C3FAF"/>
    <w:rsid w:val="003C3FD9"/>
    <w:rsid w:val="003C40EB"/>
    <w:rsid w:val="003C4179"/>
    <w:rsid w:val="003C423B"/>
    <w:rsid w:val="003C474F"/>
    <w:rsid w:val="003C487A"/>
    <w:rsid w:val="003C4A4C"/>
    <w:rsid w:val="003C4A75"/>
    <w:rsid w:val="003C4BF1"/>
    <w:rsid w:val="003C4DAC"/>
    <w:rsid w:val="003C4FCF"/>
    <w:rsid w:val="003C4FED"/>
    <w:rsid w:val="003C5182"/>
    <w:rsid w:val="003C58F8"/>
    <w:rsid w:val="003C59AB"/>
    <w:rsid w:val="003C5B64"/>
    <w:rsid w:val="003C5CCB"/>
    <w:rsid w:val="003C5DB8"/>
    <w:rsid w:val="003C5E1C"/>
    <w:rsid w:val="003C5E8D"/>
    <w:rsid w:val="003C6670"/>
    <w:rsid w:val="003C6775"/>
    <w:rsid w:val="003C677E"/>
    <w:rsid w:val="003C68EF"/>
    <w:rsid w:val="003C6933"/>
    <w:rsid w:val="003C6A2F"/>
    <w:rsid w:val="003C6B07"/>
    <w:rsid w:val="003C6C1A"/>
    <w:rsid w:val="003C6F5C"/>
    <w:rsid w:val="003C6F63"/>
    <w:rsid w:val="003C7127"/>
    <w:rsid w:val="003C714D"/>
    <w:rsid w:val="003C724D"/>
    <w:rsid w:val="003C7487"/>
    <w:rsid w:val="003C756E"/>
    <w:rsid w:val="003C75F1"/>
    <w:rsid w:val="003C78F2"/>
    <w:rsid w:val="003C7B09"/>
    <w:rsid w:val="003C7C7D"/>
    <w:rsid w:val="003C7D36"/>
    <w:rsid w:val="003C7DC9"/>
    <w:rsid w:val="003C7F36"/>
    <w:rsid w:val="003C7FAA"/>
    <w:rsid w:val="003D000C"/>
    <w:rsid w:val="003D0177"/>
    <w:rsid w:val="003D01B4"/>
    <w:rsid w:val="003D03A7"/>
    <w:rsid w:val="003D04AA"/>
    <w:rsid w:val="003D04C5"/>
    <w:rsid w:val="003D0934"/>
    <w:rsid w:val="003D0C71"/>
    <w:rsid w:val="003D0CED"/>
    <w:rsid w:val="003D0F49"/>
    <w:rsid w:val="003D11F9"/>
    <w:rsid w:val="003D16F7"/>
    <w:rsid w:val="003D1732"/>
    <w:rsid w:val="003D18FA"/>
    <w:rsid w:val="003D1B40"/>
    <w:rsid w:val="003D1CA0"/>
    <w:rsid w:val="003D1D5C"/>
    <w:rsid w:val="003D1DFE"/>
    <w:rsid w:val="003D1ECF"/>
    <w:rsid w:val="003D1F7B"/>
    <w:rsid w:val="003D1FC8"/>
    <w:rsid w:val="003D2235"/>
    <w:rsid w:val="003D223E"/>
    <w:rsid w:val="003D2497"/>
    <w:rsid w:val="003D24C5"/>
    <w:rsid w:val="003D27F4"/>
    <w:rsid w:val="003D28E7"/>
    <w:rsid w:val="003D2A31"/>
    <w:rsid w:val="003D2A97"/>
    <w:rsid w:val="003D2AE5"/>
    <w:rsid w:val="003D2C71"/>
    <w:rsid w:val="003D2D3A"/>
    <w:rsid w:val="003D2DBF"/>
    <w:rsid w:val="003D2E47"/>
    <w:rsid w:val="003D30BE"/>
    <w:rsid w:val="003D3181"/>
    <w:rsid w:val="003D328F"/>
    <w:rsid w:val="003D3333"/>
    <w:rsid w:val="003D3355"/>
    <w:rsid w:val="003D347D"/>
    <w:rsid w:val="003D34E7"/>
    <w:rsid w:val="003D3727"/>
    <w:rsid w:val="003D394E"/>
    <w:rsid w:val="003D3AEB"/>
    <w:rsid w:val="003D3AED"/>
    <w:rsid w:val="003D3B97"/>
    <w:rsid w:val="003D3E01"/>
    <w:rsid w:val="003D3EEC"/>
    <w:rsid w:val="003D4058"/>
    <w:rsid w:val="003D40A6"/>
    <w:rsid w:val="003D4394"/>
    <w:rsid w:val="003D43D9"/>
    <w:rsid w:val="003D448F"/>
    <w:rsid w:val="003D4618"/>
    <w:rsid w:val="003D46CA"/>
    <w:rsid w:val="003D46CF"/>
    <w:rsid w:val="003D4777"/>
    <w:rsid w:val="003D496A"/>
    <w:rsid w:val="003D4A96"/>
    <w:rsid w:val="003D4DFF"/>
    <w:rsid w:val="003D4EA9"/>
    <w:rsid w:val="003D4F1A"/>
    <w:rsid w:val="003D50A9"/>
    <w:rsid w:val="003D514C"/>
    <w:rsid w:val="003D52C1"/>
    <w:rsid w:val="003D5463"/>
    <w:rsid w:val="003D549A"/>
    <w:rsid w:val="003D54C4"/>
    <w:rsid w:val="003D5644"/>
    <w:rsid w:val="003D5735"/>
    <w:rsid w:val="003D58EF"/>
    <w:rsid w:val="003D5B31"/>
    <w:rsid w:val="003D5B77"/>
    <w:rsid w:val="003D5BE9"/>
    <w:rsid w:val="003D5DB1"/>
    <w:rsid w:val="003D5E10"/>
    <w:rsid w:val="003D5F48"/>
    <w:rsid w:val="003D5F72"/>
    <w:rsid w:val="003D6010"/>
    <w:rsid w:val="003D6303"/>
    <w:rsid w:val="003D6408"/>
    <w:rsid w:val="003D6425"/>
    <w:rsid w:val="003D6442"/>
    <w:rsid w:val="003D646D"/>
    <w:rsid w:val="003D652A"/>
    <w:rsid w:val="003D65B8"/>
    <w:rsid w:val="003D6662"/>
    <w:rsid w:val="003D66A5"/>
    <w:rsid w:val="003D66CB"/>
    <w:rsid w:val="003D68D6"/>
    <w:rsid w:val="003D6971"/>
    <w:rsid w:val="003D6D0F"/>
    <w:rsid w:val="003D6D48"/>
    <w:rsid w:val="003D6D5F"/>
    <w:rsid w:val="003D6DA6"/>
    <w:rsid w:val="003D6F67"/>
    <w:rsid w:val="003D70FF"/>
    <w:rsid w:val="003D7263"/>
    <w:rsid w:val="003D7335"/>
    <w:rsid w:val="003D7666"/>
    <w:rsid w:val="003D7767"/>
    <w:rsid w:val="003D784F"/>
    <w:rsid w:val="003D78CF"/>
    <w:rsid w:val="003D7A7B"/>
    <w:rsid w:val="003D7D39"/>
    <w:rsid w:val="003D7D7F"/>
    <w:rsid w:val="003D7EBB"/>
    <w:rsid w:val="003D7FA3"/>
    <w:rsid w:val="003D7FCA"/>
    <w:rsid w:val="003E009E"/>
    <w:rsid w:val="003E017B"/>
    <w:rsid w:val="003E052E"/>
    <w:rsid w:val="003E0593"/>
    <w:rsid w:val="003E05DF"/>
    <w:rsid w:val="003E060E"/>
    <w:rsid w:val="003E0861"/>
    <w:rsid w:val="003E08BD"/>
    <w:rsid w:val="003E0BA5"/>
    <w:rsid w:val="003E0BE9"/>
    <w:rsid w:val="003E0D0D"/>
    <w:rsid w:val="003E0D55"/>
    <w:rsid w:val="003E0E66"/>
    <w:rsid w:val="003E0EA2"/>
    <w:rsid w:val="003E0F7D"/>
    <w:rsid w:val="003E1008"/>
    <w:rsid w:val="003E138C"/>
    <w:rsid w:val="003E15E5"/>
    <w:rsid w:val="003E16A9"/>
    <w:rsid w:val="003E18D9"/>
    <w:rsid w:val="003E19FE"/>
    <w:rsid w:val="003E1A25"/>
    <w:rsid w:val="003E1E4B"/>
    <w:rsid w:val="003E1F3C"/>
    <w:rsid w:val="003E209A"/>
    <w:rsid w:val="003E20C5"/>
    <w:rsid w:val="003E21CB"/>
    <w:rsid w:val="003E21EE"/>
    <w:rsid w:val="003E2557"/>
    <w:rsid w:val="003E2780"/>
    <w:rsid w:val="003E2A6E"/>
    <w:rsid w:val="003E2D90"/>
    <w:rsid w:val="003E2E94"/>
    <w:rsid w:val="003E2EE9"/>
    <w:rsid w:val="003E2F66"/>
    <w:rsid w:val="003E321F"/>
    <w:rsid w:val="003E34A8"/>
    <w:rsid w:val="003E35B4"/>
    <w:rsid w:val="003E35E2"/>
    <w:rsid w:val="003E381A"/>
    <w:rsid w:val="003E3891"/>
    <w:rsid w:val="003E3EEE"/>
    <w:rsid w:val="003E4002"/>
    <w:rsid w:val="003E4129"/>
    <w:rsid w:val="003E4289"/>
    <w:rsid w:val="003E4309"/>
    <w:rsid w:val="003E432B"/>
    <w:rsid w:val="003E459A"/>
    <w:rsid w:val="003E4900"/>
    <w:rsid w:val="003E4A62"/>
    <w:rsid w:val="003E4AEB"/>
    <w:rsid w:val="003E4BEB"/>
    <w:rsid w:val="003E4BF0"/>
    <w:rsid w:val="003E4CA4"/>
    <w:rsid w:val="003E4EA3"/>
    <w:rsid w:val="003E4F87"/>
    <w:rsid w:val="003E522A"/>
    <w:rsid w:val="003E538E"/>
    <w:rsid w:val="003E54C0"/>
    <w:rsid w:val="003E55B9"/>
    <w:rsid w:val="003E55FA"/>
    <w:rsid w:val="003E5779"/>
    <w:rsid w:val="003E5A82"/>
    <w:rsid w:val="003E5CEB"/>
    <w:rsid w:val="003E5DFF"/>
    <w:rsid w:val="003E5F75"/>
    <w:rsid w:val="003E6032"/>
    <w:rsid w:val="003E618F"/>
    <w:rsid w:val="003E633C"/>
    <w:rsid w:val="003E645F"/>
    <w:rsid w:val="003E6496"/>
    <w:rsid w:val="003E64A2"/>
    <w:rsid w:val="003E67BC"/>
    <w:rsid w:val="003E68DD"/>
    <w:rsid w:val="003E6A10"/>
    <w:rsid w:val="003E6A3E"/>
    <w:rsid w:val="003E6A61"/>
    <w:rsid w:val="003E6A76"/>
    <w:rsid w:val="003E6BA5"/>
    <w:rsid w:val="003E6C75"/>
    <w:rsid w:val="003E6D2C"/>
    <w:rsid w:val="003E7161"/>
    <w:rsid w:val="003E7186"/>
    <w:rsid w:val="003E735A"/>
    <w:rsid w:val="003E7553"/>
    <w:rsid w:val="003E7822"/>
    <w:rsid w:val="003E7859"/>
    <w:rsid w:val="003E79C5"/>
    <w:rsid w:val="003E7D98"/>
    <w:rsid w:val="003E7FEB"/>
    <w:rsid w:val="003F019D"/>
    <w:rsid w:val="003F01B3"/>
    <w:rsid w:val="003F01C5"/>
    <w:rsid w:val="003F01EE"/>
    <w:rsid w:val="003F024D"/>
    <w:rsid w:val="003F03BE"/>
    <w:rsid w:val="003F03C7"/>
    <w:rsid w:val="003F0401"/>
    <w:rsid w:val="003F041D"/>
    <w:rsid w:val="003F09C2"/>
    <w:rsid w:val="003F0C22"/>
    <w:rsid w:val="003F0C4D"/>
    <w:rsid w:val="003F0E30"/>
    <w:rsid w:val="003F1022"/>
    <w:rsid w:val="003F1238"/>
    <w:rsid w:val="003F12AD"/>
    <w:rsid w:val="003F12D1"/>
    <w:rsid w:val="003F13DA"/>
    <w:rsid w:val="003F1460"/>
    <w:rsid w:val="003F14D0"/>
    <w:rsid w:val="003F15A3"/>
    <w:rsid w:val="003F18AA"/>
    <w:rsid w:val="003F195F"/>
    <w:rsid w:val="003F1975"/>
    <w:rsid w:val="003F1A84"/>
    <w:rsid w:val="003F1BA7"/>
    <w:rsid w:val="003F1BD2"/>
    <w:rsid w:val="003F1C30"/>
    <w:rsid w:val="003F1CF5"/>
    <w:rsid w:val="003F1EF4"/>
    <w:rsid w:val="003F2070"/>
    <w:rsid w:val="003F2207"/>
    <w:rsid w:val="003F22B4"/>
    <w:rsid w:val="003F248B"/>
    <w:rsid w:val="003F2523"/>
    <w:rsid w:val="003F2582"/>
    <w:rsid w:val="003F258E"/>
    <w:rsid w:val="003F28C4"/>
    <w:rsid w:val="003F28EB"/>
    <w:rsid w:val="003F28F1"/>
    <w:rsid w:val="003F29BE"/>
    <w:rsid w:val="003F29DC"/>
    <w:rsid w:val="003F2A25"/>
    <w:rsid w:val="003F2A67"/>
    <w:rsid w:val="003F2C5B"/>
    <w:rsid w:val="003F2F86"/>
    <w:rsid w:val="003F2FF4"/>
    <w:rsid w:val="003F3040"/>
    <w:rsid w:val="003F30A8"/>
    <w:rsid w:val="003F30D4"/>
    <w:rsid w:val="003F3149"/>
    <w:rsid w:val="003F324A"/>
    <w:rsid w:val="003F3317"/>
    <w:rsid w:val="003F35E7"/>
    <w:rsid w:val="003F36CB"/>
    <w:rsid w:val="003F3820"/>
    <w:rsid w:val="003F39D3"/>
    <w:rsid w:val="003F3DAC"/>
    <w:rsid w:val="003F3EA0"/>
    <w:rsid w:val="003F40AC"/>
    <w:rsid w:val="003F4189"/>
    <w:rsid w:val="003F4222"/>
    <w:rsid w:val="003F4298"/>
    <w:rsid w:val="003F44DC"/>
    <w:rsid w:val="003F45EA"/>
    <w:rsid w:val="003F4652"/>
    <w:rsid w:val="003F4799"/>
    <w:rsid w:val="003F489E"/>
    <w:rsid w:val="003F4944"/>
    <w:rsid w:val="003F4E58"/>
    <w:rsid w:val="003F4F26"/>
    <w:rsid w:val="003F4FC3"/>
    <w:rsid w:val="003F502A"/>
    <w:rsid w:val="003F5282"/>
    <w:rsid w:val="003F52C0"/>
    <w:rsid w:val="003F5752"/>
    <w:rsid w:val="003F5768"/>
    <w:rsid w:val="003F5984"/>
    <w:rsid w:val="003F59EF"/>
    <w:rsid w:val="003F5A0B"/>
    <w:rsid w:val="003F5B52"/>
    <w:rsid w:val="003F5B76"/>
    <w:rsid w:val="003F5C0C"/>
    <w:rsid w:val="003F5D96"/>
    <w:rsid w:val="003F5E2C"/>
    <w:rsid w:val="003F5F9A"/>
    <w:rsid w:val="003F60A7"/>
    <w:rsid w:val="003F626D"/>
    <w:rsid w:val="003F629C"/>
    <w:rsid w:val="003F62A4"/>
    <w:rsid w:val="003F62CB"/>
    <w:rsid w:val="003F637D"/>
    <w:rsid w:val="003F637E"/>
    <w:rsid w:val="003F6700"/>
    <w:rsid w:val="003F6969"/>
    <w:rsid w:val="003F6AFE"/>
    <w:rsid w:val="003F6B6E"/>
    <w:rsid w:val="003F6CF3"/>
    <w:rsid w:val="003F6EF0"/>
    <w:rsid w:val="003F6F0A"/>
    <w:rsid w:val="003F7009"/>
    <w:rsid w:val="003F7044"/>
    <w:rsid w:val="003F7152"/>
    <w:rsid w:val="003F729B"/>
    <w:rsid w:val="003F755D"/>
    <w:rsid w:val="003F784D"/>
    <w:rsid w:val="003F7961"/>
    <w:rsid w:val="003F79FB"/>
    <w:rsid w:val="003F7AAF"/>
    <w:rsid w:val="003F7C34"/>
    <w:rsid w:val="003F7C71"/>
    <w:rsid w:val="0040006E"/>
    <w:rsid w:val="00400498"/>
    <w:rsid w:val="004004A0"/>
    <w:rsid w:val="0040078F"/>
    <w:rsid w:val="004007F3"/>
    <w:rsid w:val="00400900"/>
    <w:rsid w:val="0040091D"/>
    <w:rsid w:val="00400B44"/>
    <w:rsid w:val="00400DA0"/>
    <w:rsid w:val="00400DE1"/>
    <w:rsid w:val="00400F70"/>
    <w:rsid w:val="004010D1"/>
    <w:rsid w:val="0040130B"/>
    <w:rsid w:val="00401AD6"/>
    <w:rsid w:val="00401C63"/>
    <w:rsid w:val="00401D80"/>
    <w:rsid w:val="00401E7B"/>
    <w:rsid w:val="00401F00"/>
    <w:rsid w:val="00401F0F"/>
    <w:rsid w:val="0040259C"/>
    <w:rsid w:val="00402643"/>
    <w:rsid w:val="00402688"/>
    <w:rsid w:val="0040275D"/>
    <w:rsid w:val="004028E5"/>
    <w:rsid w:val="00402A35"/>
    <w:rsid w:val="00402A3E"/>
    <w:rsid w:val="00402B79"/>
    <w:rsid w:val="00402B7D"/>
    <w:rsid w:val="00402BF8"/>
    <w:rsid w:val="00402CC4"/>
    <w:rsid w:val="00402DC1"/>
    <w:rsid w:val="00402DCE"/>
    <w:rsid w:val="00402F9B"/>
    <w:rsid w:val="00403124"/>
    <w:rsid w:val="0040344A"/>
    <w:rsid w:val="00403562"/>
    <w:rsid w:val="0040366F"/>
    <w:rsid w:val="00403697"/>
    <w:rsid w:val="004037B0"/>
    <w:rsid w:val="004037F6"/>
    <w:rsid w:val="0040396A"/>
    <w:rsid w:val="00403AAD"/>
    <w:rsid w:val="00403ADE"/>
    <w:rsid w:val="00403F98"/>
    <w:rsid w:val="00403FB7"/>
    <w:rsid w:val="00403FFC"/>
    <w:rsid w:val="00404009"/>
    <w:rsid w:val="0040413C"/>
    <w:rsid w:val="00404366"/>
    <w:rsid w:val="004043B8"/>
    <w:rsid w:val="0040475B"/>
    <w:rsid w:val="0040479F"/>
    <w:rsid w:val="004047B7"/>
    <w:rsid w:val="004047FA"/>
    <w:rsid w:val="00404809"/>
    <w:rsid w:val="0040488E"/>
    <w:rsid w:val="0040498B"/>
    <w:rsid w:val="00404E65"/>
    <w:rsid w:val="00404ED1"/>
    <w:rsid w:val="00404FD1"/>
    <w:rsid w:val="00405020"/>
    <w:rsid w:val="004050FD"/>
    <w:rsid w:val="004054FD"/>
    <w:rsid w:val="004055DC"/>
    <w:rsid w:val="004057B0"/>
    <w:rsid w:val="0040586A"/>
    <w:rsid w:val="004058BB"/>
    <w:rsid w:val="004058C7"/>
    <w:rsid w:val="00405A0B"/>
    <w:rsid w:val="00405E73"/>
    <w:rsid w:val="00406010"/>
    <w:rsid w:val="00406018"/>
    <w:rsid w:val="0040650F"/>
    <w:rsid w:val="00406670"/>
    <w:rsid w:val="00406723"/>
    <w:rsid w:val="00406799"/>
    <w:rsid w:val="00406820"/>
    <w:rsid w:val="0040684B"/>
    <w:rsid w:val="00406AF8"/>
    <w:rsid w:val="00406BDD"/>
    <w:rsid w:val="00406E5E"/>
    <w:rsid w:val="00407093"/>
    <w:rsid w:val="00407187"/>
    <w:rsid w:val="00407204"/>
    <w:rsid w:val="00407324"/>
    <w:rsid w:val="0040734B"/>
    <w:rsid w:val="00407555"/>
    <w:rsid w:val="004076DC"/>
    <w:rsid w:val="004079A3"/>
    <w:rsid w:val="004079B7"/>
    <w:rsid w:val="004079F9"/>
    <w:rsid w:val="00407A0B"/>
    <w:rsid w:val="00407B2A"/>
    <w:rsid w:val="00407B99"/>
    <w:rsid w:val="00407CF9"/>
    <w:rsid w:val="00407DB8"/>
    <w:rsid w:val="00407DDC"/>
    <w:rsid w:val="00407EA0"/>
    <w:rsid w:val="00407F45"/>
    <w:rsid w:val="00407FD4"/>
    <w:rsid w:val="00410056"/>
    <w:rsid w:val="00410198"/>
    <w:rsid w:val="0041044A"/>
    <w:rsid w:val="00410597"/>
    <w:rsid w:val="004106E2"/>
    <w:rsid w:val="0041075C"/>
    <w:rsid w:val="00410826"/>
    <w:rsid w:val="00410840"/>
    <w:rsid w:val="00410842"/>
    <w:rsid w:val="0041085F"/>
    <w:rsid w:val="00410877"/>
    <w:rsid w:val="00410B13"/>
    <w:rsid w:val="00410BD4"/>
    <w:rsid w:val="00410BE7"/>
    <w:rsid w:val="00410D05"/>
    <w:rsid w:val="00410EBA"/>
    <w:rsid w:val="004110D7"/>
    <w:rsid w:val="0041112C"/>
    <w:rsid w:val="0041135C"/>
    <w:rsid w:val="004113E6"/>
    <w:rsid w:val="0041154B"/>
    <w:rsid w:val="00411709"/>
    <w:rsid w:val="00411793"/>
    <w:rsid w:val="00411AFB"/>
    <w:rsid w:val="00412728"/>
    <w:rsid w:val="004127DE"/>
    <w:rsid w:val="004128F9"/>
    <w:rsid w:val="004129ED"/>
    <w:rsid w:val="00412A03"/>
    <w:rsid w:val="00412B73"/>
    <w:rsid w:val="00413002"/>
    <w:rsid w:val="0041337E"/>
    <w:rsid w:val="0041338A"/>
    <w:rsid w:val="0041340D"/>
    <w:rsid w:val="00413416"/>
    <w:rsid w:val="004135EA"/>
    <w:rsid w:val="00413632"/>
    <w:rsid w:val="00413787"/>
    <w:rsid w:val="004137AB"/>
    <w:rsid w:val="004137C7"/>
    <w:rsid w:val="004138C3"/>
    <w:rsid w:val="00413DC6"/>
    <w:rsid w:val="00413E85"/>
    <w:rsid w:val="00413EA5"/>
    <w:rsid w:val="00413F12"/>
    <w:rsid w:val="004140FF"/>
    <w:rsid w:val="0041412A"/>
    <w:rsid w:val="00414144"/>
    <w:rsid w:val="00414591"/>
    <w:rsid w:val="004145AD"/>
    <w:rsid w:val="004147B6"/>
    <w:rsid w:val="004147FD"/>
    <w:rsid w:val="0041490C"/>
    <w:rsid w:val="0041498C"/>
    <w:rsid w:val="00414DD9"/>
    <w:rsid w:val="00414F2E"/>
    <w:rsid w:val="00414F4A"/>
    <w:rsid w:val="00414FD7"/>
    <w:rsid w:val="00415060"/>
    <w:rsid w:val="0041514F"/>
    <w:rsid w:val="004151ED"/>
    <w:rsid w:val="004152CA"/>
    <w:rsid w:val="00415573"/>
    <w:rsid w:val="0041564B"/>
    <w:rsid w:val="0041568C"/>
    <w:rsid w:val="00415770"/>
    <w:rsid w:val="004158FC"/>
    <w:rsid w:val="00415912"/>
    <w:rsid w:val="00415A03"/>
    <w:rsid w:val="00415B0C"/>
    <w:rsid w:val="00415B43"/>
    <w:rsid w:val="00415D15"/>
    <w:rsid w:val="00415DC7"/>
    <w:rsid w:val="00415F27"/>
    <w:rsid w:val="00415F31"/>
    <w:rsid w:val="0041611C"/>
    <w:rsid w:val="004162BB"/>
    <w:rsid w:val="004165AD"/>
    <w:rsid w:val="004166F7"/>
    <w:rsid w:val="00416726"/>
    <w:rsid w:val="004168D2"/>
    <w:rsid w:val="00416A0F"/>
    <w:rsid w:val="00416A8A"/>
    <w:rsid w:val="00416CA5"/>
    <w:rsid w:val="00416D26"/>
    <w:rsid w:val="00416D7B"/>
    <w:rsid w:val="00416EF1"/>
    <w:rsid w:val="00416F2A"/>
    <w:rsid w:val="004173BC"/>
    <w:rsid w:val="0041745B"/>
    <w:rsid w:val="004174FF"/>
    <w:rsid w:val="0041756D"/>
    <w:rsid w:val="004175EB"/>
    <w:rsid w:val="00417672"/>
    <w:rsid w:val="004176CD"/>
    <w:rsid w:val="00417757"/>
    <w:rsid w:val="004177E2"/>
    <w:rsid w:val="0041789E"/>
    <w:rsid w:val="00417961"/>
    <w:rsid w:val="00417ACB"/>
    <w:rsid w:val="00417B35"/>
    <w:rsid w:val="00417EF6"/>
    <w:rsid w:val="00417FEA"/>
    <w:rsid w:val="00420148"/>
    <w:rsid w:val="004201BA"/>
    <w:rsid w:val="00420266"/>
    <w:rsid w:val="00420287"/>
    <w:rsid w:val="0042036A"/>
    <w:rsid w:val="00420491"/>
    <w:rsid w:val="004204A7"/>
    <w:rsid w:val="0042053E"/>
    <w:rsid w:val="004205A2"/>
    <w:rsid w:val="004205BB"/>
    <w:rsid w:val="00420712"/>
    <w:rsid w:val="0042078D"/>
    <w:rsid w:val="00420A22"/>
    <w:rsid w:val="00420A73"/>
    <w:rsid w:val="00420AEF"/>
    <w:rsid w:val="00420AF3"/>
    <w:rsid w:val="00420D10"/>
    <w:rsid w:val="00420D9A"/>
    <w:rsid w:val="00420E85"/>
    <w:rsid w:val="0042109D"/>
    <w:rsid w:val="004210D7"/>
    <w:rsid w:val="0042110E"/>
    <w:rsid w:val="0042116F"/>
    <w:rsid w:val="004211CC"/>
    <w:rsid w:val="00421282"/>
    <w:rsid w:val="004213E8"/>
    <w:rsid w:val="00421566"/>
    <w:rsid w:val="004216FA"/>
    <w:rsid w:val="00421A33"/>
    <w:rsid w:val="00421A5D"/>
    <w:rsid w:val="00421A6E"/>
    <w:rsid w:val="00421BB9"/>
    <w:rsid w:val="00421ECE"/>
    <w:rsid w:val="0042204D"/>
    <w:rsid w:val="004221EF"/>
    <w:rsid w:val="0042222F"/>
    <w:rsid w:val="00422332"/>
    <w:rsid w:val="00422442"/>
    <w:rsid w:val="004224B5"/>
    <w:rsid w:val="004225A6"/>
    <w:rsid w:val="004225DF"/>
    <w:rsid w:val="004225F6"/>
    <w:rsid w:val="0042268B"/>
    <w:rsid w:val="00422776"/>
    <w:rsid w:val="00422C7A"/>
    <w:rsid w:val="00422C7B"/>
    <w:rsid w:val="00422CDF"/>
    <w:rsid w:val="00422D29"/>
    <w:rsid w:val="00422D6A"/>
    <w:rsid w:val="00422D7B"/>
    <w:rsid w:val="00422D87"/>
    <w:rsid w:val="00422E49"/>
    <w:rsid w:val="00422E4C"/>
    <w:rsid w:val="00422E79"/>
    <w:rsid w:val="00422ED5"/>
    <w:rsid w:val="00422EF6"/>
    <w:rsid w:val="00423281"/>
    <w:rsid w:val="004233AA"/>
    <w:rsid w:val="004233CD"/>
    <w:rsid w:val="004234B4"/>
    <w:rsid w:val="0042354F"/>
    <w:rsid w:val="004235A6"/>
    <w:rsid w:val="00423A39"/>
    <w:rsid w:val="00423B82"/>
    <w:rsid w:val="00423C1C"/>
    <w:rsid w:val="00423CC8"/>
    <w:rsid w:val="00423D00"/>
    <w:rsid w:val="00423D2C"/>
    <w:rsid w:val="00423E87"/>
    <w:rsid w:val="00423F2D"/>
    <w:rsid w:val="0042406B"/>
    <w:rsid w:val="004241A5"/>
    <w:rsid w:val="004241D4"/>
    <w:rsid w:val="0042420E"/>
    <w:rsid w:val="0042421A"/>
    <w:rsid w:val="00424220"/>
    <w:rsid w:val="004243A7"/>
    <w:rsid w:val="004243CD"/>
    <w:rsid w:val="00424485"/>
    <w:rsid w:val="004244EE"/>
    <w:rsid w:val="0042456B"/>
    <w:rsid w:val="0042467B"/>
    <w:rsid w:val="004248AC"/>
    <w:rsid w:val="00424982"/>
    <w:rsid w:val="00424F46"/>
    <w:rsid w:val="00424FDB"/>
    <w:rsid w:val="00425039"/>
    <w:rsid w:val="00425045"/>
    <w:rsid w:val="0042527F"/>
    <w:rsid w:val="00425326"/>
    <w:rsid w:val="0042537B"/>
    <w:rsid w:val="00425406"/>
    <w:rsid w:val="004255D9"/>
    <w:rsid w:val="00425826"/>
    <w:rsid w:val="00425833"/>
    <w:rsid w:val="00425AB5"/>
    <w:rsid w:val="00425AB8"/>
    <w:rsid w:val="00425AE5"/>
    <w:rsid w:val="00425B59"/>
    <w:rsid w:val="00425C47"/>
    <w:rsid w:val="00425D66"/>
    <w:rsid w:val="00425E2A"/>
    <w:rsid w:val="00425FDB"/>
    <w:rsid w:val="00426100"/>
    <w:rsid w:val="00426108"/>
    <w:rsid w:val="004262A4"/>
    <w:rsid w:val="004262E0"/>
    <w:rsid w:val="004263C4"/>
    <w:rsid w:val="00426639"/>
    <w:rsid w:val="004266EF"/>
    <w:rsid w:val="004267BD"/>
    <w:rsid w:val="004267E6"/>
    <w:rsid w:val="0042691F"/>
    <w:rsid w:val="00426A9D"/>
    <w:rsid w:val="00426B3D"/>
    <w:rsid w:val="00426CDE"/>
    <w:rsid w:val="00426EC8"/>
    <w:rsid w:val="00426ED6"/>
    <w:rsid w:val="00426EFD"/>
    <w:rsid w:val="00427042"/>
    <w:rsid w:val="0042706C"/>
    <w:rsid w:val="00427367"/>
    <w:rsid w:val="004274BB"/>
    <w:rsid w:val="0042756A"/>
    <w:rsid w:val="00427A04"/>
    <w:rsid w:val="00427B55"/>
    <w:rsid w:val="00427FC7"/>
    <w:rsid w:val="00430105"/>
    <w:rsid w:val="00430290"/>
    <w:rsid w:val="004303E3"/>
    <w:rsid w:val="004304E3"/>
    <w:rsid w:val="00430590"/>
    <w:rsid w:val="0043081E"/>
    <w:rsid w:val="00430A0F"/>
    <w:rsid w:val="00430AAB"/>
    <w:rsid w:val="00430E68"/>
    <w:rsid w:val="00430E9B"/>
    <w:rsid w:val="00430F63"/>
    <w:rsid w:val="00431199"/>
    <w:rsid w:val="0043141D"/>
    <w:rsid w:val="00431962"/>
    <w:rsid w:val="00431979"/>
    <w:rsid w:val="004319BE"/>
    <w:rsid w:val="00431B76"/>
    <w:rsid w:val="00431BA9"/>
    <w:rsid w:val="00431BDD"/>
    <w:rsid w:val="00431CAC"/>
    <w:rsid w:val="00431DE2"/>
    <w:rsid w:val="00431E38"/>
    <w:rsid w:val="00431E76"/>
    <w:rsid w:val="00431EE4"/>
    <w:rsid w:val="00431F59"/>
    <w:rsid w:val="0043277E"/>
    <w:rsid w:val="0043286D"/>
    <w:rsid w:val="004329B3"/>
    <w:rsid w:val="00432A2D"/>
    <w:rsid w:val="00432A3B"/>
    <w:rsid w:val="00432AB1"/>
    <w:rsid w:val="00432AC2"/>
    <w:rsid w:val="00432B45"/>
    <w:rsid w:val="00432F80"/>
    <w:rsid w:val="00433082"/>
    <w:rsid w:val="004333E0"/>
    <w:rsid w:val="0043344E"/>
    <w:rsid w:val="004334A8"/>
    <w:rsid w:val="004334B2"/>
    <w:rsid w:val="00433503"/>
    <w:rsid w:val="004335C7"/>
    <w:rsid w:val="0043370F"/>
    <w:rsid w:val="00433888"/>
    <w:rsid w:val="00433CEA"/>
    <w:rsid w:val="00433E8F"/>
    <w:rsid w:val="00433F7B"/>
    <w:rsid w:val="0043438B"/>
    <w:rsid w:val="0043440F"/>
    <w:rsid w:val="00434480"/>
    <w:rsid w:val="00434712"/>
    <w:rsid w:val="0043496F"/>
    <w:rsid w:val="00434A47"/>
    <w:rsid w:val="00434A50"/>
    <w:rsid w:val="00434D6C"/>
    <w:rsid w:val="00434F9D"/>
    <w:rsid w:val="004350E1"/>
    <w:rsid w:val="00435198"/>
    <w:rsid w:val="0043520D"/>
    <w:rsid w:val="0043565C"/>
    <w:rsid w:val="00435685"/>
    <w:rsid w:val="004356FA"/>
    <w:rsid w:val="00435770"/>
    <w:rsid w:val="0043598F"/>
    <w:rsid w:val="00435A4C"/>
    <w:rsid w:val="00435FBB"/>
    <w:rsid w:val="004360EC"/>
    <w:rsid w:val="00436390"/>
    <w:rsid w:val="00436409"/>
    <w:rsid w:val="004365CF"/>
    <w:rsid w:val="00436776"/>
    <w:rsid w:val="004367BE"/>
    <w:rsid w:val="00436B69"/>
    <w:rsid w:val="00436DC3"/>
    <w:rsid w:val="00436E0F"/>
    <w:rsid w:val="00436E82"/>
    <w:rsid w:val="00437073"/>
    <w:rsid w:val="0043713B"/>
    <w:rsid w:val="0043720A"/>
    <w:rsid w:val="00437232"/>
    <w:rsid w:val="004373C3"/>
    <w:rsid w:val="004374D7"/>
    <w:rsid w:val="00437540"/>
    <w:rsid w:val="00437559"/>
    <w:rsid w:val="004376E6"/>
    <w:rsid w:val="0043774C"/>
    <w:rsid w:val="004377E5"/>
    <w:rsid w:val="004378E8"/>
    <w:rsid w:val="004379B2"/>
    <w:rsid w:val="004379C0"/>
    <w:rsid w:val="00437A1E"/>
    <w:rsid w:val="00437BEC"/>
    <w:rsid w:val="00437CF0"/>
    <w:rsid w:val="00437F7D"/>
    <w:rsid w:val="004400AD"/>
    <w:rsid w:val="004401EB"/>
    <w:rsid w:val="00440367"/>
    <w:rsid w:val="004403B6"/>
    <w:rsid w:val="004403C3"/>
    <w:rsid w:val="00440479"/>
    <w:rsid w:val="004404F5"/>
    <w:rsid w:val="004406B9"/>
    <w:rsid w:val="00440740"/>
    <w:rsid w:val="00440A03"/>
    <w:rsid w:val="00440BE7"/>
    <w:rsid w:val="00440C96"/>
    <w:rsid w:val="00440D6F"/>
    <w:rsid w:val="00440E4B"/>
    <w:rsid w:val="00440F38"/>
    <w:rsid w:val="004413A2"/>
    <w:rsid w:val="0044143B"/>
    <w:rsid w:val="004415DC"/>
    <w:rsid w:val="00441606"/>
    <w:rsid w:val="0044174D"/>
    <w:rsid w:val="00441893"/>
    <w:rsid w:val="00441982"/>
    <w:rsid w:val="00441AFD"/>
    <w:rsid w:val="00441B45"/>
    <w:rsid w:val="00441C93"/>
    <w:rsid w:val="00441D5F"/>
    <w:rsid w:val="00441DCC"/>
    <w:rsid w:val="00441E12"/>
    <w:rsid w:val="00441E26"/>
    <w:rsid w:val="00441E34"/>
    <w:rsid w:val="00441F9D"/>
    <w:rsid w:val="0044228A"/>
    <w:rsid w:val="00442405"/>
    <w:rsid w:val="0044248E"/>
    <w:rsid w:val="00442624"/>
    <w:rsid w:val="004426E4"/>
    <w:rsid w:val="0044280C"/>
    <w:rsid w:val="004428C8"/>
    <w:rsid w:val="00442961"/>
    <w:rsid w:val="00442A0D"/>
    <w:rsid w:val="00442AC5"/>
    <w:rsid w:val="00442B3D"/>
    <w:rsid w:val="00442B6E"/>
    <w:rsid w:val="00442B87"/>
    <w:rsid w:val="00442F63"/>
    <w:rsid w:val="0044305E"/>
    <w:rsid w:val="00443070"/>
    <w:rsid w:val="00443084"/>
    <w:rsid w:val="00443091"/>
    <w:rsid w:val="00443139"/>
    <w:rsid w:val="00443324"/>
    <w:rsid w:val="0044339E"/>
    <w:rsid w:val="004436B2"/>
    <w:rsid w:val="00443719"/>
    <w:rsid w:val="0044374C"/>
    <w:rsid w:val="0044388B"/>
    <w:rsid w:val="004438DF"/>
    <w:rsid w:val="00443A5B"/>
    <w:rsid w:val="00443B73"/>
    <w:rsid w:val="00443CF1"/>
    <w:rsid w:val="00443E96"/>
    <w:rsid w:val="00443EEB"/>
    <w:rsid w:val="00443EFE"/>
    <w:rsid w:val="0044401B"/>
    <w:rsid w:val="0044429E"/>
    <w:rsid w:val="0044458E"/>
    <w:rsid w:val="00444667"/>
    <w:rsid w:val="00444848"/>
    <w:rsid w:val="00444896"/>
    <w:rsid w:val="004448E1"/>
    <w:rsid w:val="00444911"/>
    <w:rsid w:val="00444958"/>
    <w:rsid w:val="00444F2E"/>
    <w:rsid w:val="00444FD7"/>
    <w:rsid w:val="0044501E"/>
    <w:rsid w:val="0044512F"/>
    <w:rsid w:val="0044515A"/>
    <w:rsid w:val="00445196"/>
    <w:rsid w:val="004453A6"/>
    <w:rsid w:val="0044540C"/>
    <w:rsid w:val="004454A9"/>
    <w:rsid w:val="00445641"/>
    <w:rsid w:val="0044579B"/>
    <w:rsid w:val="004457E9"/>
    <w:rsid w:val="00445813"/>
    <w:rsid w:val="0044591E"/>
    <w:rsid w:val="00445A23"/>
    <w:rsid w:val="00445B79"/>
    <w:rsid w:val="00445C50"/>
    <w:rsid w:val="00445D16"/>
    <w:rsid w:val="00445E4A"/>
    <w:rsid w:val="00445E6F"/>
    <w:rsid w:val="00445EAC"/>
    <w:rsid w:val="00445F2B"/>
    <w:rsid w:val="00446387"/>
    <w:rsid w:val="0044644A"/>
    <w:rsid w:val="004464A3"/>
    <w:rsid w:val="004464F3"/>
    <w:rsid w:val="004465DE"/>
    <w:rsid w:val="0044688F"/>
    <w:rsid w:val="00446F38"/>
    <w:rsid w:val="004472A2"/>
    <w:rsid w:val="004472B4"/>
    <w:rsid w:val="00447449"/>
    <w:rsid w:val="00447507"/>
    <w:rsid w:val="0044757D"/>
    <w:rsid w:val="004476FA"/>
    <w:rsid w:val="00447847"/>
    <w:rsid w:val="00447D0B"/>
    <w:rsid w:val="00447E34"/>
    <w:rsid w:val="0045003D"/>
    <w:rsid w:val="00450046"/>
    <w:rsid w:val="00450246"/>
    <w:rsid w:val="004503B2"/>
    <w:rsid w:val="0045044E"/>
    <w:rsid w:val="004506AF"/>
    <w:rsid w:val="00450836"/>
    <w:rsid w:val="00450A21"/>
    <w:rsid w:val="00450CE6"/>
    <w:rsid w:val="00450D4F"/>
    <w:rsid w:val="00450DC2"/>
    <w:rsid w:val="00450DDD"/>
    <w:rsid w:val="00450E50"/>
    <w:rsid w:val="00450E95"/>
    <w:rsid w:val="00450F1E"/>
    <w:rsid w:val="00450FF0"/>
    <w:rsid w:val="004510AD"/>
    <w:rsid w:val="00451318"/>
    <w:rsid w:val="0045132D"/>
    <w:rsid w:val="00451331"/>
    <w:rsid w:val="004513E0"/>
    <w:rsid w:val="0045143D"/>
    <w:rsid w:val="0045166B"/>
    <w:rsid w:val="00451691"/>
    <w:rsid w:val="004518F4"/>
    <w:rsid w:val="00451AC7"/>
    <w:rsid w:val="00451BCD"/>
    <w:rsid w:val="00451BF3"/>
    <w:rsid w:val="00451CD3"/>
    <w:rsid w:val="00451E5D"/>
    <w:rsid w:val="00451EF9"/>
    <w:rsid w:val="0045208D"/>
    <w:rsid w:val="004523A1"/>
    <w:rsid w:val="00452897"/>
    <w:rsid w:val="00452B75"/>
    <w:rsid w:val="00452B9C"/>
    <w:rsid w:val="00452C07"/>
    <w:rsid w:val="00452EB4"/>
    <w:rsid w:val="00452FF5"/>
    <w:rsid w:val="004530E8"/>
    <w:rsid w:val="004530EE"/>
    <w:rsid w:val="0045316F"/>
    <w:rsid w:val="00453173"/>
    <w:rsid w:val="004531CA"/>
    <w:rsid w:val="004531F5"/>
    <w:rsid w:val="00453542"/>
    <w:rsid w:val="0045359E"/>
    <w:rsid w:val="00453F28"/>
    <w:rsid w:val="00453F50"/>
    <w:rsid w:val="00454018"/>
    <w:rsid w:val="0045414E"/>
    <w:rsid w:val="004541C0"/>
    <w:rsid w:val="004543DE"/>
    <w:rsid w:val="00454534"/>
    <w:rsid w:val="0045457E"/>
    <w:rsid w:val="004545DB"/>
    <w:rsid w:val="00454765"/>
    <w:rsid w:val="0045481A"/>
    <w:rsid w:val="004549D8"/>
    <w:rsid w:val="00454BFB"/>
    <w:rsid w:val="004550FC"/>
    <w:rsid w:val="0045511D"/>
    <w:rsid w:val="00455249"/>
    <w:rsid w:val="0045524F"/>
    <w:rsid w:val="0045526C"/>
    <w:rsid w:val="0045530D"/>
    <w:rsid w:val="00455329"/>
    <w:rsid w:val="00455559"/>
    <w:rsid w:val="004558AE"/>
    <w:rsid w:val="00455A34"/>
    <w:rsid w:val="00455A7D"/>
    <w:rsid w:val="00455BAE"/>
    <w:rsid w:val="00455BD6"/>
    <w:rsid w:val="00455EE2"/>
    <w:rsid w:val="00456247"/>
    <w:rsid w:val="00456261"/>
    <w:rsid w:val="004562FD"/>
    <w:rsid w:val="00456458"/>
    <w:rsid w:val="00456468"/>
    <w:rsid w:val="00456471"/>
    <w:rsid w:val="00456562"/>
    <w:rsid w:val="00456569"/>
    <w:rsid w:val="00456741"/>
    <w:rsid w:val="004567CC"/>
    <w:rsid w:val="0045683C"/>
    <w:rsid w:val="004568A4"/>
    <w:rsid w:val="00456928"/>
    <w:rsid w:val="00456974"/>
    <w:rsid w:val="004569AD"/>
    <w:rsid w:val="004569E8"/>
    <w:rsid w:val="00456B46"/>
    <w:rsid w:val="00456B9F"/>
    <w:rsid w:val="00456CD5"/>
    <w:rsid w:val="00456D43"/>
    <w:rsid w:val="00457004"/>
    <w:rsid w:val="0045721A"/>
    <w:rsid w:val="00457268"/>
    <w:rsid w:val="00457322"/>
    <w:rsid w:val="00457334"/>
    <w:rsid w:val="004573DD"/>
    <w:rsid w:val="00457446"/>
    <w:rsid w:val="0045762C"/>
    <w:rsid w:val="00457678"/>
    <w:rsid w:val="004577DE"/>
    <w:rsid w:val="004578D8"/>
    <w:rsid w:val="00457A09"/>
    <w:rsid w:val="00457AF4"/>
    <w:rsid w:val="00457B28"/>
    <w:rsid w:val="00457C2B"/>
    <w:rsid w:val="00457F45"/>
    <w:rsid w:val="00457F60"/>
    <w:rsid w:val="00460326"/>
    <w:rsid w:val="004603D2"/>
    <w:rsid w:val="0046060B"/>
    <w:rsid w:val="0046086F"/>
    <w:rsid w:val="004608C2"/>
    <w:rsid w:val="00460A5E"/>
    <w:rsid w:val="00460AAC"/>
    <w:rsid w:val="00460BD8"/>
    <w:rsid w:val="00460C42"/>
    <w:rsid w:val="00460E7D"/>
    <w:rsid w:val="00461006"/>
    <w:rsid w:val="004610D6"/>
    <w:rsid w:val="004610F7"/>
    <w:rsid w:val="00461133"/>
    <w:rsid w:val="00461140"/>
    <w:rsid w:val="0046130A"/>
    <w:rsid w:val="00461378"/>
    <w:rsid w:val="00461398"/>
    <w:rsid w:val="00461405"/>
    <w:rsid w:val="00461721"/>
    <w:rsid w:val="004617E7"/>
    <w:rsid w:val="004618AB"/>
    <w:rsid w:val="00461944"/>
    <w:rsid w:val="004619B5"/>
    <w:rsid w:val="00461ACC"/>
    <w:rsid w:val="00462172"/>
    <w:rsid w:val="004624CD"/>
    <w:rsid w:val="004624D7"/>
    <w:rsid w:val="004625D3"/>
    <w:rsid w:val="004625EA"/>
    <w:rsid w:val="00462607"/>
    <w:rsid w:val="00462663"/>
    <w:rsid w:val="00462851"/>
    <w:rsid w:val="00462D0D"/>
    <w:rsid w:val="00462D86"/>
    <w:rsid w:val="00462DDA"/>
    <w:rsid w:val="00462ECC"/>
    <w:rsid w:val="004631DD"/>
    <w:rsid w:val="00463221"/>
    <w:rsid w:val="004633E6"/>
    <w:rsid w:val="00463494"/>
    <w:rsid w:val="0046356D"/>
    <w:rsid w:val="0046357D"/>
    <w:rsid w:val="004635D7"/>
    <w:rsid w:val="004635EC"/>
    <w:rsid w:val="004635FB"/>
    <w:rsid w:val="00463708"/>
    <w:rsid w:val="00463763"/>
    <w:rsid w:val="004638B0"/>
    <w:rsid w:val="004638E9"/>
    <w:rsid w:val="004638F2"/>
    <w:rsid w:val="00463C4E"/>
    <w:rsid w:val="00463F69"/>
    <w:rsid w:val="00464467"/>
    <w:rsid w:val="00464549"/>
    <w:rsid w:val="004646DD"/>
    <w:rsid w:val="0046471B"/>
    <w:rsid w:val="004647CA"/>
    <w:rsid w:val="004648AB"/>
    <w:rsid w:val="004648FD"/>
    <w:rsid w:val="0046491E"/>
    <w:rsid w:val="00464BCC"/>
    <w:rsid w:val="00464F07"/>
    <w:rsid w:val="00464F0D"/>
    <w:rsid w:val="004650C4"/>
    <w:rsid w:val="004651D5"/>
    <w:rsid w:val="004652EB"/>
    <w:rsid w:val="0046542E"/>
    <w:rsid w:val="00465528"/>
    <w:rsid w:val="00465561"/>
    <w:rsid w:val="0046558B"/>
    <w:rsid w:val="00465595"/>
    <w:rsid w:val="004655B0"/>
    <w:rsid w:val="00465680"/>
    <w:rsid w:val="004656BB"/>
    <w:rsid w:val="004659C1"/>
    <w:rsid w:val="00465BFB"/>
    <w:rsid w:val="00465D68"/>
    <w:rsid w:val="00465DD6"/>
    <w:rsid w:val="00465E19"/>
    <w:rsid w:val="00465EFB"/>
    <w:rsid w:val="00466341"/>
    <w:rsid w:val="0046637F"/>
    <w:rsid w:val="00466416"/>
    <w:rsid w:val="00466566"/>
    <w:rsid w:val="004666D5"/>
    <w:rsid w:val="004668D5"/>
    <w:rsid w:val="00466901"/>
    <w:rsid w:val="00466A81"/>
    <w:rsid w:val="00466A9E"/>
    <w:rsid w:val="00466BB6"/>
    <w:rsid w:val="00466ED0"/>
    <w:rsid w:val="00466FC7"/>
    <w:rsid w:val="0046730C"/>
    <w:rsid w:val="00467313"/>
    <w:rsid w:val="00467399"/>
    <w:rsid w:val="004673AF"/>
    <w:rsid w:val="004673D2"/>
    <w:rsid w:val="004673E8"/>
    <w:rsid w:val="00467489"/>
    <w:rsid w:val="0046758A"/>
    <w:rsid w:val="00467605"/>
    <w:rsid w:val="0046761F"/>
    <w:rsid w:val="00467662"/>
    <w:rsid w:val="00467690"/>
    <w:rsid w:val="00467ABF"/>
    <w:rsid w:val="00467B85"/>
    <w:rsid w:val="00467CB3"/>
    <w:rsid w:val="00467DFC"/>
    <w:rsid w:val="00467E72"/>
    <w:rsid w:val="00467EB1"/>
    <w:rsid w:val="00467F3F"/>
    <w:rsid w:val="00467F9A"/>
    <w:rsid w:val="00470375"/>
    <w:rsid w:val="00470827"/>
    <w:rsid w:val="00470887"/>
    <w:rsid w:val="004708C9"/>
    <w:rsid w:val="00470D35"/>
    <w:rsid w:val="004710F2"/>
    <w:rsid w:val="0047110A"/>
    <w:rsid w:val="00471138"/>
    <w:rsid w:val="00471195"/>
    <w:rsid w:val="004711A8"/>
    <w:rsid w:val="00471237"/>
    <w:rsid w:val="004713CE"/>
    <w:rsid w:val="0047141A"/>
    <w:rsid w:val="0047163C"/>
    <w:rsid w:val="0047163D"/>
    <w:rsid w:val="00471684"/>
    <w:rsid w:val="004716E6"/>
    <w:rsid w:val="00471928"/>
    <w:rsid w:val="004719F3"/>
    <w:rsid w:val="00471B99"/>
    <w:rsid w:val="00471C57"/>
    <w:rsid w:val="00471CE6"/>
    <w:rsid w:val="00471D39"/>
    <w:rsid w:val="00471E2B"/>
    <w:rsid w:val="00471EAA"/>
    <w:rsid w:val="00471EDC"/>
    <w:rsid w:val="00472313"/>
    <w:rsid w:val="00472345"/>
    <w:rsid w:val="00472354"/>
    <w:rsid w:val="004724F8"/>
    <w:rsid w:val="0047296A"/>
    <w:rsid w:val="004729AE"/>
    <w:rsid w:val="00472A51"/>
    <w:rsid w:val="00472B12"/>
    <w:rsid w:val="00472BBC"/>
    <w:rsid w:val="00472C87"/>
    <w:rsid w:val="00472D42"/>
    <w:rsid w:val="00472D96"/>
    <w:rsid w:val="00472DAC"/>
    <w:rsid w:val="00473064"/>
    <w:rsid w:val="004732DC"/>
    <w:rsid w:val="00473424"/>
    <w:rsid w:val="004735C8"/>
    <w:rsid w:val="0047361A"/>
    <w:rsid w:val="0047366D"/>
    <w:rsid w:val="004736B9"/>
    <w:rsid w:val="004738DC"/>
    <w:rsid w:val="0047398C"/>
    <w:rsid w:val="00473A1B"/>
    <w:rsid w:val="00473A56"/>
    <w:rsid w:val="00473A8F"/>
    <w:rsid w:val="00473BD5"/>
    <w:rsid w:val="00473C06"/>
    <w:rsid w:val="00473C80"/>
    <w:rsid w:val="00473D00"/>
    <w:rsid w:val="00474026"/>
    <w:rsid w:val="00474185"/>
    <w:rsid w:val="0047458B"/>
    <w:rsid w:val="004745C4"/>
    <w:rsid w:val="00474623"/>
    <w:rsid w:val="0047465A"/>
    <w:rsid w:val="0047471F"/>
    <w:rsid w:val="0047474C"/>
    <w:rsid w:val="0047475D"/>
    <w:rsid w:val="004747EE"/>
    <w:rsid w:val="00474AFC"/>
    <w:rsid w:val="00474C5B"/>
    <w:rsid w:val="00474CA1"/>
    <w:rsid w:val="00474D77"/>
    <w:rsid w:val="00474DBD"/>
    <w:rsid w:val="00474FB1"/>
    <w:rsid w:val="0047533D"/>
    <w:rsid w:val="00475578"/>
    <w:rsid w:val="0047571C"/>
    <w:rsid w:val="004757EF"/>
    <w:rsid w:val="0047595C"/>
    <w:rsid w:val="00475CFD"/>
    <w:rsid w:val="00475D32"/>
    <w:rsid w:val="00475D89"/>
    <w:rsid w:val="00475E43"/>
    <w:rsid w:val="00476063"/>
    <w:rsid w:val="00476260"/>
    <w:rsid w:val="00476315"/>
    <w:rsid w:val="00476495"/>
    <w:rsid w:val="004764A7"/>
    <w:rsid w:val="004764F3"/>
    <w:rsid w:val="0047650A"/>
    <w:rsid w:val="00476580"/>
    <w:rsid w:val="00476807"/>
    <w:rsid w:val="00476846"/>
    <w:rsid w:val="00476869"/>
    <w:rsid w:val="00476C42"/>
    <w:rsid w:val="00476D02"/>
    <w:rsid w:val="00476D45"/>
    <w:rsid w:val="00476FBF"/>
    <w:rsid w:val="00476FC9"/>
    <w:rsid w:val="0047711E"/>
    <w:rsid w:val="00477215"/>
    <w:rsid w:val="00477369"/>
    <w:rsid w:val="00477565"/>
    <w:rsid w:val="004776B9"/>
    <w:rsid w:val="00477888"/>
    <w:rsid w:val="00477899"/>
    <w:rsid w:val="004779DB"/>
    <w:rsid w:val="00477CB3"/>
    <w:rsid w:val="00477CDA"/>
    <w:rsid w:val="00477EB3"/>
    <w:rsid w:val="00477FB4"/>
    <w:rsid w:val="004800C7"/>
    <w:rsid w:val="004800CB"/>
    <w:rsid w:val="004802A0"/>
    <w:rsid w:val="004802D4"/>
    <w:rsid w:val="00480352"/>
    <w:rsid w:val="0048046B"/>
    <w:rsid w:val="0048063A"/>
    <w:rsid w:val="00480B9B"/>
    <w:rsid w:val="00480BFB"/>
    <w:rsid w:val="00480C03"/>
    <w:rsid w:val="00480DF6"/>
    <w:rsid w:val="00480DFC"/>
    <w:rsid w:val="00480ED8"/>
    <w:rsid w:val="00481161"/>
    <w:rsid w:val="00481720"/>
    <w:rsid w:val="00481B0D"/>
    <w:rsid w:val="00481C14"/>
    <w:rsid w:val="00481CDC"/>
    <w:rsid w:val="004823D6"/>
    <w:rsid w:val="00482408"/>
    <w:rsid w:val="004824EB"/>
    <w:rsid w:val="004824EF"/>
    <w:rsid w:val="0048253A"/>
    <w:rsid w:val="00482682"/>
    <w:rsid w:val="0048279D"/>
    <w:rsid w:val="00482A42"/>
    <w:rsid w:val="00482A6E"/>
    <w:rsid w:val="00482E09"/>
    <w:rsid w:val="00483277"/>
    <w:rsid w:val="00483475"/>
    <w:rsid w:val="004834F4"/>
    <w:rsid w:val="0048352F"/>
    <w:rsid w:val="004835DF"/>
    <w:rsid w:val="004836AB"/>
    <w:rsid w:val="004836F3"/>
    <w:rsid w:val="00483834"/>
    <w:rsid w:val="00483870"/>
    <w:rsid w:val="004838B3"/>
    <w:rsid w:val="004838C0"/>
    <w:rsid w:val="00483907"/>
    <w:rsid w:val="00483A85"/>
    <w:rsid w:val="00483A8A"/>
    <w:rsid w:val="00483B33"/>
    <w:rsid w:val="00483B63"/>
    <w:rsid w:val="00483EC5"/>
    <w:rsid w:val="00484136"/>
    <w:rsid w:val="00484153"/>
    <w:rsid w:val="004843C0"/>
    <w:rsid w:val="004843D1"/>
    <w:rsid w:val="00484417"/>
    <w:rsid w:val="00484446"/>
    <w:rsid w:val="004844A9"/>
    <w:rsid w:val="00484655"/>
    <w:rsid w:val="004849DC"/>
    <w:rsid w:val="00484A7A"/>
    <w:rsid w:val="00484B1A"/>
    <w:rsid w:val="00484B59"/>
    <w:rsid w:val="00484C77"/>
    <w:rsid w:val="00484C8D"/>
    <w:rsid w:val="00484DEB"/>
    <w:rsid w:val="00484E7F"/>
    <w:rsid w:val="00484ED0"/>
    <w:rsid w:val="00484F7C"/>
    <w:rsid w:val="004853C9"/>
    <w:rsid w:val="00485478"/>
    <w:rsid w:val="004855C3"/>
    <w:rsid w:val="0048582F"/>
    <w:rsid w:val="00485884"/>
    <w:rsid w:val="00485916"/>
    <w:rsid w:val="004859EC"/>
    <w:rsid w:val="004859FA"/>
    <w:rsid w:val="00485AB2"/>
    <w:rsid w:val="00485AD8"/>
    <w:rsid w:val="00485C58"/>
    <w:rsid w:val="00485CA7"/>
    <w:rsid w:val="00485CFD"/>
    <w:rsid w:val="00485E06"/>
    <w:rsid w:val="00485F00"/>
    <w:rsid w:val="00485FF6"/>
    <w:rsid w:val="00486121"/>
    <w:rsid w:val="0048617C"/>
    <w:rsid w:val="00486323"/>
    <w:rsid w:val="00486482"/>
    <w:rsid w:val="00486690"/>
    <w:rsid w:val="00486937"/>
    <w:rsid w:val="004869D2"/>
    <w:rsid w:val="00486A10"/>
    <w:rsid w:val="00486BA3"/>
    <w:rsid w:val="00486C2F"/>
    <w:rsid w:val="00486D0C"/>
    <w:rsid w:val="00486DC8"/>
    <w:rsid w:val="00486F44"/>
    <w:rsid w:val="00486F63"/>
    <w:rsid w:val="004873C4"/>
    <w:rsid w:val="00487659"/>
    <w:rsid w:val="004876B6"/>
    <w:rsid w:val="004876E1"/>
    <w:rsid w:val="00487775"/>
    <w:rsid w:val="00487788"/>
    <w:rsid w:val="00487883"/>
    <w:rsid w:val="004878BA"/>
    <w:rsid w:val="0048791A"/>
    <w:rsid w:val="004879FB"/>
    <w:rsid w:val="00487A1B"/>
    <w:rsid w:val="00487AC1"/>
    <w:rsid w:val="00487B12"/>
    <w:rsid w:val="00487B98"/>
    <w:rsid w:val="00487F2E"/>
    <w:rsid w:val="00487F58"/>
    <w:rsid w:val="004900DF"/>
    <w:rsid w:val="00490107"/>
    <w:rsid w:val="00490244"/>
    <w:rsid w:val="00490281"/>
    <w:rsid w:val="00490329"/>
    <w:rsid w:val="00490503"/>
    <w:rsid w:val="00490556"/>
    <w:rsid w:val="004905F4"/>
    <w:rsid w:val="0049082C"/>
    <w:rsid w:val="00490934"/>
    <w:rsid w:val="00490936"/>
    <w:rsid w:val="004909DB"/>
    <w:rsid w:val="00490AA1"/>
    <w:rsid w:val="00490C1C"/>
    <w:rsid w:val="00490C5C"/>
    <w:rsid w:val="00490DF8"/>
    <w:rsid w:val="00490F2B"/>
    <w:rsid w:val="00491016"/>
    <w:rsid w:val="004912AC"/>
    <w:rsid w:val="004915A9"/>
    <w:rsid w:val="0049178F"/>
    <w:rsid w:val="00491876"/>
    <w:rsid w:val="004919A8"/>
    <w:rsid w:val="00491A04"/>
    <w:rsid w:val="00491ACF"/>
    <w:rsid w:val="00491B2B"/>
    <w:rsid w:val="00491E1E"/>
    <w:rsid w:val="00491FF5"/>
    <w:rsid w:val="00492003"/>
    <w:rsid w:val="00492114"/>
    <w:rsid w:val="004924AB"/>
    <w:rsid w:val="004924DF"/>
    <w:rsid w:val="004925A8"/>
    <w:rsid w:val="00492824"/>
    <w:rsid w:val="004928D4"/>
    <w:rsid w:val="004929B4"/>
    <w:rsid w:val="004929D0"/>
    <w:rsid w:val="00492D28"/>
    <w:rsid w:val="00492D98"/>
    <w:rsid w:val="00492EEB"/>
    <w:rsid w:val="0049310E"/>
    <w:rsid w:val="00493154"/>
    <w:rsid w:val="004933AA"/>
    <w:rsid w:val="004934C3"/>
    <w:rsid w:val="004934ED"/>
    <w:rsid w:val="0049353C"/>
    <w:rsid w:val="004937D5"/>
    <w:rsid w:val="0049381F"/>
    <w:rsid w:val="0049399B"/>
    <w:rsid w:val="00493BA7"/>
    <w:rsid w:val="00493BF9"/>
    <w:rsid w:val="00493C22"/>
    <w:rsid w:val="00493FBF"/>
    <w:rsid w:val="00493FFB"/>
    <w:rsid w:val="00494102"/>
    <w:rsid w:val="00494167"/>
    <w:rsid w:val="00494477"/>
    <w:rsid w:val="0049461A"/>
    <w:rsid w:val="0049471C"/>
    <w:rsid w:val="004948F4"/>
    <w:rsid w:val="00494AEA"/>
    <w:rsid w:val="00494B85"/>
    <w:rsid w:val="00494C22"/>
    <w:rsid w:val="00494CCE"/>
    <w:rsid w:val="00494D73"/>
    <w:rsid w:val="00494E7E"/>
    <w:rsid w:val="00495043"/>
    <w:rsid w:val="00495190"/>
    <w:rsid w:val="004952C4"/>
    <w:rsid w:val="0049532D"/>
    <w:rsid w:val="0049534F"/>
    <w:rsid w:val="00495529"/>
    <w:rsid w:val="00495565"/>
    <w:rsid w:val="00495631"/>
    <w:rsid w:val="004957C3"/>
    <w:rsid w:val="0049583F"/>
    <w:rsid w:val="00495B88"/>
    <w:rsid w:val="00495BB6"/>
    <w:rsid w:val="00495EE6"/>
    <w:rsid w:val="00495F78"/>
    <w:rsid w:val="004961C9"/>
    <w:rsid w:val="0049635F"/>
    <w:rsid w:val="00496752"/>
    <w:rsid w:val="00496798"/>
    <w:rsid w:val="004967AD"/>
    <w:rsid w:val="0049685F"/>
    <w:rsid w:val="004968A0"/>
    <w:rsid w:val="00496B00"/>
    <w:rsid w:val="00496CBE"/>
    <w:rsid w:val="00496CF4"/>
    <w:rsid w:val="00496D25"/>
    <w:rsid w:val="00496EAB"/>
    <w:rsid w:val="00496ED3"/>
    <w:rsid w:val="00496F09"/>
    <w:rsid w:val="0049720F"/>
    <w:rsid w:val="004972AD"/>
    <w:rsid w:val="004975B7"/>
    <w:rsid w:val="004975F0"/>
    <w:rsid w:val="0049761A"/>
    <w:rsid w:val="00497977"/>
    <w:rsid w:val="00497C66"/>
    <w:rsid w:val="00497E07"/>
    <w:rsid w:val="00497F23"/>
    <w:rsid w:val="004A0203"/>
    <w:rsid w:val="004A02F3"/>
    <w:rsid w:val="004A064F"/>
    <w:rsid w:val="004A0842"/>
    <w:rsid w:val="004A0A54"/>
    <w:rsid w:val="004A0EC1"/>
    <w:rsid w:val="004A0EC7"/>
    <w:rsid w:val="004A0F2F"/>
    <w:rsid w:val="004A10CF"/>
    <w:rsid w:val="004A10E6"/>
    <w:rsid w:val="004A14FF"/>
    <w:rsid w:val="004A160D"/>
    <w:rsid w:val="004A18B8"/>
    <w:rsid w:val="004A1EC1"/>
    <w:rsid w:val="004A20A7"/>
    <w:rsid w:val="004A231D"/>
    <w:rsid w:val="004A2349"/>
    <w:rsid w:val="004A23D6"/>
    <w:rsid w:val="004A23F0"/>
    <w:rsid w:val="004A2408"/>
    <w:rsid w:val="004A244F"/>
    <w:rsid w:val="004A24FB"/>
    <w:rsid w:val="004A25B4"/>
    <w:rsid w:val="004A26A9"/>
    <w:rsid w:val="004A2789"/>
    <w:rsid w:val="004A27C4"/>
    <w:rsid w:val="004A2816"/>
    <w:rsid w:val="004A2978"/>
    <w:rsid w:val="004A2A3C"/>
    <w:rsid w:val="004A2B74"/>
    <w:rsid w:val="004A2B9E"/>
    <w:rsid w:val="004A2D51"/>
    <w:rsid w:val="004A2E85"/>
    <w:rsid w:val="004A2F5D"/>
    <w:rsid w:val="004A2FAC"/>
    <w:rsid w:val="004A38F0"/>
    <w:rsid w:val="004A39CB"/>
    <w:rsid w:val="004A3B6F"/>
    <w:rsid w:val="004A3B77"/>
    <w:rsid w:val="004A3BD4"/>
    <w:rsid w:val="004A3C1D"/>
    <w:rsid w:val="004A3C2C"/>
    <w:rsid w:val="004A3FE2"/>
    <w:rsid w:val="004A4043"/>
    <w:rsid w:val="004A407C"/>
    <w:rsid w:val="004A412F"/>
    <w:rsid w:val="004A42A6"/>
    <w:rsid w:val="004A4391"/>
    <w:rsid w:val="004A44DE"/>
    <w:rsid w:val="004A46C7"/>
    <w:rsid w:val="004A46DC"/>
    <w:rsid w:val="004A47ED"/>
    <w:rsid w:val="004A48B4"/>
    <w:rsid w:val="004A48BD"/>
    <w:rsid w:val="004A4901"/>
    <w:rsid w:val="004A4A47"/>
    <w:rsid w:val="004A4B4F"/>
    <w:rsid w:val="004A4D03"/>
    <w:rsid w:val="004A4E0C"/>
    <w:rsid w:val="004A4FC1"/>
    <w:rsid w:val="004A50DE"/>
    <w:rsid w:val="004A50EE"/>
    <w:rsid w:val="004A51B2"/>
    <w:rsid w:val="004A521A"/>
    <w:rsid w:val="004A526A"/>
    <w:rsid w:val="004A52D1"/>
    <w:rsid w:val="004A530F"/>
    <w:rsid w:val="004A540E"/>
    <w:rsid w:val="004A54AD"/>
    <w:rsid w:val="004A5C6B"/>
    <w:rsid w:val="004A5CC1"/>
    <w:rsid w:val="004A5D1C"/>
    <w:rsid w:val="004A5E14"/>
    <w:rsid w:val="004A5E35"/>
    <w:rsid w:val="004A5F9D"/>
    <w:rsid w:val="004A6127"/>
    <w:rsid w:val="004A613F"/>
    <w:rsid w:val="004A616C"/>
    <w:rsid w:val="004A62C7"/>
    <w:rsid w:val="004A6340"/>
    <w:rsid w:val="004A635B"/>
    <w:rsid w:val="004A644B"/>
    <w:rsid w:val="004A6577"/>
    <w:rsid w:val="004A67DA"/>
    <w:rsid w:val="004A6AB6"/>
    <w:rsid w:val="004A6B12"/>
    <w:rsid w:val="004A6B8A"/>
    <w:rsid w:val="004A6CBE"/>
    <w:rsid w:val="004A6D0B"/>
    <w:rsid w:val="004A6E91"/>
    <w:rsid w:val="004A713A"/>
    <w:rsid w:val="004A74BA"/>
    <w:rsid w:val="004A74D9"/>
    <w:rsid w:val="004A7592"/>
    <w:rsid w:val="004A75D5"/>
    <w:rsid w:val="004A76AF"/>
    <w:rsid w:val="004A77C8"/>
    <w:rsid w:val="004A785E"/>
    <w:rsid w:val="004A7974"/>
    <w:rsid w:val="004A79EC"/>
    <w:rsid w:val="004A7ADA"/>
    <w:rsid w:val="004A7B55"/>
    <w:rsid w:val="004A7CDD"/>
    <w:rsid w:val="004A7E23"/>
    <w:rsid w:val="004A7E88"/>
    <w:rsid w:val="004B0048"/>
    <w:rsid w:val="004B011F"/>
    <w:rsid w:val="004B01BD"/>
    <w:rsid w:val="004B0249"/>
    <w:rsid w:val="004B02CB"/>
    <w:rsid w:val="004B0307"/>
    <w:rsid w:val="004B0385"/>
    <w:rsid w:val="004B03E7"/>
    <w:rsid w:val="004B0428"/>
    <w:rsid w:val="004B053D"/>
    <w:rsid w:val="004B0D6A"/>
    <w:rsid w:val="004B0F72"/>
    <w:rsid w:val="004B100F"/>
    <w:rsid w:val="004B11A1"/>
    <w:rsid w:val="004B1556"/>
    <w:rsid w:val="004B15D0"/>
    <w:rsid w:val="004B16C7"/>
    <w:rsid w:val="004B16E9"/>
    <w:rsid w:val="004B172E"/>
    <w:rsid w:val="004B18CC"/>
    <w:rsid w:val="004B1BBB"/>
    <w:rsid w:val="004B1F40"/>
    <w:rsid w:val="004B1F91"/>
    <w:rsid w:val="004B1FC3"/>
    <w:rsid w:val="004B1FEF"/>
    <w:rsid w:val="004B2257"/>
    <w:rsid w:val="004B232E"/>
    <w:rsid w:val="004B24D4"/>
    <w:rsid w:val="004B2636"/>
    <w:rsid w:val="004B2711"/>
    <w:rsid w:val="004B2788"/>
    <w:rsid w:val="004B29D0"/>
    <w:rsid w:val="004B2BF8"/>
    <w:rsid w:val="004B2CF3"/>
    <w:rsid w:val="004B2E45"/>
    <w:rsid w:val="004B345A"/>
    <w:rsid w:val="004B355D"/>
    <w:rsid w:val="004B3705"/>
    <w:rsid w:val="004B391A"/>
    <w:rsid w:val="004B39AB"/>
    <w:rsid w:val="004B3A91"/>
    <w:rsid w:val="004B3E5C"/>
    <w:rsid w:val="004B4033"/>
    <w:rsid w:val="004B40B7"/>
    <w:rsid w:val="004B42C2"/>
    <w:rsid w:val="004B440A"/>
    <w:rsid w:val="004B477B"/>
    <w:rsid w:val="004B4988"/>
    <w:rsid w:val="004B4B7D"/>
    <w:rsid w:val="004B4CD2"/>
    <w:rsid w:val="004B4D84"/>
    <w:rsid w:val="004B4EA2"/>
    <w:rsid w:val="004B4F8A"/>
    <w:rsid w:val="004B4FA7"/>
    <w:rsid w:val="004B500F"/>
    <w:rsid w:val="004B515B"/>
    <w:rsid w:val="004B51B6"/>
    <w:rsid w:val="004B52EB"/>
    <w:rsid w:val="004B53CB"/>
    <w:rsid w:val="004B547B"/>
    <w:rsid w:val="004B567B"/>
    <w:rsid w:val="004B5713"/>
    <w:rsid w:val="004B590E"/>
    <w:rsid w:val="004B5974"/>
    <w:rsid w:val="004B59BF"/>
    <w:rsid w:val="004B5A08"/>
    <w:rsid w:val="004B5A36"/>
    <w:rsid w:val="004B5A74"/>
    <w:rsid w:val="004B5AB4"/>
    <w:rsid w:val="004B5B48"/>
    <w:rsid w:val="004B5BE9"/>
    <w:rsid w:val="004B5DC7"/>
    <w:rsid w:val="004B5E08"/>
    <w:rsid w:val="004B5EEE"/>
    <w:rsid w:val="004B5F51"/>
    <w:rsid w:val="004B6047"/>
    <w:rsid w:val="004B60F8"/>
    <w:rsid w:val="004B6140"/>
    <w:rsid w:val="004B618F"/>
    <w:rsid w:val="004B62E6"/>
    <w:rsid w:val="004B6309"/>
    <w:rsid w:val="004B633C"/>
    <w:rsid w:val="004B63ED"/>
    <w:rsid w:val="004B6434"/>
    <w:rsid w:val="004B64AA"/>
    <w:rsid w:val="004B656E"/>
    <w:rsid w:val="004B681F"/>
    <w:rsid w:val="004B6839"/>
    <w:rsid w:val="004B6A06"/>
    <w:rsid w:val="004B6B28"/>
    <w:rsid w:val="004B6B39"/>
    <w:rsid w:val="004B6CAC"/>
    <w:rsid w:val="004B6D0F"/>
    <w:rsid w:val="004B6DBF"/>
    <w:rsid w:val="004B6EAA"/>
    <w:rsid w:val="004B6F2B"/>
    <w:rsid w:val="004B7017"/>
    <w:rsid w:val="004B7338"/>
    <w:rsid w:val="004B753E"/>
    <w:rsid w:val="004B75A9"/>
    <w:rsid w:val="004B75EF"/>
    <w:rsid w:val="004B75FC"/>
    <w:rsid w:val="004B767A"/>
    <w:rsid w:val="004B76D2"/>
    <w:rsid w:val="004B77DE"/>
    <w:rsid w:val="004B783D"/>
    <w:rsid w:val="004B78C9"/>
    <w:rsid w:val="004B7DCD"/>
    <w:rsid w:val="004B7EC4"/>
    <w:rsid w:val="004B7ED5"/>
    <w:rsid w:val="004B7F4D"/>
    <w:rsid w:val="004C001C"/>
    <w:rsid w:val="004C00A2"/>
    <w:rsid w:val="004C00B5"/>
    <w:rsid w:val="004C00FB"/>
    <w:rsid w:val="004C0166"/>
    <w:rsid w:val="004C0210"/>
    <w:rsid w:val="004C033E"/>
    <w:rsid w:val="004C03D3"/>
    <w:rsid w:val="004C03E9"/>
    <w:rsid w:val="004C0422"/>
    <w:rsid w:val="004C07CC"/>
    <w:rsid w:val="004C07FC"/>
    <w:rsid w:val="004C080E"/>
    <w:rsid w:val="004C0A4E"/>
    <w:rsid w:val="004C0C68"/>
    <w:rsid w:val="004C0D22"/>
    <w:rsid w:val="004C0D6C"/>
    <w:rsid w:val="004C0DBA"/>
    <w:rsid w:val="004C0DC1"/>
    <w:rsid w:val="004C1099"/>
    <w:rsid w:val="004C10F6"/>
    <w:rsid w:val="004C11D1"/>
    <w:rsid w:val="004C12F0"/>
    <w:rsid w:val="004C13EB"/>
    <w:rsid w:val="004C147A"/>
    <w:rsid w:val="004C1582"/>
    <w:rsid w:val="004C160A"/>
    <w:rsid w:val="004C16A8"/>
    <w:rsid w:val="004C1727"/>
    <w:rsid w:val="004C1D30"/>
    <w:rsid w:val="004C1D5B"/>
    <w:rsid w:val="004C1E1F"/>
    <w:rsid w:val="004C1EA9"/>
    <w:rsid w:val="004C21B4"/>
    <w:rsid w:val="004C21DD"/>
    <w:rsid w:val="004C2349"/>
    <w:rsid w:val="004C23D9"/>
    <w:rsid w:val="004C2499"/>
    <w:rsid w:val="004C2603"/>
    <w:rsid w:val="004C26E8"/>
    <w:rsid w:val="004C27C3"/>
    <w:rsid w:val="004C2969"/>
    <w:rsid w:val="004C2A27"/>
    <w:rsid w:val="004C2C2C"/>
    <w:rsid w:val="004C2CA7"/>
    <w:rsid w:val="004C3367"/>
    <w:rsid w:val="004C36D0"/>
    <w:rsid w:val="004C3723"/>
    <w:rsid w:val="004C373D"/>
    <w:rsid w:val="004C38B1"/>
    <w:rsid w:val="004C3B76"/>
    <w:rsid w:val="004C3C86"/>
    <w:rsid w:val="004C3D84"/>
    <w:rsid w:val="004C3DC3"/>
    <w:rsid w:val="004C3DC8"/>
    <w:rsid w:val="004C3F2B"/>
    <w:rsid w:val="004C3F2D"/>
    <w:rsid w:val="004C3FFA"/>
    <w:rsid w:val="004C41E1"/>
    <w:rsid w:val="004C438F"/>
    <w:rsid w:val="004C43BB"/>
    <w:rsid w:val="004C459E"/>
    <w:rsid w:val="004C466E"/>
    <w:rsid w:val="004C4712"/>
    <w:rsid w:val="004C477A"/>
    <w:rsid w:val="004C4A5C"/>
    <w:rsid w:val="004C4BD1"/>
    <w:rsid w:val="004C4D09"/>
    <w:rsid w:val="004C4E5C"/>
    <w:rsid w:val="004C4F6B"/>
    <w:rsid w:val="004C511E"/>
    <w:rsid w:val="004C5163"/>
    <w:rsid w:val="004C520D"/>
    <w:rsid w:val="004C525C"/>
    <w:rsid w:val="004C53AC"/>
    <w:rsid w:val="004C53EB"/>
    <w:rsid w:val="004C540D"/>
    <w:rsid w:val="004C54B3"/>
    <w:rsid w:val="004C54BB"/>
    <w:rsid w:val="004C565F"/>
    <w:rsid w:val="004C56DC"/>
    <w:rsid w:val="004C56FC"/>
    <w:rsid w:val="004C5983"/>
    <w:rsid w:val="004C5A64"/>
    <w:rsid w:val="004C5A8B"/>
    <w:rsid w:val="004C5B51"/>
    <w:rsid w:val="004C5B7D"/>
    <w:rsid w:val="004C5B9E"/>
    <w:rsid w:val="004C5C8D"/>
    <w:rsid w:val="004C60FB"/>
    <w:rsid w:val="004C612E"/>
    <w:rsid w:val="004C61AD"/>
    <w:rsid w:val="004C61F8"/>
    <w:rsid w:val="004C66A3"/>
    <w:rsid w:val="004C6985"/>
    <w:rsid w:val="004C6A7B"/>
    <w:rsid w:val="004C6AE6"/>
    <w:rsid w:val="004C6DD6"/>
    <w:rsid w:val="004C6E60"/>
    <w:rsid w:val="004C6F93"/>
    <w:rsid w:val="004C7149"/>
    <w:rsid w:val="004C7204"/>
    <w:rsid w:val="004C75B7"/>
    <w:rsid w:val="004C7615"/>
    <w:rsid w:val="004C76E3"/>
    <w:rsid w:val="004C79B2"/>
    <w:rsid w:val="004C7A01"/>
    <w:rsid w:val="004C7ADB"/>
    <w:rsid w:val="004C7B2F"/>
    <w:rsid w:val="004C7C93"/>
    <w:rsid w:val="004C7F53"/>
    <w:rsid w:val="004D001D"/>
    <w:rsid w:val="004D005F"/>
    <w:rsid w:val="004D0183"/>
    <w:rsid w:val="004D01DC"/>
    <w:rsid w:val="004D04A5"/>
    <w:rsid w:val="004D051A"/>
    <w:rsid w:val="004D0572"/>
    <w:rsid w:val="004D0573"/>
    <w:rsid w:val="004D0758"/>
    <w:rsid w:val="004D07C9"/>
    <w:rsid w:val="004D0E1E"/>
    <w:rsid w:val="004D0E80"/>
    <w:rsid w:val="004D0EF8"/>
    <w:rsid w:val="004D0FE6"/>
    <w:rsid w:val="004D1084"/>
    <w:rsid w:val="004D116F"/>
    <w:rsid w:val="004D1208"/>
    <w:rsid w:val="004D123A"/>
    <w:rsid w:val="004D1350"/>
    <w:rsid w:val="004D13CC"/>
    <w:rsid w:val="004D14C2"/>
    <w:rsid w:val="004D15FB"/>
    <w:rsid w:val="004D1932"/>
    <w:rsid w:val="004D1A0A"/>
    <w:rsid w:val="004D1B71"/>
    <w:rsid w:val="004D1D04"/>
    <w:rsid w:val="004D1E50"/>
    <w:rsid w:val="004D1EBA"/>
    <w:rsid w:val="004D2289"/>
    <w:rsid w:val="004D22AB"/>
    <w:rsid w:val="004D22EC"/>
    <w:rsid w:val="004D22F8"/>
    <w:rsid w:val="004D23C6"/>
    <w:rsid w:val="004D2432"/>
    <w:rsid w:val="004D2452"/>
    <w:rsid w:val="004D245F"/>
    <w:rsid w:val="004D2578"/>
    <w:rsid w:val="004D25B9"/>
    <w:rsid w:val="004D260F"/>
    <w:rsid w:val="004D26D0"/>
    <w:rsid w:val="004D273B"/>
    <w:rsid w:val="004D2852"/>
    <w:rsid w:val="004D2C71"/>
    <w:rsid w:val="004D2E1D"/>
    <w:rsid w:val="004D2E2A"/>
    <w:rsid w:val="004D2E3C"/>
    <w:rsid w:val="004D2E93"/>
    <w:rsid w:val="004D2EBA"/>
    <w:rsid w:val="004D2F9B"/>
    <w:rsid w:val="004D3074"/>
    <w:rsid w:val="004D33D7"/>
    <w:rsid w:val="004D34C8"/>
    <w:rsid w:val="004D356E"/>
    <w:rsid w:val="004D35C6"/>
    <w:rsid w:val="004D3629"/>
    <w:rsid w:val="004D3630"/>
    <w:rsid w:val="004D3674"/>
    <w:rsid w:val="004D36E0"/>
    <w:rsid w:val="004D37DA"/>
    <w:rsid w:val="004D3889"/>
    <w:rsid w:val="004D3ACD"/>
    <w:rsid w:val="004D3D90"/>
    <w:rsid w:val="004D3DE4"/>
    <w:rsid w:val="004D3E9A"/>
    <w:rsid w:val="004D3F41"/>
    <w:rsid w:val="004D3F96"/>
    <w:rsid w:val="004D3FDA"/>
    <w:rsid w:val="004D4160"/>
    <w:rsid w:val="004D4254"/>
    <w:rsid w:val="004D4267"/>
    <w:rsid w:val="004D43E1"/>
    <w:rsid w:val="004D43EF"/>
    <w:rsid w:val="004D46A4"/>
    <w:rsid w:val="004D4A2C"/>
    <w:rsid w:val="004D4CBB"/>
    <w:rsid w:val="004D4CFF"/>
    <w:rsid w:val="004D4D0E"/>
    <w:rsid w:val="004D4F11"/>
    <w:rsid w:val="004D4F25"/>
    <w:rsid w:val="004D4FE6"/>
    <w:rsid w:val="004D50A1"/>
    <w:rsid w:val="004D50D3"/>
    <w:rsid w:val="004D511A"/>
    <w:rsid w:val="004D5138"/>
    <w:rsid w:val="004D51EB"/>
    <w:rsid w:val="004D5242"/>
    <w:rsid w:val="004D5430"/>
    <w:rsid w:val="004D5530"/>
    <w:rsid w:val="004D56E4"/>
    <w:rsid w:val="004D5A09"/>
    <w:rsid w:val="004D5C12"/>
    <w:rsid w:val="004D5CB8"/>
    <w:rsid w:val="004D604D"/>
    <w:rsid w:val="004D6132"/>
    <w:rsid w:val="004D617A"/>
    <w:rsid w:val="004D62B9"/>
    <w:rsid w:val="004D6383"/>
    <w:rsid w:val="004D64B8"/>
    <w:rsid w:val="004D658F"/>
    <w:rsid w:val="004D6771"/>
    <w:rsid w:val="004D6B5E"/>
    <w:rsid w:val="004D6B69"/>
    <w:rsid w:val="004D6B6C"/>
    <w:rsid w:val="004D6C24"/>
    <w:rsid w:val="004D6C56"/>
    <w:rsid w:val="004D6C60"/>
    <w:rsid w:val="004D6D00"/>
    <w:rsid w:val="004D6D3C"/>
    <w:rsid w:val="004D6E8D"/>
    <w:rsid w:val="004D6F00"/>
    <w:rsid w:val="004D715A"/>
    <w:rsid w:val="004D7177"/>
    <w:rsid w:val="004D735A"/>
    <w:rsid w:val="004D735F"/>
    <w:rsid w:val="004D738E"/>
    <w:rsid w:val="004D740D"/>
    <w:rsid w:val="004D75D6"/>
    <w:rsid w:val="004D76FF"/>
    <w:rsid w:val="004D7A8D"/>
    <w:rsid w:val="004D7BE7"/>
    <w:rsid w:val="004D7DCD"/>
    <w:rsid w:val="004E040E"/>
    <w:rsid w:val="004E0994"/>
    <w:rsid w:val="004E0A28"/>
    <w:rsid w:val="004E0ACD"/>
    <w:rsid w:val="004E0E2B"/>
    <w:rsid w:val="004E0F53"/>
    <w:rsid w:val="004E1477"/>
    <w:rsid w:val="004E147D"/>
    <w:rsid w:val="004E1480"/>
    <w:rsid w:val="004E16DA"/>
    <w:rsid w:val="004E1759"/>
    <w:rsid w:val="004E1908"/>
    <w:rsid w:val="004E1972"/>
    <w:rsid w:val="004E1A09"/>
    <w:rsid w:val="004E1B1B"/>
    <w:rsid w:val="004E1B2E"/>
    <w:rsid w:val="004E1B6A"/>
    <w:rsid w:val="004E1DFB"/>
    <w:rsid w:val="004E1ED0"/>
    <w:rsid w:val="004E205A"/>
    <w:rsid w:val="004E2203"/>
    <w:rsid w:val="004E2523"/>
    <w:rsid w:val="004E2703"/>
    <w:rsid w:val="004E27A1"/>
    <w:rsid w:val="004E2C23"/>
    <w:rsid w:val="004E2CAB"/>
    <w:rsid w:val="004E2D5E"/>
    <w:rsid w:val="004E2E92"/>
    <w:rsid w:val="004E2EA8"/>
    <w:rsid w:val="004E2EB5"/>
    <w:rsid w:val="004E2F3B"/>
    <w:rsid w:val="004E3213"/>
    <w:rsid w:val="004E324B"/>
    <w:rsid w:val="004E33E3"/>
    <w:rsid w:val="004E3564"/>
    <w:rsid w:val="004E384E"/>
    <w:rsid w:val="004E38C7"/>
    <w:rsid w:val="004E39EB"/>
    <w:rsid w:val="004E3B57"/>
    <w:rsid w:val="004E3CA7"/>
    <w:rsid w:val="004E3CAD"/>
    <w:rsid w:val="004E3D7B"/>
    <w:rsid w:val="004E3EEF"/>
    <w:rsid w:val="004E3F9E"/>
    <w:rsid w:val="004E4186"/>
    <w:rsid w:val="004E4242"/>
    <w:rsid w:val="004E424F"/>
    <w:rsid w:val="004E427D"/>
    <w:rsid w:val="004E4362"/>
    <w:rsid w:val="004E43ED"/>
    <w:rsid w:val="004E4445"/>
    <w:rsid w:val="004E450D"/>
    <w:rsid w:val="004E46C6"/>
    <w:rsid w:val="004E482F"/>
    <w:rsid w:val="004E48B8"/>
    <w:rsid w:val="004E495C"/>
    <w:rsid w:val="004E49DA"/>
    <w:rsid w:val="004E4ACA"/>
    <w:rsid w:val="004E4B3C"/>
    <w:rsid w:val="004E4EB3"/>
    <w:rsid w:val="004E53EF"/>
    <w:rsid w:val="004E53F4"/>
    <w:rsid w:val="004E541F"/>
    <w:rsid w:val="004E5441"/>
    <w:rsid w:val="004E5627"/>
    <w:rsid w:val="004E571A"/>
    <w:rsid w:val="004E5745"/>
    <w:rsid w:val="004E59B3"/>
    <w:rsid w:val="004E5C40"/>
    <w:rsid w:val="004E5E8F"/>
    <w:rsid w:val="004E5F49"/>
    <w:rsid w:val="004E608D"/>
    <w:rsid w:val="004E61FA"/>
    <w:rsid w:val="004E6264"/>
    <w:rsid w:val="004E63C5"/>
    <w:rsid w:val="004E6406"/>
    <w:rsid w:val="004E64DB"/>
    <w:rsid w:val="004E654D"/>
    <w:rsid w:val="004E66A4"/>
    <w:rsid w:val="004E66D1"/>
    <w:rsid w:val="004E6716"/>
    <w:rsid w:val="004E6766"/>
    <w:rsid w:val="004E69B3"/>
    <w:rsid w:val="004E6A1A"/>
    <w:rsid w:val="004E6B69"/>
    <w:rsid w:val="004E6C63"/>
    <w:rsid w:val="004E6D27"/>
    <w:rsid w:val="004E6D66"/>
    <w:rsid w:val="004E6D71"/>
    <w:rsid w:val="004E6DA6"/>
    <w:rsid w:val="004E722A"/>
    <w:rsid w:val="004E7436"/>
    <w:rsid w:val="004E745C"/>
    <w:rsid w:val="004E7605"/>
    <w:rsid w:val="004E79A2"/>
    <w:rsid w:val="004E79B9"/>
    <w:rsid w:val="004E7AAD"/>
    <w:rsid w:val="004E7C16"/>
    <w:rsid w:val="004E7CF7"/>
    <w:rsid w:val="004E7CFA"/>
    <w:rsid w:val="004E7E7B"/>
    <w:rsid w:val="004E7E81"/>
    <w:rsid w:val="004E7F52"/>
    <w:rsid w:val="004E7F59"/>
    <w:rsid w:val="004F005C"/>
    <w:rsid w:val="004F0286"/>
    <w:rsid w:val="004F02D7"/>
    <w:rsid w:val="004F0467"/>
    <w:rsid w:val="004F060A"/>
    <w:rsid w:val="004F06AF"/>
    <w:rsid w:val="004F0734"/>
    <w:rsid w:val="004F0A58"/>
    <w:rsid w:val="004F0DE8"/>
    <w:rsid w:val="004F0F9B"/>
    <w:rsid w:val="004F1296"/>
    <w:rsid w:val="004F12B2"/>
    <w:rsid w:val="004F14D5"/>
    <w:rsid w:val="004F14F1"/>
    <w:rsid w:val="004F1629"/>
    <w:rsid w:val="004F1696"/>
    <w:rsid w:val="004F16D8"/>
    <w:rsid w:val="004F17B2"/>
    <w:rsid w:val="004F17EA"/>
    <w:rsid w:val="004F19BD"/>
    <w:rsid w:val="004F1F33"/>
    <w:rsid w:val="004F1F4E"/>
    <w:rsid w:val="004F1FE0"/>
    <w:rsid w:val="004F200A"/>
    <w:rsid w:val="004F2092"/>
    <w:rsid w:val="004F20B0"/>
    <w:rsid w:val="004F211C"/>
    <w:rsid w:val="004F2258"/>
    <w:rsid w:val="004F2481"/>
    <w:rsid w:val="004F2691"/>
    <w:rsid w:val="004F2896"/>
    <w:rsid w:val="004F29D5"/>
    <w:rsid w:val="004F2A30"/>
    <w:rsid w:val="004F2A3B"/>
    <w:rsid w:val="004F2B3E"/>
    <w:rsid w:val="004F2C2C"/>
    <w:rsid w:val="004F2C37"/>
    <w:rsid w:val="004F2C9A"/>
    <w:rsid w:val="004F2E4C"/>
    <w:rsid w:val="004F30CD"/>
    <w:rsid w:val="004F3124"/>
    <w:rsid w:val="004F3195"/>
    <w:rsid w:val="004F3389"/>
    <w:rsid w:val="004F345A"/>
    <w:rsid w:val="004F34BD"/>
    <w:rsid w:val="004F3645"/>
    <w:rsid w:val="004F37FE"/>
    <w:rsid w:val="004F3A18"/>
    <w:rsid w:val="004F3ADA"/>
    <w:rsid w:val="004F3BDE"/>
    <w:rsid w:val="004F3BF9"/>
    <w:rsid w:val="004F3F08"/>
    <w:rsid w:val="004F3FC3"/>
    <w:rsid w:val="004F41D6"/>
    <w:rsid w:val="004F41E0"/>
    <w:rsid w:val="004F41FA"/>
    <w:rsid w:val="004F42D8"/>
    <w:rsid w:val="004F4316"/>
    <w:rsid w:val="004F435E"/>
    <w:rsid w:val="004F44D2"/>
    <w:rsid w:val="004F452D"/>
    <w:rsid w:val="004F45C6"/>
    <w:rsid w:val="004F4718"/>
    <w:rsid w:val="004F487A"/>
    <w:rsid w:val="004F4950"/>
    <w:rsid w:val="004F4A2B"/>
    <w:rsid w:val="004F4A8F"/>
    <w:rsid w:val="004F4B71"/>
    <w:rsid w:val="004F4C33"/>
    <w:rsid w:val="004F4E8B"/>
    <w:rsid w:val="004F4F9B"/>
    <w:rsid w:val="004F5251"/>
    <w:rsid w:val="004F52DA"/>
    <w:rsid w:val="004F53A2"/>
    <w:rsid w:val="004F5647"/>
    <w:rsid w:val="004F5836"/>
    <w:rsid w:val="004F59A1"/>
    <w:rsid w:val="004F5C15"/>
    <w:rsid w:val="004F5C30"/>
    <w:rsid w:val="004F5DD3"/>
    <w:rsid w:val="004F5FE7"/>
    <w:rsid w:val="004F60EB"/>
    <w:rsid w:val="004F611B"/>
    <w:rsid w:val="004F6268"/>
    <w:rsid w:val="004F6280"/>
    <w:rsid w:val="004F62FA"/>
    <w:rsid w:val="004F6317"/>
    <w:rsid w:val="004F64F5"/>
    <w:rsid w:val="004F670D"/>
    <w:rsid w:val="004F67EC"/>
    <w:rsid w:val="004F692B"/>
    <w:rsid w:val="004F69BA"/>
    <w:rsid w:val="004F6AA6"/>
    <w:rsid w:val="004F6AB8"/>
    <w:rsid w:val="004F6BF8"/>
    <w:rsid w:val="004F6CC5"/>
    <w:rsid w:val="004F6FE4"/>
    <w:rsid w:val="004F7058"/>
    <w:rsid w:val="004F7147"/>
    <w:rsid w:val="004F7213"/>
    <w:rsid w:val="004F7219"/>
    <w:rsid w:val="004F72D2"/>
    <w:rsid w:val="004F72FE"/>
    <w:rsid w:val="004F73D2"/>
    <w:rsid w:val="004F7404"/>
    <w:rsid w:val="004F7410"/>
    <w:rsid w:val="004F7498"/>
    <w:rsid w:val="004F74FF"/>
    <w:rsid w:val="004F7513"/>
    <w:rsid w:val="004F751A"/>
    <w:rsid w:val="004F75FF"/>
    <w:rsid w:val="004F78E0"/>
    <w:rsid w:val="004F795A"/>
    <w:rsid w:val="004F7C44"/>
    <w:rsid w:val="004F7CBE"/>
    <w:rsid w:val="00500026"/>
    <w:rsid w:val="005000AD"/>
    <w:rsid w:val="005000C4"/>
    <w:rsid w:val="005001F7"/>
    <w:rsid w:val="00500245"/>
    <w:rsid w:val="00500332"/>
    <w:rsid w:val="00500362"/>
    <w:rsid w:val="005003C7"/>
    <w:rsid w:val="005004A6"/>
    <w:rsid w:val="0050057C"/>
    <w:rsid w:val="0050073B"/>
    <w:rsid w:val="005007E0"/>
    <w:rsid w:val="005009D4"/>
    <w:rsid w:val="00500E11"/>
    <w:rsid w:val="00500EC0"/>
    <w:rsid w:val="00500F9E"/>
    <w:rsid w:val="00500FE4"/>
    <w:rsid w:val="00501071"/>
    <w:rsid w:val="005011EE"/>
    <w:rsid w:val="00501215"/>
    <w:rsid w:val="0050164C"/>
    <w:rsid w:val="005016A5"/>
    <w:rsid w:val="005016AA"/>
    <w:rsid w:val="00501886"/>
    <w:rsid w:val="005018DC"/>
    <w:rsid w:val="00501D44"/>
    <w:rsid w:val="00501D7A"/>
    <w:rsid w:val="00502497"/>
    <w:rsid w:val="005024B6"/>
    <w:rsid w:val="00502534"/>
    <w:rsid w:val="00502582"/>
    <w:rsid w:val="00502676"/>
    <w:rsid w:val="005026F7"/>
    <w:rsid w:val="005028CF"/>
    <w:rsid w:val="00502A16"/>
    <w:rsid w:val="00502A95"/>
    <w:rsid w:val="00502D64"/>
    <w:rsid w:val="00502E97"/>
    <w:rsid w:val="005030E2"/>
    <w:rsid w:val="00503171"/>
    <w:rsid w:val="005033DC"/>
    <w:rsid w:val="00503570"/>
    <w:rsid w:val="00503594"/>
    <w:rsid w:val="005037B0"/>
    <w:rsid w:val="005038D6"/>
    <w:rsid w:val="0050390C"/>
    <w:rsid w:val="00503A08"/>
    <w:rsid w:val="00503B3F"/>
    <w:rsid w:val="00503B6B"/>
    <w:rsid w:val="00503BC6"/>
    <w:rsid w:val="00503CB7"/>
    <w:rsid w:val="00503D49"/>
    <w:rsid w:val="00503EC0"/>
    <w:rsid w:val="00503EDB"/>
    <w:rsid w:val="00503EF2"/>
    <w:rsid w:val="00504121"/>
    <w:rsid w:val="005041AD"/>
    <w:rsid w:val="005041E6"/>
    <w:rsid w:val="005042BC"/>
    <w:rsid w:val="0050432B"/>
    <w:rsid w:val="005045B0"/>
    <w:rsid w:val="00504743"/>
    <w:rsid w:val="005047C2"/>
    <w:rsid w:val="0050488D"/>
    <w:rsid w:val="00504AE7"/>
    <w:rsid w:val="00504B43"/>
    <w:rsid w:val="00504CEF"/>
    <w:rsid w:val="00505296"/>
    <w:rsid w:val="00505437"/>
    <w:rsid w:val="005055EA"/>
    <w:rsid w:val="0050563A"/>
    <w:rsid w:val="0050565A"/>
    <w:rsid w:val="005059DE"/>
    <w:rsid w:val="00505E78"/>
    <w:rsid w:val="00505E79"/>
    <w:rsid w:val="00505F65"/>
    <w:rsid w:val="00505F6F"/>
    <w:rsid w:val="00505F7E"/>
    <w:rsid w:val="00506014"/>
    <w:rsid w:val="00506238"/>
    <w:rsid w:val="00506289"/>
    <w:rsid w:val="005064DD"/>
    <w:rsid w:val="00506548"/>
    <w:rsid w:val="0050664E"/>
    <w:rsid w:val="0050664F"/>
    <w:rsid w:val="0050681F"/>
    <w:rsid w:val="00506B37"/>
    <w:rsid w:val="00506BC0"/>
    <w:rsid w:val="00506E46"/>
    <w:rsid w:val="00506F00"/>
    <w:rsid w:val="00506FC4"/>
    <w:rsid w:val="00507026"/>
    <w:rsid w:val="00507089"/>
    <w:rsid w:val="0050719A"/>
    <w:rsid w:val="005072A7"/>
    <w:rsid w:val="00507306"/>
    <w:rsid w:val="00507380"/>
    <w:rsid w:val="00507388"/>
    <w:rsid w:val="005073AD"/>
    <w:rsid w:val="00507410"/>
    <w:rsid w:val="005074D1"/>
    <w:rsid w:val="00507536"/>
    <w:rsid w:val="00507811"/>
    <w:rsid w:val="0050782E"/>
    <w:rsid w:val="00507A19"/>
    <w:rsid w:val="00507B40"/>
    <w:rsid w:val="00507C75"/>
    <w:rsid w:val="00507DAC"/>
    <w:rsid w:val="00507DDC"/>
    <w:rsid w:val="00507DE4"/>
    <w:rsid w:val="00507E57"/>
    <w:rsid w:val="00507F08"/>
    <w:rsid w:val="0051015E"/>
    <w:rsid w:val="00510190"/>
    <w:rsid w:val="0051022C"/>
    <w:rsid w:val="005102BC"/>
    <w:rsid w:val="005102CA"/>
    <w:rsid w:val="0051031B"/>
    <w:rsid w:val="005104A6"/>
    <w:rsid w:val="005104C3"/>
    <w:rsid w:val="0051060C"/>
    <w:rsid w:val="0051061B"/>
    <w:rsid w:val="0051067C"/>
    <w:rsid w:val="00510819"/>
    <w:rsid w:val="0051082B"/>
    <w:rsid w:val="00510908"/>
    <w:rsid w:val="0051090E"/>
    <w:rsid w:val="00510AA3"/>
    <w:rsid w:val="00510B2A"/>
    <w:rsid w:val="00510B77"/>
    <w:rsid w:val="00510EF8"/>
    <w:rsid w:val="00511068"/>
    <w:rsid w:val="00511100"/>
    <w:rsid w:val="0051135E"/>
    <w:rsid w:val="005113C5"/>
    <w:rsid w:val="0051167A"/>
    <w:rsid w:val="0051180C"/>
    <w:rsid w:val="00511843"/>
    <w:rsid w:val="00511908"/>
    <w:rsid w:val="00511995"/>
    <w:rsid w:val="005119F8"/>
    <w:rsid w:val="00511A89"/>
    <w:rsid w:val="00511C09"/>
    <w:rsid w:val="00511C27"/>
    <w:rsid w:val="00511E55"/>
    <w:rsid w:val="005120A3"/>
    <w:rsid w:val="00512108"/>
    <w:rsid w:val="00512185"/>
    <w:rsid w:val="00512191"/>
    <w:rsid w:val="00512202"/>
    <w:rsid w:val="005122A6"/>
    <w:rsid w:val="005122D1"/>
    <w:rsid w:val="005123EE"/>
    <w:rsid w:val="0051240E"/>
    <w:rsid w:val="00512477"/>
    <w:rsid w:val="005125DA"/>
    <w:rsid w:val="0051284F"/>
    <w:rsid w:val="00512891"/>
    <w:rsid w:val="00512949"/>
    <w:rsid w:val="00512A1C"/>
    <w:rsid w:val="00512BFF"/>
    <w:rsid w:val="00512E98"/>
    <w:rsid w:val="00512F54"/>
    <w:rsid w:val="005130C6"/>
    <w:rsid w:val="00513220"/>
    <w:rsid w:val="0051373C"/>
    <w:rsid w:val="005138F7"/>
    <w:rsid w:val="00513B9C"/>
    <w:rsid w:val="00513E35"/>
    <w:rsid w:val="00514083"/>
    <w:rsid w:val="005140D7"/>
    <w:rsid w:val="00514291"/>
    <w:rsid w:val="005147E4"/>
    <w:rsid w:val="005148D4"/>
    <w:rsid w:val="00514AF7"/>
    <w:rsid w:val="00514B87"/>
    <w:rsid w:val="00514CD9"/>
    <w:rsid w:val="00514CE2"/>
    <w:rsid w:val="00514DCD"/>
    <w:rsid w:val="00514E17"/>
    <w:rsid w:val="00514EBE"/>
    <w:rsid w:val="00514FE2"/>
    <w:rsid w:val="00515001"/>
    <w:rsid w:val="0051510A"/>
    <w:rsid w:val="00515327"/>
    <w:rsid w:val="00515359"/>
    <w:rsid w:val="005153B3"/>
    <w:rsid w:val="005156CC"/>
    <w:rsid w:val="005156F9"/>
    <w:rsid w:val="00515803"/>
    <w:rsid w:val="00515911"/>
    <w:rsid w:val="00515966"/>
    <w:rsid w:val="00515A3E"/>
    <w:rsid w:val="00515C49"/>
    <w:rsid w:val="00515CEB"/>
    <w:rsid w:val="00515FCC"/>
    <w:rsid w:val="00516097"/>
    <w:rsid w:val="00516385"/>
    <w:rsid w:val="00516412"/>
    <w:rsid w:val="00516590"/>
    <w:rsid w:val="0051679F"/>
    <w:rsid w:val="00516C18"/>
    <w:rsid w:val="00516D2D"/>
    <w:rsid w:val="00516D4A"/>
    <w:rsid w:val="00517178"/>
    <w:rsid w:val="00517818"/>
    <w:rsid w:val="00517860"/>
    <w:rsid w:val="0051786B"/>
    <w:rsid w:val="005178FA"/>
    <w:rsid w:val="00517A88"/>
    <w:rsid w:val="00517C72"/>
    <w:rsid w:val="00517E53"/>
    <w:rsid w:val="00517F4E"/>
    <w:rsid w:val="00520259"/>
    <w:rsid w:val="005202B8"/>
    <w:rsid w:val="005203F2"/>
    <w:rsid w:val="00520490"/>
    <w:rsid w:val="005204C1"/>
    <w:rsid w:val="005205BC"/>
    <w:rsid w:val="005207C4"/>
    <w:rsid w:val="005208F8"/>
    <w:rsid w:val="005209DE"/>
    <w:rsid w:val="00520A48"/>
    <w:rsid w:val="00520AEB"/>
    <w:rsid w:val="00520B63"/>
    <w:rsid w:val="00520C8B"/>
    <w:rsid w:val="00520D3D"/>
    <w:rsid w:val="00520E10"/>
    <w:rsid w:val="00520E2C"/>
    <w:rsid w:val="00520EDA"/>
    <w:rsid w:val="00520F0F"/>
    <w:rsid w:val="00520F36"/>
    <w:rsid w:val="005211F1"/>
    <w:rsid w:val="00521271"/>
    <w:rsid w:val="005212F2"/>
    <w:rsid w:val="00521472"/>
    <w:rsid w:val="00521698"/>
    <w:rsid w:val="0052170D"/>
    <w:rsid w:val="0052176E"/>
    <w:rsid w:val="005218F2"/>
    <w:rsid w:val="0052196C"/>
    <w:rsid w:val="00521979"/>
    <w:rsid w:val="0052197A"/>
    <w:rsid w:val="00521AA9"/>
    <w:rsid w:val="00521ADF"/>
    <w:rsid w:val="00521B8B"/>
    <w:rsid w:val="00521BF5"/>
    <w:rsid w:val="00521CD0"/>
    <w:rsid w:val="00521FC2"/>
    <w:rsid w:val="00522098"/>
    <w:rsid w:val="00522120"/>
    <w:rsid w:val="00522140"/>
    <w:rsid w:val="00522160"/>
    <w:rsid w:val="00522191"/>
    <w:rsid w:val="0052229C"/>
    <w:rsid w:val="00522301"/>
    <w:rsid w:val="00522329"/>
    <w:rsid w:val="00522633"/>
    <w:rsid w:val="00522824"/>
    <w:rsid w:val="0052296B"/>
    <w:rsid w:val="00522B52"/>
    <w:rsid w:val="00522BCB"/>
    <w:rsid w:val="00522E34"/>
    <w:rsid w:val="00522F0E"/>
    <w:rsid w:val="00522F75"/>
    <w:rsid w:val="00522FEE"/>
    <w:rsid w:val="00523233"/>
    <w:rsid w:val="005233A1"/>
    <w:rsid w:val="00523418"/>
    <w:rsid w:val="005234B1"/>
    <w:rsid w:val="005234CB"/>
    <w:rsid w:val="0052350D"/>
    <w:rsid w:val="0052353E"/>
    <w:rsid w:val="00523667"/>
    <w:rsid w:val="00523669"/>
    <w:rsid w:val="0052367E"/>
    <w:rsid w:val="00523706"/>
    <w:rsid w:val="00523714"/>
    <w:rsid w:val="0052390E"/>
    <w:rsid w:val="00523A30"/>
    <w:rsid w:val="00523AA2"/>
    <w:rsid w:val="00523DA1"/>
    <w:rsid w:val="00523F7E"/>
    <w:rsid w:val="00523F89"/>
    <w:rsid w:val="00524257"/>
    <w:rsid w:val="005243E2"/>
    <w:rsid w:val="005245A7"/>
    <w:rsid w:val="00524711"/>
    <w:rsid w:val="005247E8"/>
    <w:rsid w:val="005249B7"/>
    <w:rsid w:val="00524BBB"/>
    <w:rsid w:val="00524E93"/>
    <w:rsid w:val="00524FA8"/>
    <w:rsid w:val="00524FB6"/>
    <w:rsid w:val="00524FD2"/>
    <w:rsid w:val="00525209"/>
    <w:rsid w:val="0052526D"/>
    <w:rsid w:val="005252CC"/>
    <w:rsid w:val="005252DD"/>
    <w:rsid w:val="00525397"/>
    <w:rsid w:val="0052543B"/>
    <w:rsid w:val="00525490"/>
    <w:rsid w:val="0052562F"/>
    <w:rsid w:val="00525646"/>
    <w:rsid w:val="0052593D"/>
    <w:rsid w:val="00525954"/>
    <w:rsid w:val="00525982"/>
    <w:rsid w:val="00525B35"/>
    <w:rsid w:val="00525BF3"/>
    <w:rsid w:val="00525D08"/>
    <w:rsid w:val="00525E1E"/>
    <w:rsid w:val="00525F04"/>
    <w:rsid w:val="00526037"/>
    <w:rsid w:val="00526044"/>
    <w:rsid w:val="005260E0"/>
    <w:rsid w:val="00526241"/>
    <w:rsid w:val="00526248"/>
    <w:rsid w:val="005264B8"/>
    <w:rsid w:val="005264FB"/>
    <w:rsid w:val="005265D9"/>
    <w:rsid w:val="00526644"/>
    <w:rsid w:val="00526645"/>
    <w:rsid w:val="00526700"/>
    <w:rsid w:val="005268B0"/>
    <w:rsid w:val="00526CFD"/>
    <w:rsid w:val="00526D4D"/>
    <w:rsid w:val="00527164"/>
    <w:rsid w:val="0052744A"/>
    <w:rsid w:val="00527535"/>
    <w:rsid w:val="0052760B"/>
    <w:rsid w:val="0052764B"/>
    <w:rsid w:val="0052765E"/>
    <w:rsid w:val="005276E3"/>
    <w:rsid w:val="00527742"/>
    <w:rsid w:val="005277B0"/>
    <w:rsid w:val="00527922"/>
    <w:rsid w:val="00527A4E"/>
    <w:rsid w:val="00527F18"/>
    <w:rsid w:val="0053022E"/>
    <w:rsid w:val="005302F8"/>
    <w:rsid w:val="00530379"/>
    <w:rsid w:val="00530577"/>
    <w:rsid w:val="0053073E"/>
    <w:rsid w:val="00530806"/>
    <w:rsid w:val="005308E6"/>
    <w:rsid w:val="00530A03"/>
    <w:rsid w:val="00530B54"/>
    <w:rsid w:val="00530EF3"/>
    <w:rsid w:val="00530F2E"/>
    <w:rsid w:val="0053108E"/>
    <w:rsid w:val="005313DF"/>
    <w:rsid w:val="00531697"/>
    <w:rsid w:val="005316F8"/>
    <w:rsid w:val="00531764"/>
    <w:rsid w:val="0053197E"/>
    <w:rsid w:val="00531AF2"/>
    <w:rsid w:val="00531E4B"/>
    <w:rsid w:val="00531FFC"/>
    <w:rsid w:val="00532159"/>
    <w:rsid w:val="00532399"/>
    <w:rsid w:val="005323F0"/>
    <w:rsid w:val="005323F3"/>
    <w:rsid w:val="005325B2"/>
    <w:rsid w:val="00532677"/>
    <w:rsid w:val="005326A6"/>
    <w:rsid w:val="0053286A"/>
    <w:rsid w:val="005328AF"/>
    <w:rsid w:val="00532B1B"/>
    <w:rsid w:val="00532C66"/>
    <w:rsid w:val="00532D9D"/>
    <w:rsid w:val="00532FBF"/>
    <w:rsid w:val="00532FC0"/>
    <w:rsid w:val="005330C9"/>
    <w:rsid w:val="00533243"/>
    <w:rsid w:val="00533265"/>
    <w:rsid w:val="005332C6"/>
    <w:rsid w:val="005337D7"/>
    <w:rsid w:val="00533913"/>
    <w:rsid w:val="00533921"/>
    <w:rsid w:val="00533A39"/>
    <w:rsid w:val="00533BB5"/>
    <w:rsid w:val="00534039"/>
    <w:rsid w:val="005341E1"/>
    <w:rsid w:val="005341FC"/>
    <w:rsid w:val="005344C0"/>
    <w:rsid w:val="005349B9"/>
    <w:rsid w:val="00534A44"/>
    <w:rsid w:val="00534C06"/>
    <w:rsid w:val="00534C21"/>
    <w:rsid w:val="00534CA1"/>
    <w:rsid w:val="00534D2F"/>
    <w:rsid w:val="00534D3A"/>
    <w:rsid w:val="00534E2F"/>
    <w:rsid w:val="00534F3A"/>
    <w:rsid w:val="00535040"/>
    <w:rsid w:val="00535378"/>
    <w:rsid w:val="00535463"/>
    <w:rsid w:val="005356F3"/>
    <w:rsid w:val="0053582F"/>
    <w:rsid w:val="00535952"/>
    <w:rsid w:val="00535CB3"/>
    <w:rsid w:val="00535EF3"/>
    <w:rsid w:val="005360E7"/>
    <w:rsid w:val="0053630B"/>
    <w:rsid w:val="005363F0"/>
    <w:rsid w:val="00536519"/>
    <w:rsid w:val="005365B4"/>
    <w:rsid w:val="0053662F"/>
    <w:rsid w:val="0053664A"/>
    <w:rsid w:val="0053699B"/>
    <w:rsid w:val="005369EA"/>
    <w:rsid w:val="00536A2E"/>
    <w:rsid w:val="00536B45"/>
    <w:rsid w:val="00536BDE"/>
    <w:rsid w:val="00536FE5"/>
    <w:rsid w:val="00537102"/>
    <w:rsid w:val="005371A4"/>
    <w:rsid w:val="005371CF"/>
    <w:rsid w:val="00537285"/>
    <w:rsid w:val="005373BF"/>
    <w:rsid w:val="00537462"/>
    <w:rsid w:val="00537559"/>
    <w:rsid w:val="005375B4"/>
    <w:rsid w:val="005375CE"/>
    <w:rsid w:val="005375F9"/>
    <w:rsid w:val="00537724"/>
    <w:rsid w:val="0053783F"/>
    <w:rsid w:val="00537912"/>
    <w:rsid w:val="00537BFB"/>
    <w:rsid w:val="00537C98"/>
    <w:rsid w:val="00537D1E"/>
    <w:rsid w:val="00537E5A"/>
    <w:rsid w:val="00540139"/>
    <w:rsid w:val="00540167"/>
    <w:rsid w:val="00540282"/>
    <w:rsid w:val="005402CA"/>
    <w:rsid w:val="0054050A"/>
    <w:rsid w:val="00540553"/>
    <w:rsid w:val="005408F1"/>
    <w:rsid w:val="00540C83"/>
    <w:rsid w:val="00540D10"/>
    <w:rsid w:val="00540D69"/>
    <w:rsid w:val="00540E49"/>
    <w:rsid w:val="00540ECE"/>
    <w:rsid w:val="00540FCF"/>
    <w:rsid w:val="005412E8"/>
    <w:rsid w:val="00541309"/>
    <w:rsid w:val="00541433"/>
    <w:rsid w:val="005414CF"/>
    <w:rsid w:val="00541540"/>
    <w:rsid w:val="0054170F"/>
    <w:rsid w:val="005419A9"/>
    <w:rsid w:val="00541AC1"/>
    <w:rsid w:val="00541B49"/>
    <w:rsid w:val="00541D7B"/>
    <w:rsid w:val="00541FF1"/>
    <w:rsid w:val="00542590"/>
    <w:rsid w:val="005426F4"/>
    <w:rsid w:val="00542733"/>
    <w:rsid w:val="00542811"/>
    <w:rsid w:val="005428E9"/>
    <w:rsid w:val="00542936"/>
    <w:rsid w:val="00542A70"/>
    <w:rsid w:val="00542AC9"/>
    <w:rsid w:val="00542E40"/>
    <w:rsid w:val="00542E85"/>
    <w:rsid w:val="00542ED1"/>
    <w:rsid w:val="00542F0F"/>
    <w:rsid w:val="00542FE3"/>
    <w:rsid w:val="00543289"/>
    <w:rsid w:val="00543364"/>
    <w:rsid w:val="00543669"/>
    <w:rsid w:val="005436ED"/>
    <w:rsid w:val="0054391D"/>
    <w:rsid w:val="00543C1A"/>
    <w:rsid w:val="00543DE4"/>
    <w:rsid w:val="00543DFA"/>
    <w:rsid w:val="00543E44"/>
    <w:rsid w:val="0054470F"/>
    <w:rsid w:val="0054491E"/>
    <w:rsid w:val="00544921"/>
    <w:rsid w:val="00544B5A"/>
    <w:rsid w:val="00544C4D"/>
    <w:rsid w:val="00544F06"/>
    <w:rsid w:val="00544FCA"/>
    <w:rsid w:val="005452E5"/>
    <w:rsid w:val="005454E5"/>
    <w:rsid w:val="005455E1"/>
    <w:rsid w:val="005455F9"/>
    <w:rsid w:val="0054565A"/>
    <w:rsid w:val="00545685"/>
    <w:rsid w:val="0054584B"/>
    <w:rsid w:val="00545B6A"/>
    <w:rsid w:val="00545D32"/>
    <w:rsid w:val="00545EF7"/>
    <w:rsid w:val="005461C4"/>
    <w:rsid w:val="005462D5"/>
    <w:rsid w:val="00546617"/>
    <w:rsid w:val="00546697"/>
    <w:rsid w:val="0054670F"/>
    <w:rsid w:val="00546807"/>
    <w:rsid w:val="00546ABC"/>
    <w:rsid w:val="00546CA4"/>
    <w:rsid w:val="00546ED5"/>
    <w:rsid w:val="00546F3C"/>
    <w:rsid w:val="00547018"/>
    <w:rsid w:val="005471CF"/>
    <w:rsid w:val="005472EA"/>
    <w:rsid w:val="005473E5"/>
    <w:rsid w:val="005474BF"/>
    <w:rsid w:val="005474FC"/>
    <w:rsid w:val="00547533"/>
    <w:rsid w:val="005475B8"/>
    <w:rsid w:val="00547607"/>
    <w:rsid w:val="00547677"/>
    <w:rsid w:val="0054794C"/>
    <w:rsid w:val="00547BDF"/>
    <w:rsid w:val="00547FE2"/>
    <w:rsid w:val="005502D5"/>
    <w:rsid w:val="005502FD"/>
    <w:rsid w:val="00550652"/>
    <w:rsid w:val="0055090D"/>
    <w:rsid w:val="00550975"/>
    <w:rsid w:val="00550B03"/>
    <w:rsid w:val="00550BDF"/>
    <w:rsid w:val="00550C49"/>
    <w:rsid w:val="00550E09"/>
    <w:rsid w:val="00550F5B"/>
    <w:rsid w:val="0055133E"/>
    <w:rsid w:val="00551357"/>
    <w:rsid w:val="005513E5"/>
    <w:rsid w:val="0055140F"/>
    <w:rsid w:val="00551796"/>
    <w:rsid w:val="00551B41"/>
    <w:rsid w:val="00551B91"/>
    <w:rsid w:val="00551C92"/>
    <w:rsid w:val="00551D2E"/>
    <w:rsid w:val="00551F3C"/>
    <w:rsid w:val="005521DD"/>
    <w:rsid w:val="00552336"/>
    <w:rsid w:val="0055242A"/>
    <w:rsid w:val="005524E7"/>
    <w:rsid w:val="00552640"/>
    <w:rsid w:val="005528C9"/>
    <w:rsid w:val="005529B8"/>
    <w:rsid w:val="00552D11"/>
    <w:rsid w:val="00552D86"/>
    <w:rsid w:val="00552E7E"/>
    <w:rsid w:val="00552F19"/>
    <w:rsid w:val="00552F65"/>
    <w:rsid w:val="00552FD1"/>
    <w:rsid w:val="0055300D"/>
    <w:rsid w:val="0055304B"/>
    <w:rsid w:val="00553163"/>
    <w:rsid w:val="00553206"/>
    <w:rsid w:val="00553312"/>
    <w:rsid w:val="0055334E"/>
    <w:rsid w:val="00553577"/>
    <w:rsid w:val="005535F9"/>
    <w:rsid w:val="00553838"/>
    <w:rsid w:val="00553873"/>
    <w:rsid w:val="00553AD4"/>
    <w:rsid w:val="00553C74"/>
    <w:rsid w:val="00553D13"/>
    <w:rsid w:val="00553D67"/>
    <w:rsid w:val="00553E12"/>
    <w:rsid w:val="00553F91"/>
    <w:rsid w:val="00554146"/>
    <w:rsid w:val="005543F5"/>
    <w:rsid w:val="00554425"/>
    <w:rsid w:val="00554488"/>
    <w:rsid w:val="005545D1"/>
    <w:rsid w:val="005545F8"/>
    <w:rsid w:val="005547B3"/>
    <w:rsid w:val="005548A6"/>
    <w:rsid w:val="005548BA"/>
    <w:rsid w:val="00554937"/>
    <w:rsid w:val="00554954"/>
    <w:rsid w:val="005549B3"/>
    <w:rsid w:val="00554A3B"/>
    <w:rsid w:val="00554A73"/>
    <w:rsid w:val="00554C87"/>
    <w:rsid w:val="00554E6E"/>
    <w:rsid w:val="00554EA8"/>
    <w:rsid w:val="00554FFF"/>
    <w:rsid w:val="00555085"/>
    <w:rsid w:val="0055514F"/>
    <w:rsid w:val="005551F6"/>
    <w:rsid w:val="0055545C"/>
    <w:rsid w:val="005554F3"/>
    <w:rsid w:val="005555AC"/>
    <w:rsid w:val="00555704"/>
    <w:rsid w:val="00555858"/>
    <w:rsid w:val="00555BDF"/>
    <w:rsid w:val="00555ECC"/>
    <w:rsid w:val="00555FC7"/>
    <w:rsid w:val="00556046"/>
    <w:rsid w:val="0055614D"/>
    <w:rsid w:val="005563BB"/>
    <w:rsid w:val="005563DD"/>
    <w:rsid w:val="00556533"/>
    <w:rsid w:val="0055656A"/>
    <w:rsid w:val="005569DB"/>
    <w:rsid w:val="00556C3E"/>
    <w:rsid w:val="00556D8A"/>
    <w:rsid w:val="00556F42"/>
    <w:rsid w:val="0055716E"/>
    <w:rsid w:val="0055730F"/>
    <w:rsid w:val="005574CD"/>
    <w:rsid w:val="00557575"/>
    <w:rsid w:val="005576C9"/>
    <w:rsid w:val="00557703"/>
    <w:rsid w:val="0055780F"/>
    <w:rsid w:val="0055785E"/>
    <w:rsid w:val="00557893"/>
    <w:rsid w:val="0055789D"/>
    <w:rsid w:val="00557AA2"/>
    <w:rsid w:val="00557DD7"/>
    <w:rsid w:val="00557EFB"/>
    <w:rsid w:val="005600A3"/>
    <w:rsid w:val="005600AC"/>
    <w:rsid w:val="0056026D"/>
    <w:rsid w:val="005602A0"/>
    <w:rsid w:val="00560326"/>
    <w:rsid w:val="00560378"/>
    <w:rsid w:val="005603C1"/>
    <w:rsid w:val="005603D5"/>
    <w:rsid w:val="00560533"/>
    <w:rsid w:val="00560601"/>
    <w:rsid w:val="00560663"/>
    <w:rsid w:val="00560B84"/>
    <w:rsid w:val="00561215"/>
    <w:rsid w:val="00561442"/>
    <w:rsid w:val="0056147B"/>
    <w:rsid w:val="005614A3"/>
    <w:rsid w:val="00561521"/>
    <w:rsid w:val="0056172D"/>
    <w:rsid w:val="005619C1"/>
    <w:rsid w:val="00561AD6"/>
    <w:rsid w:val="00561F47"/>
    <w:rsid w:val="00561F5E"/>
    <w:rsid w:val="005626AB"/>
    <w:rsid w:val="005626F9"/>
    <w:rsid w:val="00562B98"/>
    <w:rsid w:val="00562D56"/>
    <w:rsid w:val="00562D7F"/>
    <w:rsid w:val="00562E74"/>
    <w:rsid w:val="00562EFB"/>
    <w:rsid w:val="0056315D"/>
    <w:rsid w:val="005632DF"/>
    <w:rsid w:val="00563327"/>
    <w:rsid w:val="00563387"/>
    <w:rsid w:val="00563479"/>
    <w:rsid w:val="00563496"/>
    <w:rsid w:val="0056354B"/>
    <w:rsid w:val="00563C89"/>
    <w:rsid w:val="00563D01"/>
    <w:rsid w:val="00563D51"/>
    <w:rsid w:val="00563DE6"/>
    <w:rsid w:val="00563DF9"/>
    <w:rsid w:val="00563E91"/>
    <w:rsid w:val="0056414B"/>
    <w:rsid w:val="005641A1"/>
    <w:rsid w:val="0056429D"/>
    <w:rsid w:val="005642A4"/>
    <w:rsid w:val="005643C9"/>
    <w:rsid w:val="0056441B"/>
    <w:rsid w:val="005645E5"/>
    <w:rsid w:val="0056464E"/>
    <w:rsid w:val="00564680"/>
    <w:rsid w:val="005646DE"/>
    <w:rsid w:val="00564971"/>
    <w:rsid w:val="005649B3"/>
    <w:rsid w:val="00564A2A"/>
    <w:rsid w:val="00564EE5"/>
    <w:rsid w:val="00564F14"/>
    <w:rsid w:val="00564FF2"/>
    <w:rsid w:val="00564FFD"/>
    <w:rsid w:val="005655BE"/>
    <w:rsid w:val="00565939"/>
    <w:rsid w:val="00565A4A"/>
    <w:rsid w:val="00565D9D"/>
    <w:rsid w:val="00565DFA"/>
    <w:rsid w:val="00565E0E"/>
    <w:rsid w:val="0056610C"/>
    <w:rsid w:val="00566262"/>
    <w:rsid w:val="00566280"/>
    <w:rsid w:val="00566367"/>
    <w:rsid w:val="005664BB"/>
    <w:rsid w:val="00566618"/>
    <w:rsid w:val="00566708"/>
    <w:rsid w:val="0056674F"/>
    <w:rsid w:val="00566897"/>
    <w:rsid w:val="00566A8F"/>
    <w:rsid w:val="00566B5E"/>
    <w:rsid w:val="00566E4D"/>
    <w:rsid w:val="00566E89"/>
    <w:rsid w:val="00566F95"/>
    <w:rsid w:val="00567059"/>
    <w:rsid w:val="005671A1"/>
    <w:rsid w:val="005672CA"/>
    <w:rsid w:val="00567319"/>
    <w:rsid w:val="0056749D"/>
    <w:rsid w:val="00567522"/>
    <w:rsid w:val="00567741"/>
    <w:rsid w:val="005678E3"/>
    <w:rsid w:val="005678F9"/>
    <w:rsid w:val="005679DE"/>
    <w:rsid w:val="00570109"/>
    <w:rsid w:val="00570206"/>
    <w:rsid w:val="005702EF"/>
    <w:rsid w:val="005704B2"/>
    <w:rsid w:val="00570595"/>
    <w:rsid w:val="005706D4"/>
    <w:rsid w:val="005707A2"/>
    <w:rsid w:val="00570990"/>
    <w:rsid w:val="00570BDA"/>
    <w:rsid w:val="00570CD7"/>
    <w:rsid w:val="00570D4E"/>
    <w:rsid w:val="00570D89"/>
    <w:rsid w:val="00570EBE"/>
    <w:rsid w:val="00570F5E"/>
    <w:rsid w:val="00570FA9"/>
    <w:rsid w:val="005710F2"/>
    <w:rsid w:val="005712DD"/>
    <w:rsid w:val="005713B8"/>
    <w:rsid w:val="005714D2"/>
    <w:rsid w:val="005714E7"/>
    <w:rsid w:val="0057152A"/>
    <w:rsid w:val="0057157D"/>
    <w:rsid w:val="0057158D"/>
    <w:rsid w:val="0057163A"/>
    <w:rsid w:val="005719E5"/>
    <w:rsid w:val="00571A19"/>
    <w:rsid w:val="00571ABA"/>
    <w:rsid w:val="00571B20"/>
    <w:rsid w:val="00571D80"/>
    <w:rsid w:val="00571EA0"/>
    <w:rsid w:val="00571ECA"/>
    <w:rsid w:val="00571EDD"/>
    <w:rsid w:val="00571F3F"/>
    <w:rsid w:val="00572042"/>
    <w:rsid w:val="005720BE"/>
    <w:rsid w:val="0057215B"/>
    <w:rsid w:val="005723D6"/>
    <w:rsid w:val="00572498"/>
    <w:rsid w:val="00572679"/>
    <w:rsid w:val="00572765"/>
    <w:rsid w:val="005728B1"/>
    <w:rsid w:val="005728DF"/>
    <w:rsid w:val="00572AC4"/>
    <w:rsid w:val="00572B3C"/>
    <w:rsid w:val="00572EFB"/>
    <w:rsid w:val="0057300A"/>
    <w:rsid w:val="00573354"/>
    <w:rsid w:val="00573669"/>
    <w:rsid w:val="00573AC8"/>
    <w:rsid w:val="00573B83"/>
    <w:rsid w:val="00573F0C"/>
    <w:rsid w:val="00573F8D"/>
    <w:rsid w:val="00574205"/>
    <w:rsid w:val="00574443"/>
    <w:rsid w:val="0057451C"/>
    <w:rsid w:val="00574586"/>
    <w:rsid w:val="005748E8"/>
    <w:rsid w:val="0057497E"/>
    <w:rsid w:val="005749EC"/>
    <w:rsid w:val="00574AF8"/>
    <w:rsid w:val="00574B61"/>
    <w:rsid w:val="00574C1F"/>
    <w:rsid w:val="00574D21"/>
    <w:rsid w:val="00574DBD"/>
    <w:rsid w:val="00574DE2"/>
    <w:rsid w:val="00575204"/>
    <w:rsid w:val="005752DC"/>
    <w:rsid w:val="00575365"/>
    <w:rsid w:val="00575420"/>
    <w:rsid w:val="005754D5"/>
    <w:rsid w:val="0057577E"/>
    <w:rsid w:val="005758FB"/>
    <w:rsid w:val="00575938"/>
    <w:rsid w:val="00575A1D"/>
    <w:rsid w:val="00575EE8"/>
    <w:rsid w:val="00575FFE"/>
    <w:rsid w:val="0057614F"/>
    <w:rsid w:val="0057628E"/>
    <w:rsid w:val="0057640F"/>
    <w:rsid w:val="005764B1"/>
    <w:rsid w:val="00576629"/>
    <w:rsid w:val="00576A08"/>
    <w:rsid w:val="00576AA4"/>
    <w:rsid w:val="00576B0A"/>
    <w:rsid w:val="00576E8C"/>
    <w:rsid w:val="00576F2C"/>
    <w:rsid w:val="00576F83"/>
    <w:rsid w:val="00576FDB"/>
    <w:rsid w:val="0057706D"/>
    <w:rsid w:val="005771B6"/>
    <w:rsid w:val="00577235"/>
    <w:rsid w:val="005772CA"/>
    <w:rsid w:val="005772D1"/>
    <w:rsid w:val="005772E3"/>
    <w:rsid w:val="005773F6"/>
    <w:rsid w:val="0057744E"/>
    <w:rsid w:val="005775E8"/>
    <w:rsid w:val="0057764E"/>
    <w:rsid w:val="00577661"/>
    <w:rsid w:val="005777E9"/>
    <w:rsid w:val="005778D7"/>
    <w:rsid w:val="00577A3E"/>
    <w:rsid w:val="00577A40"/>
    <w:rsid w:val="00577C0C"/>
    <w:rsid w:val="00577EF2"/>
    <w:rsid w:val="00577F28"/>
    <w:rsid w:val="0058002E"/>
    <w:rsid w:val="005800AE"/>
    <w:rsid w:val="005800B8"/>
    <w:rsid w:val="005800D9"/>
    <w:rsid w:val="005804DA"/>
    <w:rsid w:val="0058072B"/>
    <w:rsid w:val="0058099C"/>
    <w:rsid w:val="00580A47"/>
    <w:rsid w:val="00580A88"/>
    <w:rsid w:val="00580A9A"/>
    <w:rsid w:val="00580B94"/>
    <w:rsid w:val="00580C40"/>
    <w:rsid w:val="00580F49"/>
    <w:rsid w:val="00581343"/>
    <w:rsid w:val="005816E0"/>
    <w:rsid w:val="0058179B"/>
    <w:rsid w:val="00581DA1"/>
    <w:rsid w:val="00581F0A"/>
    <w:rsid w:val="0058204B"/>
    <w:rsid w:val="0058207E"/>
    <w:rsid w:val="005821AC"/>
    <w:rsid w:val="0058220C"/>
    <w:rsid w:val="00582329"/>
    <w:rsid w:val="00582350"/>
    <w:rsid w:val="00582492"/>
    <w:rsid w:val="00582770"/>
    <w:rsid w:val="005827E3"/>
    <w:rsid w:val="00582BC4"/>
    <w:rsid w:val="00582BEE"/>
    <w:rsid w:val="00582C38"/>
    <w:rsid w:val="00582CDD"/>
    <w:rsid w:val="00582F72"/>
    <w:rsid w:val="00583106"/>
    <w:rsid w:val="0058312C"/>
    <w:rsid w:val="00583377"/>
    <w:rsid w:val="00583390"/>
    <w:rsid w:val="005833E3"/>
    <w:rsid w:val="00583462"/>
    <w:rsid w:val="00583518"/>
    <w:rsid w:val="0058358F"/>
    <w:rsid w:val="0058363C"/>
    <w:rsid w:val="005837F3"/>
    <w:rsid w:val="0058381D"/>
    <w:rsid w:val="00583822"/>
    <w:rsid w:val="00583B0F"/>
    <w:rsid w:val="00583E62"/>
    <w:rsid w:val="00583FCC"/>
    <w:rsid w:val="005843A2"/>
    <w:rsid w:val="005843DB"/>
    <w:rsid w:val="005844DD"/>
    <w:rsid w:val="0058456D"/>
    <w:rsid w:val="005845C5"/>
    <w:rsid w:val="005845EF"/>
    <w:rsid w:val="0058472F"/>
    <w:rsid w:val="005847E8"/>
    <w:rsid w:val="005847EB"/>
    <w:rsid w:val="00584A38"/>
    <w:rsid w:val="00584B80"/>
    <w:rsid w:val="00584C35"/>
    <w:rsid w:val="0058515E"/>
    <w:rsid w:val="00585166"/>
    <w:rsid w:val="0058529A"/>
    <w:rsid w:val="00585379"/>
    <w:rsid w:val="005853BA"/>
    <w:rsid w:val="005854A4"/>
    <w:rsid w:val="00585543"/>
    <w:rsid w:val="005855EF"/>
    <w:rsid w:val="0058566B"/>
    <w:rsid w:val="00585690"/>
    <w:rsid w:val="00585744"/>
    <w:rsid w:val="005857A8"/>
    <w:rsid w:val="00585837"/>
    <w:rsid w:val="005859D0"/>
    <w:rsid w:val="005859E6"/>
    <w:rsid w:val="00585C0F"/>
    <w:rsid w:val="00585CEF"/>
    <w:rsid w:val="00585D51"/>
    <w:rsid w:val="00585D53"/>
    <w:rsid w:val="00585D6F"/>
    <w:rsid w:val="00585E59"/>
    <w:rsid w:val="005860D7"/>
    <w:rsid w:val="00586337"/>
    <w:rsid w:val="005864BD"/>
    <w:rsid w:val="00586578"/>
    <w:rsid w:val="00586946"/>
    <w:rsid w:val="005869C0"/>
    <w:rsid w:val="00586AB2"/>
    <w:rsid w:val="00586F69"/>
    <w:rsid w:val="00586FD3"/>
    <w:rsid w:val="0058713A"/>
    <w:rsid w:val="00587183"/>
    <w:rsid w:val="005872CA"/>
    <w:rsid w:val="00587325"/>
    <w:rsid w:val="00587412"/>
    <w:rsid w:val="00587436"/>
    <w:rsid w:val="005874DA"/>
    <w:rsid w:val="00587521"/>
    <w:rsid w:val="0058758F"/>
    <w:rsid w:val="005875C6"/>
    <w:rsid w:val="00587669"/>
    <w:rsid w:val="005876F8"/>
    <w:rsid w:val="0058770C"/>
    <w:rsid w:val="00587729"/>
    <w:rsid w:val="0058772D"/>
    <w:rsid w:val="0058774E"/>
    <w:rsid w:val="005877FF"/>
    <w:rsid w:val="005878B5"/>
    <w:rsid w:val="005879C3"/>
    <w:rsid w:val="00587A8B"/>
    <w:rsid w:val="00587EA8"/>
    <w:rsid w:val="005900EE"/>
    <w:rsid w:val="005902DE"/>
    <w:rsid w:val="00590321"/>
    <w:rsid w:val="00590354"/>
    <w:rsid w:val="00590832"/>
    <w:rsid w:val="00590859"/>
    <w:rsid w:val="005908D5"/>
    <w:rsid w:val="00590B13"/>
    <w:rsid w:val="00590CC1"/>
    <w:rsid w:val="005910B7"/>
    <w:rsid w:val="005911B1"/>
    <w:rsid w:val="0059125D"/>
    <w:rsid w:val="00591368"/>
    <w:rsid w:val="005914B0"/>
    <w:rsid w:val="00591740"/>
    <w:rsid w:val="005917C5"/>
    <w:rsid w:val="0059195E"/>
    <w:rsid w:val="00591A7D"/>
    <w:rsid w:val="00591C25"/>
    <w:rsid w:val="00591D56"/>
    <w:rsid w:val="00591F2F"/>
    <w:rsid w:val="00592139"/>
    <w:rsid w:val="005925F0"/>
    <w:rsid w:val="005925F5"/>
    <w:rsid w:val="00592680"/>
    <w:rsid w:val="005926F4"/>
    <w:rsid w:val="005927B8"/>
    <w:rsid w:val="005927BA"/>
    <w:rsid w:val="005928B9"/>
    <w:rsid w:val="00592BED"/>
    <w:rsid w:val="00592F99"/>
    <w:rsid w:val="00593157"/>
    <w:rsid w:val="0059322A"/>
    <w:rsid w:val="00593260"/>
    <w:rsid w:val="00593327"/>
    <w:rsid w:val="00593396"/>
    <w:rsid w:val="005936E7"/>
    <w:rsid w:val="005937C9"/>
    <w:rsid w:val="0059380F"/>
    <w:rsid w:val="00593827"/>
    <w:rsid w:val="00593AE8"/>
    <w:rsid w:val="00593B64"/>
    <w:rsid w:val="00593BEE"/>
    <w:rsid w:val="00593C88"/>
    <w:rsid w:val="00593CA6"/>
    <w:rsid w:val="00593D3E"/>
    <w:rsid w:val="00593E27"/>
    <w:rsid w:val="00593E5D"/>
    <w:rsid w:val="0059414F"/>
    <w:rsid w:val="00594150"/>
    <w:rsid w:val="005941C9"/>
    <w:rsid w:val="00594280"/>
    <w:rsid w:val="0059438D"/>
    <w:rsid w:val="0059447E"/>
    <w:rsid w:val="005944E4"/>
    <w:rsid w:val="005945BA"/>
    <w:rsid w:val="00594628"/>
    <w:rsid w:val="0059465C"/>
    <w:rsid w:val="005947BD"/>
    <w:rsid w:val="005947E4"/>
    <w:rsid w:val="005948B3"/>
    <w:rsid w:val="00594924"/>
    <w:rsid w:val="00594937"/>
    <w:rsid w:val="00594952"/>
    <w:rsid w:val="005949C6"/>
    <w:rsid w:val="005949DB"/>
    <w:rsid w:val="00594A69"/>
    <w:rsid w:val="00594AB2"/>
    <w:rsid w:val="00594B06"/>
    <w:rsid w:val="00594B13"/>
    <w:rsid w:val="00594BD8"/>
    <w:rsid w:val="00594CA6"/>
    <w:rsid w:val="00594D77"/>
    <w:rsid w:val="005951B5"/>
    <w:rsid w:val="00595238"/>
    <w:rsid w:val="0059533A"/>
    <w:rsid w:val="005955B8"/>
    <w:rsid w:val="005956B5"/>
    <w:rsid w:val="00595728"/>
    <w:rsid w:val="005957CD"/>
    <w:rsid w:val="0059586A"/>
    <w:rsid w:val="00595A6A"/>
    <w:rsid w:val="00595B19"/>
    <w:rsid w:val="00595B37"/>
    <w:rsid w:val="00595CC7"/>
    <w:rsid w:val="00595F8C"/>
    <w:rsid w:val="00596091"/>
    <w:rsid w:val="005961E6"/>
    <w:rsid w:val="00596203"/>
    <w:rsid w:val="005962B6"/>
    <w:rsid w:val="005963DC"/>
    <w:rsid w:val="00596481"/>
    <w:rsid w:val="0059648E"/>
    <w:rsid w:val="005964EA"/>
    <w:rsid w:val="0059670D"/>
    <w:rsid w:val="00596854"/>
    <w:rsid w:val="005968EA"/>
    <w:rsid w:val="00596905"/>
    <w:rsid w:val="00596AB1"/>
    <w:rsid w:val="00596B2A"/>
    <w:rsid w:val="0059715B"/>
    <w:rsid w:val="00597236"/>
    <w:rsid w:val="00597471"/>
    <w:rsid w:val="005974D5"/>
    <w:rsid w:val="00597605"/>
    <w:rsid w:val="00597705"/>
    <w:rsid w:val="00597734"/>
    <w:rsid w:val="005977C9"/>
    <w:rsid w:val="005977F5"/>
    <w:rsid w:val="005978EF"/>
    <w:rsid w:val="005979CD"/>
    <w:rsid w:val="005979D8"/>
    <w:rsid w:val="00597B41"/>
    <w:rsid w:val="00597D38"/>
    <w:rsid w:val="00597D53"/>
    <w:rsid w:val="00597DAA"/>
    <w:rsid w:val="00597E49"/>
    <w:rsid w:val="00597EB5"/>
    <w:rsid w:val="005A015F"/>
    <w:rsid w:val="005A0184"/>
    <w:rsid w:val="005A0198"/>
    <w:rsid w:val="005A01D7"/>
    <w:rsid w:val="005A0245"/>
    <w:rsid w:val="005A02C8"/>
    <w:rsid w:val="005A0359"/>
    <w:rsid w:val="005A043B"/>
    <w:rsid w:val="005A0655"/>
    <w:rsid w:val="005A06E9"/>
    <w:rsid w:val="005A0731"/>
    <w:rsid w:val="005A0759"/>
    <w:rsid w:val="005A0880"/>
    <w:rsid w:val="005A08DA"/>
    <w:rsid w:val="005A08F6"/>
    <w:rsid w:val="005A0916"/>
    <w:rsid w:val="005A09FF"/>
    <w:rsid w:val="005A0DCF"/>
    <w:rsid w:val="005A0FAA"/>
    <w:rsid w:val="005A1034"/>
    <w:rsid w:val="005A1041"/>
    <w:rsid w:val="005A1214"/>
    <w:rsid w:val="005A12DE"/>
    <w:rsid w:val="005A1710"/>
    <w:rsid w:val="005A17A4"/>
    <w:rsid w:val="005A17F8"/>
    <w:rsid w:val="005A1882"/>
    <w:rsid w:val="005A18CB"/>
    <w:rsid w:val="005A19FA"/>
    <w:rsid w:val="005A1A40"/>
    <w:rsid w:val="005A1B0C"/>
    <w:rsid w:val="005A1BE7"/>
    <w:rsid w:val="005A1C17"/>
    <w:rsid w:val="005A1C2D"/>
    <w:rsid w:val="005A1CF7"/>
    <w:rsid w:val="005A1D7F"/>
    <w:rsid w:val="005A1E55"/>
    <w:rsid w:val="005A1EB0"/>
    <w:rsid w:val="005A21C0"/>
    <w:rsid w:val="005A226F"/>
    <w:rsid w:val="005A22E1"/>
    <w:rsid w:val="005A24E8"/>
    <w:rsid w:val="005A25C2"/>
    <w:rsid w:val="005A2628"/>
    <w:rsid w:val="005A26BC"/>
    <w:rsid w:val="005A2735"/>
    <w:rsid w:val="005A273F"/>
    <w:rsid w:val="005A2798"/>
    <w:rsid w:val="005A289F"/>
    <w:rsid w:val="005A28E8"/>
    <w:rsid w:val="005A29A8"/>
    <w:rsid w:val="005A2A99"/>
    <w:rsid w:val="005A2BF2"/>
    <w:rsid w:val="005A2DFF"/>
    <w:rsid w:val="005A309B"/>
    <w:rsid w:val="005A3159"/>
    <w:rsid w:val="005A3253"/>
    <w:rsid w:val="005A35A7"/>
    <w:rsid w:val="005A36E4"/>
    <w:rsid w:val="005A3775"/>
    <w:rsid w:val="005A37B0"/>
    <w:rsid w:val="005A381B"/>
    <w:rsid w:val="005A3887"/>
    <w:rsid w:val="005A38FE"/>
    <w:rsid w:val="005A3938"/>
    <w:rsid w:val="005A3C75"/>
    <w:rsid w:val="005A3D23"/>
    <w:rsid w:val="005A3DD5"/>
    <w:rsid w:val="005A3E14"/>
    <w:rsid w:val="005A40B1"/>
    <w:rsid w:val="005A416E"/>
    <w:rsid w:val="005A4225"/>
    <w:rsid w:val="005A4332"/>
    <w:rsid w:val="005A4491"/>
    <w:rsid w:val="005A452F"/>
    <w:rsid w:val="005A458D"/>
    <w:rsid w:val="005A4844"/>
    <w:rsid w:val="005A493F"/>
    <w:rsid w:val="005A49A7"/>
    <w:rsid w:val="005A4BB6"/>
    <w:rsid w:val="005A4C72"/>
    <w:rsid w:val="005A4E39"/>
    <w:rsid w:val="005A4F9B"/>
    <w:rsid w:val="005A5063"/>
    <w:rsid w:val="005A5077"/>
    <w:rsid w:val="005A5100"/>
    <w:rsid w:val="005A5241"/>
    <w:rsid w:val="005A54DE"/>
    <w:rsid w:val="005A566B"/>
    <w:rsid w:val="005A5710"/>
    <w:rsid w:val="005A57B7"/>
    <w:rsid w:val="005A57C7"/>
    <w:rsid w:val="005A5946"/>
    <w:rsid w:val="005A5A98"/>
    <w:rsid w:val="005A5BB2"/>
    <w:rsid w:val="005A5C05"/>
    <w:rsid w:val="005A5C60"/>
    <w:rsid w:val="005A5D92"/>
    <w:rsid w:val="005A5E40"/>
    <w:rsid w:val="005A6067"/>
    <w:rsid w:val="005A6326"/>
    <w:rsid w:val="005A6343"/>
    <w:rsid w:val="005A635F"/>
    <w:rsid w:val="005A644F"/>
    <w:rsid w:val="005A65A3"/>
    <w:rsid w:val="005A66A3"/>
    <w:rsid w:val="005A68A0"/>
    <w:rsid w:val="005A6A2C"/>
    <w:rsid w:val="005A6B2D"/>
    <w:rsid w:val="005A6D0D"/>
    <w:rsid w:val="005A6D5A"/>
    <w:rsid w:val="005A6D5C"/>
    <w:rsid w:val="005A6F29"/>
    <w:rsid w:val="005A7199"/>
    <w:rsid w:val="005A7386"/>
    <w:rsid w:val="005A73CF"/>
    <w:rsid w:val="005A748B"/>
    <w:rsid w:val="005A75B8"/>
    <w:rsid w:val="005A7821"/>
    <w:rsid w:val="005A7880"/>
    <w:rsid w:val="005A796C"/>
    <w:rsid w:val="005A7BDF"/>
    <w:rsid w:val="005A7F3D"/>
    <w:rsid w:val="005B009B"/>
    <w:rsid w:val="005B042E"/>
    <w:rsid w:val="005B0518"/>
    <w:rsid w:val="005B0584"/>
    <w:rsid w:val="005B068C"/>
    <w:rsid w:val="005B06AA"/>
    <w:rsid w:val="005B075F"/>
    <w:rsid w:val="005B084E"/>
    <w:rsid w:val="005B0909"/>
    <w:rsid w:val="005B0A20"/>
    <w:rsid w:val="005B0A95"/>
    <w:rsid w:val="005B0B1B"/>
    <w:rsid w:val="005B0BA7"/>
    <w:rsid w:val="005B0C61"/>
    <w:rsid w:val="005B0C99"/>
    <w:rsid w:val="005B0CFF"/>
    <w:rsid w:val="005B0DA4"/>
    <w:rsid w:val="005B0DE2"/>
    <w:rsid w:val="005B12B9"/>
    <w:rsid w:val="005B1621"/>
    <w:rsid w:val="005B1660"/>
    <w:rsid w:val="005B179C"/>
    <w:rsid w:val="005B18F6"/>
    <w:rsid w:val="005B1A6F"/>
    <w:rsid w:val="005B1D75"/>
    <w:rsid w:val="005B1F66"/>
    <w:rsid w:val="005B2085"/>
    <w:rsid w:val="005B21A2"/>
    <w:rsid w:val="005B22FD"/>
    <w:rsid w:val="005B2456"/>
    <w:rsid w:val="005B245F"/>
    <w:rsid w:val="005B257D"/>
    <w:rsid w:val="005B30EF"/>
    <w:rsid w:val="005B31F3"/>
    <w:rsid w:val="005B325E"/>
    <w:rsid w:val="005B32C3"/>
    <w:rsid w:val="005B33EB"/>
    <w:rsid w:val="005B34D1"/>
    <w:rsid w:val="005B34E4"/>
    <w:rsid w:val="005B3692"/>
    <w:rsid w:val="005B3723"/>
    <w:rsid w:val="005B3CD2"/>
    <w:rsid w:val="005B3D23"/>
    <w:rsid w:val="005B3DA9"/>
    <w:rsid w:val="005B3EB8"/>
    <w:rsid w:val="005B4067"/>
    <w:rsid w:val="005B43E6"/>
    <w:rsid w:val="005B4450"/>
    <w:rsid w:val="005B446A"/>
    <w:rsid w:val="005B451B"/>
    <w:rsid w:val="005B45E5"/>
    <w:rsid w:val="005B47DD"/>
    <w:rsid w:val="005B4843"/>
    <w:rsid w:val="005B4854"/>
    <w:rsid w:val="005B496D"/>
    <w:rsid w:val="005B49FE"/>
    <w:rsid w:val="005B4ACB"/>
    <w:rsid w:val="005B4BD2"/>
    <w:rsid w:val="005B4C8E"/>
    <w:rsid w:val="005B4CAB"/>
    <w:rsid w:val="005B4D53"/>
    <w:rsid w:val="005B4E02"/>
    <w:rsid w:val="005B5122"/>
    <w:rsid w:val="005B51EF"/>
    <w:rsid w:val="005B52DB"/>
    <w:rsid w:val="005B5519"/>
    <w:rsid w:val="005B5798"/>
    <w:rsid w:val="005B58F6"/>
    <w:rsid w:val="005B5926"/>
    <w:rsid w:val="005B5952"/>
    <w:rsid w:val="005B5A3E"/>
    <w:rsid w:val="005B5A68"/>
    <w:rsid w:val="005B5C93"/>
    <w:rsid w:val="005B5D15"/>
    <w:rsid w:val="005B5D4E"/>
    <w:rsid w:val="005B61B3"/>
    <w:rsid w:val="005B61D7"/>
    <w:rsid w:val="005B6239"/>
    <w:rsid w:val="005B6290"/>
    <w:rsid w:val="005B65E4"/>
    <w:rsid w:val="005B6611"/>
    <w:rsid w:val="005B678A"/>
    <w:rsid w:val="005B6A30"/>
    <w:rsid w:val="005B6A7F"/>
    <w:rsid w:val="005B6CAA"/>
    <w:rsid w:val="005B6D5B"/>
    <w:rsid w:val="005B6E19"/>
    <w:rsid w:val="005B6E80"/>
    <w:rsid w:val="005B6F1C"/>
    <w:rsid w:val="005B7042"/>
    <w:rsid w:val="005B7080"/>
    <w:rsid w:val="005B7191"/>
    <w:rsid w:val="005B7442"/>
    <w:rsid w:val="005B74A3"/>
    <w:rsid w:val="005B7523"/>
    <w:rsid w:val="005B7A2D"/>
    <w:rsid w:val="005B7A9C"/>
    <w:rsid w:val="005B7AA1"/>
    <w:rsid w:val="005B7C04"/>
    <w:rsid w:val="005C021F"/>
    <w:rsid w:val="005C02DE"/>
    <w:rsid w:val="005C0318"/>
    <w:rsid w:val="005C0497"/>
    <w:rsid w:val="005C04B8"/>
    <w:rsid w:val="005C056A"/>
    <w:rsid w:val="005C05F6"/>
    <w:rsid w:val="005C05FF"/>
    <w:rsid w:val="005C06B9"/>
    <w:rsid w:val="005C072C"/>
    <w:rsid w:val="005C0751"/>
    <w:rsid w:val="005C0865"/>
    <w:rsid w:val="005C08D2"/>
    <w:rsid w:val="005C09C6"/>
    <w:rsid w:val="005C0A59"/>
    <w:rsid w:val="005C0BF3"/>
    <w:rsid w:val="005C0E51"/>
    <w:rsid w:val="005C0FB8"/>
    <w:rsid w:val="005C1009"/>
    <w:rsid w:val="005C10BA"/>
    <w:rsid w:val="005C12E5"/>
    <w:rsid w:val="005C1354"/>
    <w:rsid w:val="005C13E7"/>
    <w:rsid w:val="005C14F7"/>
    <w:rsid w:val="005C155C"/>
    <w:rsid w:val="005C18D8"/>
    <w:rsid w:val="005C1988"/>
    <w:rsid w:val="005C1A73"/>
    <w:rsid w:val="005C1AA7"/>
    <w:rsid w:val="005C1C42"/>
    <w:rsid w:val="005C1DE1"/>
    <w:rsid w:val="005C1F95"/>
    <w:rsid w:val="005C220C"/>
    <w:rsid w:val="005C23FA"/>
    <w:rsid w:val="005C26BD"/>
    <w:rsid w:val="005C2773"/>
    <w:rsid w:val="005C27D6"/>
    <w:rsid w:val="005C2887"/>
    <w:rsid w:val="005C2937"/>
    <w:rsid w:val="005C298A"/>
    <w:rsid w:val="005C2B02"/>
    <w:rsid w:val="005C2B9B"/>
    <w:rsid w:val="005C2C25"/>
    <w:rsid w:val="005C2CE7"/>
    <w:rsid w:val="005C2D48"/>
    <w:rsid w:val="005C30E1"/>
    <w:rsid w:val="005C30F5"/>
    <w:rsid w:val="005C310B"/>
    <w:rsid w:val="005C31EA"/>
    <w:rsid w:val="005C3399"/>
    <w:rsid w:val="005C34ED"/>
    <w:rsid w:val="005C3609"/>
    <w:rsid w:val="005C37E5"/>
    <w:rsid w:val="005C37F6"/>
    <w:rsid w:val="005C3827"/>
    <w:rsid w:val="005C382D"/>
    <w:rsid w:val="005C38C3"/>
    <w:rsid w:val="005C3BFC"/>
    <w:rsid w:val="005C3C47"/>
    <w:rsid w:val="005C4047"/>
    <w:rsid w:val="005C4377"/>
    <w:rsid w:val="005C4400"/>
    <w:rsid w:val="005C44AA"/>
    <w:rsid w:val="005C4584"/>
    <w:rsid w:val="005C4607"/>
    <w:rsid w:val="005C48A0"/>
    <w:rsid w:val="005C48D8"/>
    <w:rsid w:val="005C49A2"/>
    <w:rsid w:val="005C4CAB"/>
    <w:rsid w:val="005C4D56"/>
    <w:rsid w:val="005C4DF9"/>
    <w:rsid w:val="005C4EDD"/>
    <w:rsid w:val="005C4FB3"/>
    <w:rsid w:val="005C4FF8"/>
    <w:rsid w:val="005C503A"/>
    <w:rsid w:val="005C50AB"/>
    <w:rsid w:val="005C50DA"/>
    <w:rsid w:val="005C5151"/>
    <w:rsid w:val="005C52A5"/>
    <w:rsid w:val="005C52EB"/>
    <w:rsid w:val="005C52F8"/>
    <w:rsid w:val="005C56C1"/>
    <w:rsid w:val="005C5760"/>
    <w:rsid w:val="005C57CE"/>
    <w:rsid w:val="005C583B"/>
    <w:rsid w:val="005C59C8"/>
    <w:rsid w:val="005C5A55"/>
    <w:rsid w:val="005C5B44"/>
    <w:rsid w:val="005C5BF3"/>
    <w:rsid w:val="005C5D25"/>
    <w:rsid w:val="005C5D38"/>
    <w:rsid w:val="005C5E4D"/>
    <w:rsid w:val="005C5E88"/>
    <w:rsid w:val="005C5F2C"/>
    <w:rsid w:val="005C615D"/>
    <w:rsid w:val="005C617E"/>
    <w:rsid w:val="005C6212"/>
    <w:rsid w:val="005C62A5"/>
    <w:rsid w:val="005C63CC"/>
    <w:rsid w:val="005C64B2"/>
    <w:rsid w:val="005C660E"/>
    <w:rsid w:val="005C6627"/>
    <w:rsid w:val="005C6640"/>
    <w:rsid w:val="005C676A"/>
    <w:rsid w:val="005C67A3"/>
    <w:rsid w:val="005C68FE"/>
    <w:rsid w:val="005C6A5F"/>
    <w:rsid w:val="005C6B5A"/>
    <w:rsid w:val="005C6DE6"/>
    <w:rsid w:val="005C6E80"/>
    <w:rsid w:val="005C6EDB"/>
    <w:rsid w:val="005C6EF1"/>
    <w:rsid w:val="005C6FF2"/>
    <w:rsid w:val="005C7104"/>
    <w:rsid w:val="005C71F3"/>
    <w:rsid w:val="005C725B"/>
    <w:rsid w:val="005C7273"/>
    <w:rsid w:val="005C75E2"/>
    <w:rsid w:val="005C76D6"/>
    <w:rsid w:val="005C77E7"/>
    <w:rsid w:val="005C7A73"/>
    <w:rsid w:val="005C7C0F"/>
    <w:rsid w:val="005C7C69"/>
    <w:rsid w:val="005C7C88"/>
    <w:rsid w:val="005C7DA4"/>
    <w:rsid w:val="005C7EDC"/>
    <w:rsid w:val="005C7F5B"/>
    <w:rsid w:val="005D0486"/>
    <w:rsid w:val="005D0539"/>
    <w:rsid w:val="005D05FA"/>
    <w:rsid w:val="005D0612"/>
    <w:rsid w:val="005D062D"/>
    <w:rsid w:val="005D065C"/>
    <w:rsid w:val="005D0793"/>
    <w:rsid w:val="005D0939"/>
    <w:rsid w:val="005D0B4C"/>
    <w:rsid w:val="005D0C9F"/>
    <w:rsid w:val="005D0CC9"/>
    <w:rsid w:val="005D0EB0"/>
    <w:rsid w:val="005D0F9C"/>
    <w:rsid w:val="005D1079"/>
    <w:rsid w:val="005D122A"/>
    <w:rsid w:val="005D152A"/>
    <w:rsid w:val="005D1679"/>
    <w:rsid w:val="005D16D7"/>
    <w:rsid w:val="005D1770"/>
    <w:rsid w:val="005D1888"/>
    <w:rsid w:val="005D18A3"/>
    <w:rsid w:val="005D1976"/>
    <w:rsid w:val="005D1A76"/>
    <w:rsid w:val="005D1D7B"/>
    <w:rsid w:val="005D1FA9"/>
    <w:rsid w:val="005D1FE3"/>
    <w:rsid w:val="005D2267"/>
    <w:rsid w:val="005D2322"/>
    <w:rsid w:val="005D23DC"/>
    <w:rsid w:val="005D274D"/>
    <w:rsid w:val="005D283B"/>
    <w:rsid w:val="005D293F"/>
    <w:rsid w:val="005D294C"/>
    <w:rsid w:val="005D2B46"/>
    <w:rsid w:val="005D2C9C"/>
    <w:rsid w:val="005D2E0F"/>
    <w:rsid w:val="005D2F5C"/>
    <w:rsid w:val="005D2F74"/>
    <w:rsid w:val="005D3067"/>
    <w:rsid w:val="005D307D"/>
    <w:rsid w:val="005D3100"/>
    <w:rsid w:val="005D317C"/>
    <w:rsid w:val="005D31D4"/>
    <w:rsid w:val="005D3307"/>
    <w:rsid w:val="005D3461"/>
    <w:rsid w:val="005D35DD"/>
    <w:rsid w:val="005D3660"/>
    <w:rsid w:val="005D368B"/>
    <w:rsid w:val="005D39DE"/>
    <w:rsid w:val="005D3AE9"/>
    <w:rsid w:val="005D3C01"/>
    <w:rsid w:val="005D3F64"/>
    <w:rsid w:val="005D3FB3"/>
    <w:rsid w:val="005D3FCC"/>
    <w:rsid w:val="005D4128"/>
    <w:rsid w:val="005D4395"/>
    <w:rsid w:val="005D444F"/>
    <w:rsid w:val="005D4659"/>
    <w:rsid w:val="005D46B0"/>
    <w:rsid w:val="005D4854"/>
    <w:rsid w:val="005D4A3E"/>
    <w:rsid w:val="005D4A77"/>
    <w:rsid w:val="005D4B1C"/>
    <w:rsid w:val="005D4CD0"/>
    <w:rsid w:val="005D4D9E"/>
    <w:rsid w:val="005D4E4B"/>
    <w:rsid w:val="005D4E52"/>
    <w:rsid w:val="005D4E71"/>
    <w:rsid w:val="005D4E73"/>
    <w:rsid w:val="005D4E93"/>
    <w:rsid w:val="005D4EF3"/>
    <w:rsid w:val="005D4FC7"/>
    <w:rsid w:val="005D4FF8"/>
    <w:rsid w:val="005D5161"/>
    <w:rsid w:val="005D51E1"/>
    <w:rsid w:val="005D54E0"/>
    <w:rsid w:val="005D57FC"/>
    <w:rsid w:val="005D5A37"/>
    <w:rsid w:val="005D5C53"/>
    <w:rsid w:val="005D5D87"/>
    <w:rsid w:val="005D5E59"/>
    <w:rsid w:val="005D5E95"/>
    <w:rsid w:val="005D6021"/>
    <w:rsid w:val="005D6134"/>
    <w:rsid w:val="005D6166"/>
    <w:rsid w:val="005D618A"/>
    <w:rsid w:val="005D624C"/>
    <w:rsid w:val="005D63B8"/>
    <w:rsid w:val="005D6665"/>
    <w:rsid w:val="005D6700"/>
    <w:rsid w:val="005D6856"/>
    <w:rsid w:val="005D6A41"/>
    <w:rsid w:val="005D6AB3"/>
    <w:rsid w:val="005D6B6E"/>
    <w:rsid w:val="005D6B7A"/>
    <w:rsid w:val="005D6C27"/>
    <w:rsid w:val="005D6D1E"/>
    <w:rsid w:val="005D6E76"/>
    <w:rsid w:val="005D6F5A"/>
    <w:rsid w:val="005D710F"/>
    <w:rsid w:val="005D7169"/>
    <w:rsid w:val="005D71CD"/>
    <w:rsid w:val="005D7207"/>
    <w:rsid w:val="005D72A8"/>
    <w:rsid w:val="005D7390"/>
    <w:rsid w:val="005D7574"/>
    <w:rsid w:val="005D76E9"/>
    <w:rsid w:val="005D79B3"/>
    <w:rsid w:val="005D7A51"/>
    <w:rsid w:val="005D7AA6"/>
    <w:rsid w:val="005D7B1D"/>
    <w:rsid w:val="005D7BB4"/>
    <w:rsid w:val="005D7BEC"/>
    <w:rsid w:val="005D7CAF"/>
    <w:rsid w:val="005D7CEE"/>
    <w:rsid w:val="005D7DD8"/>
    <w:rsid w:val="005D7E1A"/>
    <w:rsid w:val="005D7E32"/>
    <w:rsid w:val="005D7FBA"/>
    <w:rsid w:val="005E0038"/>
    <w:rsid w:val="005E00E1"/>
    <w:rsid w:val="005E013D"/>
    <w:rsid w:val="005E0387"/>
    <w:rsid w:val="005E050E"/>
    <w:rsid w:val="005E065B"/>
    <w:rsid w:val="005E06A7"/>
    <w:rsid w:val="005E088B"/>
    <w:rsid w:val="005E0A35"/>
    <w:rsid w:val="005E0B1A"/>
    <w:rsid w:val="005E0B5D"/>
    <w:rsid w:val="005E0D64"/>
    <w:rsid w:val="005E1159"/>
    <w:rsid w:val="005E11F0"/>
    <w:rsid w:val="005E15C6"/>
    <w:rsid w:val="005E1686"/>
    <w:rsid w:val="005E192D"/>
    <w:rsid w:val="005E1AC2"/>
    <w:rsid w:val="005E1B48"/>
    <w:rsid w:val="005E1BFC"/>
    <w:rsid w:val="005E1C62"/>
    <w:rsid w:val="005E1C8C"/>
    <w:rsid w:val="005E1D69"/>
    <w:rsid w:val="005E1D6C"/>
    <w:rsid w:val="005E1D97"/>
    <w:rsid w:val="005E1E2E"/>
    <w:rsid w:val="005E1F57"/>
    <w:rsid w:val="005E2549"/>
    <w:rsid w:val="005E258E"/>
    <w:rsid w:val="005E2635"/>
    <w:rsid w:val="005E2771"/>
    <w:rsid w:val="005E27D5"/>
    <w:rsid w:val="005E29A5"/>
    <w:rsid w:val="005E2BA1"/>
    <w:rsid w:val="005E2EA7"/>
    <w:rsid w:val="005E3112"/>
    <w:rsid w:val="005E31FB"/>
    <w:rsid w:val="005E3235"/>
    <w:rsid w:val="005E32CB"/>
    <w:rsid w:val="005E32F1"/>
    <w:rsid w:val="005E3349"/>
    <w:rsid w:val="005E33E9"/>
    <w:rsid w:val="005E3422"/>
    <w:rsid w:val="005E34BB"/>
    <w:rsid w:val="005E34DF"/>
    <w:rsid w:val="005E34E7"/>
    <w:rsid w:val="005E3568"/>
    <w:rsid w:val="005E3584"/>
    <w:rsid w:val="005E3682"/>
    <w:rsid w:val="005E36E3"/>
    <w:rsid w:val="005E37F2"/>
    <w:rsid w:val="005E38F1"/>
    <w:rsid w:val="005E394D"/>
    <w:rsid w:val="005E3AB2"/>
    <w:rsid w:val="005E3B2A"/>
    <w:rsid w:val="005E3BA6"/>
    <w:rsid w:val="005E3ED1"/>
    <w:rsid w:val="005E3F0B"/>
    <w:rsid w:val="005E40C1"/>
    <w:rsid w:val="005E426E"/>
    <w:rsid w:val="005E42B8"/>
    <w:rsid w:val="005E4416"/>
    <w:rsid w:val="005E4649"/>
    <w:rsid w:val="005E4B26"/>
    <w:rsid w:val="005E4DEE"/>
    <w:rsid w:val="005E4F13"/>
    <w:rsid w:val="005E4FE5"/>
    <w:rsid w:val="005E5003"/>
    <w:rsid w:val="005E51D3"/>
    <w:rsid w:val="005E522E"/>
    <w:rsid w:val="005E527B"/>
    <w:rsid w:val="005E5327"/>
    <w:rsid w:val="005E5336"/>
    <w:rsid w:val="005E5378"/>
    <w:rsid w:val="005E537C"/>
    <w:rsid w:val="005E54E4"/>
    <w:rsid w:val="005E54EE"/>
    <w:rsid w:val="005E5651"/>
    <w:rsid w:val="005E57C1"/>
    <w:rsid w:val="005E591D"/>
    <w:rsid w:val="005E596D"/>
    <w:rsid w:val="005E5A8C"/>
    <w:rsid w:val="005E5B84"/>
    <w:rsid w:val="005E5BE4"/>
    <w:rsid w:val="005E5C2A"/>
    <w:rsid w:val="005E5CAC"/>
    <w:rsid w:val="005E5D95"/>
    <w:rsid w:val="005E5E73"/>
    <w:rsid w:val="005E5F4E"/>
    <w:rsid w:val="005E6098"/>
    <w:rsid w:val="005E6364"/>
    <w:rsid w:val="005E660C"/>
    <w:rsid w:val="005E664E"/>
    <w:rsid w:val="005E666D"/>
    <w:rsid w:val="005E67A1"/>
    <w:rsid w:val="005E67AA"/>
    <w:rsid w:val="005E69ED"/>
    <w:rsid w:val="005E6A10"/>
    <w:rsid w:val="005E6A25"/>
    <w:rsid w:val="005E6B97"/>
    <w:rsid w:val="005E6BA1"/>
    <w:rsid w:val="005E6CC0"/>
    <w:rsid w:val="005E7032"/>
    <w:rsid w:val="005E7102"/>
    <w:rsid w:val="005E716F"/>
    <w:rsid w:val="005E71B5"/>
    <w:rsid w:val="005E7429"/>
    <w:rsid w:val="005E750E"/>
    <w:rsid w:val="005E75D2"/>
    <w:rsid w:val="005E75D3"/>
    <w:rsid w:val="005E7677"/>
    <w:rsid w:val="005E76B4"/>
    <w:rsid w:val="005E76EB"/>
    <w:rsid w:val="005E77EF"/>
    <w:rsid w:val="005E797E"/>
    <w:rsid w:val="005E7AAD"/>
    <w:rsid w:val="005E7BA5"/>
    <w:rsid w:val="005E7DEC"/>
    <w:rsid w:val="005E7EE2"/>
    <w:rsid w:val="005F003B"/>
    <w:rsid w:val="005F00CF"/>
    <w:rsid w:val="005F010E"/>
    <w:rsid w:val="005F03DF"/>
    <w:rsid w:val="005F0445"/>
    <w:rsid w:val="005F0649"/>
    <w:rsid w:val="005F07B7"/>
    <w:rsid w:val="005F0821"/>
    <w:rsid w:val="005F0996"/>
    <w:rsid w:val="005F0CAF"/>
    <w:rsid w:val="005F0CE3"/>
    <w:rsid w:val="005F0E01"/>
    <w:rsid w:val="005F0E74"/>
    <w:rsid w:val="005F0EE2"/>
    <w:rsid w:val="005F1098"/>
    <w:rsid w:val="005F1191"/>
    <w:rsid w:val="005F13A9"/>
    <w:rsid w:val="005F1657"/>
    <w:rsid w:val="005F176B"/>
    <w:rsid w:val="005F17A2"/>
    <w:rsid w:val="005F1843"/>
    <w:rsid w:val="005F1899"/>
    <w:rsid w:val="005F1902"/>
    <w:rsid w:val="005F1924"/>
    <w:rsid w:val="005F1952"/>
    <w:rsid w:val="005F19BF"/>
    <w:rsid w:val="005F19C1"/>
    <w:rsid w:val="005F1AE0"/>
    <w:rsid w:val="005F1BE4"/>
    <w:rsid w:val="005F1C7A"/>
    <w:rsid w:val="005F1CC0"/>
    <w:rsid w:val="005F1D82"/>
    <w:rsid w:val="005F1F0A"/>
    <w:rsid w:val="005F1F2F"/>
    <w:rsid w:val="005F2032"/>
    <w:rsid w:val="005F221A"/>
    <w:rsid w:val="005F23E9"/>
    <w:rsid w:val="005F24BB"/>
    <w:rsid w:val="005F2597"/>
    <w:rsid w:val="005F27C8"/>
    <w:rsid w:val="005F298C"/>
    <w:rsid w:val="005F2C2A"/>
    <w:rsid w:val="005F2C39"/>
    <w:rsid w:val="005F2CE3"/>
    <w:rsid w:val="005F2DB7"/>
    <w:rsid w:val="005F2DC0"/>
    <w:rsid w:val="005F2F07"/>
    <w:rsid w:val="005F2FD5"/>
    <w:rsid w:val="005F3087"/>
    <w:rsid w:val="005F30A2"/>
    <w:rsid w:val="005F3202"/>
    <w:rsid w:val="005F326D"/>
    <w:rsid w:val="005F3909"/>
    <w:rsid w:val="005F3968"/>
    <w:rsid w:val="005F3B9E"/>
    <w:rsid w:val="005F3CDE"/>
    <w:rsid w:val="005F4135"/>
    <w:rsid w:val="005F41F9"/>
    <w:rsid w:val="005F4338"/>
    <w:rsid w:val="005F43F1"/>
    <w:rsid w:val="005F4498"/>
    <w:rsid w:val="005F44AE"/>
    <w:rsid w:val="005F451C"/>
    <w:rsid w:val="005F4916"/>
    <w:rsid w:val="005F4CDE"/>
    <w:rsid w:val="005F4F32"/>
    <w:rsid w:val="005F4F49"/>
    <w:rsid w:val="005F5037"/>
    <w:rsid w:val="005F519C"/>
    <w:rsid w:val="005F555A"/>
    <w:rsid w:val="005F572C"/>
    <w:rsid w:val="005F5B07"/>
    <w:rsid w:val="005F5E90"/>
    <w:rsid w:val="005F5FC8"/>
    <w:rsid w:val="005F604B"/>
    <w:rsid w:val="005F60AD"/>
    <w:rsid w:val="005F610A"/>
    <w:rsid w:val="005F6214"/>
    <w:rsid w:val="005F64C5"/>
    <w:rsid w:val="005F6631"/>
    <w:rsid w:val="005F66E3"/>
    <w:rsid w:val="005F67B0"/>
    <w:rsid w:val="005F686D"/>
    <w:rsid w:val="005F68ED"/>
    <w:rsid w:val="005F6945"/>
    <w:rsid w:val="005F6A09"/>
    <w:rsid w:val="005F6B4D"/>
    <w:rsid w:val="005F6B72"/>
    <w:rsid w:val="005F6EB1"/>
    <w:rsid w:val="005F6EFF"/>
    <w:rsid w:val="005F6FEB"/>
    <w:rsid w:val="005F700E"/>
    <w:rsid w:val="005F70CE"/>
    <w:rsid w:val="005F7105"/>
    <w:rsid w:val="005F71AF"/>
    <w:rsid w:val="005F71DB"/>
    <w:rsid w:val="005F7356"/>
    <w:rsid w:val="005F737B"/>
    <w:rsid w:val="005F773E"/>
    <w:rsid w:val="005F776F"/>
    <w:rsid w:val="005F78B5"/>
    <w:rsid w:val="005F792E"/>
    <w:rsid w:val="005F7954"/>
    <w:rsid w:val="005F7A6F"/>
    <w:rsid w:val="005F7C81"/>
    <w:rsid w:val="005F7CB1"/>
    <w:rsid w:val="005F7D4B"/>
    <w:rsid w:val="005F7D4D"/>
    <w:rsid w:val="005F7DA1"/>
    <w:rsid w:val="005F7DC2"/>
    <w:rsid w:val="005F7E02"/>
    <w:rsid w:val="005F7FBB"/>
    <w:rsid w:val="006000ED"/>
    <w:rsid w:val="006001C3"/>
    <w:rsid w:val="00600214"/>
    <w:rsid w:val="006002FC"/>
    <w:rsid w:val="00600312"/>
    <w:rsid w:val="00600414"/>
    <w:rsid w:val="0060078B"/>
    <w:rsid w:val="00600800"/>
    <w:rsid w:val="0060099D"/>
    <w:rsid w:val="00600AB9"/>
    <w:rsid w:val="00600AE1"/>
    <w:rsid w:val="00600B29"/>
    <w:rsid w:val="00600CCD"/>
    <w:rsid w:val="00600D55"/>
    <w:rsid w:val="00600E53"/>
    <w:rsid w:val="00600E6E"/>
    <w:rsid w:val="00600EC1"/>
    <w:rsid w:val="0060139E"/>
    <w:rsid w:val="00601536"/>
    <w:rsid w:val="006016A6"/>
    <w:rsid w:val="00601914"/>
    <w:rsid w:val="00601A25"/>
    <w:rsid w:val="00601D48"/>
    <w:rsid w:val="00601DE7"/>
    <w:rsid w:val="00601E19"/>
    <w:rsid w:val="00601E22"/>
    <w:rsid w:val="00601F41"/>
    <w:rsid w:val="00602140"/>
    <w:rsid w:val="0060239E"/>
    <w:rsid w:val="00602452"/>
    <w:rsid w:val="0060270A"/>
    <w:rsid w:val="00602828"/>
    <w:rsid w:val="0060285F"/>
    <w:rsid w:val="006029A7"/>
    <w:rsid w:val="00602A1F"/>
    <w:rsid w:val="00602A34"/>
    <w:rsid w:val="00602CCC"/>
    <w:rsid w:val="00602CDA"/>
    <w:rsid w:val="00602D0A"/>
    <w:rsid w:val="00602E88"/>
    <w:rsid w:val="00602FD6"/>
    <w:rsid w:val="00603029"/>
    <w:rsid w:val="00603178"/>
    <w:rsid w:val="0060323B"/>
    <w:rsid w:val="00603276"/>
    <w:rsid w:val="006032F9"/>
    <w:rsid w:val="00603363"/>
    <w:rsid w:val="00603442"/>
    <w:rsid w:val="00603595"/>
    <w:rsid w:val="006035B5"/>
    <w:rsid w:val="00603670"/>
    <w:rsid w:val="0060376E"/>
    <w:rsid w:val="0060397A"/>
    <w:rsid w:val="006039AC"/>
    <w:rsid w:val="00603A3E"/>
    <w:rsid w:val="00603A53"/>
    <w:rsid w:val="00603C7B"/>
    <w:rsid w:val="00603D6B"/>
    <w:rsid w:val="00603FA2"/>
    <w:rsid w:val="00603FC6"/>
    <w:rsid w:val="00604090"/>
    <w:rsid w:val="00604165"/>
    <w:rsid w:val="00604363"/>
    <w:rsid w:val="0060437E"/>
    <w:rsid w:val="0060445D"/>
    <w:rsid w:val="006044F5"/>
    <w:rsid w:val="00604555"/>
    <w:rsid w:val="006046BF"/>
    <w:rsid w:val="0060493B"/>
    <w:rsid w:val="00604A18"/>
    <w:rsid w:val="00604A4F"/>
    <w:rsid w:val="00604C72"/>
    <w:rsid w:val="00604CEA"/>
    <w:rsid w:val="00604E8F"/>
    <w:rsid w:val="00604FB8"/>
    <w:rsid w:val="00604FBA"/>
    <w:rsid w:val="0060501C"/>
    <w:rsid w:val="00605080"/>
    <w:rsid w:val="0060516D"/>
    <w:rsid w:val="00605206"/>
    <w:rsid w:val="006053B6"/>
    <w:rsid w:val="0060558D"/>
    <w:rsid w:val="006056DF"/>
    <w:rsid w:val="0060571F"/>
    <w:rsid w:val="00605795"/>
    <w:rsid w:val="006057B8"/>
    <w:rsid w:val="006057F6"/>
    <w:rsid w:val="0060586B"/>
    <w:rsid w:val="00605982"/>
    <w:rsid w:val="00605A8C"/>
    <w:rsid w:val="00605C99"/>
    <w:rsid w:val="00605E12"/>
    <w:rsid w:val="00606053"/>
    <w:rsid w:val="006061A9"/>
    <w:rsid w:val="00606264"/>
    <w:rsid w:val="006062BD"/>
    <w:rsid w:val="00606500"/>
    <w:rsid w:val="006066C5"/>
    <w:rsid w:val="00606760"/>
    <w:rsid w:val="006067FA"/>
    <w:rsid w:val="006068AE"/>
    <w:rsid w:val="006068D8"/>
    <w:rsid w:val="00606B24"/>
    <w:rsid w:val="00606E3F"/>
    <w:rsid w:val="006071A0"/>
    <w:rsid w:val="006074F3"/>
    <w:rsid w:val="006076A9"/>
    <w:rsid w:val="0060779A"/>
    <w:rsid w:val="006078BC"/>
    <w:rsid w:val="0060790F"/>
    <w:rsid w:val="00607B3E"/>
    <w:rsid w:val="00607B78"/>
    <w:rsid w:val="00607CDA"/>
    <w:rsid w:val="00607D81"/>
    <w:rsid w:val="00607D94"/>
    <w:rsid w:val="00607E80"/>
    <w:rsid w:val="00607EB5"/>
    <w:rsid w:val="0061007D"/>
    <w:rsid w:val="00610174"/>
    <w:rsid w:val="00610192"/>
    <w:rsid w:val="006101D7"/>
    <w:rsid w:val="006102EC"/>
    <w:rsid w:val="0061036F"/>
    <w:rsid w:val="00610681"/>
    <w:rsid w:val="00610991"/>
    <w:rsid w:val="006109B4"/>
    <w:rsid w:val="00610BB9"/>
    <w:rsid w:val="00610CBB"/>
    <w:rsid w:val="00611158"/>
    <w:rsid w:val="006111DB"/>
    <w:rsid w:val="0061121D"/>
    <w:rsid w:val="00611247"/>
    <w:rsid w:val="0061124D"/>
    <w:rsid w:val="00611404"/>
    <w:rsid w:val="00611665"/>
    <w:rsid w:val="00611757"/>
    <w:rsid w:val="0061183E"/>
    <w:rsid w:val="00611A94"/>
    <w:rsid w:val="00612027"/>
    <w:rsid w:val="00612146"/>
    <w:rsid w:val="00612147"/>
    <w:rsid w:val="006121BD"/>
    <w:rsid w:val="006122A8"/>
    <w:rsid w:val="00612611"/>
    <w:rsid w:val="0061268B"/>
    <w:rsid w:val="006127C0"/>
    <w:rsid w:val="006128E0"/>
    <w:rsid w:val="00612916"/>
    <w:rsid w:val="00612998"/>
    <w:rsid w:val="00612A30"/>
    <w:rsid w:val="00612B7E"/>
    <w:rsid w:val="00612CA7"/>
    <w:rsid w:val="00613044"/>
    <w:rsid w:val="00613062"/>
    <w:rsid w:val="00613148"/>
    <w:rsid w:val="00613222"/>
    <w:rsid w:val="006134B3"/>
    <w:rsid w:val="006137BA"/>
    <w:rsid w:val="0061382F"/>
    <w:rsid w:val="00613A0B"/>
    <w:rsid w:val="00613A56"/>
    <w:rsid w:val="00613DF9"/>
    <w:rsid w:val="00613E06"/>
    <w:rsid w:val="00614068"/>
    <w:rsid w:val="006140CE"/>
    <w:rsid w:val="00614151"/>
    <w:rsid w:val="00614236"/>
    <w:rsid w:val="00614311"/>
    <w:rsid w:val="006144BF"/>
    <w:rsid w:val="006144E4"/>
    <w:rsid w:val="00614533"/>
    <w:rsid w:val="00614622"/>
    <w:rsid w:val="0061479D"/>
    <w:rsid w:val="00614882"/>
    <w:rsid w:val="0061492D"/>
    <w:rsid w:val="006149A4"/>
    <w:rsid w:val="00614A01"/>
    <w:rsid w:val="00614B22"/>
    <w:rsid w:val="00614D57"/>
    <w:rsid w:val="00614EDD"/>
    <w:rsid w:val="00614FDA"/>
    <w:rsid w:val="0061513D"/>
    <w:rsid w:val="006152C5"/>
    <w:rsid w:val="006153C1"/>
    <w:rsid w:val="006156A0"/>
    <w:rsid w:val="00615740"/>
    <w:rsid w:val="00615AC5"/>
    <w:rsid w:val="00615AE6"/>
    <w:rsid w:val="00615BE5"/>
    <w:rsid w:val="00615FC4"/>
    <w:rsid w:val="0061615F"/>
    <w:rsid w:val="00616416"/>
    <w:rsid w:val="006165E3"/>
    <w:rsid w:val="006166EB"/>
    <w:rsid w:val="0061673D"/>
    <w:rsid w:val="006167D3"/>
    <w:rsid w:val="0061694E"/>
    <w:rsid w:val="00616C30"/>
    <w:rsid w:val="00616D16"/>
    <w:rsid w:val="0061710E"/>
    <w:rsid w:val="00617195"/>
    <w:rsid w:val="00617217"/>
    <w:rsid w:val="00617272"/>
    <w:rsid w:val="00617498"/>
    <w:rsid w:val="00617524"/>
    <w:rsid w:val="00617853"/>
    <w:rsid w:val="006178BC"/>
    <w:rsid w:val="00617A6B"/>
    <w:rsid w:val="00617F72"/>
    <w:rsid w:val="00617FAC"/>
    <w:rsid w:val="0062015C"/>
    <w:rsid w:val="00620180"/>
    <w:rsid w:val="006201DB"/>
    <w:rsid w:val="006201E8"/>
    <w:rsid w:val="00620587"/>
    <w:rsid w:val="00620625"/>
    <w:rsid w:val="006206E8"/>
    <w:rsid w:val="00620C37"/>
    <w:rsid w:val="00620C66"/>
    <w:rsid w:val="00620C8B"/>
    <w:rsid w:val="00620CF9"/>
    <w:rsid w:val="00620DF6"/>
    <w:rsid w:val="00620DFE"/>
    <w:rsid w:val="00620EDA"/>
    <w:rsid w:val="00621074"/>
    <w:rsid w:val="00621191"/>
    <w:rsid w:val="0062144E"/>
    <w:rsid w:val="00621473"/>
    <w:rsid w:val="006214BD"/>
    <w:rsid w:val="0062152A"/>
    <w:rsid w:val="006215D2"/>
    <w:rsid w:val="00621719"/>
    <w:rsid w:val="006217C4"/>
    <w:rsid w:val="006217D4"/>
    <w:rsid w:val="006218E6"/>
    <w:rsid w:val="0062198D"/>
    <w:rsid w:val="00621995"/>
    <w:rsid w:val="00621B87"/>
    <w:rsid w:val="00621C6C"/>
    <w:rsid w:val="00621CAA"/>
    <w:rsid w:val="00621CD0"/>
    <w:rsid w:val="00621EBD"/>
    <w:rsid w:val="00621ED9"/>
    <w:rsid w:val="00621F85"/>
    <w:rsid w:val="006220BA"/>
    <w:rsid w:val="00622173"/>
    <w:rsid w:val="00622185"/>
    <w:rsid w:val="00622369"/>
    <w:rsid w:val="006223D4"/>
    <w:rsid w:val="0062265A"/>
    <w:rsid w:val="0062284E"/>
    <w:rsid w:val="00622BD3"/>
    <w:rsid w:val="00622C05"/>
    <w:rsid w:val="00622C72"/>
    <w:rsid w:val="00622C92"/>
    <w:rsid w:val="00622D79"/>
    <w:rsid w:val="00622E5C"/>
    <w:rsid w:val="0062314A"/>
    <w:rsid w:val="006232BA"/>
    <w:rsid w:val="006233CC"/>
    <w:rsid w:val="00623442"/>
    <w:rsid w:val="00623620"/>
    <w:rsid w:val="006236E5"/>
    <w:rsid w:val="006236EB"/>
    <w:rsid w:val="00623839"/>
    <w:rsid w:val="0062392E"/>
    <w:rsid w:val="006239C6"/>
    <w:rsid w:val="00623A1C"/>
    <w:rsid w:val="00623D06"/>
    <w:rsid w:val="00623DB9"/>
    <w:rsid w:val="00623E9E"/>
    <w:rsid w:val="00623ED5"/>
    <w:rsid w:val="00623EF6"/>
    <w:rsid w:val="00623F30"/>
    <w:rsid w:val="00623F82"/>
    <w:rsid w:val="00623FD3"/>
    <w:rsid w:val="00624146"/>
    <w:rsid w:val="006241B9"/>
    <w:rsid w:val="00624244"/>
    <w:rsid w:val="00624396"/>
    <w:rsid w:val="00624586"/>
    <w:rsid w:val="0062477B"/>
    <w:rsid w:val="0062485E"/>
    <w:rsid w:val="0062486A"/>
    <w:rsid w:val="0062495C"/>
    <w:rsid w:val="00624BB4"/>
    <w:rsid w:val="00624BE5"/>
    <w:rsid w:val="00624C8D"/>
    <w:rsid w:val="00624EB3"/>
    <w:rsid w:val="00625042"/>
    <w:rsid w:val="0062507D"/>
    <w:rsid w:val="006250E2"/>
    <w:rsid w:val="00625172"/>
    <w:rsid w:val="006251D6"/>
    <w:rsid w:val="006255B3"/>
    <w:rsid w:val="00625719"/>
    <w:rsid w:val="00625739"/>
    <w:rsid w:val="00625781"/>
    <w:rsid w:val="006257FB"/>
    <w:rsid w:val="00625C4F"/>
    <w:rsid w:val="00625D77"/>
    <w:rsid w:val="00625E56"/>
    <w:rsid w:val="00625F9B"/>
    <w:rsid w:val="00625FDF"/>
    <w:rsid w:val="006260D4"/>
    <w:rsid w:val="00626268"/>
    <w:rsid w:val="006263C6"/>
    <w:rsid w:val="006263C7"/>
    <w:rsid w:val="0062644A"/>
    <w:rsid w:val="00626496"/>
    <w:rsid w:val="006264DF"/>
    <w:rsid w:val="00626578"/>
    <w:rsid w:val="00626A37"/>
    <w:rsid w:val="00626A89"/>
    <w:rsid w:val="00626B83"/>
    <w:rsid w:val="00626C33"/>
    <w:rsid w:val="00626C4E"/>
    <w:rsid w:val="00626E47"/>
    <w:rsid w:val="00626EC6"/>
    <w:rsid w:val="00626F64"/>
    <w:rsid w:val="0062702A"/>
    <w:rsid w:val="00627399"/>
    <w:rsid w:val="006273C0"/>
    <w:rsid w:val="006274A4"/>
    <w:rsid w:val="00627599"/>
    <w:rsid w:val="006279A9"/>
    <w:rsid w:val="00627E18"/>
    <w:rsid w:val="00627ECF"/>
    <w:rsid w:val="00630080"/>
    <w:rsid w:val="0063017E"/>
    <w:rsid w:val="006301F5"/>
    <w:rsid w:val="0063043B"/>
    <w:rsid w:val="0063045F"/>
    <w:rsid w:val="006307FD"/>
    <w:rsid w:val="006308BB"/>
    <w:rsid w:val="00630B9F"/>
    <w:rsid w:val="00630D44"/>
    <w:rsid w:val="00630D4E"/>
    <w:rsid w:val="00630DD5"/>
    <w:rsid w:val="00630F58"/>
    <w:rsid w:val="006311CC"/>
    <w:rsid w:val="0063131D"/>
    <w:rsid w:val="00631522"/>
    <w:rsid w:val="00631545"/>
    <w:rsid w:val="00631595"/>
    <w:rsid w:val="0063164E"/>
    <w:rsid w:val="006316C0"/>
    <w:rsid w:val="0063172D"/>
    <w:rsid w:val="00631796"/>
    <w:rsid w:val="00631856"/>
    <w:rsid w:val="0063185D"/>
    <w:rsid w:val="00631AF9"/>
    <w:rsid w:val="00631C55"/>
    <w:rsid w:val="00631C74"/>
    <w:rsid w:val="00631D36"/>
    <w:rsid w:val="00631D99"/>
    <w:rsid w:val="00631DA9"/>
    <w:rsid w:val="006320B2"/>
    <w:rsid w:val="006320F7"/>
    <w:rsid w:val="00632117"/>
    <w:rsid w:val="00632148"/>
    <w:rsid w:val="00632228"/>
    <w:rsid w:val="006322FD"/>
    <w:rsid w:val="00632407"/>
    <w:rsid w:val="0063279F"/>
    <w:rsid w:val="0063284E"/>
    <w:rsid w:val="00632910"/>
    <w:rsid w:val="00632BF1"/>
    <w:rsid w:val="00632E42"/>
    <w:rsid w:val="00632E69"/>
    <w:rsid w:val="00632E93"/>
    <w:rsid w:val="00632F23"/>
    <w:rsid w:val="00632F2E"/>
    <w:rsid w:val="00633043"/>
    <w:rsid w:val="0063307A"/>
    <w:rsid w:val="006331EF"/>
    <w:rsid w:val="00633320"/>
    <w:rsid w:val="00633631"/>
    <w:rsid w:val="006336D5"/>
    <w:rsid w:val="0063392B"/>
    <w:rsid w:val="00633A76"/>
    <w:rsid w:val="00633A9D"/>
    <w:rsid w:val="00633E1B"/>
    <w:rsid w:val="00633FE1"/>
    <w:rsid w:val="0063400C"/>
    <w:rsid w:val="00634024"/>
    <w:rsid w:val="00634139"/>
    <w:rsid w:val="00634230"/>
    <w:rsid w:val="006344D5"/>
    <w:rsid w:val="00634632"/>
    <w:rsid w:val="00634827"/>
    <w:rsid w:val="006349DB"/>
    <w:rsid w:val="00634A16"/>
    <w:rsid w:val="00634A2B"/>
    <w:rsid w:val="00634A8D"/>
    <w:rsid w:val="00634ADF"/>
    <w:rsid w:val="00634AEA"/>
    <w:rsid w:val="00634BB4"/>
    <w:rsid w:val="00634C34"/>
    <w:rsid w:val="00634CC9"/>
    <w:rsid w:val="00634DFE"/>
    <w:rsid w:val="00634E3C"/>
    <w:rsid w:val="00634F86"/>
    <w:rsid w:val="0063512B"/>
    <w:rsid w:val="006351D7"/>
    <w:rsid w:val="006351F0"/>
    <w:rsid w:val="00635287"/>
    <w:rsid w:val="006352B8"/>
    <w:rsid w:val="006353A9"/>
    <w:rsid w:val="00635409"/>
    <w:rsid w:val="006356F3"/>
    <w:rsid w:val="00635712"/>
    <w:rsid w:val="00635821"/>
    <w:rsid w:val="006358AA"/>
    <w:rsid w:val="006358B3"/>
    <w:rsid w:val="006358EC"/>
    <w:rsid w:val="006359B0"/>
    <w:rsid w:val="00635BF6"/>
    <w:rsid w:val="00635CD5"/>
    <w:rsid w:val="00635D32"/>
    <w:rsid w:val="00635E70"/>
    <w:rsid w:val="00635EC6"/>
    <w:rsid w:val="00635F23"/>
    <w:rsid w:val="006361CD"/>
    <w:rsid w:val="006362CF"/>
    <w:rsid w:val="006363AD"/>
    <w:rsid w:val="00636542"/>
    <w:rsid w:val="006366D9"/>
    <w:rsid w:val="006367BD"/>
    <w:rsid w:val="0063686A"/>
    <w:rsid w:val="00636974"/>
    <w:rsid w:val="006369F3"/>
    <w:rsid w:val="00636AD1"/>
    <w:rsid w:val="00636B2E"/>
    <w:rsid w:val="00636B9D"/>
    <w:rsid w:val="00636BBC"/>
    <w:rsid w:val="00636D79"/>
    <w:rsid w:val="0063702E"/>
    <w:rsid w:val="006371BD"/>
    <w:rsid w:val="0063723B"/>
    <w:rsid w:val="006372F5"/>
    <w:rsid w:val="00637338"/>
    <w:rsid w:val="00637456"/>
    <w:rsid w:val="006376E6"/>
    <w:rsid w:val="0063776B"/>
    <w:rsid w:val="00637787"/>
    <w:rsid w:val="00637BA6"/>
    <w:rsid w:val="00637BBE"/>
    <w:rsid w:val="00637D80"/>
    <w:rsid w:val="00637FF2"/>
    <w:rsid w:val="006400CE"/>
    <w:rsid w:val="00640131"/>
    <w:rsid w:val="0064013F"/>
    <w:rsid w:val="00640176"/>
    <w:rsid w:val="00640331"/>
    <w:rsid w:val="0064036F"/>
    <w:rsid w:val="006403BA"/>
    <w:rsid w:val="006408BB"/>
    <w:rsid w:val="006408FB"/>
    <w:rsid w:val="00640931"/>
    <w:rsid w:val="00640954"/>
    <w:rsid w:val="00640AA6"/>
    <w:rsid w:val="00640AD3"/>
    <w:rsid w:val="00640AE9"/>
    <w:rsid w:val="00640F78"/>
    <w:rsid w:val="00640F89"/>
    <w:rsid w:val="0064105F"/>
    <w:rsid w:val="006411C0"/>
    <w:rsid w:val="006411D1"/>
    <w:rsid w:val="006411D6"/>
    <w:rsid w:val="006412DC"/>
    <w:rsid w:val="00641369"/>
    <w:rsid w:val="006413A7"/>
    <w:rsid w:val="006414EF"/>
    <w:rsid w:val="0064154B"/>
    <w:rsid w:val="00641569"/>
    <w:rsid w:val="00641644"/>
    <w:rsid w:val="00641679"/>
    <w:rsid w:val="006416E2"/>
    <w:rsid w:val="006416EE"/>
    <w:rsid w:val="006417E9"/>
    <w:rsid w:val="0064184B"/>
    <w:rsid w:val="006418C4"/>
    <w:rsid w:val="00641906"/>
    <w:rsid w:val="006419C4"/>
    <w:rsid w:val="00641ADF"/>
    <w:rsid w:val="00641AF7"/>
    <w:rsid w:val="00641B9C"/>
    <w:rsid w:val="00641C40"/>
    <w:rsid w:val="00641CEA"/>
    <w:rsid w:val="00641F51"/>
    <w:rsid w:val="00642255"/>
    <w:rsid w:val="0064239F"/>
    <w:rsid w:val="00642654"/>
    <w:rsid w:val="006427CC"/>
    <w:rsid w:val="00642A16"/>
    <w:rsid w:val="00642BF2"/>
    <w:rsid w:val="00643158"/>
    <w:rsid w:val="006431FE"/>
    <w:rsid w:val="00643208"/>
    <w:rsid w:val="006433D9"/>
    <w:rsid w:val="00643547"/>
    <w:rsid w:val="00643660"/>
    <w:rsid w:val="006436D2"/>
    <w:rsid w:val="0064374F"/>
    <w:rsid w:val="006437AF"/>
    <w:rsid w:val="00643875"/>
    <w:rsid w:val="00643B82"/>
    <w:rsid w:val="00643CE9"/>
    <w:rsid w:val="00643E64"/>
    <w:rsid w:val="00643EAD"/>
    <w:rsid w:val="00643ECE"/>
    <w:rsid w:val="00643F5C"/>
    <w:rsid w:val="006442AF"/>
    <w:rsid w:val="00644457"/>
    <w:rsid w:val="0064447D"/>
    <w:rsid w:val="00644857"/>
    <w:rsid w:val="006448DE"/>
    <w:rsid w:val="0064491F"/>
    <w:rsid w:val="00644A4E"/>
    <w:rsid w:val="00644A7B"/>
    <w:rsid w:val="00644AC0"/>
    <w:rsid w:val="00644AFF"/>
    <w:rsid w:val="00644B11"/>
    <w:rsid w:val="00644B59"/>
    <w:rsid w:val="00644B6A"/>
    <w:rsid w:val="00644C64"/>
    <w:rsid w:val="00644DD2"/>
    <w:rsid w:val="00644ED7"/>
    <w:rsid w:val="00644F51"/>
    <w:rsid w:val="00644FD4"/>
    <w:rsid w:val="0064502A"/>
    <w:rsid w:val="006453A7"/>
    <w:rsid w:val="00645573"/>
    <w:rsid w:val="006455A9"/>
    <w:rsid w:val="006455DB"/>
    <w:rsid w:val="00645667"/>
    <w:rsid w:val="00645736"/>
    <w:rsid w:val="006457B3"/>
    <w:rsid w:val="006457DD"/>
    <w:rsid w:val="0064586B"/>
    <w:rsid w:val="006458FE"/>
    <w:rsid w:val="00645A75"/>
    <w:rsid w:val="00645ACC"/>
    <w:rsid w:val="00645B6E"/>
    <w:rsid w:val="00645D78"/>
    <w:rsid w:val="00645FCE"/>
    <w:rsid w:val="00645FFA"/>
    <w:rsid w:val="0064606F"/>
    <w:rsid w:val="00646195"/>
    <w:rsid w:val="006462A0"/>
    <w:rsid w:val="006462D3"/>
    <w:rsid w:val="00646385"/>
    <w:rsid w:val="00646714"/>
    <w:rsid w:val="006467DE"/>
    <w:rsid w:val="006467F2"/>
    <w:rsid w:val="006468F9"/>
    <w:rsid w:val="00646ABC"/>
    <w:rsid w:val="00646B7A"/>
    <w:rsid w:val="00646C07"/>
    <w:rsid w:val="00646C0E"/>
    <w:rsid w:val="00646C43"/>
    <w:rsid w:val="00646E71"/>
    <w:rsid w:val="00646F16"/>
    <w:rsid w:val="00646F49"/>
    <w:rsid w:val="006470A7"/>
    <w:rsid w:val="00647140"/>
    <w:rsid w:val="0064719C"/>
    <w:rsid w:val="006471AE"/>
    <w:rsid w:val="006471BF"/>
    <w:rsid w:val="00647442"/>
    <w:rsid w:val="006474BE"/>
    <w:rsid w:val="006474E7"/>
    <w:rsid w:val="0064751B"/>
    <w:rsid w:val="00647560"/>
    <w:rsid w:val="0064762A"/>
    <w:rsid w:val="00647733"/>
    <w:rsid w:val="00647758"/>
    <w:rsid w:val="00647766"/>
    <w:rsid w:val="0064780A"/>
    <w:rsid w:val="00647833"/>
    <w:rsid w:val="00647956"/>
    <w:rsid w:val="0064798F"/>
    <w:rsid w:val="006479BE"/>
    <w:rsid w:val="00647A69"/>
    <w:rsid w:val="00647B87"/>
    <w:rsid w:val="00647E0E"/>
    <w:rsid w:val="00647FE5"/>
    <w:rsid w:val="0065004A"/>
    <w:rsid w:val="006500D7"/>
    <w:rsid w:val="00650220"/>
    <w:rsid w:val="00650246"/>
    <w:rsid w:val="006502A1"/>
    <w:rsid w:val="006505EB"/>
    <w:rsid w:val="00650633"/>
    <w:rsid w:val="00650735"/>
    <w:rsid w:val="0065085B"/>
    <w:rsid w:val="006508A4"/>
    <w:rsid w:val="006508AA"/>
    <w:rsid w:val="006508D3"/>
    <w:rsid w:val="00650B02"/>
    <w:rsid w:val="00650C3E"/>
    <w:rsid w:val="00650D10"/>
    <w:rsid w:val="00650D48"/>
    <w:rsid w:val="00650E4C"/>
    <w:rsid w:val="00650EF6"/>
    <w:rsid w:val="00651197"/>
    <w:rsid w:val="00651477"/>
    <w:rsid w:val="006514D8"/>
    <w:rsid w:val="00651594"/>
    <w:rsid w:val="006515D1"/>
    <w:rsid w:val="00651977"/>
    <w:rsid w:val="006519B3"/>
    <w:rsid w:val="006519C8"/>
    <w:rsid w:val="00651AF4"/>
    <w:rsid w:val="00651F81"/>
    <w:rsid w:val="006520AF"/>
    <w:rsid w:val="006520B0"/>
    <w:rsid w:val="0065232A"/>
    <w:rsid w:val="00652517"/>
    <w:rsid w:val="0065257B"/>
    <w:rsid w:val="006525F4"/>
    <w:rsid w:val="00652636"/>
    <w:rsid w:val="0065284A"/>
    <w:rsid w:val="006529FC"/>
    <w:rsid w:val="00652A42"/>
    <w:rsid w:val="00652A6A"/>
    <w:rsid w:val="00652A84"/>
    <w:rsid w:val="00652B2B"/>
    <w:rsid w:val="00652B97"/>
    <w:rsid w:val="00653057"/>
    <w:rsid w:val="00653184"/>
    <w:rsid w:val="00653457"/>
    <w:rsid w:val="0065356F"/>
    <w:rsid w:val="006535B8"/>
    <w:rsid w:val="006536A7"/>
    <w:rsid w:val="00653767"/>
    <w:rsid w:val="00653883"/>
    <w:rsid w:val="0065388F"/>
    <w:rsid w:val="0065392F"/>
    <w:rsid w:val="0065399C"/>
    <w:rsid w:val="00653A3B"/>
    <w:rsid w:val="00653A4F"/>
    <w:rsid w:val="00653C46"/>
    <w:rsid w:val="00653CB6"/>
    <w:rsid w:val="00653CE0"/>
    <w:rsid w:val="00653FD8"/>
    <w:rsid w:val="00653FE1"/>
    <w:rsid w:val="0065410A"/>
    <w:rsid w:val="0065414C"/>
    <w:rsid w:val="0065416F"/>
    <w:rsid w:val="006542F3"/>
    <w:rsid w:val="00654382"/>
    <w:rsid w:val="00654462"/>
    <w:rsid w:val="006547EE"/>
    <w:rsid w:val="00654800"/>
    <w:rsid w:val="00654894"/>
    <w:rsid w:val="0065499A"/>
    <w:rsid w:val="006549A2"/>
    <w:rsid w:val="00654B43"/>
    <w:rsid w:val="00654BD9"/>
    <w:rsid w:val="00654C61"/>
    <w:rsid w:val="00654CBF"/>
    <w:rsid w:val="00655318"/>
    <w:rsid w:val="0065537D"/>
    <w:rsid w:val="006553D2"/>
    <w:rsid w:val="00655670"/>
    <w:rsid w:val="00655861"/>
    <w:rsid w:val="00655893"/>
    <w:rsid w:val="006559F9"/>
    <w:rsid w:val="00655A66"/>
    <w:rsid w:val="00655A6E"/>
    <w:rsid w:val="00655C9B"/>
    <w:rsid w:val="00655E9F"/>
    <w:rsid w:val="00655FD4"/>
    <w:rsid w:val="006560C9"/>
    <w:rsid w:val="00656104"/>
    <w:rsid w:val="00656686"/>
    <w:rsid w:val="006567B3"/>
    <w:rsid w:val="00656894"/>
    <w:rsid w:val="006568A0"/>
    <w:rsid w:val="006569FD"/>
    <w:rsid w:val="00656AFB"/>
    <w:rsid w:val="00656C6E"/>
    <w:rsid w:val="00656E3B"/>
    <w:rsid w:val="00656F80"/>
    <w:rsid w:val="00656FA2"/>
    <w:rsid w:val="00657241"/>
    <w:rsid w:val="006572F2"/>
    <w:rsid w:val="00657481"/>
    <w:rsid w:val="00657664"/>
    <w:rsid w:val="00657750"/>
    <w:rsid w:val="0065788F"/>
    <w:rsid w:val="006579D0"/>
    <w:rsid w:val="006579EE"/>
    <w:rsid w:val="00657D98"/>
    <w:rsid w:val="00657DB9"/>
    <w:rsid w:val="00657DE0"/>
    <w:rsid w:val="00657F7E"/>
    <w:rsid w:val="00660287"/>
    <w:rsid w:val="0066046D"/>
    <w:rsid w:val="00660470"/>
    <w:rsid w:val="006604E3"/>
    <w:rsid w:val="006605AC"/>
    <w:rsid w:val="00660A40"/>
    <w:rsid w:val="00660A44"/>
    <w:rsid w:val="00660E2B"/>
    <w:rsid w:val="00660ECD"/>
    <w:rsid w:val="00660F62"/>
    <w:rsid w:val="00660F79"/>
    <w:rsid w:val="00660FC9"/>
    <w:rsid w:val="00661095"/>
    <w:rsid w:val="00661136"/>
    <w:rsid w:val="0066125B"/>
    <w:rsid w:val="006613EB"/>
    <w:rsid w:val="00661423"/>
    <w:rsid w:val="006614DE"/>
    <w:rsid w:val="00661532"/>
    <w:rsid w:val="006615C9"/>
    <w:rsid w:val="0066165C"/>
    <w:rsid w:val="0066176A"/>
    <w:rsid w:val="00661783"/>
    <w:rsid w:val="0066178A"/>
    <w:rsid w:val="006617A0"/>
    <w:rsid w:val="00661832"/>
    <w:rsid w:val="00661849"/>
    <w:rsid w:val="00661C8B"/>
    <w:rsid w:val="00661D1E"/>
    <w:rsid w:val="00661D3C"/>
    <w:rsid w:val="00662109"/>
    <w:rsid w:val="006622EB"/>
    <w:rsid w:val="006623E8"/>
    <w:rsid w:val="00662477"/>
    <w:rsid w:val="00662535"/>
    <w:rsid w:val="0066285E"/>
    <w:rsid w:val="006628B0"/>
    <w:rsid w:val="00662989"/>
    <w:rsid w:val="0066310F"/>
    <w:rsid w:val="00663157"/>
    <w:rsid w:val="006632AF"/>
    <w:rsid w:val="006632B6"/>
    <w:rsid w:val="00663384"/>
    <w:rsid w:val="006634F8"/>
    <w:rsid w:val="0066366C"/>
    <w:rsid w:val="0066378A"/>
    <w:rsid w:val="00663848"/>
    <w:rsid w:val="0066387C"/>
    <w:rsid w:val="00663A56"/>
    <w:rsid w:val="00663A84"/>
    <w:rsid w:val="00663A9C"/>
    <w:rsid w:val="00663B42"/>
    <w:rsid w:val="00663BA4"/>
    <w:rsid w:val="00663C4A"/>
    <w:rsid w:val="00663CA9"/>
    <w:rsid w:val="00663D16"/>
    <w:rsid w:val="00663D36"/>
    <w:rsid w:val="00663E60"/>
    <w:rsid w:val="00663F15"/>
    <w:rsid w:val="00663F33"/>
    <w:rsid w:val="00664027"/>
    <w:rsid w:val="00664339"/>
    <w:rsid w:val="006643C2"/>
    <w:rsid w:val="00664531"/>
    <w:rsid w:val="00664773"/>
    <w:rsid w:val="00664906"/>
    <w:rsid w:val="00664969"/>
    <w:rsid w:val="00664978"/>
    <w:rsid w:val="00664ADB"/>
    <w:rsid w:val="00664E2B"/>
    <w:rsid w:val="00664E4D"/>
    <w:rsid w:val="00664E93"/>
    <w:rsid w:val="00665176"/>
    <w:rsid w:val="0066519C"/>
    <w:rsid w:val="006651BB"/>
    <w:rsid w:val="0066546D"/>
    <w:rsid w:val="0066550C"/>
    <w:rsid w:val="0066551F"/>
    <w:rsid w:val="006656CD"/>
    <w:rsid w:val="006659A4"/>
    <w:rsid w:val="006659B0"/>
    <w:rsid w:val="00665ABE"/>
    <w:rsid w:val="00665C2E"/>
    <w:rsid w:val="00665C8E"/>
    <w:rsid w:val="00665D52"/>
    <w:rsid w:val="00665F99"/>
    <w:rsid w:val="00666122"/>
    <w:rsid w:val="006661FA"/>
    <w:rsid w:val="006662E7"/>
    <w:rsid w:val="00666442"/>
    <w:rsid w:val="0066651E"/>
    <w:rsid w:val="00666580"/>
    <w:rsid w:val="0066668B"/>
    <w:rsid w:val="0066672D"/>
    <w:rsid w:val="00666991"/>
    <w:rsid w:val="00666A26"/>
    <w:rsid w:val="00666C43"/>
    <w:rsid w:val="00666C54"/>
    <w:rsid w:val="00666CD6"/>
    <w:rsid w:val="0066701B"/>
    <w:rsid w:val="00667043"/>
    <w:rsid w:val="0066730D"/>
    <w:rsid w:val="00667351"/>
    <w:rsid w:val="0066746E"/>
    <w:rsid w:val="006674E2"/>
    <w:rsid w:val="00667645"/>
    <w:rsid w:val="006676A6"/>
    <w:rsid w:val="0066776F"/>
    <w:rsid w:val="00667A8A"/>
    <w:rsid w:val="00667AEF"/>
    <w:rsid w:val="00667BCC"/>
    <w:rsid w:val="00667C22"/>
    <w:rsid w:val="00667C66"/>
    <w:rsid w:val="00667DDD"/>
    <w:rsid w:val="00667F19"/>
    <w:rsid w:val="00667F5B"/>
    <w:rsid w:val="00670236"/>
    <w:rsid w:val="00670245"/>
    <w:rsid w:val="00670295"/>
    <w:rsid w:val="006702BE"/>
    <w:rsid w:val="00670319"/>
    <w:rsid w:val="00670422"/>
    <w:rsid w:val="0067044D"/>
    <w:rsid w:val="00670538"/>
    <w:rsid w:val="006709E3"/>
    <w:rsid w:val="00670A28"/>
    <w:rsid w:val="00670A2A"/>
    <w:rsid w:val="00670A40"/>
    <w:rsid w:val="00670AD8"/>
    <w:rsid w:val="00670BDD"/>
    <w:rsid w:val="00670ECB"/>
    <w:rsid w:val="00671007"/>
    <w:rsid w:val="00671144"/>
    <w:rsid w:val="0067121B"/>
    <w:rsid w:val="0067148D"/>
    <w:rsid w:val="006715C7"/>
    <w:rsid w:val="00671772"/>
    <w:rsid w:val="00671831"/>
    <w:rsid w:val="006719A6"/>
    <w:rsid w:val="00671A04"/>
    <w:rsid w:val="00672135"/>
    <w:rsid w:val="006722A2"/>
    <w:rsid w:val="006722CB"/>
    <w:rsid w:val="006723BB"/>
    <w:rsid w:val="00672452"/>
    <w:rsid w:val="006724E2"/>
    <w:rsid w:val="00672540"/>
    <w:rsid w:val="00672724"/>
    <w:rsid w:val="00672866"/>
    <w:rsid w:val="00672889"/>
    <w:rsid w:val="00672B10"/>
    <w:rsid w:val="00672B8F"/>
    <w:rsid w:val="00672B97"/>
    <w:rsid w:val="00672CC9"/>
    <w:rsid w:val="00672CF3"/>
    <w:rsid w:val="00672D1E"/>
    <w:rsid w:val="00672D78"/>
    <w:rsid w:val="00672E06"/>
    <w:rsid w:val="00672E8E"/>
    <w:rsid w:val="00672E9C"/>
    <w:rsid w:val="00672FB8"/>
    <w:rsid w:val="006732CC"/>
    <w:rsid w:val="00673865"/>
    <w:rsid w:val="006738FC"/>
    <w:rsid w:val="00673A23"/>
    <w:rsid w:val="00673A50"/>
    <w:rsid w:val="00673F71"/>
    <w:rsid w:val="00674098"/>
    <w:rsid w:val="006740B6"/>
    <w:rsid w:val="006742C5"/>
    <w:rsid w:val="006742F0"/>
    <w:rsid w:val="00674376"/>
    <w:rsid w:val="0067447B"/>
    <w:rsid w:val="006744F4"/>
    <w:rsid w:val="0067456E"/>
    <w:rsid w:val="006745E8"/>
    <w:rsid w:val="00674665"/>
    <w:rsid w:val="006748D5"/>
    <w:rsid w:val="006749DD"/>
    <w:rsid w:val="00674C40"/>
    <w:rsid w:val="00674EDE"/>
    <w:rsid w:val="006751A3"/>
    <w:rsid w:val="006751BA"/>
    <w:rsid w:val="00675243"/>
    <w:rsid w:val="0067538C"/>
    <w:rsid w:val="00675468"/>
    <w:rsid w:val="006754F2"/>
    <w:rsid w:val="00675649"/>
    <w:rsid w:val="0067564B"/>
    <w:rsid w:val="00675A00"/>
    <w:rsid w:val="00675A3A"/>
    <w:rsid w:val="00675A93"/>
    <w:rsid w:val="00675AE5"/>
    <w:rsid w:val="00675B94"/>
    <w:rsid w:val="00675C36"/>
    <w:rsid w:val="00675D05"/>
    <w:rsid w:val="006760A5"/>
    <w:rsid w:val="006761A7"/>
    <w:rsid w:val="00676257"/>
    <w:rsid w:val="0067627F"/>
    <w:rsid w:val="006764F4"/>
    <w:rsid w:val="0067667A"/>
    <w:rsid w:val="006767CD"/>
    <w:rsid w:val="006768F7"/>
    <w:rsid w:val="00676941"/>
    <w:rsid w:val="00676B8E"/>
    <w:rsid w:val="00676EAC"/>
    <w:rsid w:val="00676F4D"/>
    <w:rsid w:val="00677094"/>
    <w:rsid w:val="006771C7"/>
    <w:rsid w:val="0067725D"/>
    <w:rsid w:val="00677290"/>
    <w:rsid w:val="0067733D"/>
    <w:rsid w:val="00677386"/>
    <w:rsid w:val="006774F7"/>
    <w:rsid w:val="0067756C"/>
    <w:rsid w:val="0067758E"/>
    <w:rsid w:val="006776FD"/>
    <w:rsid w:val="006777AD"/>
    <w:rsid w:val="00677993"/>
    <w:rsid w:val="00677AFF"/>
    <w:rsid w:val="00677C61"/>
    <w:rsid w:val="00677CA1"/>
    <w:rsid w:val="00677CC1"/>
    <w:rsid w:val="00677D74"/>
    <w:rsid w:val="00677E19"/>
    <w:rsid w:val="00677ECF"/>
    <w:rsid w:val="00677FB3"/>
    <w:rsid w:val="006801B4"/>
    <w:rsid w:val="00680271"/>
    <w:rsid w:val="00680298"/>
    <w:rsid w:val="006802B5"/>
    <w:rsid w:val="0068044E"/>
    <w:rsid w:val="006807C6"/>
    <w:rsid w:val="006807CC"/>
    <w:rsid w:val="006807E4"/>
    <w:rsid w:val="00680919"/>
    <w:rsid w:val="006809A0"/>
    <w:rsid w:val="00680BAE"/>
    <w:rsid w:val="00680EEF"/>
    <w:rsid w:val="00680FBF"/>
    <w:rsid w:val="006810FB"/>
    <w:rsid w:val="00681247"/>
    <w:rsid w:val="006812A9"/>
    <w:rsid w:val="00681393"/>
    <w:rsid w:val="006814CF"/>
    <w:rsid w:val="006815D9"/>
    <w:rsid w:val="00681819"/>
    <w:rsid w:val="006818E9"/>
    <w:rsid w:val="00681916"/>
    <w:rsid w:val="00681A12"/>
    <w:rsid w:val="00681BE7"/>
    <w:rsid w:val="00681C51"/>
    <w:rsid w:val="00681CF2"/>
    <w:rsid w:val="00681DBD"/>
    <w:rsid w:val="00681E47"/>
    <w:rsid w:val="00681EBE"/>
    <w:rsid w:val="00681FEB"/>
    <w:rsid w:val="00682000"/>
    <w:rsid w:val="00682014"/>
    <w:rsid w:val="00682091"/>
    <w:rsid w:val="00682197"/>
    <w:rsid w:val="006821E8"/>
    <w:rsid w:val="006822A1"/>
    <w:rsid w:val="0068238E"/>
    <w:rsid w:val="00682512"/>
    <w:rsid w:val="00682617"/>
    <w:rsid w:val="00682656"/>
    <w:rsid w:val="006826AE"/>
    <w:rsid w:val="00682703"/>
    <w:rsid w:val="0068279D"/>
    <w:rsid w:val="006827AB"/>
    <w:rsid w:val="00682B2D"/>
    <w:rsid w:val="00682D5F"/>
    <w:rsid w:val="0068301C"/>
    <w:rsid w:val="0068311F"/>
    <w:rsid w:val="006832CF"/>
    <w:rsid w:val="0068331A"/>
    <w:rsid w:val="00683428"/>
    <w:rsid w:val="0068351F"/>
    <w:rsid w:val="0068355E"/>
    <w:rsid w:val="0068358C"/>
    <w:rsid w:val="006837FB"/>
    <w:rsid w:val="0068388A"/>
    <w:rsid w:val="006839EE"/>
    <w:rsid w:val="00683B52"/>
    <w:rsid w:val="00683C78"/>
    <w:rsid w:val="00683D8F"/>
    <w:rsid w:val="00683DDF"/>
    <w:rsid w:val="00683F39"/>
    <w:rsid w:val="00683F96"/>
    <w:rsid w:val="0068411C"/>
    <w:rsid w:val="006841A6"/>
    <w:rsid w:val="006845A5"/>
    <w:rsid w:val="00684693"/>
    <w:rsid w:val="00684710"/>
    <w:rsid w:val="00684887"/>
    <w:rsid w:val="00684A1E"/>
    <w:rsid w:val="00684A95"/>
    <w:rsid w:val="00684C98"/>
    <w:rsid w:val="00684CB9"/>
    <w:rsid w:val="00684FE8"/>
    <w:rsid w:val="00685094"/>
    <w:rsid w:val="006852C3"/>
    <w:rsid w:val="00685391"/>
    <w:rsid w:val="00685451"/>
    <w:rsid w:val="00685480"/>
    <w:rsid w:val="0068552A"/>
    <w:rsid w:val="0068555B"/>
    <w:rsid w:val="006855FC"/>
    <w:rsid w:val="006856B5"/>
    <w:rsid w:val="006857BC"/>
    <w:rsid w:val="0068580F"/>
    <w:rsid w:val="00685A67"/>
    <w:rsid w:val="00685BA5"/>
    <w:rsid w:val="00685C8C"/>
    <w:rsid w:val="00685E80"/>
    <w:rsid w:val="00685E96"/>
    <w:rsid w:val="0068606F"/>
    <w:rsid w:val="006860B6"/>
    <w:rsid w:val="006860EC"/>
    <w:rsid w:val="00686277"/>
    <w:rsid w:val="00686336"/>
    <w:rsid w:val="00686388"/>
    <w:rsid w:val="006865D7"/>
    <w:rsid w:val="00686945"/>
    <w:rsid w:val="00686A5A"/>
    <w:rsid w:val="00686A92"/>
    <w:rsid w:val="00686AAF"/>
    <w:rsid w:val="00686C98"/>
    <w:rsid w:val="00686E47"/>
    <w:rsid w:val="00686E95"/>
    <w:rsid w:val="00686F5C"/>
    <w:rsid w:val="00686FCE"/>
    <w:rsid w:val="00687125"/>
    <w:rsid w:val="00687156"/>
    <w:rsid w:val="006872C8"/>
    <w:rsid w:val="006873D8"/>
    <w:rsid w:val="00687870"/>
    <w:rsid w:val="00687944"/>
    <w:rsid w:val="00687981"/>
    <w:rsid w:val="006879A1"/>
    <w:rsid w:val="00687AA8"/>
    <w:rsid w:val="00687BA4"/>
    <w:rsid w:val="00687BAB"/>
    <w:rsid w:val="00687C76"/>
    <w:rsid w:val="00687D23"/>
    <w:rsid w:val="00687F62"/>
    <w:rsid w:val="00690159"/>
    <w:rsid w:val="00690184"/>
    <w:rsid w:val="006902BA"/>
    <w:rsid w:val="006902F8"/>
    <w:rsid w:val="0069069E"/>
    <w:rsid w:val="00690E26"/>
    <w:rsid w:val="00690EB5"/>
    <w:rsid w:val="00690EC4"/>
    <w:rsid w:val="00691090"/>
    <w:rsid w:val="00691222"/>
    <w:rsid w:val="006912CB"/>
    <w:rsid w:val="0069137E"/>
    <w:rsid w:val="006913D5"/>
    <w:rsid w:val="00691412"/>
    <w:rsid w:val="00691414"/>
    <w:rsid w:val="00691579"/>
    <w:rsid w:val="006917BD"/>
    <w:rsid w:val="0069189D"/>
    <w:rsid w:val="00691910"/>
    <w:rsid w:val="00691A89"/>
    <w:rsid w:val="00691B6C"/>
    <w:rsid w:val="00691C72"/>
    <w:rsid w:val="00691D94"/>
    <w:rsid w:val="00691F2C"/>
    <w:rsid w:val="00691F81"/>
    <w:rsid w:val="0069200A"/>
    <w:rsid w:val="006920E7"/>
    <w:rsid w:val="00692467"/>
    <w:rsid w:val="0069247D"/>
    <w:rsid w:val="006926FD"/>
    <w:rsid w:val="00692771"/>
    <w:rsid w:val="00692880"/>
    <w:rsid w:val="0069297C"/>
    <w:rsid w:val="00692ABF"/>
    <w:rsid w:val="00692B12"/>
    <w:rsid w:val="00692BDC"/>
    <w:rsid w:val="00692CAC"/>
    <w:rsid w:val="00692CFC"/>
    <w:rsid w:val="00692D01"/>
    <w:rsid w:val="00692D25"/>
    <w:rsid w:val="00692E2C"/>
    <w:rsid w:val="00692EA7"/>
    <w:rsid w:val="00692F1C"/>
    <w:rsid w:val="006931E7"/>
    <w:rsid w:val="0069328F"/>
    <w:rsid w:val="00693292"/>
    <w:rsid w:val="00693762"/>
    <w:rsid w:val="006937A7"/>
    <w:rsid w:val="006939BD"/>
    <w:rsid w:val="006939ED"/>
    <w:rsid w:val="00693A2D"/>
    <w:rsid w:val="00693B47"/>
    <w:rsid w:val="00693BC6"/>
    <w:rsid w:val="00693CDC"/>
    <w:rsid w:val="00693CDE"/>
    <w:rsid w:val="00693F82"/>
    <w:rsid w:val="00693FE9"/>
    <w:rsid w:val="00694109"/>
    <w:rsid w:val="00694284"/>
    <w:rsid w:val="00694419"/>
    <w:rsid w:val="00694673"/>
    <w:rsid w:val="006946A8"/>
    <w:rsid w:val="006947E5"/>
    <w:rsid w:val="00694934"/>
    <w:rsid w:val="00694960"/>
    <w:rsid w:val="00694995"/>
    <w:rsid w:val="00694C82"/>
    <w:rsid w:val="006950AF"/>
    <w:rsid w:val="0069514F"/>
    <w:rsid w:val="006951BB"/>
    <w:rsid w:val="00695302"/>
    <w:rsid w:val="0069549A"/>
    <w:rsid w:val="006954E2"/>
    <w:rsid w:val="00695597"/>
    <w:rsid w:val="00695694"/>
    <w:rsid w:val="006957DA"/>
    <w:rsid w:val="006957E2"/>
    <w:rsid w:val="00695913"/>
    <w:rsid w:val="006959A4"/>
    <w:rsid w:val="00695A1E"/>
    <w:rsid w:val="00695A6E"/>
    <w:rsid w:val="00695ECF"/>
    <w:rsid w:val="00696074"/>
    <w:rsid w:val="00696343"/>
    <w:rsid w:val="006963AB"/>
    <w:rsid w:val="0069685C"/>
    <w:rsid w:val="0069695A"/>
    <w:rsid w:val="00696D04"/>
    <w:rsid w:val="00696F4E"/>
    <w:rsid w:val="00697173"/>
    <w:rsid w:val="006974B8"/>
    <w:rsid w:val="00697609"/>
    <w:rsid w:val="0069766D"/>
    <w:rsid w:val="006976C3"/>
    <w:rsid w:val="00697951"/>
    <w:rsid w:val="00697A7E"/>
    <w:rsid w:val="00697AE8"/>
    <w:rsid w:val="00697B53"/>
    <w:rsid w:val="00697EC5"/>
    <w:rsid w:val="006A00CE"/>
    <w:rsid w:val="006A014C"/>
    <w:rsid w:val="006A0302"/>
    <w:rsid w:val="006A03D2"/>
    <w:rsid w:val="006A03DF"/>
    <w:rsid w:val="006A0495"/>
    <w:rsid w:val="006A052E"/>
    <w:rsid w:val="006A0568"/>
    <w:rsid w:val="006A05C6"/>
    <w:rsid w:val="006A08D0"/>
    <w:rsid w:val="006A097B"/>
    <w:rsid w:val="006A0AAE"/>
    <w:rsid w:val="006A0D44"/>
    <w:rsid w:val="006A0E9D"/>
    <w:rsid w:val="006A0F9E"/>
    <w:rsid w:val="006A0FA9"/>
    <w:rsid w:val="006A1013"/>
    <w:rsid w:val="006A11C2"/>
    <w:rsid w:val="006A148C"/>
    <w:rsid w:val="006A14D2"/>
    <w:rsid w:val="006A1652"/>
    <w:rsid w:val="006A1784"/>
    <w:rsid w:val="006A1837"/>
    <w:rsid w:val="006A190E"/>
    <w:rsid w:val="006A191B"/>
    <w:rsid w:val="006A1926"/>
    <w:rsid w:val="006A1B16"/>
    <w:rsid w:val="006A1F10"/>
    <w:rsid w:val="006A1F98"/>
    <w:rsid w:val="006A1FEA"/>
    <w:rsid w:val="006A21DA"/>
    <w:rsid w:val="006A2281"/>
    <w:rsid w:val="006A2294"/>
    <w:rsid w:val="006A240A"/>
    <w:rsid w:val="006A2484"/>
    <w:rsid w:val="006A2ACE"/>
    <w:rsid w:val="006A2BC2"/>
    <w:rsid w:val="006A2EE4"/>
    <w:rsid w:val="006A3180"/>
    <w:rsid w:val="006A32EF"/>
    <w:rsid w:val="006A3302"/>
    <w:rsid w:val="006A3366"/>
    <w:rsid w:val="006A34C7"/>
    <w:rsid w:val="006A34F1"/>
    <w:rsid w:val="006A353E"/>
    <w:rsid w:val="006A35C5"/>
    <w:rsid w:val="006A35F2"/>
    <w:rsid w:val="006A3819"/>
    <w:rsid w:val="006A3A9A"/>
    <w:rsid w:val="006A3F93"/>
    <w:rsid w:val="006A4258"/>
    <w:rsid w:val="006A42F0"/>
    <w:rsid w:val="006A43D4"/>
    <w:rsid w:val="006A43E3"/>
    <w:rsid w:val="006A44B2"/>
    <w:rsid w:val="006A485E"/>
    <w:rsid w:val="006A4934"/>
    <w:rsid w:val="006A49F1"/>
    <w:rsid w:val="006A4B24"/>
    <w:rsid w:val="006A4BA3"/>
    <w:rsid w:val="006A4BF7"/>
    <w:rsid w:val="006A4C42"/>
    <w:rsid w:val="006A4D51"/>
    <w:rsid w:val="006A4DCA"/>
    <w:rsid w:val="006A501D"/>
    <w:rsid w:val="006A50DF"/>
    <w:rsid w:val="006A523A"/>
    <w:rsid w:val="006A5401"/>
    <w:rsid w:val="006A5431"/>
    <w:rsid w:val="006A5739"/>
    <w:rsid w:val="006A5B1A"/>
    <w:rsid w:val="006A5B63"/>
    <w:rsid w:val="006A5D81"/>
    <w:rsid w:val="006A5DD2"/>
    <w:rsid w:val="006A5E4A"/>
    <w:rsid w:val="006A5F69"/>
    <w:rsid w:val="006A606B"/>
    <w:rsid w:val="006A61AD"/>
    <w:rsid w:val="006A622B"/>
    <w:rsid w:val="006A62D6"/>
    <w:rsid w:val="006A65B7"/>
    <w:rsid w:val="006A65FB"/>
    <w:rsid w:val="006A69A2"/>
    <w:rsid w:val="006A6A91"/>
    <w:rsid w:val="006A6B12"/>
    <w:rsid w:val="006A6C68"/>
    <w:rsid w:val="006A6E57"/>
    <w:rsid w:val="006A70BC"/>
    <w:rsid w:val="006A742A"/>
    <w:rsid w:val="006A75B4"/>
    <w:rsid w:val="006A762A"/>
    <w:rsid w:val="006A7648"/>
    <w:rsid w:val="006A78D5"/>
    <w:rsid w:val="006A79C3"/>
    <w:rsid w:val="006A7AD7"/>
    <w:rsid w:val="006A7E7D"/>
    <w:rsid w:val="006B0006"/>
    <w:rsid w:val="006B019B"/>
    <w:rsid w:val="006B029A"/>
    <w:rsid w:val="006B02B2"/>
    <w:rsid w:val="006B0321"/>
    <w:rsid w:val="006B05DE"/>
    <w:rsid w:val="006B05FE"/>
    <w:rsid w:val="006B071E"/>
    <w:rsid w:val="006B077C"/>
    <w:rsid w:val="006B078B"/>
    <w:rsid w:val="006B09CC"/>
    <w:rsid w:val="006B0A49"/>
    <w:rsid w:val="006B0BF4"/>
    <w:rsid w:val="006B0C55"/>
    <w:rsid w:val="006B0F5B"/>
    <w:rsid w:val="006B0FB3"/>
    <w:rsid w:val="006B1070"/>
    <w:rsid w:val="006B10C3"/>
    <w:rsid w:val="006B13EB"/>
    <w:rsid w:val="006B149D"/>
    <w:rsid w:val="006B14A6"/>
    <w:rsid w:val="006B150E"/>
    <w:rsid w:val="006B153B"/>
    <w:rsid w:val="006B1564"/>
    <w:rsid w:val="006B182C"/>
    <w:rsid w:val="006B1871"/>
    <w:rsid w:val="006B1A15"/>
    <w:rsid w:val="006B1A6B"/>
    <w:rsid w:val="006B1D24"/>
    <w:rsid w:val="006B1EB6"/>
    <w:rsid w:val="006B1F02"/>
    <w:rsid w:val="006B1F41"/>
    <w:rsid w:val="006B1F6E"/>
    <w:rsid w:val="006B2080"/>
    <w:rsid w:val="006B222A"/>
    <w:rsid w:val="006B22F3"/>
    <w:rsid w:val="006B2345"/>
    <w:rsid w:val="006B2377"/>
    <w:rsid w:val="006B2389"/>
    <w:rsid w:val="006B2434"/>
    <w:rsid w:val="006B24AA"/>
    <w:rsid w:val="006B25CE"/>
    <w:rsid w:val="006B26BC"/>
    <w:rsid w:val="006B26CB"/>
    <w:rsid w:val="006B2710"/>
    <w:rsid w:val="006B288C"/>
    <w:rsid w:val="006B2982"/>
    <w:rsid w:val="006B2E1E"/>
    <w:rsid w:val="006B2F6E"/>
    <w:rsid w:val="006B2FB3"/>
    <w:rsid w:val="006B3286"/>
    <w:rsid w:val="006B32E1"/>
    <w:rsid w:val="006B338A"/>
    <w:rsid w:val="006B33C4"/>
    <w:rsid w:val="006B3481"/>
    <w:rsid w:val="006B356D"/>
    <w:rsid w:val="006B35CC"/>
    <w:rsid w:val="006B35F3"/>
    <w:rsid w:val="006B37EF"/>
    <w:rsid w:val="006B381B"/>
    <w:rsid w:val="006B3857"/>
    <w:rsid w:val="006B3906"/>
    <w:rsid w:val="006B393D"/>
    <w:rsid w:val="006B39C6"/>
    <w:rsid w:val="006B3AB9"/>
    <w:rsid w:val="006B3C22"/>
    <w:rsid w:val="006B3EB6"/>
    <w:rsid w:val="006B3F07"/>
    <w:rsid w:val="006B3F12"/>
    <w:rsid w:val="006B3F18"/>
    <w:rsid w:val="006B40C7"/>
    <w:rsid w:val="006B4328"/>
    <w:rsid w:val="006B443E"/>
    <w:rsid w:val="006B46B3"/>
    <w:rsid w:val="006B47AC"/>
    <w:rsid w:val="006B47D1"/>
    <w:rsid w:val="006B484E"/>
    <w:rsid w:val="006B496C"/>
    <w:rsid w:val="006B4A21"/>
    <w:rsid w:val="006B4AA0"/>
    <w:rsid w:val="006B4AE5"/>
    <w:rsid w:val="006B4C07"/>
    <w:rsid w:val="006B4C60"/>
    <w:rsid w:val="006B4EAF"/>
    <w:rsid w:val="006B4FC0"/>
    <w:rsid w:val="006B53E6"/>
    <w:rsid w:val="006B55A3"/>
    <w:rsid w:val="006B579F"/>
    <w:rsid w:val="006B58A1"/>
    <w:rsid w:val="006B58CA"/>
    <w:rsid w:val="006B5928"/>
    <w:rsid w:val="006B5937"/>
    <w:rsid w:val="006B5954"/>
    <w:rsid w:val="006B596C"/>
    <w:rsid w:val="006B5C58"/>
    <w:rsid w:val="006B5DC7"/>
    <w:rsid w:val="006B5DEC"/>
    <w:rsid w:val="006B5DF8"/>
    <w:rsid w:val="006B5EFB"/>
    <w:rsid w:val="006B5F79"/>
    <w:rsid w:val="006B5F7C"/>
    <w:rsid w:val="006B5FAF"/>
    <w:rsid w:val="006B60C0"/>
    <w:rsid w:val="006B60F6"/>
    <w:rsid w:val="006B622F"/>
    <w:rsid w:val="006B6504"/>
    <w:rsid w:val="006B66D4"/>
    <w:rsid w:val="006B671F"/>
    <w:rsid w:val="006B69BA"/>
    <w:rsid w:val="006B69DE"/>
    <w:rsid w:val="006B6A25"/>
    <w:rsid w:val="006B6A7A"/>
    <w:rsid w:val="006B6D5F"/>
    <w:rsid w:val="006B70FD"/>
    <w:rsid w:val="006B712D"/>
    <w:rsid w:val="006B720E"/>
    <w:rsid w:val="006B726E"/>
    <w:rsid w:val="006B75E0"/>
    <w:rsid w:val="006B7757"/>
    <w:rsid w:val="006B79BB"/>
    <w:rsid w:val="006B7B85"/>
    <w:rsid w:val="006B7CAB"/>
    <w:rsid w:val="006B7CF9"/>
    <w:rsid w:val="006B7D8B"/>
    <w:rsid w:val="006B7E70"/>
    <w:rsid w:val="006C00DA"/>
    <w:rsid w:val="006C0231"/>
    <w:rsid w:val="006C0269"/>
    <w:rsid w:val="006C02EB"/>
    <w:rsid w:val="006C03C4"/>
    <w:rsid w:val="006C03E8"/>
    <w:rsid w:val="006C050B"/>
    <w:rsid w:val="006C06B1"/>
    <w:rsid w:val="006C071E"/>
    <w:rsid w:val="006C0A2A"/>
    <w:rsid w:val="006C0B64"/>
    <w:rsid w:val="006C0BA5"/>
    <w:rsid w:val="006C0D11"/>
    <w:rsid w:val="006C0EB9"/>
    <w:rsid w:val="006C0F0B"/>
    <w:rsid w:val="006C117C"/>
    <w:rsid w:val="006C11AA"/>
    <w:rsid w:val="006C121D"/>
    <w:rsid w:val="006C1397"/>
    <w:rsid w:val="006C1674"/>
    <w:rsid w:val="006C17A5"/>
    <w:rsid w:val="006C191B"/>
    <w:rsid w:val="006C1946"/>
    <w:rsid w:val="006C19EB"/>
    <w:rsid w:val="006C1B1B"/>
    <w:rsid w:val="006C1B3C"/>
    <w:rsid w:val="006C1D38"/>
    <w:rsid w:val="006C20B0"/>
    <w:rsid w:val="006C22F3"/>
    <w:rsid w:val="006C2383"/>
    <w:rsid w:val="006C25FE"/>
    <w:rsid w:val="006C26DA"/>
    <w:rsid w:val="006C26F4"/>
    <w:rsid w:val="006C2763"/>
    <w:rsid w:val="006C27F6"/>
    <w:rsid w:val="006C293E"/>
    <w:rsid w:val="006C2944"/>
    <w:rsid w:val="006C2AE5"/>
    <w:rsid w:val="006C2C95"/>
    <w:rsid w:val="006C2CDB"/>
    <w:rsid w:val="006C2D17"/>
    <w:rsid w:val="006C2F63"/>
    <w:rsid w:val="006C2FBD"/>
    <w:rsid w:val="006C3081"/>
    <w:rsid w:val="006C3128"/>
    <w:rsid w:val="006C316B"/>
    <w:rsid w:val="006C31B1"/>
    <w:rsid w:val="006C31F0"/>
    <w:rsid w:val="006C332C"/>
    <w:rsid w:val="006C3416"/>
    <w:rsid w:val="006C352A"/>
    <w:rsid w:val="006C3971"/>
    <w:rsid w:val="006C39B8"/>
    <w:rsid w:val="006C3AD9"/>
    <w:rsid w:val="006C3ECC"/>
    <w:rsid w:val="006C403C"/>
    <w:rsid w:val="006C4312"/>
    <w:rsid w:val="006C4338"/>
    <w:rsid w:val="006C466F"/>
    <w:rsid w:val="006C46C0"/>
    <w:rsid w:val="006C4724"/>
    <w:rsid w:val="006C4746"/>
    <w:rsid w:val="006C486D"/>
    <w:rsid w:val="006C4AD6"/>
    <w:rsid w:val="006C4B25"/>
    <w:rsid w:val="006C4B7E"/>
    <w:rsid w:val="006C4B87"/>
    <w:rsid w:val="006C4C4E"/>
    <w:rsid w:val="006C4EB2"/>
    <w:rsid w:val="006C4EDB"/>
    <w:rsid w:val="006C4F4E"/>
    <w:rsid w:val="006C5624"/>
    <w:rsid w:val="006C56BC"/>
    <w:rsid w:val="006C57E2"/>
    <w:rsid w:val="006C592E"/>
    <w:rsid w:val="006C5A3B"/>
    <w:rsid w:val="006C5A9D"/>
    <w:rsid w:val="006C5AF2"/>
    <w:rsid w:val="006C5CA9"/>
    <w:rsid w:val="006C5DFB"/>
    <w:rsid w:val="006C5EE5"/>
    <w:rsid w:val="006C62F4"/>
    <w:rsid w:val="006C634A"/>
    <w:rsid w:val="006C639E"/>
    <w:rsid w:val="006C642E"/>
    <w:rsid w:val="006C6590"/>
    <w:rsid w:val="006C6646"/>
    <w:rsid w:val="006C680B"/>
    <w:rsid w:val="006C6978"/>
    <w:rsid w:val="006C69F3"/>
    <w:rsid w:val="006C6A1C"/>
    <w:rsid w:val="006C6B20"/>
    <w:rsid w:val="006C6FE4"/>
    <w:rsid w:val="006C70F3"/>
    <w:rsid w:val="006C7280"/>
    <w:rsid w:val="006C7606"/>
    <w:rsid w:val="006C77C3"/>
    <w:rsid w:val="006C78A9"/>
    <w:rsid w:val="006C7A05"/>
    <w:rsid w:val="006C7C20"/>
    <w:rsid w:val="006C7D0A"/>
    <w:rsid w:val="006C7D0D"/>
    <w:rsid w:val="006C7E7F"/>
    <w:rsid w:val="006D0060"/>
    <w:rsid w:val="006D0153"/>
    <w:rsid w:val="006D0335"/>
    <w:rsid w:val="006D03B1"/>
    <w:rsid w:val="006D0457"/>
    <w:rsid w:val="006D05E7"/>
    <w:rsid w:val="006D0898"/>
    <w:rsid w:val="006D0AFB"/>
    <w:rsid w:val="006D0B2C"/>
    <w:rsid w:val="006D0BBF"/>
    <w:rsid w:val="006D0D13"/>
    <w:rsid w:val="006D0E4C"/>
    <w:rsid w:val="006D0E70"/>
    <w:rsid w:val="006D0E7E"/>
    <w:rsid w:val="006D0E83"/>
    <w:rsid w:val="006D0F9F"/>
    <w:rsid w:val="006D1219"/>
    <w:rsid w:val="006D14C6"/>
    <w:rsid w:val="006D156D"/>
    <w:rsid w:val="006D1660"/>
    <w:rsid w:val="006D17AC"/>
    <w:rsid w:val="006D17C0"/>
    <w:rsid w:val="006D1840"/>
    <w:rsid w:val="006D1C05"/>
    <w:rsid w:val="006D1C5B"/>
    <w:rsid w:val="006D1E4B"/>
    <w:rsid w:val="006D1F63"/>
    <w:rsid w:val="006D20B0"/>
    <w:rsid w:val="006D2248"/>
    <w:rsid w:val="006D2277"/>
    <w:rsid w:val="006D230F"/>
    <w:rsid w:val="006D251F"/>
    <w:rsid w:val="006D2606"/>
    <w:rsid w:val="006D2858"/>
    <w:rsid w:val="006D2919"/>
    <w:rsid w:val="006D2BBA"/>
    <w:rsid w:val="006D2DAC"/>
    <w:rsid w:val="006D2DC5"/>
    <w:rsid w:val="006D2E08"/>
    <w:rsid w:val="006D2E62"/>
    <w:rsid w:val="006D2E7F"/>
    <w:rsid w:val="006D2FD0"/>
    <w:rsid w:val="006D32D8"/>
    <w:rsid w:val="006D33CC"/>
    <w:rsid w:val="006D3503"/>
    <w:rsid w:val="006D35EC"/>
    <w:rsid w:val="006D368B"/>
    <w:rsid w:val="006D3841"/>
    <w:rsid w:val="006D384B"/>
    <w:rsid w:val="006D3A28"/>
    <w:rsid w:val="006D3C28"/>
    <w:rsid w:val="006D3C44"/>
    <w:rsid w:val="006D4242"/>
    <w:rsid w:val="006D4298"/>
    <w:rsid w:val="006D4491"/>
    <w:rsid w:val="006D457D"/>
    <w:rsid w:val="006D45AA"/>
    <w:rsid w:val="006D46CB"/>
    <w:rsid w:val="006D4708"/>
    <w:rsid w:val="006D4908"/>
    <w:rsid w:val="006D4AAD"/>
    <w:rsid w:val="006D4B36"/>
    <w:rsid w:val="006D4D6C"/>
    <w:rsid w:val="006D50ED"/>
    <w:rsid w:val="006D5198"/>
    <w:rsid w:val="006D51F9"/>
    <w:rsid w:val="006D5211"/>
    <w:rsid w:val="006D55CC"/>
    <w:rsid w:val="006D591B"/>
    <w:rsid w:val="006D5CF6"/>
    <w:rsid w:val="006D5E22"/>
    <w:rsid w:val="006D5F95"/>
    <w:rsid w:val="006D5FD3"/>
    <w:rsid w:val="006D5FE7"/>
    <w:rsid w:val="006D603C"/>
    <w:rsid w:val="006D60B0"/>
    <w:rsid w:val="006D60C8"/>
    <w:rsid w:val="006D61EC"/>
    <w:rsid w:val="006D61F3"/>
    <w:rsid w:val="006D64EE"/>
    <w:rsid w:val="006D669C"/>
    <w:rsid w:val="006D6892"/>
    <w:rsid w:val="006D68E2"/>
    <w:rsid w:val="006D69A6"/>
    <w:rsid w:val="006D6A78"/>
    <w:rsid w:val="006D6AD2"/>
    <w:rsid w:val="006D6B04"/>
    <w:rsid w:val="006D6B38"/>
    <w:rsid w:val="006D6BB6"/>
    <w:rsid w:val="006D6CAE"/>
    <w:rsid w:val="006D6CD5"/>
    <w:rsid w:val="006D6FE0"/>
    <w:rsid w:val="006D7411"/>
    <w:rsid w:val="006D750A"/>
    <w:rsid w:val="006D751F"/>
    <w:rsid w:val="006D7595"/>
    <w:rsid w:val="006D7664"/>
    <w:rsid w:val="006D7674"/>
    <w:rsid w:val="006D77B5"/>
    <w:rsid w:val="006D7960"/>
    <w:rsid w:val="006D7B8D"/>
    <w:rsid w:val="006D7BC4"/>
    <w:rsid w:val="006D7BFA"/>
    <w:rsid w:val="006D7E6C"/>
    <w:rsid w:val="006D7F0D"/>
    <w:rsid w:val="006D7F78"/>
    <w:rsid w:val="006E006E"/>
    <w:rsid w:val="006E006F"/>
    <w:rsid w:val="006E009B"/>
    <w:rsid w:val="006E025D"/>
    <w:rsid w:val="006E0283"/>
    <w:rsid w:val="006E035F"/>
    <w:rsid w:val="006E0491"/>
    <w:rsid w:val="006E061B"/>
    <w:rsid w:val="006E0855"/>
    <w:rsid w:val="006E08A1"/>
    <w:rsid w:val="006E095F"/>
    <w:rsid w:val="006E0A57"/>
    <w:rsid w:val="006E0AC2"/>
    <w:rsid w:val="006E0AFE"/>
    <w:rsid w:val="006E0C93"/>
    <w:rsid w:val="006E0CB5"/>
    <w:rsid w:val="006E0CD4"/>
    <w:rsid w:val="006E0DB5"/>
    <w:rsid w:val="006E0EE3"/>
    <w:rsid w:val="006E0F50"/>
    <w:rsid w:val="006E124E"/>
    <w:rsid w:val="006E1439"/>
    <w:rsid w:val="006E14D2"/>
    <w:rsid w:val="006E1775"/>
    <w:rsid w:val="006E18A3"/>
    <w:rsid w:val="006E1A20"/>
    <w:rsid w:val="006E1A35"/>
    <w:rsid w:val="006E1A9C"/>
    <w:rsid w:val="006E1B40"/>
    <w:rsid w:val="006E1C1A"/>
    <w:rsid w:val="006E1DAB"/>
    <w:rsid w:val="006E2318"/>
    <w:rsid w:val="006E2461"/>
    <w:rsid w:val="006E25E3"/>
    <w:rsid w:val="006E2673"/>
    <w:rsid w:val="006E2821"/>
    <w:rsid w:val="006E28FF"/>
    <w:rsid w:val="006E293D"/>
    <w:rsid w:val="006E2A30"/>
    <w:rsid w:val="006E2A36"/>
    <w:rsid w:val="006E2E47"/>
    <w:rsid w:val="006E2F57"/>
    <w:rsid w:val="006E2FE5"/>
    <w:rsid w:val="006E2FF6"/>
    <w:rsid w:val="006E3307"/>
    <w:rsid w:val="006E3357"/>
    <w:rsid w:val="006E3392"/>
    <w:rsid w:val="006E3595"/>
    <w:rsid w:val="006E3676"/>
    <w:rsid w:val="006E37A0"/>
    <w:rsid w:val="006E3919"/>
    <w:rsid w:val="006E39B6"/>
    <w:rsid w:val="006E3B14"/>
    <w:rsid w:val="006E3BFB"/>
    <w:rsid w:val="006E3C82"/>
    <w:rsid w:val="006E3EE9"/>
    <w:rsid w:val="006E40D7"/>
    <w:rsid w:val="006E43BC"/>
    <w:rsid w:val="006E440D"/>
    <w:rsid w:val="006E4469"/>
    <w:rsid w:val="006E44A2"/>
    <w:rsid w:val="006E4608"/>
    <w:rsid w:val="006E468D"/>
    <w:rsid w:val="006E473A"/>
    <w:rsid w:val="006E4970"/>
    <w:rsid w:val="006E49E4"/>
    <w:rsid w:val="006E4AFF"/>
    <w:rsid w:val="006E4BCF"/>
    <w:rsid w:val="006E4D32"/>
    <w:rsid w:val="006E4D4A"/>
    <w:rsid w:val="006E4D76"/>
    <w:rsid w:val="006E4EFE"/>
    <w:rsid w:val="006E4F35"/>
    <w:rsid w:val="006E508F"/>
    <w:rsid w:val="006E5374"/>
    <w:rsid w:val="006E5549"/>
    <w:rsid w:val="006E5683"/>
    <w:rsid w:val="006E5716"/>
    <w:rsid w:val="006E58BE"/>
    <w:rsid w:val="006E5BB9"/>
    <w:rsid w:val="006E5D1A"/>
    <w:rsid w:val="006E5E8F"/>
    <w:rsid w:val="006E5F86"/>
    <w:rsid w:val="006E6087"/>
    <w:rsid w:val="006E6114"/>
    <w:rsid w:val="006E62DA"/>
    <w:rsid w:val="006E6381"/>
    <w:rsid w:val="006E6592"/>
    <w:rsid w:val="006E65C4"/>
    <w:rsid w:val="006E6612"/>
    <w:rsid w:val="006E6741"/>
    <w:rsid w:val="006E683D"/>
    <w:rsid w:val="006E68AE"/>
    <w:rsid w:val="006E68B6"/>
    <w:rsid w:val="006E69E6"/>
    <w:rsid w:val="006E6C9F"/>
    <w:rsid w:val="006E6D6E"/>
    <w:rsid w:val="006E704A"/>
    <w:rsid w:val="006E7275"/>
    <w:rsid w:val="006E72A9"/>
    <w:rsid w:val="006E73D3"/>
    <w:rsid w:val="006E742A"/>
    <w:rsid w:val="006E753B"/>
    <w:rsid w:val="006E7624"/>
    <w:rsid w:val="006E7667"/>
    <w:rsid w:val="006E7702"/>
    <w:rsid w:val="006E7C91"/>
    <w:rsid w:val="006E7D07"/>
    <w:rsid w:val="006E7F1B"/>
    <w:rsid w:val="006F0038"/>
    <w:rsid w:val="006F01CA"/>
    <w:rsid w:val="006F05CD"/>
    <w:rsid w:val="006F0667"/>
    <w:rsid w:val="006F0789"/>
    <w:rsid w:val="006F086E"/>
    <w:rsid w:val="006F093C"/>
    <w:rsid w:val="006F0A8F"/>
    <w:rsid w:val="006F0B3C"/>
    <w:rsid w:val="006F0BB1"/>
    <w:rsid w:val="006F0CB4"/>
    <w:rsid w:val="006F0EEE"/>
    <w:rsid w:val="006F0FE5"/>
    <w:rsid w:val="006F1004"/>
    <w:rsid w:val="006F102A"/>
    <w:rsid w:val="006F135E"/>
    <w:rsid w:val="006F168D"/>
    <w:rsid w:val="006F16E6"/>
    <w:rsid w:val="006F1777"/>
    <w:rsid w:val="006F17B8"/>
    <w:rsid w:val="006F17BF"/>
    <w:rsid w:val="006F18D4"/>
    <w:rsid w:val="006F1907"/>
    <w:rsid w:val="006F190F"/>
    <w:rsid w:val="006F1968"/>
    <w:rsid w:val="006F1B3C"/>
    <w:rsid w:val="006F1BDB"/>
    <w:rsid w:val="006F1BEC"/>
    <w:rsid w:val="006F1D28"/>
    <w:rsid w:val="006F21A4"/>
    <w:rsid w:val="006F21CA"/>
    <w:rsid w:val="006F22B2"/>
    <w:rsid w:val="006F25B8"/>
    <w:rsid w:val="006F266C"/>
    <w:rsid w:val="006F269F"/>
    <w:rsid w:val="006F26BD"/>
    <w:rsid w:val="006F280C"/>
    <w:rsid w:val="006F28F4"/>
    <w:rsid w:val="006F29CC"/>
    <w:rsid w:val="006F29EF"/>
    <w:rsid w:val="006F2A77"/>
    <w:rsid w:val="006F2C12"/>
    <w:rsid w:val="006F2D87"/>
    <w:rsid w:val="006F3045"/>
    <w:rsid w:val="006F309E"/>
    <w:rsid w:val="006F331C"/>
    <w:rsid w:val="006F3401"/>
    <w:rsid w:val="006F34A8"/>
    <w:rsid w:val="006F3773"/>
    <w:rsid w:val="006F37E4"/>
    <w:rsid w:val="006F38F1"/>
    <w:rsid w:val="006F391E"/>
    <w:rsid w:val="006F3A0E"/>
    <w:rsid w:val="006F3CD5"/>
    <w:rsid w:val="006F3D27"/>
    <w:rsid w:val="006F3FF4"/>
    <w:rsid w:val="006F4010"/>
    <w:rsid w:val="006F4113"/>
    <w:rsid w:val="006F4163"/>
    <w:rsid w:val="006F4386"/>
    <w:rsid w:val="006F4586"/>
    <w:rsid w:val="006F4727"/>
    <w:rsid w:val="006F4848"/>
    <w:rsid w:val="006F48F9"/>
    <w:rsid w:val="006F492D"/>
    <w:rsid w:val="006F4F12"/>
    <w:rsid w:val="006F4F22"/>
    <w:rsid w:val="006F504E"/>
    <w:rsid w:val="006F523A"/>
    <w:rsid w:val="006F5320"/>
    <w:rsid w:val="006F5372"/>
    <w:rsid w:val="006F549F"/>
    <w:rsid w:val="006F54A3"/>
    <w:rsid w:val="006F55A9"/>
    <w:rsid w:val="006F568F"/>
    <w:rsid w:val="006F5697"/>
    <w:rsid w:val="006F56EF"/>
    <w:rsid w:val="006F5708"/>
    <w:rsid w:val="006F57C3"/>
    <w:rsid w:val="006F5885"/>
    <w:rsid w:val="006F599B"/>
    <w:rsid w:val="006F5B0A"/>
    <w:rsid w:val="006F5CAA"/>
    <w:rsid w:val="006F5E98"/>
    <w:rsid w:val="006F5F4C"/>
    <w:rsid w:val="006F5F76"/>
    <w:rsid w:val="006F663F"/>
    <w:rsid w:val="006F6760"/>
    <w:rsid w:val="006F68E3"/>
    <w:rsid w:val="006F6CC9"/>
    <w:rsid w:val="006F70E0"/>
    <w:rsid w:val="006F7144"/>
    <w:rsid w:val="006F719E"/>
    <w:rsid w:val="006F72CA"/>
    <w:rsid w:val="006F7352"/>
    <w:rsid w:val="006F73D8"/>
    <w:rsid w:val="006F73DB"/>
    <w:rsid w:val="006F7414"/>
    <w:rsid w:val="006F7452"/>
    <w:rsid w:val="006F75DC"/>
    <w:rsid w:val="006F75E2"/>
    <w:rsid w:val="006F7713"/>
    <w:rsid w:val="006F779C"/>
    <w:rsid w:val="006F7A77"/>
    <w:rsid w:val="006F7BA9"/>
    <w:rsid w:val="006F7BF5"/>
    <w:rsid w:val="006F7D25"/>
    <w:rsid w:val="0070022F"/>
    <w:rsid w:val="00700507"/>
    <w:rsid w:val="00700908"/>
    <w:rsid w:val="00700A5C"/>
    <w:rsid w:val="00700A6A"/>
    <w:rsid w:val="00700AB4"/>
    <w:rsid w:val="00700AFF"/>
    <w:rsid w:val="00700B51"/>
    <w:rsid w:val="00700D78"/>
    <w:rsid w:val="00700E24"/>
    <w:rsid w:val="00700F61"/>
    <w:rsid w:val="0070155D"/>
    <w:rsid w:val="0070162C"/>
    <w:rsid w:val="00701705"/>
    <w:rsid w:val="0070178F"/>
    <w:rsid w:val="0070191D"/>
    <w:rsid w:val="007019C1"/>
    <w:rsid w:val="00701A00"/>
    <w:rsid w:val="00701E0F"/>
    <w:rsid w:val="007022C9"/>
    <w:rsid w:val="00702393"/>
    <w:rsid w:val="007023C2"/>
    <w:rsid w:val="007025A4"/>
    <w:rsid w:val="007025B9"/>
    <w:rsid w:val="00702631"/>
    <w:rsid w:val="00702869"/>
    <w:rsid w:val="00702A5E"/>
    <w:rsid w:val="00702B21"/>
    <w:rsid w:val="00702C71"/>
    <w:rsid w:val="00702CA5"/>
    <w:rsid w:val="00702D44"/>
    <w:rsid w:val="00702F5B"/>
    <w:rsid w:val="00702F66"/>
    <w:rsid w:val="00703023"/>
    <w:rsid w:val="007030C4"/>
    <w:rsid w:val="007031D3"/>
    <w:rsid w:val="007032A9"/>
    <w:rsid w:val="007032D5"/>
    <w:rsid w:val="0070339F"/>
    <w:rsid w:val="007033ED"/>
    <w:rsid w:val="00703496"/>
    <w:rsid w:val="00703559"/>
    <w:rsid w:val="00703991"/>
    <w:rsid w:val="007039EA"/>
    <w:rsid w:val="00703A1A"/>
    <w:rsid w:val="00703A99"/>
    <w:rsid w:val="00703B04"/>
    <w:rsid w:val="00703BE4"/>
    <w:rsid w:val="00703C04"/>
    <w:rsid w:val="00703C8F"/>
    <w:rsid w:val="00703CDF"/>
    <w:rsid w:val="00703D18"/>
    <w:rsid w:val="00703D59"/>
    <w:rsid w:val="00703DA8"/>
    <w:rsid w:val="00703DCD"/>
    <w:rsid w:val="00703F3A"/>
    <w:rsid w:val="00704283"/>
    <w:rsid w:val="0070432B"/>
    <w:rsid w:val="00704331"/>
    <w:rsid w:val="00704348"/>
    <w:rsid w:val="00704351"/>
    <w:rsid w:val="007044B6"/>
    <w:rsid w:val="007044F5"/>
    <w:rsid w:val="00704655"/>
    <w:rsid w:val="00704741"/>
    <w:rsid w:val="007048C4"/>
    <w:rsid w:val="007049E3"/>
    <w:rsid w:val="00704ACF"/>
    <w:rsid w:val="00704B98"/>
    <w:rsid w:val="00704BA3"/>
    <w:rsid w:val="0070503F"/>
    <w:rsid w:val="0070513D"/>
    <w:rsid w:val="007051C0"/>
    <w:rsid w:val="00705255"/>
    <w:rsid w:val="0070538B"/>
    <w:rsid w:val="007053AB"/>
    <w:rsid w:val="00705411"/>
    <w:rsid w:val="00705455"/>
    <w:rsid w:val="007054A0"/>
    <w:rsid w:val="0070554B"/>
    <w:rsid w:val="00705688"/>
    <w:rsid w:val="007056AB"/>
    <w:rsid w:val="007059E5"/>
    <w:rsid w:val="00705C3A"/>
    <w:rsid w:val="00705E82"/>
    <w:rsid w:val="00705EDE"/>
    <w:rsid w:val="00706096"/>
    <w:rsid w:val="00706162"/>
    <w:rsid w:val="00706205"/>
    <w:rsid w:val="00706481"/>
    <w:rsid w:val="007065AC"/>
    <w:rsid w:val="00706614"/>
    <w:rsid w:val="00706B12"/>
    <w:rsid w:val="00706B9F"/>
    <w:rsid w:val="00706F8C"/>
    <w:rsid w:val="00707148"/>
    <w:rsid w:val="00707156"/>
    <w:rsid w:val="00707172"/>
    <w:rsid w:val="00707299"/>
    <w:rsid w:val="007072D8"/>
    <w:rsid w:val="007072F7"/>
    <w:rsid w:val="007073D7"/>
    <w:rsid w:val="007073DE"/>
    <w:rsid w:val="00707438"/>
    <w:rsid w:val="00707603"/>
    <w:rsid w:val="007076CB"/>
    <w:rsid w:val="007076D8"/>
    <w:rsid w:val="007077A4"/>
    <w:rsid w:val="007078FE"/>
    <w:rsid w:val="00707A08"/>
    <w:rsid w:val="00707B0E"/>
    <w:rsid w:val="00707B16"/>
    <w:rsid w:val="00710186"/>
    <w:rsid w:val="007101E3"/>
    <w:rsid w:val="007105DF"/>
    <w:rsid w:val="0071069A"/>
    <w:rsid w:val="0071078B"/>
    <w:rsid w:val="007107A2"/>
    <w:rsid w:val="00710A75"/>
    <w:rsid w:val="00710B0A"/>
    <w:rsid w:val="00710C7E"/>
    <w:rsid w:val="00710CC9"/>
    <w:rsid w:val="00710D84"/>
    <w:rsid w:val="00710E7D"/>
    <w:rsid w:val="007110CE"/>
    <w:rsid w:val="00711257"/>
    <w:rsid w:val="0071127C"/>
    <w:rsid w:val="00711329"/>
    <w:rsid w:val="0071146C"/>
    <w:rsid w:val="007115D5"/>
    <w:rsid w:val="007116EF"/>
    <w:rsid w:val="00711857"/>
    <w:rsid w:val="00711899"/>
    <w:rsid w:val="0071191B"/>
    <w:rsid w:val="007119D5"/>
    <w:rsid w:val="00711AB4"/>
    <w:rsid w:val="00711C21"/>
    <w:rsid w:val="00711C3C"/>
    <w:rsid w:val="00711CB4"/>
    <w:rsid w:val="00711DC8"/>
    <w:rsid w:val="00711F82"/>
    <w:rsid w:val="00712028"/>
    <w:rsid w:val="007120A4"/>
    <w:rsid w:val="007124B6"/>
    <w:rsid w:val="00712562"/>
    <w:rsid w:val="00712607"/>
    <w:rsid w:val="007128AE"/>
    <w:rsid w:val="0071296E"/>
    <w:rsid w:val="00712A52"/>
    <w:rsid w:val="00712AAE"/>
    <w:rsid w:val="00712B55"/>
    <w:rsid w:val="00712BD3"/>
    <w:rsid w:val="00712C08"/>
    <w:rsid w:val="00712CDF"/>
    <w:rsid w:val="00713113"/>
    <w:rsid w:val="00713277"/>
    <w:rsid w:val="00713351"/>
    <w:rsid w:val="007133B7"/>
    <w:rsid w:val="00713409"/>
    <w:rsid w:val="0071373F"/>
    <w:rsid w:val="007137A1"/>
    <w:rsid w:val="007137EA"/>
    <w:rsid w:val="0071382E"/>
    <w:rsid w:val="00713ADB"/>
    <w:rsid w:val="00713B01"/>
    <w:rsid w:val="00713BC1"/>
    <w:rsid w:val="00713CBB"/>
    <w:rsid w:val="00713DAB"/>
    <w:rsid w:val="00714261"/>
    <w:rsid w:val="007145BF"/>
    <w:rsid w:val="00714783"/>
    <w:rsid w:val="00714A08"/>
    <w:rsid w:val="00714A2B"/>
    <w:rsid w:val="00714C61"/>
    <w:rsid w:val="00714CC3"/>
    <w:rsid w:val="00714EAB"/>
    <w:rsid w:val="00714EBB"/>
    <w:rsid w:val="0071506B"/>
    <w:rsid w:val="007151FC"/>
    <w:rsid w:val="00715358"/>
    <w:rsid w:val="00715540"/>
    <w:rsid w:val="00715542"/>
    <w:rsid w:val="00715642"/>
    <w:rsid w:val="00715716"/>
    <w:rsid w:val="007157EB"/>
    <w:rsid w:val="00715946"/>
    <w:rsid w:val="0071597F"/>
    <w:rsid w:val="00715B6B"/>
    <w:rsid w:val="00715BF8"/>
    <w:rsid w:val="00715DD8"/>
    <w:rsid w:val="00715E80"/>
    <w:rsid w:val="00716065"/>
    <w:rsid w:val="00716078"/>
    <w:rsid w:val="007161A6"/>
    <w:rsid w:val="007161C7"/>
    <w:rsid w:val="00716273"/>
    <w:rsid w:val="007163E6"/>
    <w:rsid w:val="007164B8"/>
    <w:rsid w:val="00716664"/>
    <w:rsid w:val="00716803"/>
    <w:rsid w:val="007168F1"/>
    <w:rsid w:val="00716B20"/>
    <w:rsid w:val="00716B79"/>
    <w:rsid w:val="00716D41"/>
    <w:rsid w:val="00716DE4"/>
    <w:rsid w:val="00716DF4"/>
    <w:rsid w:val="00716EBA"/>
    <w:rsid w:val="00716ECC"/>
    <w:rsid w:val="007171C9"/>
    <w:rsid w:val="00717326"/>
    <w:rsid w:val="007173A3"/>
    <w:rsid w:val="0071752B"/>
    <w:rsid w:val="00717837"/>
    <w:rsid w:val="00717873"/>
    <w:rsid w:val="007178F2"/>
    <w:rsid w:val="007200F5"/>
    <w:rsid w:val="007201AC"/>
    <w:rsid w:val="0072032F"/>
    <w:rsid w:val="00720433"/>
    <w:rsid w:val="007205B1"/>
    <w:rsid w:val="007205DE"/>
    <w:rsid w:val="00720718"/>
    <w:rsid w:val="0072088D"/>
    <w:rsid w:val="0072095F"/>
    <w:rsid w:val="00720B6C"/>
    <w:rsid w:val="00720C94"/>
    <w:rsid w:val="00720F06"/>
    <w:rsid w:val="0072101B"/>
    <w:rsid w:val="007210E3"/>
    <w:rsid w:val="0072113A"/>
    <w:rsid w:val="007212E8"/>
    <w:rsid w:val="007214BC"/>
    <w:rsid w:val="0072150E"/>
    <w:rsid w:val="007215FF"/>
    <w:rsid w:val="0072177E"/>
    <w:rsid w:val="00721810"/>
    <w:rsid w:val="007218F1"/>
    <w:rsid w:val="00721A38"/>
    <w:rsid w:val="00721C18"/>
    <w:rsid w:val="00721C90"/>
    <w:rsid w:val="00721CED"/>
    <w:rsid w:val="00721D09"/>
    <w:rsid w:val="00721D24"/>
    <w:rsid w:val="00722007"/>
    <w:rsid w:val="00722124"/>
    <w:rsid w:val="00722162"/>
    <w:rsid w:val="007224D7"/>
    <w:rsid w:val="00722649"/>
    <w:rsid w:val="00722752"/>
    <w:rsid w:val="00722780"/>
    <w:rsid w:val="007227C7"/>
    <w:rsid w:val="0072285E"/>
    <w:rsid w:val="00722AB0"/>
    <w:rsid w:val="00722BE6"/>
    <w:rsid w:val="00722C50"/>
    <w:rsid w:val="00722CC2"/>
    <w:rsid w:val="00722EDE"/>
    <w:rsid w:val="007234F4"/>
    <w:rsid w:val="007234F7"/>
    <w:rsid w:val="00723659"/>
    <w:rsid w:val="00723876"/>
    <w:rsid w:val="007238E3"/>
    <w:rsid w:val="00723AA7"/>
    <w:rsid w:val="00723B1A"/>
    <w:rsid w:val="00723BB2"/>
    <w:rsid w:val="00723BF3"/>
    <w:rsid w:val="00723ED0"/>
    <w:rsid w:val="00724082"/>
    <w:rsid w:val="00724153"/>
    <w:rsid w:val="00724377"/>
    <w:rsid w:val="00724538"/>
    <w:rsid w:val="0072459F"/>
    <w:rsid w:val="0072469C"/>
    <w:rsid w:val="007247C0"/>
    <w:rsid w:val="007248E1"/>
    <w:rsid w:val="00724A31"/>
    <w:rsid w:val="00724A8E"/>
    <w:rsid w:val="00724AE8"/>
    <w:rsid w:val="00724BFD"/>
    <w:rsid w:val="00724D82"/>
    <w:rsid w:val="00724DE2"/>
    <w:rsid w:val="00725055"/>
    <w:rsid w:val="0072513D"/>
    <w:rsid w:val="0072520F"/>
    <w:rsid w:val="00725449"/>
    <w:rsid w:val="00725519"/>
    <w:rsid w:val="0072559E"/>
    <w:rsid w:val="0072570E"/>
    <w:rsid w:val="007257F7"/>
    <w:rsid w:val="007258AB"/>
    <w:rsid w:val="00725A5E"/>
    <w:rsid w:val="00725B8C"/>
    <w:rsid w:val="00725CFB"/>
    <w:rsid w:val="00725F1B"/>
    <w:rsid w:val="0072609D"/>
    <w:rsid w:val="007260C6"/>
    <w:rsid w:val="007260C9"/>
    <w:rsid w:val="007261FD"/>
    <w:rsid w:val="0072645F"/>
    <w:rsid w:val="007264F4"/>
    <w:rsid w:val="007264F7"/>
    <w:rsid w:val="00726529"/>
    <w:rsid w:val="007266F4"/>
    <w:rsid w:val="00726769"/>
    <w:rsid w:val="00726829"/>
    <w:rsid w:val="007268D4"/>
    <w:rsid w:val="00726B58"/>
    <w:rsid w:val="00726E9C"/>
    <w:rsid w:val="0072721E"/>
    <w:rsid w:val="00727286"/>
    <w:rsid w:val="00727499"/>
    <w:rsid w:val="007274BD"/>
    <w:rsid w:val="007275AD"/>
    <w:rsid w:val="0072776D"/>
    <w:rsid w:val="007278DF"/>
    <w:rsid w:val="00727971"/>
    <w:rsid w:val="00727C5A"/>
    <w:rsid w:val="00727ECE"/>
    <w:rsid w:val="00730002"/>
    <w:rsid w:val="0073005D"/>
    <w:rsid w:val="00730091"/>
    <w:rsid w:val="007300B8"/>
    <w:rsid w:val="0073037D"/>
    <w:rsid w:val="00730421"/>
    <w:rsid w:val="00730513"/>
    <w:rsid w:val="0073059A"/>
    <w:rsid w:val="0073066E"/>
    <w:rsid w:val="007306DF"/>
    <w:rsid w:val="007307CF"/>
    <w:rsid w:val="00730AB3"/>
    <w:rsid w:val="00730C70"/>
    <w:rsid w:val="00730DD8"/>
    <w:rsid w:val="00730EE7"/>
    <w:rsid w:val="00730EED"/>
    <w:rsid w:val="0073102B"/>
    <w:rsid w:val="007311B7"/>
    <w:rsid w:val="00731500"/>
    <w:rsid w:val="0073151A"/>
    <w:rsid w:val="00731588"/>
    <w:rsid w:val="007315C8"/>
    <w:rsid w:val="00731642"/>
    <w:rsid w:val="0073164E"/>
    <w:rsid w:val="00731672"/>
    <w:rsid w:val="0073172A"/>
    <w:rsid w:val="007318A9"/>
    <w:rsid w:val="007319A9"/>
    <w:rsid w:val="007319C0"/>
    <w:rsid w:val="00731B95"/>
    <w:rsid w:val="00731BF2"/>
    <w:rsid w:val="00731C8D"/>
    <w:rsid w:val="00731CC3"/>
    <w:rsid w:val="00731D36"/>
    <w:rsid w:val="00731F11"/>
    <w:rsid w:val="00731F36"/>
    <w:rsid w:val="00731F41"/>
    <w:rsid w:val="007321C5"/>
    <w:rsid w:val="00732411"/>
    <w:rsid w:val="00732487"/>
    <w:rsid w:val="00732495"/>
    <w:rsid w:val="007324C8"/>
    <w:rsid w:val="00732687"/>
    <w:rsid w:val="0073281E"/>
    <w:rsid w:val="00732882"/>
    <w:rsid w:val="007328D6"/>
    <w:rsid w:val="0073296C"/>
    <w:rsid w:val="007329AA"/>
    <w:rsid w:val="007329E0"/>
    <w:rsid w:val="00732B5A"/>
    <w:rsid w:val="00732C0E"/>
    <w:rsid w:val="00732F80"/>
    <w:rsid w:val="00732FD1"/>
    <w:rsid w:val="00733083"/>
    <w:rsid w:val="00733154"/>
    <w:rsid w:val="00733191"/>
    <w:rsid w:val="007332CC"/>
    <w:rsid w:val="00733395"/>
    <w:rsid w:val="007333B4"/>
    <w:rsid w:val="007333BA"/>
    <w:rsid w:val="007335AD"/>
    <w:rsid w:val="00733699"/>
    <w:rsid w:val="007336A0"/>
    <w:rsid w:val="007336A6"/>
    <w:rsid w:val="007339A7"/>
    <w:rsid w:val="00733A4D"/>
    <w:rsid w:val="00733BA6"/>
    <w:rsid w:val="00733C23"/>
    <w:rsid w:val="00733C84"/>
    <w:rsid w:val="00733D34"/>
    <w:rsid w:val="00733E7F"/>
    <w:rsid w:val="00733F78"/>
    <w:rsid w:val="00734099"/>
    <w:rsid w:val="00734128"/>
    <w:rsid w:val="00734377"/>
    <w:rsid w:val="007343B5"/>
    <w:rsid w:val="0073454C"/>
    <w:rsid w:val="007345D2"/>
    <w:rsid w:val="007347A4"/>
    <w:rsid w:val="007347B1"/>
    <w:rsid w:val="00734873"/>
    <w:rsid w:val="0073495F"/>
    <w:rsid w:val="00734A8C"/>
    <w:rsid w:val="00734F06"/>
    <w:rsid w:val="00734F66"/>
    <w:rsid w:val="00735034"/>
    <w:rsid w:val="0073513D"/>
    <w:rsid w:val="00735145"/>
    <w:rsid w:val="00735173"/>
    <w:rsid w:val="00735416"/>
    <w:rsid w:val="00735436"/>
    <w:rsid w:val="0073573F"/>
    <w:rsid w:val="00735803"/>
    <w:rsid w:val="00735C2E"/>
    <w:rsid w:val="00735C3D"/>
    <w:rsid w:val="00735EB7"/>
    <w:rsid w:val="0073604A"/>
    <w:rsid w:val="00736159"/>
    <w:rsid w:val="0073643D"/>
    <w:rsid w:val="0073645B"/>
    <w:rsid w:val="00736461"/>
    <w:rsid w:val="0073647C"/>
    <w:rsid w:val="007364C8"/>
    <w:rsid w:val="0073651C"/>
    <w:rsid w:val="00736795"/>
    <w:rsid w:val="00736872"/>
    <w:rsid w:val="00736967"/>
    <w:rsid w:val="00736B85"/>
    <w:rsid w:val="00736BC7"/>
    <w:rsid w:val="00736D96"/>
    <w:rsid w:val="00736F29"/>
    <w:rsid w:val="007370DD"/>
    <w:rsid w:val="0073712D"/>
    <w:rsid w:val="007371BD"/>
    <w:rsid w:val="0073724E"/>
    <w:rsid w:val="00737327"/>
    <w:rsid w:val="007375A2"/>
    <w:rsid w:val="007378F8"/>
    <w:rsid w:val="0073790A"/>
    <w:rsid w:val="00737A2A"/>
    <w:rsid w:val="00737A65"/>
    <w:rsid w:val="00737B30"/>
    <w:rsid w:val="00737C51"/>
    <w:rsid w:val="00737CC6"/>
    <w:rsid w:val="00737E7A"/>
    <w:rsid w:val="00737F89"/>
    <w:rsid w:val="00737FD6"/>
    <w:rsid w:val="00737FF0"/>
    <w:rsid w:val="0074031C"/>
    <w:rsid w:val="00740442"/>
    <w:rsid w:val="00740633"/>
    <w:rsid w:val="007406BB"/>
    <w:rsid w:val="00740862"/>
    <w:rsid w:val="00740C10"/>
    <w:rsid w:val="00740C5F"/>
    <w:rsid w:val="00740ED1"/>
    <w:rsid w:val="0074101B"/>
    <w:rsid w:val="0074107D"/>
    <w:rsid w:val="007410C2"/>
    <w:rsid w:val="007410CE"/>
    <w:rsid w:val="00741145"/>
    <w:rsid w:val="0074121C"/>
    <w:rsid w:val="007412D4"/>
    <w:rsid w:val="007414C4"/>
    <w:rsid w:val="00741506"/>
    <w:rsid w:val="007418EC"/>
    <w:rsid w:val="00741C77"/>
    <w:rsid w:val="00741EFE"/>
    <w:rsid w:val="00741F8A"/>
    <w:rsid w:val="00741FAB"/>
    <w:rsid w:val="00742147"/>
    <w:rsid w:val="00742336"/>
    <w:rsid w:val="0074241F"/>
    <w:rsid w:val="00742475"/>
    <w:rsid w:val="00742780"/>
    <w:rsid w:val="007429BD"/>
    <w:rsid w:val="00742BEB"/>
    <w:rsid w:val="00742C3F"/>
    <w:rsid w:val="00742C56"/>
    <w:rsid w:val="00742ECA"/>
    <w:rsid w:val="00742F9F"/>
    <w:rsid w:val="00742FD8"/>
    <w:rsid w:val="00743068"/>
    <w:rsid w:val="007432A1"/>
    <w:rsid w:val="007432C6"/>
    <w:rsid w:val="00743390"/>
    <w:rsid w:val="00743439"/>
    <w:rsid w:val="00743485"/>
    <w:rsid w:val="0074376E"/>
    <w:rsid w:val="00743812"/>
    <w:rsid w:val="00743A95"/>
    <w:rsid w:val="00743A9B"/>
    <w:rsid w:val="00743AB2"/>
    <w:rsid w:val="00743B90"/>
    <w:rsid w:val="00743C09"/>
    <w:rsid w:val="00743FD2"/>
    <w:rsid w:val="007440EF"/>
    <w:rsid w:val="007440F8"/>
    <w:rsid w:val="0074418D"/>
    <w:rsid w:val="00744209"/>
    <w:rsid w:val="00744385"/>
    <w:rsid w:val="007445C1"/>
    <w:rsid w:val="00744881"/>
    <w:rsid w:val="007448C3"/>
    <w:rsid w:val="007449D8"/>
    <w:rsid w:val="00744BE8"/>
    <w:rsid w:val="00744C30"/>
    <w:rsid w:val="00744CA7"/>
    <w:rsid w:val="00744EC5"/>
    <w:rsid w:val="00745094"/>
    <w:rsid w:val="0074515B"/>
    <w:rsid w:val="0074518D"/>
    <w:rsid w:val="007452E8"/>
    <w:rsid w:val="0074530B"/>
    <w:rsid w:val="00745456"/>
    <w:rsid w:val="00745517"/>
    <w:rsid w:val="007455DA"/>
    <w:rsid w:val="00745751"/>
    <w:rsid w:val="00745847"/>
    <w:rsid w:val="00745885"/>
    <w:rsid w:val="00745935"/>
    <w:rsid w:val="00745976"/>
    <w:rsid w:val="00745979"/>
    <w:rsid w:val="007459CF"/>
    <w:rsid w:val="00745AAF"/>
    <w:rsid w:val="00745B17"/>
    <w:rsid w:val="00745B29"/>
    <w:rsid w:val="00745BA9"/>
    <w:rsid w:val="00745C7D"/>
    <w:rsid w:val="00745C97"/>
    <w:rsid w:val="00745CC3"/>
    <w:rsid w:val="00745E62"/>
    <w:rsid w:val="00746038"/>
    <w:rsid w:val="007460A6"/>
    <w:rsid w:val="007460F1"/>
    <w:rsid w:val="00746475"/>
    <w:rsid w:val="007464B2"/>
    <w:rsid w:val="00746597"/>
    <w:rsid w:val="007465C5"/>
    <w:rsid w:val="007466EE"/>
    <w:rsid w:val="007468D9"/>
    <w:rsid w:val="00746A15"/>
    <w:rsid w:val="00746C4C"/>
    <w:rsid w:val="00746E04"/>
    <w:rsid w:val="00746EAC"/>
    <w:rsid w:val="007471D1"/>
    <w:rsid w:val="00747225"/>
    <w:rsid w:val="007472D6"/>
    <w:rsid w:val="0074738A"/>
    <w:rsid w:val="007475AF"/>
    <w:rsid w:val="007476C3"/>
    <w:rsid w:val="00747ADC"/>
    <w:rsid w:val="00747BCE"/>
    <w:rsid w:val="00747BD4"/>
    <w:rsid w:val="00747EF8"/>
    <w:rsid w:val="00747F5F"/>
    <w:rsid w:val="00747F87"/>
    <w:rsid w:val="00750151"/>
    <w:rsid w:val="007506F9"/>
    <w:rsid w:val="007507AC"/>
    <w:rsid w:val="00750847"/>
    <w:rsid w:val="007509C8"/>
    <w:rsid w:val="00750A23"/>
    <w:rsid w:val="00750E33"/>
    <w:rsid w:val="00750E34"/>
    <w:rsid w:val="00750E3C"/>
    <w:rsid w:val="00751143"/>
    <w:rsid w:val="00751187"/>
    <w:rsid w:val="007511E5"/>
    <w:rsid w:val="0075121A"/>
    <w:rsid w:val="007513D0"/>
    <w:rsid w:val="0075145B"/>
    <w:rsid w:val="007514CE"/>
    <w:rsid w:val="00751906"/>
    <w:rsid w:val="00751969"/>
    <w:rsid w:val="007519C1"/>
    <w:rsid w:val="00751C28"/>
    <w:rsid w:val="00751C37"/>
    <w:rsid w:val="00751D26"/>
    <w:rsid w:val="00751FF1"/>
    <w:rsid w:val="0075207F"/>
    <w:rsid w:val="007520B7"/>
    <w:rsid w:val="007520C4"/>
    <w:rsid w:val="007521AA"/>
    <w:rsid w:val="0075224F"/>
    <w:rsid w:val="007523C3"/>
    <w:rsid w:val="007523EB"/>
    <w:rsid w:val="00752459"/>
    <w:rsid w:val="00752546"/>
    <w:rsid w:val="0075254D"/>
    <w:rsid w:val="0075264B"/>
    <w:rsid w:val="0075293C"/>
    <w:rsid w:val="00752964"/>
    <w:rsid w:val="00752A97"/>
    <w:rsid w:val="00752BAF"/>
    <w:rsid w:val="00752D00"/>
    <w:rsid w:val="0075301E"/>
    <w:rsid w:val="00753064"/>
    <w:rsid w:val="007530B3"/>
    <w:rsid w:val="007530CF"/>
    <w:rsid w:val="00753210"/>
    <w:rsid w:val="0075330B"/>
    <w:rsid w:val="0075344F"/>
    <w:rsid w:val="0075349E"/>
    <w:rsid w:val="007534AC"/>
    <w:rsid w:val="0075351F"/>
    <w:rsid w:val="0075362C"/>
    <w:rsid w:val="007536AD"/>
    <w:rsid w:val="007536CA"/>
    <w:rsid w:val="007536ED"/>
    <w:rsid w:val="00753732"/>
    <w:rsid w:val="007537AD"/>
    <w:rsid w:val="007537CC"/>
    <w:rsid w:val="00753886"/>
    <w:rsid w:val="0075391A"/>
    <w:rsid w:val="00753A09"/>
    <w:rsid w:val="00753B84"/>
    <w:rsid w:val="00753C51"/>
    <w:rsid w:val="00753D52"/>
    <w:rsid w:val="00753DFA"/>
    <w:rsid w:val="00753EEE"/>
    <w:rsid w:val="00754015"/>
    <w:rsid w:val="007545F5"/>
    <w:rsid w:val="00754704"/>
    <w:rsid w:val="0075470C"/>
    <w:rsid w:val="00754753"/>
    <w:rsid w:val="00754787"/>
    <w:rsid w:val="0075478F"/>
    <w:rsid w:val="007547E7"/>
    <w:rsid w:val="007547EE"/>
    <w:rsid w:val="007548EA"/>
    <w:rsid w:val="00754980"/>
    <w:rsid w:val="007549EB"/>
    <w:rsid w:val="00754A31"/>
    <w:rsid w:val="00754A86"/>
    <w:rsid w:val="00754B4F"/>
    <w:rsid w:val="00754D82"/>
    <w:rsid w:val="00754DEC"/>
    <w:rsid w:val="007550E4"/>
    <w:rsid w:val="00755228"/>
    <w:rsid w:val="00755331"/>
    <w:rsid w:val="00755379"/>
    <w:rsid w:val="0075558B"/>
    <w:rsid w:val="007555C9"/>
    <w:rsid w:val="00755662"/>
    <w:rsid w:val="007556C2"/>
    <w:rsid w:val="007559EC"/>
    <w:rsid w:val="00755ADC"/>
    <w:rsid w:val="00755B0C"/>
    <w:rsid w:val="00755CDA"/>
    <w:rsid w:val="00755D3A"/>
    <w:rsid w:val="00756048"/>
    <w:rsid w:val="00756093"/>
    <w:rsid w:val="0075612D"/>
    <w:rsid w:val="007562A3"/>
    <w:rsid w:val="00756343"/>
    <w:rsid w:val="00756352"/>
    <w:rsid w:val="00756694"/>
    <w:rsid w:val="007566F4"/>
    <w:rsid w:val="00756CBF"/>
    <w:rsid w:val="00756CEA"/>
    <w:rsid w:val="00756FCF"/>
    <w:rsid w:val="0075716E"/>
    <w:rsid w:val="00757260"/>
    <w:rsid w:val="00757275"/>
    <w:rsid w:val="007572AF"/>
    <w:rsid w:val="0075738F"/>
    <w:rsid w:val="00757500"/>
    <w:rsid w:val="00757995"/>
    <w:rsid w:val="00757B54"/>
    <w:rsid w:val="00757B6C"/>
    <w:rsid w:val="00757D57"/>
    <w:rsid w:val="00757E6B"/>
    <w:rsid w:val="00757E72"/>
    <w:rsid w:val="00760325"/>
    <w:rsid w:val="00760347"/>
    <w:rsid w:val="007604DE"/>
    <w:rsid w:val="00760775"/>
    <w:rsid w:val="00760A9A"/>
    <w:rsid w:val="00760ADC"/>
    <w:rsid w:val="00760BDD"/>
    <w:rsid w:val="00760C1A"/>
    <w:rsid w:val="00760EBC"/>
    <w:rsid w:val="00760F19"/>
    <w:rsid w:val="00760FFE"/>
    <w:rsid w:val="00761056"/>
    <w:rsid w:val="0076156F"/>
    <w:rsid w:val="00761AA6"/>
    <w:rsid w:val="00761B70"/>
    <w:rsid w:val="00761BD3"/>
    <w:rsid w:val="00761C36"/>
    <w:rsid w:val="00761CA2"/>
    <w:rsid w:val="00761CC8"/>
    <w:rsid w:val="00761D73"/>
    <w:rsid w:val="00761DAC"/>
    <w:rsid w:val="00761E49"/>
    <w:rsid w:val="00761EE1"/>
    <w:rsid w:val="00761F00"/>
    <w:rsid w:val="00761F57"/>
    <w:rsid w:val="00762030"/>
    <w:rsid w:val="00762083"/>
    <w:rsid w:val="00762128"/>
    <w:rsid w:val="007623E5"/>
    <w:rsid w:val="00762414"/>
    <w:rsid w:val="007624A6"/>
    <w:rsid w:val="00762834"/>
    <w:rsid w:val="0076285C"/>
    <w:rsid w:val="0076286A"/>
    <w:rsid w:val="007628F8"/>
    <w:rsid w:val="00762AB3"/>
    <w:rsid w:val="00762B50"/>
    <w:rsid w:val="00762C28"/>
    <w:rsid w:val="00762C83"/>
    <w:rsid w:val="00762DAE"/>
    <w:rsid w:val="00762DF5"/>
    <w:rsid w:val="00762E5C"/>
    <w:rsid w:val="00762E7C"/>
    <w:rsid w:val="00762E80"/>
    <w:rsid w:val="00762F40"/>
    <w:rsid w:val="00763014"/>
    <w:rsid w:val="007632A7"/>
    <w:rsid w:val="0076348B"/>
    <w:rsid w:val="007634B0"/>
    <w:rsid w:val="0076382C"/>
    <w:rsid w:val="007638C2"/>
    <w:rsid w:val="00763910"/>
    <w:rsid w:val="00763B57"/>
    <w:rsid w:val="00763C0E"/>
    <w:rsid w:val="00763CDE"/>
    <w:rsid w:val="00763D85"/>
    <w:rsid w:val="00763D9C"/>
    <w:rsid w:val="00763DE4"/>
    <w:rsid w:val="00763F7E"/>
    <w:rsid w:val="00763FE1"/>
    <w:rsid w:val="00764177"/>
    <w:rsid w:val="00764202"/>
    <w:rsid w:val="00764297"/>
    <w:rsid w:val="007643ED"/>
    <w:rsid w:val="0076441F"/>
    <w:rsid w:val="00764566"/>
    <w:rsid w:val="007648F4"/>
    <w:rsid w:val="0076494F"/>
    <w:rsid w:val="00764A45"/>
    <w:rsid w:val="00764AB7"/>
    <w:rsid w:val="00764C30"/>
    <w:rsid w:val="00764CAF"/>
    <w:rsid w:val="00764CE7"/>
    <w:rsid w:val="00764D23"/>
    <w:rsid w:val="00764D3A"/>
    <w:rsid w:val="00764F22"/>
    <w:rsid w:val="0076512E"/>
    <w:rsid w:val="00765239"/>
    <w:rsid w:val="00765354"/>
    <w:rsid w:val="007654CC"/>
    <w:rsid w:val="00765571"/>
    <w:rsid w:val="0076573B"/>
    <w:rsid w:val="007657CB"/>
    <w:rsid w:val="00765AAD"/>
    <w:rsid w:val="00765CC7"/>
    <w:rsid w:val="00765CF4"/>
    <w:rsid w:val="00765D37"/>
    <w:rsid w:val="00765F93"/>
    <w:rsid w:val="00766183"/>
    <w:rsid w:val="0076618E"/>
    <w:rsid w:val="0076635C"/>
    <w:rsid w:val="007663D7"/>
    <w:rsid w:val="00766478"/>
    <w:rsid w:val="007664F5"/>
    <w:rsid w:val="00766517"/>
    <w:rsid w:val="00766935"/>
    <w:rsid w:val="00766A14"/>
    <w:rsid w:val="00766AFE"/>
    <w:rsid w:val="00766BE2"/>
    <w:rsid w:val="00767095"/>
    <w:rsid w:val="00767149"/>
    <w:rsid w:val="007672D6"/>
    <w:rsid w:val="007673BB"/>
    <w:rsid w:val="00767423"/>
    <w:rsid w:val="007674FB"/>
    <w:rsid w:val="0076779A"/>
    <w:rsid w:val="00767AD7"/>
    <w:rsid w:val="00767C11"/>
    <w:rsid w:val="00767D92"/>
    <w:rsid w:val="00767F47"/>
    <w:rsid w:val="00767FF5"/>
    <w:rsid w:val="0077019D"/>
    <w:rsid w:val="0077040E"/>
    <w:rsid w:val="0077059C"/>
    <w:rsid w:val="00770892"/>
    <w:rsid w:val="007709F7"/>
    <w:rsid w:val="00770A16"/>
    <w:rsid w:val="00770B51"/>
    <w:rsid w:val="00770B5C"/>
    <w:rsid w:val="00770B66"/>
    <w:rsid w:val="00770B9E"/>
    <w:rsid w:val="00770D53"/>
    <w:rsid w:val="00770E87"/>
    <w:rsid w:val="00770EBD"/>
    <w:rsid w:val="00771096"/>
    <w:rsid w:val="007711DD"/>
    <w:rsid w:val="007712D3"/>
    <w:rsid w:val="00771421"/>
    <w:rsid w:val="00771507"/>
    <w:rsid w:val="00771560"/>
    <w:rsid w:val="00771AB8"/>
    <w:rsid w:val="00771C37"/>
    <w:rsid w:val="00771C5F"/>
    <w:rsid w:val="00771CCF"/>
    <w:rsid w:val="00771CFB"/>
    <w:rsid w:val="00771E85"/>
    <w:rsid w:val="00771F8E"/>
    <w:rsid w:val="00772067"/>
    <w:rsid w:val="007721FF"/>
    <w:rsid w:val="0077229D"/>
    <w:rsid w:val="00772703"/>
    <w:rsid w:val="00772A8D"/>
    <w:rsid w:val="00772D69"/>
    <w:rsid w:val="00773155"/>
    <w:rsid w:val="007733F2"/>
    <w:rsid w:val="00773421"/>
    <w:rsid w:val="00773590"/>
    <w:rsid w:val="007735C5"/>
    <w:rsid w:val="00773787"/>
    <w:rsid w:val="007737D6"/>
    <w:rsid w:val="007737E2"/>
    <w:rsid w:val="007738C1"/>
    <w:rsid w:val="00773A59"/>
    <w:rsid w:val="00773A5C"/>
    <w:rsid w:val="00773B2A"/>
    <w:rsid w:val="00773BC2"/>
    <w:rsid w:val="00773C2A"/>
    <w:rsid w:val="00773E91"/>
    <w:rsid w:val="00773FA8"/>
    <w:rsid w:val="00774686"/>
    <w:rsid w:val="007746EF"/>
    <w:rsid w:val="0077470A"/>
    <w:rsid w:val="00774751"/>
    <w:rsid w:val="00774927"/>
    <w:rsid w:val="007749B6"/>
    <w:rsid w:val="00774B7B"/>
    <w:rsid w:val="00774C77"/>
    <w:rsid w:val="00774CF1"/>
    <w:rsid w:val="0077503F"/>
    <w:rsid w:val="00775208"/>
    <w:rsid w:val="0077561A"/>
    <w:rsid w:val="00775653"/>
    <w:rsid w:val="00775968"/>
    <w:rsid w:val="007759C2"/>
    <w:rsid w:val="00775A1E"/>
    <w:rsid w:val="00775AB3"/>
    <w:rsid w:val="00775AE9"/>
    <w:rsid w:val="00775BB3"/>
    <w:rsid w:val="00775C6B"/>
    <w:rsid w:val="00775EA9"/>
    <w:rsid w:val="00775FFD"/>
    <w:rsid w:val="00776039"/>
    <w:rsid w:val="00776066"/>
    <w:rsid w:val="007763C5"/>
    <w:rsid w:val="007764A5"/>
    <w:rsid w:val="0077664C"/>
    <w:rsid w:val="00776762"/>
    <w:rsid w:val="007767EB"/>
    <w:rsid w:val="007768EF"/>
    <w:rsid w:val="00776907"/>
    <w:rsid w:val="00776957"/>
    <w:rsid w:val="00776A72"/>
    <w:rsid w:val="00776D23"/>
    <w:rsid w:val="00776DC9"/>
    <w:rsid w:val="00776E65"/>
    <w:rsid w:val="00777237"/>
    <w:rsid w:val="007772B7"/>
    <w:rsid w:val="00777380"/>
    <w:rsid w:val="007773F8"/>
    <w:rsid w:val="00777489"/>
    <w:rsid w:val="007777AE"/>
    <w:rsid w:val="00777BE9"/>
    <w:rsid w:val="00777E8C"/>
    <w:rsid w:val="00777EFD"/>
    <w:rsid w:val="00777F0D"/>
    <w:rsid w:val="00777F41"/>
    <w:rsid w:val="00777F53"/>
    <w:rsid w:val="00777FAA"/>
    <w:rsid w:val="00780111"/>
    <w:rsid w:val="0078020F"/>
    <w:rsid w:val="007803B2"/>
    <w:rsid w:val="007803D8"/>
    <w:rsid w:val="007806AB"/>
    <w:rsid w:val="00780733"/>
    <w:rsid w:val="007807F6"/>
    <w:rsid w:val="007809E4"/>
    <w:rsid w:val="00780A13"/>
    <w:rsid w:val="00780AC1"/>
    <w:rsid w:val="00780C81"/>
    <w:rsid w:val="00780D1D"/>
    <w:rsid w:val="00780D3D"/>
    <w:rsid w:val="00780E33"/>
    <w:rsid w:val="00780F11"/>
    <w:rsid w:val="007810B4"/>
    <w:rsid w:val="00781115"/>
    <w:rsid w:val="00781225"/>
    <w:rsid w:val="007814AC"/>
    <w:rsid w:val="00781578"/>
    <w:rsid w:val="0078166C"/>
    <w:rsid w:val="007817A1"/>
    <w:rsid w:val="007819BA"/>
    <w:rsid w:val="00781ABA"/>
    <w:rsid w:val="00781BAD"/>
    <w:rsid w:val="00781D1D"/>
    <w:rsid w:val="00781D84"/>
    <w:rsid w:val="00781F6B"/>
    <w:rsid w:val="00781FDE"/>
    <w:rsid w:val="0078235A"/>
    <w:rsid w:val="00782470"/>
    <w:rsid w:val="007824B6"/>
    <w:rsid w:val="00782553"/>
    <w:rsid w:val="007825DD"/>
    <w:rsid w:val="00782680"/>
    <w:rsid w:val="007826FA"/>
    <w:rsid w:val="00782861"/>
    <w:rsid w:val="00782C00"/>
    <w:rsid w:val="00782C4D"/>
    <w:rsid w:val="00782D7C"/>
    <w:rsid w:val="00782DCA"/>
    <w:rsid w:val="00782E13"/>
    <w:rsid w:val="00782EA4"/>
    <w:rsid w:val="0078303F"/>
    <w:rsid w:val="00783158"/>
    <w:rsid w:val="007832C9"/>
    <w:rsid w:val="0078358C"/>
    <w:rsid w:val="00783596"/>
    <w:rsid w:val="0078371A"/>
    <w:rsid w:val="00783785"/>
    <w:rsid w:val="00783902"/>
    <w:rsid w:val="0078395E"/>
    <w:rsid w:val="007839BA"/>
    <w:rsid w:val="00783B71"/>
    <w:rsid w:val="00783D96"/>
    <w:rsid w:val="00783E35"/>
    <w:rsid w:val="00783E8B"/>
    <w:rsid w:val="007840D8"/>
    <w:rsid w:val="007841F5"/>
    <w:rsid w:val="007842EB"/>
    <w:rsid w:val="0078438D"/>
    <w:rsid w:val="007844F4"/>
    <w:rsid w:val="007845C8"/>
    <w:rsid w:val="007845CD"/>
    <w:rsid w:val="0078471D"/>
    <w:rsid w:val="007847F1"/>
    <w:rsid w:val="00784A53"/>
    <w:rsid w:val="00784A8E"/>
    <w:rsid w:val="00784C6F"/>
    <w:rsid w:val="00784C96"/>
    <w:rsid w:val="00784F39"/>
    <w:rsid w:val="0078507B"/>
    <w:rsid w:val="007850D9"/>
    <w:rsid w:val="0078519C"/>
    <w:rsid w:val="007851C4"/>
    <w:rsid w:val="00785200"/>
    <w:rsid w:val="00785508"/>
    <w:rsid w:val="007856D3"/>
    <w:rsid w:val="007858AE"/>
    <w:rsid w:val="0078591C"/>
    <w:rsid w:val="00785A3D"/>
    <w:rsid w:val="00785C9A"/>
    <w:rsid w:val="00785EDF"/>
    <w:rsid w:val="00786003"/>
    <w:rsid w:val="007861AE"/>
    <w:rsid w:val="007862DF"/>
    <w:rsid w:val="007862F5"/>
    <w:rsid w:val="0078634B"/>
    <w:rsid w:val="0078646C"/>
    <w:rsid w:val="007867D3"/>
    <w:rsid w:val="0078699A"/>
    <w:rsid w:val="00786A71"/>
    <w:rsid w:val="00786AB1"/>
    <w:rsid w:val="00786C03"/>
    <w:rsid w:val="00786E87"/>
    <w:rsid w:val="00786FC4"/>
    <w:rsid w:val="0078716E"/>
    <w:rsid w:val="00787226"/>
    <w:rsid w:val="00787324"/>
    <w:rsid w:val="007873E1"/>
    <w:rsid w:val="007874E3"/>
    <w:rsid w:val="0078752A"/>
    <w:rsid w:val="007875FF"/>
    <w:rsid w:val="00787615"/>
    <w:rsid w:val="007876B5"/>
    <w:rsid w:val="007877FD"/>
    <w:rsid w:val="0078786E"/>
    <w:rsid w:val="00787A59"/>
    <w:rsid w:val="00787BE7"/>
    <w:rsid w:val="00787C70"/>
    <w:rsid w:val="00787CC7"/>
    <w:rsid w:val="00787D5D"/>
    <w:rsid w:val="00787E05"/>
    <w:rsid w:val="00787E43"/>
    <w:rsid w:val="00790045"/>
    <w:rsid w:val="007900ED"/>
    <w:rsid w:val="00790234"/>
    <w:rsid w:val="0079028C"/>
    <w:rsid w:val="00790701"/>
    <w:rsid w:val="00790734"/>
    <w:rsid w:val="007908BF"/>
    <w:rsid w:val="007908D2"/>
    <w:rsid w:val="007908D4"/>
    <w:rsid w:val="00790A26"/>
    <w:rsid w:val="00790DAC"/>
    <w:rsid w:val="00790DBE"/>
    <w:rsid w:val="00790F04"/>
    <w:rsid w:val="00790FB7"/>
    <w:rsid w:val="00791101"/>
    <w:rsid w:val="00791268"/>
    <w:rsid w:val="007912ED"/>
    <w:rsid w:val="0079138C"/>
    <w:rsid w:val="007913A2"/>
    <w:rsid w:val="00791520"/>
    <w:rsid w:val="00791659"/>
    <w:rsid w:val="00791723"/>
    <w:rsid w:val="0079191D"/>
    <w:rsid w:val="00791A62"/>
    <w:rsid w:val="00791B5A"/>
    <w:rsid w:val="00791DBB"/>
    <w:rsid w:val="00791DF6"/>
    <w:rsid w:val="00791FC0"/>
    <w:rsid w:val="007923CE"/>
    <w:rsid w:val="0079245B"/>
    <w:rsid w:val="007927E7"/>
    <w:rsid w:val="007928A1"/>
    <w:rsid w:val="00792A70"/>
    <w:rsid w:val="00792E1E"/>
    <w:rsid w:val="00792EBC"/>
    <w:rsid w:val="00792EC9"/>
    <w:rsid w:val="0079306E"/>
    <w:rsid w:val="007931C2"/>
    <w:rsid w:val="0079335F"/>
    <w:rsid w:val="0079340A"/>
    <w:rsid w:val="00793411"/>
    <w:rsid w:val="007935EA"/>
    <w:rsid w:val="00793657"/>
    <w:rsid w:val="00793689"/>
    <w:rsid w:val="00793CA3"/>
    <w:rsid w:val="00793CB0"/>
    <w:rsid w:val="00793CED"/>
    <w:rsid w:val="00793D44"/>
    <w:rsid w:val="00793D5B"/>
    <w:rsid w:val="00793E44"/>
    <w:rsid w:val="00793E7B"/>
    <w:rsid w:val="00793F50"/>
    <w:rsid w:val="00793FC1"/>
    <w:rsid w:val="007942E7"/>
    <w:rsid w:val="00794380"/>
    <w:rsid w:val="00794421"/>
    <w:rsid w:val="00794692"/>
    <w:rsid w:val="007946FB"/>
    <w:rsid w:val="0079470C"/>
    <w:rsid w:val="00794950"/>
    <w:rsid w:val="00794A23"/>
    <w:rsid w:val="00794AAF"/>
    <w:rsid w:val="00794BFC"/>
    <w:rsid w:val="00794C68"/>
    <w:rsid w:val="00795020"/>
    <w:rsid w:val="007952EF"/>
    <w:rsid w:val="00795325"/>
    <w:rsid w:val="007953C2"/>
    <w:rsid w:val="00795436"/>
    <w:rsid w:val="0079546E"/>
    <w:rsid w:val="00795490"/>
    <w:rsid w:val="00795728"/>
    <w:rsid w:val="0079578A"/>
    <w:rsid w:val="007957B8"/>
    <w:rsid w:val="007957FF"/>
    <w:rsid w:val="00795D3E"/>
    <w:rsid w:val="00795D7C"/>
    <w:rsid w:val="007960D9"/>
    <w:rsid w:val="00796256"/>
    <w:rsid w:val="007963FB"/>
    <w:rsid w:val="007965B2"/>
    <w:rsid w:val="007965CE"/>
    <w:rsid w:val="00796770"/>
    <w:rsid w:val="007968AA"/>
    <w:rsid w:val="00796A30"/>
    <w:rsid w:val="00796ADA"/>
    <w:rsid w:val="00796F7F"/>
    <w:rsid w:val="0079722B"/>
    <w:rsid w:val="0079760C"/>
    <w:rsid w:val="0079762E"/>
    <w:rsid w:val="00797840"/>
    <w:rsid w:val="00797918"/>
    <w:rsid w:val="00797A8D"/>
    <w:rsid w:val="00797B3E"/>
    <w:rsid w:val="00797C1B"/>
    <w:rsid w:val="00797D81"/>
    <w:rsid w:val="007A00B0"/>
    <w:rsid w:val="007A0141"/>
    <w:rsid w:val="007A019D"/>
    <w:rsid w:val="007A039B"/>
    <w:rsid w:val="007A03CF"/>
    <w:rsid w:val="007A04F6"/>
    <w:rsid w:val="007A0778"/>
    <w:rsid w:val="007A08FE"/>
    <w:rsid w:val="007A0A64"/>
    <w:rsid w:val="007A0ACA"/>
    <w:rsid w:val="007A0B9E"/>
    <w:rsid w:val="007A0C8A"/>
    <w:rsid w:val="007A0CF1"/>
    <w:rsid w:val="007A0D42"/>
    <w:rsid w:val="007A0E8B"/>
    <w:rsid w:val="007A1042"/>
    <w:rsid w:val="007A10CA"/>
    <w:rsid w:val="007A1185"/>
    <w:rsid w:val="007A131C"/>
    <w:rsid w:val="007A13A7"/>
    <w:rsid w:val="007A15D9"/>
    <w:rsid w:val="007A1750"/>
    <w:rsid w:val="007A1B75"/>
    <w:rsid w:val="007A1BA8"/>
    <w:rsid w:val="007A1DD2"/>
    <w:rsid w:val="007A1DE4"/>
    <w:rsid w:val="007A1F5F"/>
    <w:rsid w:val="007A20AB"/>
    <w:rsid w:val="007A20E9"/>
    <w:rsid w:val="007A2121"/>
    <w:rsid w:val="007A2170"/>
    <w:rsid w:val="007A2327"/>
    <w:rsid w:val="007A262A"/>
    <w:rsid w:val="007A2643"/>
    <w:rsid w:val="007A2711"/>
    <w:rsid w:val="007A27D2"/>
    <w:rsid w:val="007A2832"/>
    <w:rsid w:val="007A2A9F"/>
    <w:rsid w:val="007A2D4E"/>
    <w:rsid w:val="007A2D65"/>
    <w:rsid w:val="007A2E24"/>
    <w:rsid w:val="007A2E30"/>
    <w:rsid w:val="007A2E63"/>
    <w:rsid w:val="007A2EEF"/>
    <w:rsid w:val="007A2F73"/>
    <w:rsid w:val="007A3039"/>
    <w:rsid w:val="007A3041"/>
    <w:rsid w:val="007A31DD"/>
    <w:rsid w:val="007A3392"/>
    <w:rsid w:val="007A33B9"/>
    <w:rsid w:val="007A33FC"/>
    <w:rsid w:val="007A3400"/>
    <w:rsid w:val="007A3511"/>
    <w:rsid w:val="007A356B"/>
    <w:rsid w:val="007A36C0"/>
    <w:rsid w:val="007A37D5"/>
    <w:rsid w:val="007A38E4"/>
    <w:rsid w:val="007A3964"/>
    <w:rsid w:val="007A3980"/>
    <w:rsid w:val="007A3AB2"/>
    <w:rsid w:val="007A3AD3"/>
    <w:rsid w:val="007A3C5C"/>
    <w:rsid w:val="007A3CDF"/>
    <w:rsid w:val="007A3D06"/>
    <w:rsid w:val="007A3DFA"/>
    <w:rsid w:val="007A3E7D"/>
    <w:rsid w:val="007A3EC3"/>
    <w:rsid w:val="007A402B"/>
    <w:rsid w:val="007A40D8"/>
    <w:rsid w:val="007A4199"/>
    <w:rsid w:val="007A42AE"/>
    <w:rsid w:val="007A4323"/>
    <w:rsid w:val="007A445A"/>
    <w:rsid w:val="007A44B9"/>
    <w:rsid w:val="007A452F"/>
    <w:rsid w:val="007A46ED"/>
    <w:rsid w:val="007A48AB"/>
    <w:rsid w:val="007A4AC6"/>
    <w:rsid w:val="007A4DAF"/>
    <w:rsid w:val="007A4EA1"/>
    <w:rsid w:val="007A4EA3"/>
    <w:rsid w:val="007A509F"/>
    <w:rsid w:val="007A5173"/>
    <w:rsid w:val="007A52B3"/>
    <w:rsid w:val="007A538B"/>
    <w:rsid w:val="007A54AB"/>
    <w:rsid w:val="007A54D9"/>
    <w:rsid w:val="007A55D5"/>
    <w:rsid w:val="007A5810"/>
    <w:rsid w:val="007A582F"/>
    <w:rsid w:val="007A5851"/>
    <w:rsid w:val="007A5A3B"/>
    <w:rsid w:val="007A5BDB"/>
    <w:rsid w:val="007A601C"/>
    <w:rsid w:val="007A6076"/>
    <w:rsid w:val="007A6167"/>
    <w:rsid w:val="007A61C0"/>
    <w:rsid w:val="007A6205"/>
    <w:rsid w:val="007A6355"/>
    <w:rsid w:val="007A6443"/>
    <w:rsid w:val="007A6623"/>
    <w:rsid w:val="007A66D5"/>
    <w:rsid w:val="007A66DC"/>
    <w:rsid w:val="007A6824"/>
    <w:rsid w:val="007A68D1"/>
    <w:rsid w:val="007A6926"/>
    <w:rsid w:val="007A6F89"/>
    <w:rsid w:val="007A7073"/>
    <w:rsid w:val="007A716D"/>
    <w:rsid w:val="007A7256"/>
    <w:rsid w:val="007A7265"/>
    <w:rsid w:val="007A733F"/>
    <w:rsid w:val="007A75FC"/>
    <w:rsid w:val="007A778C"/>
    <w:rsid w:val="007A7878"/>
    <w:rsid w:val="007A78D4"/>
    <w:rsid w:val="007A7AFA"/>
    <w:rsid w:val="007B02EF"/>
    <w:rsid w:val="007B04C6"/>
    <w:rsid w:val="007B0595"/>
    <w:rsid w:val="007B05CE"/>
    <w:rsid w:val="007B0668"/>
    <w:rsid w:val="007B06EC"/>
    <w:rsid w:val="007B0723"/>
    <w:rsid w:val="007B07B1"/>
    <w:rsid w:val="007B07D0"/>
    <w:rsid w:val="007B09A5"/>
    <w:rsid w:val="007B09FE"/>
    <w:rsid w:val="007B0CB9"/>
    <w:rsid w:val="007B0D28"/>
    <w:rsid w:val="007B1030"/>
    <w:rsid w:val="007B1126"/>
    <w:rsid w:val="007B11DF"/>
    <w:rsid w:val="007B122F"/>
    <w:rsid w:val="007B12B9"/>
    <w:rsid w:val="007B12CB"/>
    <w:rsid w:val="007B1337"/>
    <w:rsid w:val="007B1432"/>
    <w:rsid w:val="007B14A8"/>
    <w:rsid w:val="007B1760"/>
    <w:rsid w:val="007B19BC"/>
    <w:rsid w:val="007B19C2"/>
    <w:rsid w:val="007B1B7B"/>
    <w:rsid w:val="007B1C43"/>
    <w:rsid w:val="007B1C6B"/>
    <w:rsid w:val="007B1E43"/>
    <w:rsid w:val="007B1FAE"/>
    <w:rsid w:val="007B204A"/>
    <w:rsid w:val="007B2060"/>
    <w:rsid w:val="007B225E"/>
    <w:rsid w:val="007B23B8"/>
    <w:rsid w:val="007B243C"/>
    <w:rsid w:val="007B24A9"/>
    <w:rsid w:val="007B24C8"/>
    <w:rsid w:val="007B2836"/>
    <w:rsid w:val="007B2E5E"/>
    <w:rsid w:val="007B30BD"/>
    <w:rsid w:val="007B3122"/>
    <w:rsid w:val="007B3179"/>
    <w:rsid w:val="007B322C"/>
    <w:rsid w:val="007B3451"/>
    <w:rsid w:val="007B354A"/>
    <w:rsid w:val="007B3551"/>
    <w:rsid w:val="007B35B6"/>
    <w:rsid w:val="007B3670"/>
    <w:rsid w:val="007B36AB"/>
    <w:rsid w:val="007B37A4"/>
    <w:rsid w:val="007B3934"/>
    <w:rsid w:val="007B3B0B"/>
    <w:rsid w:val="007B3B19"/>
    <w:rsid w:val="007B3B47"/>
    <w:rsid w:val="007B3C09"/>
    <w:rsid w:val="007B3DB0"/>
    <w:rsid w:val="007B3FA7"/>
    <w:rsid w:val="007B3FF5"/>
    <w:rsid w:val="007B40B9"/>
    <w:rsid w:val="007B413C"/>
    <w:rsid w:val="007B41C9"/>
    <w:rsid w:val="007B4221"/>
    <w:rsid w:val="007B4280"/>
    <w:rsid w:val="007B4335"/>
    <w:rsid w:val="007B440D"/>
    <w:rsid w:val="007B456E"/>
    <w:rsid w:val="007B46F2"/>
    <w:rsid w:val="007B47EA"/>
    <w:rsid w:val="007B48D1"/>
    <w:rsid w:val="007B4CF8"/>
    <w:rsid w:val="007B4D5C"/>
    <w:rsid w:val="007B4E23"/>
    <w:rsid w:val="007B4E88"/>
    <w:rsid w:val="007B4FF5"/>
    <w:rsid w:val="007B503C"/>
    <w:rsid w:val="007B50A5"/>
    <w:rsid w:val="007B518B"/>
    <w:rsid w:val="007B53AD"/>
    <w:rsid w:val="007B55A1"/>
    <w:rsid w:val="007B563F"/>
    <w:rsid w:val="007B5699"/>
    <w:rsid w:val="007B57F4"/>
    <w:rsid w:val="007B5829"/>
    <w:rsid w:val="007B58D0"/>
    <w:rsid w:val="007B5968"/>
    <w:rsid w:val="007B5A80"/>
    <w:rsid w:val="007B5B18"/>
    <w:rsid w:val="007B5B69"/>
    <w:rsid w:val="007B5D99"/>
    <w:rsid w:val="007B5EB5"/>
    <w:rsid w:val="007B5ECB"/>
    <w:rsid w:val="007B5F13"/>
    <w:rsid w:val="007B600D"/>
    <w:rsid w:val="007B603A"/>
    <w:rsid w:val="007B61B1"/>
    <w:rsid w:val="007B61D1"/>
    <w:rsid w:val="007B630F"/>
    <w:rsid w:val="007B6451"/>
    <w:rsid w:val="007B64C2"/>
    <w:rsid w:val="007B64D3"/>
    <w:rsid w:val="007B6566"/>
    <w:rsid w:val="007B6697"/>
    <w:rsid w:val="007B66D5"/>
    <w:rsid w:val="007B671B"/>
    <w:rsid w:val="007B67AA"/>
    <w:rsid w:val="007B685F"/>
    <w:rsid w:val="007B6919"/>
    <w:rsid w:val="007B6BA9"/>
    <w:rsid w:val="007B6EE3"/>
    <w:rsid w:val="007B6F64"/>
    <w:rsid w:val="007B6FE7"/>
    <w:rsid w:val="007B725C"/>
    <w:rsid w:val="007B72FB"/>
    <w:rsid w:val="007B7340"/>
    <w:rsid w:val="007B735D"/>
    <w:rsid w:val="007B749A"/>
    <w:rsid w:val="007B74CF"/>
    <w:rsid w:val="007B7626"/>
    <w:rsid w:val="007B7634"/>
    <w:rsid w:val="007B767D"/>
    <w:rsid w:val="007B7741"/>
    <w:rsid w:val="007B7863"/>
    <w:rsid w:val="007B78C6"/>
    <w:rsid w:val="007B7A32"/>
    <w:rsid w:val="007B7A36"/>
    <w:rsid w:val="007B7E7D"/>
    <w:rsid w:val="007B7F25"/>
    <w:rsid w:val="007C0239"/>
    <w:rsid w:val="007C02BD"/>
    <w:rsid w:val="007C0499"/>
    <w:rsid w:val="007C0552"/>
    <w:rsid w:val="007C0615"/>
    <w:rsid w:val="007C0754"/>
    <w:rsid w:val="007C0999"/>
    <w:rsid w:val="007C0A6F"/>
    <w:rsid w:val="007C0E7D"/>
    <w:rsid w:val="007C1093"/>
    <w:rsid w:val="007C13FF"/>
    <w:rsid w:val="007C1690"/>
    <w:rsid w:val="007C16BC"/>
    <w:rsid w:val="007C171E"/>
    <w:rsid w:val="007C175A"/>
    <w:rsid w:val="007C17E7"/>
    <w:rsid w:val="007C180E"/>
    <w:rsid w:val="007C1B3F"/>
    <w:rsid w:val="007C1B6B"/>
    <w:rsid w:val="007C1C14"/>
    <w:rsid w:val="007C1C16"/>
    <w:rsid w:val="007C1FD9"/>
    <w:rsid w:val="007C216E"/>
    <w:rsid w:val="007C21DD"/>
    <w:rsid w:val="007C2263"/>
    <w:rsid w:val="007C22BA"/>
    <w:rsid w:val="007C22EC"/>
    <w:rsid w:val="007C24F7"/>
    <w:rsid w:val="007C253A"/>
    <w:rsid w:val="007C2777"/>
    <w:rsid w:val="007C2813"/>
    <w:rsid w:val="007C291B"/>
    <w:rsid w:val="007C2C14"/>
    <w:rsid w:val="007C2C6B"/>
    <w:rsid w:val="007C2D36"/>
    <w:rsid w:val="007C2E00"/>
    <w:rsid w:val="007C2E5E"/>
    <w:rsid w:val="007C2EF0"/>
    <w:rsid w:val="007C2FF6"/>
    <w:rsid w:val="007C3026"/>
    <w:rsid w:val="007C30CC"/>
    <w:rsid w:val="007C323A"/>
    <w:rsid w:val="007C328B"/>
    <w:rsid w:val="007C32BC"/>
    <w:rsid w:val="007C337E"/>
    <w:rsid w:val="007C35C6"/>
    <w:rsid w:val="007C3653"/>
    <w:rsid w:val="007C3706"/>
    <w:rsid w:val="007C3A4E"/>
    <w:rsid w:val="007C3CAA"/>
    <w:rsid w:val="007C3D06"/>
    <w:rsid w:val="007C3E20"/>
    <w:rsid w:val="007C3F66"/>
    <w:rsid w:val="007C3F97"/>
    <w:rsid w:val="007C4394"/>
    <w:rsid w:val="007C4503"/>
    <w:rsid w:val="007C4602"/>
    <w:rsid w:val="007C46BA"/>
    <w:rsid w:val="007C4747"/>
    <w:rsid w:val="007C47A3"/>
    <w:rsid w:val="007C4A5D"/>
    <w:rsid w:val="007C4B57"/>
    <w:rsid w:val="007C4E40"/>
    <w:rsid w:val="007C5046"/>
    <w:rsid w:val="007C50E9"/>
    <w:rsid w:val="007C51A0"/>
    <w:rsid w:val="007C53F4"/>
    <w:rsid w:val="007C5443"/>
    <w:rsid w:val="007C55CC"/>
    <w:rsid w:val="007C5960"/>
    <w:rsid w:val="007C59EF"/>
    <w:rsid w:val="007C5A46"/>
    <w:rsid w:val="007C5BE9"/>
    <w:rsid w:val="007C6015"/>
    <w:rsid w:val="007C6086"/>
    <w:rsid w:val="007C6319"/>
    <w:rsid w:val="007C6440"/>
    <w:rsid w:val="007C64AD"/>
    <w:rsid w:val="007C6691"/>
    <w:rsid w:val="007C6776"/>
    <w:rsid w:val="007C6CAA"/>
    <w:rsid w:val="007C7392"/>
    <w:rsid w:val="007C73D3"/>
    <w:rsid w:val="007C7536"/>
    <w:rsid w:val="007C75A0"/>
    <w:rsid w:val="007C75F6"/>
    <w:rsid w:val="007C7677"/>
    <w:rsid w:val="007C77D0"/>
    <w:rsid w:val="007C781F"/>
    <w:rsid w:val="007C7A4C"/>
    <w:rsid w:val="007C7AB4"/>
    <w:rsid w:val="007C7CED"/>
    <w:rsid w:val="007C7D12"/>
    <w:rsid w:val="007C7E26"/>
    <w:rsid w:val="007C7EBA"/>
    <w:rsid w:val="007C7EEB"/>
    <w:rsid w:val="007D004A"/>
    <w:rsid w:val="007D0194"/>
    <w:rsid w:val="007D034B"/>
    <w:rsid w:val="007D04B8"/>
    <w:rsid w:val="007D04D7"/>
    <w:rsid w:val="007D06FD"/>
    <w:rsid w:val="007D072D"/>
    <w:rsid w:val="007D07DD"/>
    <w:rsid w:val="007D0827"/>
    <w:rsid w:val="007D08A0"/>
    <w:rsid w:val="007D0A5F"/>
    <w:rsid w:val="007D0A7E"/>
    <w:rsid w:val="007D0BC3"/>
    <w:rsid w:val="007D0BF9"/>
    <w:rsid w:val="007D0EDD"/>
    <w:rsid w:val="007D0F8B"/>
    <w:rsid w:val="007D103A"/>
    <w:rsid w:val="007D1089"/>
    <w:rsid w:val="007D10FC"/>
    <w:rsid w:val="007D1115"/>
    <w:rsid w:val="007D1133"/>
    <w:rsid w:val="007D1151"/>
    <w:rsid w:val="007D1177"/>
    <w:rsid w:val="007D1371"/>
    <w:rsid w:val="007D1811"/>
    <w:rsid w:val="007D19A8"/>
    <w:rsid w:val="007D19C1"/>
    <w:rsid w:val="007D1A8B"/>
    <w:rsid w:val="007D1BE1"/>
    <w:rsid w:val="007D1E19"/>
    <w:rsid w:val="007D1E57"/>
    <w:rsid w:val="007D1F47"/>
    <w:rsid w:val="007D1F81"/>
    <w:rsid w:val="007D1F88"/>
    <w:rsid w:val="007D242B"/>
    <w:rsid w:val="007D2478"/>
    <w:rsid w:val="007D24A1"/>
    <w:rsid w:val="007D251D"/>
    <w:rsid w:val="007D2535"/>
    <w:rsid w:val="007D2537"/>
    <w:rsid w:val="007D2578"/>
    <w:rsid w:val="007D25BD"/>
    <w:rsid w:val="007D25C4"/>
    <w:rsid w:val="007D25CD"/>
    <w:rsid w:val="007D2606"/>
    <w:rsid w:val="007D281B"/>
    <w:rsid w:val="007D2850"/>
    <w:rsid w:val="007D299E"/>
    <w:rsid w:val="007D29E7"/>
    <w:rsid w:val="007D2AB2"/>
    <w:rsid w:val="007D2B24"/>
    <w:rsid w:val="007D2B39"/>
    <w:rsid w:val="007D2BA4"/>
    <w:rsid w:val="007D2BDB"/>
    <w:rsid w:val="007D2C67"/>
    <w:rsid w:val="007D2CD5"/>
    <w:rsid w:val="007D2DA3"/>
    <w:rsid w:val="007D2EBD"/>
    <w:rsid w:val="007D32FA"/>
    <w:rsid w:val="007D33D0"/>
    <w:rsid w:val="007D362A"/>
    <w:rsid w:val="007D365A"/>
    <w:rsid w:val="007D3807"/>
    <w:rsid w:val="007D3861"/>
    <w:rsid w:val="007D3FC6"/>
    <w:rsid w:val="007D3FDD"/>
    <w:rsid w:val="007D425C"/>
    <w:rsid w:val="007D45C8"/>
    <w:rsid w:val="007D45CD"/>
    <w:rsid w:val="007D4710"/>
    <w:rsid w:val="007D47FB"/>
    <w:rsid w:val="007D4874"/>
    <w:rsid w:val="007D4980"/>
    <w:rsid w:val="007D4A4F"/>
    <w:rsid w:val="007D4A97"/>
    <w:rsid w:val="007D4AE3"/>
    <w:rsid w:val="007D4B05"/>
    <w:rsid w:val="007D4BB0"/>
    <w:rsid w:val="007D4C14"/>
    <w:rsid w:val="007D4EFD"/>
    <w:rsid w:val="007D4F35"/>
    <w:rsid w:val="007D4F4B"/>
    <w:rsid w:val="007D50EA"/>
    <w:rsid w:val="007D5134"/>
    <w:rsid w:val="007D51EE"/>
    <w:rsid w:val="007D5243"/>
    <w:rsid w:val="007D527A"/>
    <w:rsid w:val="007D52F6"/>
    <w:rsid w:val="007D53D0"/>
    <w:rsid w:val="007D53D4"/>
    <w:rsid w:val="007D5455"/>
    <w:rsid w:val="007D547A"/>
    <w:rsid w:val="007D5499"/>
    <w:rsid w:val="007D5559"/>
    <w:rsid w:val="007D579C"/>
    <w:rsid w:val="007D5911"/>
    <w:rsid w:val="007D5A90"/>
    <w:rsid w:val="007D5B36"/>
    <w:rsid w:val="007D5B81"/>
    <w:rsid w:val="007D5C3D"/>
    <w:rsid w:val="007D5D88"/>
    <w:rsid w:val="007D5ED7"/>
    <w:rsid w:val="007D5F68"/>
    <w:rsid w:val="007D607F"/>
    <w:rsid w:val="007D609B"/>
    <w:rsid w:val="007D60E9"/>
    <w:rsid w:val="007D625A"/>
    <w:rsid w:val="007D6391"/>
    <w:rsid w:val="007D6562"/>
    <w:rsid w:val="007D6707"/>
    <w:rsid w:val="007D6884"/>
    <w:rsid w:val="007D694C"/>
    <w:rsid w:val="007D69DB"/>
    <w:rsid w:val="007D6C97"/>
    <w:rsid w:val="007D6CF2"/>
    <w:rsid w:val="007D6D3A"/>
    <w:rsid w:val="007D6D42"/>
    <w:rsid w:val="007D6EF0"/>
    <w:rsid w:val="007D6F29"/>
    <w:rsid w:val="007D6F30"/>
    <w:rsid w:val="007D6F39"/>
    <w:rsid w:val="007D70E0"/>
    <w:rsid w:val="007D7238"/>
    <w:rsid w:val="007D727E"/>
    <w:rsid w:val="007D7406"/>
    <w:rsid w:val="007D7535"/>
    <w:rsid w:val="007D756F"/>
    <w:rsid w:val="007D767C"/>
    <w:rsid w:val="007D7804"/>
    <w:rsid w:val="007D7DA6"/>
    <w:rsid w:val="007D7EA1"/>
    <w:rsid w:val="007D7F30"/>
    <w:rsid w:val="007D7FA3"/>
    <w:rsid w:val="007E0064"/>
    <w:rsid w:val="007E0098"/>
    <w:rsid w:val="007E03BF"/>
    <w:rsid w:val="007E0548"/>
    <w:rsid w:val="007E0887"/>
    <w:rsid w:val="007E088F"/>
    <w:rsid w:val="007E0BB8"/>
    <w:rsid w:val="007E0C94"/>
    <w:rsid w:val="007E0CC7"/>
    <w:rsid w:val="007E0E6C"/>
    <w:rsid w:val="007E108A"/>
    <w:rsid w:val="007E10AA"/>
    <w:rsid w:val="007E1204"/>
    <w:rsid w:val="007E1275"/>
    <w:rsid w:val="007E13B3"/>
    <w:rsid w:val="007E144E"/>
    <w:rsid w:val="007E15FB"/>
    <w:rsid w:val="007E1787"/>
    <w:rsid w:val="007E1966"/>
    <w:rsid w:val="007E1992"/>
    <w:rsid w:val="007E1BE0"/>
    <w:rsid w:val="007E1C26"/>
    <w:rsid w:val="007E1CCD"/>
    <w:rsid w:val="007E1D62"/>
    <w:rsid w:val="007E1DBE"/>
    <w:rsid w:val="007E1E35"/>
    <w:rsid w:val="007E1E8B"/>
    <w:rsid w:val="007E1F3B"/>
    <w:rsid w:val="007E1F52"/>
    <w:rsid w:val="007E1F89"/>
    <w:rsid w:val="007E2099"/>
    <w:rsid w:val="007E232E"/>
    <w:rsid w:val="007E23DC"/>
    <w:rsid w:val="007E25E4"/>
    <w:rsid w:val="007E25FA"/>
    <w:rsid w:val="007E2633"/>
    <w:rsid w:val="007E2636"/>
    <w:rsid w:val="007E2D34"/>
    <w:rsid w:val="007E2ED3"/>
    <w:rsid w:val="007E2EEA"/>
    <w:rsid w:val="007E2F9E"/>
    <w:rsid w:val="007E3082"/>
    <w:rsid w:val="007E3201"/>
    <w:rsid w:val="007E3239"/>
    <w:rsid w:val="007E34BA"/>
    <w:rsid w:val="007E3533"/>
    <w:rsid w:val="007E3663"/>
    <w:rsid w:val="007E3790"/>
    <w:rsid w:val="007E37D3"/>
    <w:rsid w:val="007E38D6"/>
    <w:rsid w:val="007E3921"/>
    <w:rsid w:val="007E392E"/>
    <w:rsid w:val="007E39FA"/>
    <w:rsid w:val="007E3AED"/>
    <w:rsid w:val="007E3BB8"/>
    <w:rsid w:val="007E3BCA"/>
    <w:rsid w:val="007E3C5C"/>
    <w:rsid w:val="007E3C94"/>
    <w:rsid w:val="007E3D48"/>
    <w:rsid w:val="007E3DE2"/>
    <w:rsid w:val="007E404F"/>
    <w:rsid w:val="007E40BD"/>
    <w:rsid w:val="007E41D2"/>
    <w:rsid w:val="007E4398"/>
    <w:rsid w:val="007E4415"/>
    <w:rsid w:val="007E44A7"/>
    <w:rsid w:val="007E4780"/>
    <w:rsid w:val="007E4803"/>
    <w:rsid w:val="007E4953"/>
    <w:rsid w:val="007E4B34"/>
    <w:rsid w:val="007E4D3F"/>
    <w:rsid w:val="007E4E20"/>
    <w:rsid w:val="007E4FC8"/>
    <w:rsid w:val="007E53DB"/>
    <w:rsid w:val="007E5421"/>
    <w:rsid w:val="007E552C"/>
    <w:rsid w:val="007E55ED"/>
    <w:rsid w:val="007E562A"/>
    <w:rsid w:val="007E5855"/>
    <w:rsid w:val="007E59CB"/>
    <w:rsid w:val="007E5AEA"/>
    <w:rsid w:val="007E6038"/>
    <w:rsid w:val="007E60B3"/>
    <w:rsid w:val="007E61DD"/>
    <w:rsid w:val="007E6226"/>
    <w:rsid w:val="007E62AF"/>
    <w:rsid w:val="007E633F"/>
    <w:rsid w:val="007E639D"/>
    <w:rsid w:val="007E63E7"/>
    <w:rsid w:val="007E6497"/>
    <w:rsid w:val="007E65D8"/>
    <w:rsid w:val="007E671A"/>
    <w:rsid w:val="007E6806"/>
    <w:rsid w:val="007E6808"/>
    <w:rsid w:val="007E6A4A"/>
    <w:rsid w:val="007E6D06"/>
    <w:rsid w:val="007E6D7D"/>
    <w:rsid w:val="007E6DD0"/>
    <w:rsid w:val="007E6E85"/>
    <w:rsid w:val="007E6FED"/>
    <w:rsid w:val="007E72D5"/>
    <w:rsid w:val="007E756A"/>
    <w:rsid w:val="007E75F2"/>
    <w:rsid w:val="007E785B"/>
    <w:rsid w:val="007E7D81"/>
    <w:rsid w:val="007E7EB6"/>
    <w:rsid w:val="007E7F74"/>
    <w:rsid w:val="007F0010"/>
    <w:rsid w:val="007F0108"/>
    <w:rsid w:val="007F0377"/>
    <w:rsid w:val="007F04A2"/>
    <w:rsid w:val="007F082D"/>
    <w:rsid w:val="007F0885"/>
    <w:rsid w:val="007F0977"/>
    <w:rsid w:val="007F0A0A"/>
    <w:rsid w:val="007F0ABE"/>
    <w:rsid w:val="007F0B15"/>
    <w:rsid w:val="007F0CE4"/>
    <w:rsid w:val="007F0DFF"/>
    <w:rsid w:val="007F0E4C"/>
    <w:rsid w:val="007F0E57"/>
    <w:rsid w:val="007F1021"/>
    <w:rsid w:val="007F104F"/>
    <w:rsid w:val="007F105F"/>
    <w:rsid w:val="007F10C0"/>
    <w:rsid w:val="007F1143"/>
    <w:rsid w:val="007F1340"/>
    <w:rsid w:val="007F1390"/>
    <w:rsid w:val="007F15B5"/>
    <w:rsid w:val="007F187A"/>
    <w:rsid w:val="007F1A92"/>
    <w:rsid w:val="007F1B60"/>
    <w:rsid w:val="007F1BA1"/>
    <w:rsid w:val="007F1BB1"/>
    <w:rsid w:val="007F1CAC"/>
    <w:rsid w:val="007F1EA4"/>
    <w:rsid w:val="007F1FDD"/>
    <w:rsid w:val="007F1FEB"/>
    <w:rsid w:val="007F1FFC"/>
    <w:rsid w:val="007F2251"/>
    <w:rsid w:val="007F22C9"/>
    <w:rsid w:val="007F22FE"/>
    <w:rsid w:val="007F23C8"/>
    <w:rsid w:val="007F2953"/>
    <w:rsid w:val="007F29D5"/>
    <w:rsid w:val="007F2A0D"/>
    <w:rsid w:val="007F2AD8"/>
    <w:rsid w:val="007F2C31"/>
    <w:rsid w:val="007F2C57"/>
    <w:rsid w:val="007F2CC6"/>
    <w:rsid w:val="007F2CF3"/>
    <w:rsid w:val="007F302A"/>
    <w:rsid w:val="007F3081"/>
    <w:rsid w:val="007F309D"/>
    <w:rsid w:val="007F30E1"/>
    <w:rsid w:val="007F317B"/>
    <w:rsid w:val="007F33BA"/>
    <w:rsid w:val="007F33D4"/>
    <w:rsid w:val="007F33EB"/>
    <w:rsid w:val="007F33F4"/>
    <w:rsid w:val="007F34BA"/>
    <w:rsid w:val="007F35B0"/>
    <w:rsid w:val="007F376B"/>
    <w:rsid w:val="007F37C8"/>
    <w:rsid w:val="007F37D3"/>
    <w:rsid w:val="007F38BC"/>
    <w:rsid w:val="007F39FC"/>
    <w:rsid w:val="007F3D40"/>
    <w:rsid w:val="007F3D88"/>
    <w:rsid w:val="007F3E0C"/>
    <w:rsid w:val="007F3F8B"/>
    <w:rsid w:val="007F3F8E"/>
    <w:rsid w:val="007F41E7"/>
    <w:rsid w:val="007F421B"/>
    <w:rsid w:val="007F42B0"/>
    <w:rsid w:val="007F4388"/>
    <w:rsid w:val="007F43C6"/>
    <w:rsid w:val="007F4581"/>
    <w:rsid w:val="007F45A4"/>
    <w:rsid w:val="007F45FE"/>
    <w:rsid w:val="007F4616"/>
    <w:rsid w:val="007F461A"/>
    <w:rsid w:val="007F4753"/>
    <w:rsid w:val="007F475B"/>
    <w:rsid w:val="007F4846"/>
    <w:rsid w:val="007F48F0"/>
    <w:rsid w:val="007F4977"/>
    <w:rsid w:val="007F4AF2"/>
    <w:rsid w:val="007F4BE5"/>
    <w:rsid w:val="007F4C8D"/>
    <w:rsid w:val="007F4D16"/>
    <w:rsid w:val="007F4FBD"/>
    <w:rsid w:val="007F5223"/>
    <w:rsid w:val="007F5234"/>
    <w:rsid w:val="007F5256"/>
    <w:rsid w:val="007F52B6"/>
    <w:rsid w:val="007F55D8"/>
    <w:rsid w:val="007F55EB"/>
    <w:rsid w:val="007F57B3"/>
    <w:rsid w:val="007F59C9"/>
    <w:rsid w:val="007F5BA7"/>
    <w:rsid w:val="007F5BC0"/>
    <w:rsid w:val="007F5C17"/>
    <w:rsid w:val="007F5DF7"/>
    <w:rsid w:val="007F5F01"/>
    <w:rsid w:val="007F610E"/>
    <w:rsid w:val="007F637A"/>
    <w:rsid w:val="007F63AB"/>
    <w:rsid w:val="007F64D3"/>
    <w:rsid w:val="007F64F6"/>
    <w:rsid w:val="007F6764"/>
    <w:rsid w:val="007F69C5"/>
    <w:rsid w:val="007F69DB"/>
    <w:rsid w:val="007F6E0A"/>
    <w:rsid w:val="007F6E97"/>
    <w:rsid w:val="007F74BE"/>
    <w:rsid w:val="007F7562"/>
    <w:rsid w:val="007F7604"/>
    <w:rsid w:val="007F78AC"/>
    <w:rsid w:val="007F78D3"/>
    <w:rsid w:val="007F7907"/>
    <w:rsid w:val="007F7A09"/>
    <w:rsid w:val="007F7A1F"/>
    <w:rsid w:val="007F7A63"/>
    <w:rsid w:val="007F7C70"/>
    <w:rsid w:val="007F7C99"/>
    <w:rsid w:val="007F7D15"/>
    <w:rsid w:val="007F7DDF"/>
    <w:rsid w:val="007F7FE6"/>
    <w:rsid w:val="00800062"/>
    <w:rsid w:val="008000DB"/>
    <w:rsid w:val="008004FC"/>
    <w:rsid w:val="00800524"/>
    <w:rsid w:val="0080054C"/>
    <w:rsid w:val="00800565"/>
    <w:rsid w:val="008006BF"/>
    <w:rsid w:val="00800C3F"/>
    <w:rsid w:val="00800D19"/>
    <w:rsid w:val="00800F87"/>
    <w:rsid w:val="00801304"/>
    <w:rsid w:val="0080130F"/>
    <w:rsid w:val="00801387"/>
    <w:rsid w:val="008013F5"/>
    <w:rsid w:val="0080141A"/>
    <w:rsid w:val="00801464"/>
    <w:rsid w:val="00801872"/>
    <w:rsid w:val="00801A9D"/>
    <w:rsid w:val="00801D4E"/>
    <w:rsid w:val="00801E4D"/>
    <w:rsid w:val="00801E59"/>
    <w:rsid w:val="008020C7"/>
    <w:rsid w:val="00802202"/>
    <w:rsid w:val="0080220E"/>
    <w:rsid w:val="0080223D"/>
    <w:rsid w:val="0080231A"/>
    <w:rsid w:val="008023AA"/>
    <w:rsid w:val="00802420"/>
    <w:rsid w:val="008024D2"/>
    <w:rsid w:val="0080262D"/>
    <w:rsid w:val="008027D1"/>
    <w:rsid w:val="008028BC"/>
    <w:rsid w:val="00802B33"/>
    <w:rsid w:val="00802B6A"/>
    <w:rsid w:val="00802C99"/>
    <w:rsid w:val="00802E3E"/>
    <w:rsid w:val="00802F42"/>
    <w:rsid w:val="00803203"/>
    <w:rsid w:val="0080326F"/>
    <w:rsid w:val="00803548"/>
    <w:rsid w:val="008035A8"/>
    <w:rsid w:val="0080361A"/>
    <w:rsid w:val="00803690"/>
    <w:rsid w:val="0080373C"/>
    <w:rsid w:val="008037B2"/>
    <w:rsid w:val="00803880"/>
    <w:rsid w:val="00803932"/>
    <w:rsid w:val="00803A5F"/>
    <w:rsid w:val="00803ACE"/>
    <w:rsid w:val="00803AE7"/>
    <w:rsid w:val="00803B73"/>
    <w:rsid w:val="00803BBB"/>
    <w:rsid w:val="00803C1B"/>
    <w:rsid w:val="00803C86"/>
    <w:rsid w:val="00803E05"/>
    <w:rsid w:val="00803F73"/>
    <w:rsid w:val="008041CB"/>
    <w:rsid w:val="00804257"/>
    <w:rsid w:val="008042BF"/>
    <w:rsid w:val="008045CB"/>
    <w:rsid w:val="008046D3"/>
    <w:rsid w:val="00804743"/>
    <w:rsid w:val="008048A4"/>
    <w:rsid w:val="00804938"/>
    <w:rsid w:val="00804945"/>
    <w:rsid w:val="00804AD9"/>
    <w:rsid w:val="00804B82"/>
    <w:rsid w:val="00804C89"/>
    <w:rsid w:val="00804CF3"/>
    <w:rsid w:val="00804D1C"/>
    <w:rsid w:val="00804DD9"/>
    <w:rsid w:val="00804E04"/>
    <w:rsid w:val="00804EFE"/>
    <w:rsid w:val="00804F53"/>
    <w:rsid w:val="008053A8"/>
    <w:rsid w:val="0080546A"/>
    <w:rsid w:val="0080547C"/>
    <w:rsid w:val="008055A5"/>
    <w:rsid w:val="008055CF"/>
    <w:rsid w:val="0080570D"/>
    <w:rsid w:val="008058A9"/>
    <w:rsid w:val="00805D73"/>
    <w:rsid w:val="00805E62"/>
    <w:rsid w:val="00805EAF"/>
    <w:rsid w:val="00805F74"/>
    <w:rsid w:val="00806272"/>
    <w:rsid w:val="008062DB"/>
    <w:rsid w:val="0080649B"/>
    <w:rsid w:val="008065F4"/>
    <w:rsid w:val="00806722"/>
    <w:rsid w:val="00806785"/>
    <w:rsid w:val="00806AB5"/>
    <w:rsid w:val="00806AEF"/>
    <w:rsid w:val="00806DB7"/>
    <w:rsid w:val="00806DBF"/>
    <w:rsid w:val="00806FF0"/>
    <w:rsid w:val="0080710B"/>
    <w:rsid w:val="00807114"/>
    <w:rsid w:val="0080713A"/>
    <w:rsid w:val="0080724F"/>
    <w:rsid w:val="008072F2"/>
    <w:rsid w:val="0080739B"/>
    <w:rsid w:val="00807563"/>
    <w:rsid w:val="0080783A"/>
    <w:rsid w:val="00807A56"/>
    <w:rsid w:val="00807B32"/>
    <w:rsid w:val="00807C23"/>
    <w:rsid w:val="00807CC8"/>
    <w:rsid w:val="00807CCE"/>
    <w:rsid w:val="00807CE4"/>
    <w:rsid w:val="00807D89"/>
    <w:rsid w:val="00807F88"/>
    <w:rsid w:val="00810064"/>
    <w:rsid w:val="00810316"/>
    <w:rsid w:val="0081038F"/>
    <w:rsid w:val="0081044F"/>
    <w:rsid w:val="008104B9"/>
    <w:rsid w:val="008105D8"/>
    <w:rsid w:val="00810626"/>
    <w:rsid w:val="00810737"/>
    <w:rsid w:val="00810759"/>
    <w:rsid w:val="00810873"/>
    <w:rsid w:val="008108CB"/>
    <w:rsid w:val="00810A49"/>
    <w:rsid w:val="00810B09"/>
    <w:rsid w:val="00810B7C"/>
    <w:rsid w:val="00810C5E"/>
    <w:rsid w:val="00810D10"/>
    <w:rsid w:val="00810D8D"/>
    <w:rsid w:val="00810F8D"/>
    <w:rsid w:val="00811145"/>
    <w:rsid w:val="008111E6"/>
    <w:rsid w:val="008113C3"/>
    <w:rsid w:val="008113F6"/>
    <w:rsid w:val="00811425"/>
    <w:rsid w:val="008114B4"/>
    <w:rsid w:val="0081153A"/>
    <w:rsid w:val="008115FB"/>
    <w:rsid w:val="0081173A"/>
    <w:rsid w:val="008117E6"/>
    <w:rsid w:val="0081198D"/>
    <w:rsid w:val="00811AD9"/>
    <w:rsid w:val="00811D7F"/>
    <w:rsid w:val="00811DA3"/>
    <w:rsid w:val="00812080"/>
    <w:rsid w:val="00812359"/>
    <w:rsid w:val="0081235D"/>
    <w:rsid w:val="00812450"/>
    <w:rsid w:val="00812551"/>
    <w:rsid w:val="0081263B"/>
    <w:rsid w:val="008126DC"/>
    <w:rsid w:val="008127D6"/>
    <w:rsid w:val="00812988"/>
    <w:rsid w:val="008129F4"/>
    <w:rsid w:val="00812A20"/>
    <w:rsid w:val="00812B26"/>
    <w:rsid w:val="008130A9"/>
    <w:rsid w:val="00813188"/>
    <w:rsid w:val="008131CF"/>
    <w:rsid w:val="00813450"/>
    <w:rsid w:val="0081345E"/>
    <w:rsid w:val="00813480"/>
    <w:rsid w:val="008137D1"/>
    <w:rsid w:val="0081387B"/>
    <w:rsid w:val="008138EF"/>
    <w:rsid w:val="00813BF6"/>
    <w:rsid w:val="00813E82"/>
    <w:rsid w:val="00813E90"/>
    <w:rsid w:val="00813EFC"/>
    <w:rsid w:val="00813F51"/>
    <w:rsid w:val="00813F9D"/>
    <w:rsid w:val="00813FAB"/>
    <w:rsid w:val="008141F1"/>
    <w:rsid w:val="00814479"/>
    <w:rsid w:val="008145CA"/>
    <w:rsid w:val="0081463C"/>
    <w:rsid w:val="00814661"/>
    <w:rsid w:val="008147C1"/>
    <w:rsid w:val="0081487A"/>
    <w:rsid w:val="008149B4"/>
    <w:rsid w:val="00814AD4"/>
    <w:rsid w:val="00814B23"/>
    <w:rsid w:val="00814B5D"/>
    <w:rsid w:val="00814C6F"/>
    <w:rsid w:val="00814C7E"/>
    <w:rsid w:val="00814C9F"/>
    <w:rsid w:val="00814E85"/>
    <w:rsid w:val="00814FF8"/>
    <w:rsid w:val="00815014"/>
    <w:rsid w:val="00815092"/>
    <w:rsid w:val="00815143"/>
    <w:rsid w:val="008152B9"/>
    <w:rsid w:val="00815309"/>
    <w:rsid w:val="00815432"/>
    <w:rsid w:val="008156D0"/>
    <w:rsid w:val="008157C8"/>
    <w:rsid w:val="00815AFB"/>
    <w:rsid w:val="00815C1F"/>
    <w:rsid w:val="00815D45"/>
    <w:rsid w:val="00815D8B"/>
    <w:rsid w:val="00815E27"/>
    <w:rsid w:val="00815FB2"/>
    <w:rsid w:val="00815FF6"/>
    <w:rsid w:val="00816664"/>
    <w:rsid w:val="00816741"/>
    <w:rsid w:val="00816778"/>
    <w:rsid w:val="0081695A"/>
    <w:rsid w:val="00816A57"/>
    <w:rsid w:val="00816F0E"/>
    <w:rsid w:val="00816FE0"/>
    <w:rsid w:val="00817012"/>
    <w:rsid w:val="0081701B"/>
    <w:rsid w:val="00817063"/>
    <w:rsid w:val="00817077"/>
    <w:rsid w:val="0081707E"/>
    <w:rsid w:val="00817281"/>
    <w:rsid w:val="0081728C"/>
    <w:rsid w:val="008175A6"/>
    <w:rsid w:val="00817696"/>
    <w:rsid w:val="008176F8"/>
    <w:rsid w:val="00817833"/>
    <w:rsid w:val="0081783C"/>
    <w:rsid w:val="0081783D"/>
    <w:rsid w:val="00817C21"/>
    <w:rsid w:val="00817C26"/>
    <w:rsid w:val="00817E5B"/>
    <w:rsid w:val="00817F0B"/>
    <w:rsid w:val="00817F71"/>
    <w:rsid w:val="008202EE"/>
    <w:rsid w:val="0082079F"/>
    <w:rsid w:val="008207E8"/>
    <w:rsid w:val="00820830"/>
    <w:rsid w:val="00820AFE"/>
    <w:rsid w:val="00820B74"/>
    <w:rsid w:val="00820CC9"/>
    <w:rsid w:val="00820FC4"/>
    <w:rsid w:val="00821103"/>
    <w:rsid w:val="00821164"/>
    <w:rsid w:val="008211B6"/>
    <w:rsid w:val="0082129F"/>
    <w:rsid w:val="00821311"/>
    <w:rsid w:val="00821474"/>
    <w:rsid w:val="008214CD"/>
    <w:rsid w:val="00821613"/>
    <w:rsid w:val="008216D4"/>
    <w:rsid w:val="008217A1"/>
    <w:rsid w:val="00821B06"/>
    <w:rsid w:val="00821CCE"/>
    <w:rsid w:val="00821CE6"/>
    <w:rsid w:val="00821E43"/>
    <w:rsid w:val="00821F6D"/>
    <w:rsid w:val="00821F8A"/>
    <w:rsid w:val="00821F8E"/>
    <w:rsid w:val="00821F94"/>
    <w:rsid w:val="00821FFB"/>
    <w:rsid w:val="00822009"/>
    <w:rsid w:val="00822016"/>
    <w:rsid w:val="00822141"/>
    <w:rsid w:val="00822375"/>
    <w:rsid w:val="0082250E"/>
    <w:rsid w:val="00822695"/>
    <w:rsid w:val="0082269F"/>
    <w:rsid w:val="008226FB"/>
    <w:rsid w:val="00822799"/>
    <w:rsid w:val="008227D2"/>
    <w:rsid w:val="00822993"/>
    <w:rsid w:val="008229EF"/>
    <w:rsid w:val="00822AC5"/>
    <w:rsid w:val="00822B5F"/>
    <w:rsid w:val="00822BFB"/>
    <w:rsid w:val="00822ECF"/>
    <w:rsid w:val="00822FEF"/>
    <w:rsid w:val="008230FF"/>
    <w:rsid w:val="00823193"/>
    <w:rsid w:val="008231E3"/>
    <w:rsid w:val="0082331A"/>
    <w:rsid w:val="0082334D"/>
    <w:rsid w:val="008236ED"/>
    <w:rsid w:val="008236EE"/>
    <w:rsid w:val="0082389F"/>
    <w:rsid w:val="00823B0C"/>
    <w:rsid w:val="00823E52"/>
    <w:rsid w:val="00823ED2"/>
    <w:rsid w:val="00824221"/>
    <w:rsid w:val="00824274"/>
    <w:rsid w:val="008243EA"/>
    <w:rsid w:val="008245EC"/>
    <w:rsid w:val="0082464D"/>
    <w:rsid w:val="0082472A"/>
    <w:rsid w:val="008247B8"/>
    <w:rsid w:val="008247D9"/>
    <w:rsid w:val="00824893"/>
    <w:rsid w:val="0082492D"/>
    <w:rsid w:val="00824A44"/>
    <w:rsid w:val="00824ADE"/>
    <w:rsid w:val="00824C19"/>
    <w:rsid w:val="008250F4"/>
    <w:rsid w:val="00825359"/>
    <w:rsid w:val="00825370"/>
    <w:rsid w:val="00825468"/>
    <w:rsid w:val="00825483"/>
    <w:rsid w:val="008255DF"/>
    <w:rsid w:val="00825614"/>
    <w:rsid w:val="0082567A"/>
    <w:rsid w:val="008257CB"/>
    <w:rsid w:val="00825918"/>
    <w:rsid w:val="0082593C"/>
    <w:rsid w:val="00825AD3"/>
    <w:rsid w:val="00826014"/>
    <w:rsid w:val="0082652D"/>
    <w:rsid w:val="00826711"/>
    <w:rsid w:val="0082681E"/>
    <w:rsid w:val="00826939"/>
    <w:rsid w:val="00826A73"/>
    <w:rsid w:val="00826C0F"/>
    <w:rsid w:val="00826C99"/>
    <w:rsid w:val="00826C9F"/>
    <w:rsid w:val="00826DF7"/>
    <w:rsid w:val="00826EC9"/>
    <w:rsid w:val="00826FB9"/>
    <w:rsid w:val="00826FE8"/>
    <w:rsid w:val="008274C8"/>
    <w:rsid w:val="008274F4"/>
    <w:rsid w:val="00827505"/>
    <w:rsid w:val="00827585"/>
    <w:rsid w:val="0082775E"/>
    <w:rsid w:val="008277FA"/>
    <w:rsid w:val="008278D0"/>
    <w:rsid w:val="0082795D"/>
    <w:rsid w:val="00827ACA"/>
    <w:rsid w:val="00827ACF"/>
    <w:rsid w:val="00827F6F"/>
    <w:rsid w:val="008300F4"/>
    <w:rsid w:val="00830114"/>
    <w:rsid w:val="00830137"/>
    <w:rsid w:val="00830164"/>
    <w:rsid w:val="00830184"/>
    <w:rsid w:val="008305C4"/>
    <w:rsid w:val="0083068A"/>
    <w:rsid w:val="00830A43"/>
    <w:rsid w:val="00830AF3"/>
    <w:rsid w:val="00830B5E"/>
    <w:rsid w:val="00830C62"/>
    <w:rsid w:val="00830C85"/>
    <w:rsid w:val="00830CA0"/>
    <w:rsid w:val="00830F91"/>
    <w:rsid w:val="00830FFE"/>
    <w:rsid w:val="00831226"/>
    <w:rsid w:val="008312B4"/>
    <w:rsid w:val="00831472"/>
    <w:rsid w:val="00831495"/>
    <w:rsid w:val="008314ED"/>
    <w:rsid w:val="00831510"/>
    <w:rsid w:val="0083157E"/>
    <w:rsid w:val="008316F2"/>
    <w:rsid w:val="00831981"/>
    <w:rsid w:val="00831A6B"/>
    <w:rsid w:val="00831B28"/>
    <w:rsid w:val="00831BD2"/>
    <w:rsid w:val="00831DA9"/>
    <w:rsid w:val="00832138"/>
    <w:rsid w:val="00832141"/>
    <w:rsid w:val="00832217"/>
    <w:rsid w:val="0083253C"/>
    <w:rsid w:val="0083256D"/>
    <w:rsid w:val="008325DA"/>
    <w:rsid w:val="00832877"/>
    <w:rsid w:val="008328D0"/>
    <w:rsid w:val="008329C7"/>
    <w:rsid w:val="00832A61"/>
    <w:rsid w:val="00832ACF"/>
    <w:rsid w:val="00832B6E"/>
    <w:rsid w:val="00832B71"/>
    <w:rsid w:val="00832BB7"/>
    <w:rsid w:val="00832C02"/>
    <w:rsid w:val="00832D74"/>
    <w:rsid w:val="00832FB8"/>
    <w:rsid w:val="00833426"/>
    <w:rsid w:val="008337EF"/>
    <w:rsid w:val="00833829"/>
    <w:rsid w:val="008339D6"/>
    <w:rsid w:val="00833C03"/>
    <w:rsid w:val="00833D9C"/>
    <w:rsid w:val="00833E0F"/>
    <w:rsid w:val="00833F8D"/>
    <w:rsid w:val="0083403B"/>
    <w:rsid w:val="00834312"/>
    <w:rsid w:val="0083449C"/>
    <w:rsid w:val="008346B4"/>
    <w:rsid w:val="00834808"/>
    <w:rsid w:val="008348D8"/>
    <w:rsid w:val="00834918"/>
    <w:rsid w:val="00834967"/>
    <w:rsid w:val="008349F0"/>
    <w:rsid w:val="00834A1F"/>
    <w:rsid w:val="00834A51"/>
    <w:rsid w:val="00834B50"/>
    <w:rsid w:val="00834BB3"/>
    <w:rsid w:val="00834C42"/>
    <w:rsid w:val="00834DA1"/>
    <w:rsid w:val="00834EAC"/>
    <w:rsid w:val="00834F42"/>
    <w:rsid w:val="00834F99"/>
    <w:rsid w:val="0083517C"/>
    <w:rsid w:val="0083526C"/>
    <w:rsid w:val="00835397"/>
    <w:rsid w:val="008353F3"/>
    <w:rsid w:val="008354E7"/>
    <w:rsid w:val="008355B4"/>
    <w:rsid w:val="0083570C"/>
    <w:rsid w:val="008357B2"/>
    <w:rsid w:val="008357D4"/>
    <w:rsid w:val="0083588E"/>
    <w:rsid w:val="00835AA4"/>
    <w:rsid w:val="00835C13"/>
    <w:rsid w:val="00835DC7"/>
    <w:rsid w:val="00835F11"/>
    <w:rsid w:val="00835F6D"/>
    <w:rsid w:val="00836197"/>
    <w:rsid w:val="008362D7"/>
    <w:rsid w:val="008366D3"/>
    <w:rsid w:val="00836804"/>
    <w:rsid w:val="00836B20"/>
    <w:rsid w:val="00836BDD"/>
    <w:rsid w:val="00836C5B"/>
    <w:rsid w:val="008372D1"/>
    <w:rsid w:val="00837346"/>
    <w:rsid w:val="00837348"/>
    <w:rsid w:val="008373DA"/>
    <w:rsid w:val="00837779"/>
    <w:rsid w:val="00837810"/>
    <w:rsid w:val="00837AD3"/>
    <w:rsid w:val="00837E6B"/>
    <w:rsid w:val="00837EC8"/>
    <w:rsid w:val="00837F0E"/>
    <w:rsid w:val="0084018E"/>
    <w:rsid w:val="0084021E"/>
    <w:rsid w:val="00840254"/>
    <w:rsid w:val="00840256"/>
    <w:rsid w:val="0084026A"/>
    <w:rsid w:val="008402B9"/>
    <w:rsid w:val="008406CD"/>
    <w:rsid w:val="008406D6"/>
    <w:rsid w:val="00840762"/>
    <w:rsid w:val="0084096A"/>
    <w:rsid w:val="00840CD9"/>
    <w:rsid w:val="00840D00"/>
    <w:rsid w:val="00840D8C"/>
    <w:rsid w:val="00840E6B"/>
    <w:rsid w:val="00840E6D"/>
    <w:rsid w:val="00840EDC"/>
    <w:rsid w:val="00840F22"/>
    <w:rsid w:val="00840F48"/>
    <w:rsid w:val="008411FF"/>
    <w:rsid w:val="008415A6"/>
    <w:rsid w:val="008415BE"/>
    <w:rsid w:val="008415E8"/>
    <w:rsid w:val="008415E9"/>
    <w:rsid w:val="008418E6"/>
    <w:rsid w:val="00841BF5"/>
    <w:rsid w:val="00841E62"/>
    <w:rsid w:val="00841FAD"/>
    <w:rsid w:val="00842241"/>
    <w:rsid w:val="0084237F"/>
    <w:rsid w:val="008423BF"/>
    <w:rsid w:val="00842533"/>
    <w:rsid w:val="0084278F"/>
    <w:rsid w:val="00842901"/>
    <w:rsid w:val="00842907"/>
    <w:rsid w:val="00842A56"/>
    <w:rsid w:val="00842B15"/>
    <w:rsid w:val="00842B74"/>
    <w:rsid w:val="00842CB7"/>
    <w:rsid w:val="00842CDA"/>
    <w:rsid w:val="00842D08"/>
    <w:rsid w:val="00842DA3"/>
    <w:rsid w:val="00842DCD"/>
    <w:rsid w:val="00842DE3"/>
    <w:rsid w:val="00842E03"/>
    <w:rsid w:val="0084300F"/>
    <w:rsid w:val="00843139"/>
    <w:rsid w:val="00843258"/>
    <w:rsid w:val="008432D0"/>
    <w:rsid w:val="00843563"/>
    <w:rsid w:val="00843D38"/>
    <w:rsid w:val="00843DCC"/>
    <w:rsid w:val="00843EB7"/>
    <w:rsid w:val="00843F00"/>
    <w:rsid w:val="008441B8"/>
    <w:rsid w:val="00844202"/>
    <w:rsid w:val="00844218"/>
    <w:rsid w:val="00844230"/>
    <w:rsid w:val="00844246"/>
    <w:rsid w:val="00844368"/>
    <w:rsid w:val="00844406"/>
    <w:rsid w:val="0084442E"/>
    <w:rsid w:val="00844616"/>
    <w:rsid w:val="0084463B"/>
    <w:rsid w:val="00844B07"/>
    <w:rsid w:val="00844C13"/>
    <w:rsid w:val="00844CED"/>
    <w:rsid w:val="00844EBA"/>
    <w:rsid w:val="0084509C"/>
    <w:rsid w:val="00845172"/>
    <w:rsid w:val="008451A9"/>
    <w:rsid w:val="00845216"/>
    <w:rsid w:val="0084528E"/>
    <w:rsid w:val="0084569D"/>
    <w:rsid w:val="00845754"/>
    <w:rsid w:val="00845D59"/>
    <w:rsid w:val="00845DB3"/>
    <w:rsid w:val="00845EB8"/>
    <w:rsid w:val="00846098"/>
    <w:rsid w:val="00846211"/>
    <w:rsid w:val="008463DC"/>
    <w:rsid w:val="008464FB"/>
    <w:rsid w:val="008466F4"/>
    <w:rsid w:val="008468F8"/>
    <w:rsid w:val="0084695A"/>
    <w:rsid w:val="008469FE"/>
    <w:rsid w:val="00846A09"/>
    <w:rsid w:val="00846C26"/>
    <w:rsid w:val="00846DA1"/>
    <w:rsid w:val="00846E4F"/>
    <w:rsid w:val="00846F09"/>
    <w:rsid w:val="00846FF0"/>
    <w:rsid w:val="00847037"/>
    <w:rsid w:val="008471AF"/>
    <w:rsid w:val="0084733C"/>
    <w:rsid w:val="00847341"/>
    <w:rsid w:val="008473E6"/>
    <w:rsid w:val="008474CE"/>
    <w:rsid w:val="008474FF"/>
    <w:rsid w:val="00847541"/>
    <w:rsid w:val="008477A3"/>
    <w:rsid w:val="0084794F"/>
    <w:rsid w:val="00847B28"/>
    <w:rsid w:val="00847E28"/>
    <w:rsid w:val="00847E37"/>
    <w:rsid w:val="00847FBB"/>
    <w:rsid w:val="00847FF7"/>
    <w:rsid w:val="008500EC"/>
    <w:rsid w:val="0085036B"/>
    <w:rsid w:val="008504EC"/>
    <w:rsid w:val="0085054F"/>
    <w:rsid w:val="008508AC"/>
    <w:rsid w:val="008508F1"/>
    <w:rsid w:val="00850B7A"/>
    <w:rsid w:val="00850DD2"/>
    <w:rsid w:val="00850E62"/>
    <w:rsid w:val="0085101C"/>
    <w:rsid w:val="008513EC"/>
    <w:rsid w:val="0085141E"/>
    <w:rsid w:val="00851429"/>
    <w:rsid w:val="00851D36"/>
    <w:rsid w:val="00851D69"/>
    <w:rsid w:val="00851E24"/>
    <w:rsid w:val="00851EDA"/>
    <w:rsid w:val="00851F41"/>
    <w:rsid w:val="00852099"/>
    <w:rsid w:val="00852190"/>
    <w:rsid w:val="00852295"/>
    <w:rsid w:val="00852549"/>
    <w:rsid w:val="008525E3"/>
    <w:rsid w:val="008527F9"/>
    <w:rsid w:val="00852919"/>
    <w:rsid w:val="00852989"/>
    <w:rsid w:val="008529DF"/>
    <w:rsid w:val="00852B3C"/>
    <w:rsid w:val="00853011"/>
    <w:rsid w:val="008530B1"/>
    <w:rsid w:val="0085319E"/>
    <w:rsid w:val="008533E4"/>
    <w:rsid w:val="0085342E"/>
    <w:rsid w:val="00853521"/>
    <w:rsid w:val="0085355B"/>
    <w:rsid w:val="0085363C"/>
    <w:rsid w:val="0085380D"/>
    <w:rsid w:val="00853A61"/>
    <w:rsid w:val="00853AC0"/>
    <w:rsid w:val="00853ACB"/>
    <w:rsid w:val="00853E60"/>
    <w:rsid w:val="00853FC1"/>
    <w:rsid w:val="0085413D"/>
    <w:rsid w:val="0085427A"/>
    <w:rsid w:val="00854455"/>
    <w:rsid w:val="008544B8"/>
    <w:rsid w:val="00854564"/>
    <w:rsid w:val="0085459C"/>
    <w:rsid w:val="008547C3"/>
    <w:rsid w:val="008547DD"/>
    <w:rsid w:val="008548D8"/>
    <w:rsid w:val="00854B92"/>
    <w:rsid w:val="00854BAC"/>
    <w:rsid w:val="00854CBC"/>
    <w:rsid w:val="00854DA2"/>
    <w:rsid w:val="00854DE4"/>
    <w:rsid w:val="00854ECD"/>
    <w:rsid w:val="00854F98"/>
    <w:rsid w:val="0085535B"/>
    <w:rsid w:val="008553C2"/>
    <w:rsid w:val="00855449"/>
    <w:rsid w:val="0085544E"/>
    <w:rsid w:val="00855516"/>
    <w:rsid w:val="0085556F"/>
    <w:rsid w:val="008555D1"/>
    <w:rsid w:val="0085573F"/>
    <w:rsid w:val="00855974"/>
    <w:rsid w:val="008559FE"/>
    <w:rsid w:val="00855A2E"/>
    <w:rsid w:val="00855B78"/>
    <w:rsid w:val="00855D19"/>
    <w:rsid w:val="00855E10"/>
    <w:rsid w:val="00855F90"/>
    <w:rsid w:val="00856391"/>
    <w:rsid w:val="0085649C"/>
    <w:rsid w:val="0085673B"/>
    <w:rsid w:val="00856894"/>
    <w:rsid w:val="00856974"/>
    <w:rsid w:val="008569E1"/>
    <w:rsid w:val="00856C31"/>
    <w:rsid w:val="00856C62"/>
    <w:rsid w:val="00856D6D"/>
    <w:rsid w:val="00856E90"/>
    <w:rsid w:val="00856EA6"/>
    <w:rsid w:val="00856F2B"/>
    <w:rsid w:val="00857067"/>
    <w:rsid w:val="00857106"/>
    <w:rsid w:val="00857156"/>
    <w:rsid w:val="008571C5"/>
    <w:rsid w:val="0085722D"/>
    <w:rsid w:val="0085743A"/>
    <w:rsid w:val="0085753E"/>
    <w:rsid w:val="008575F2"/>
    <w:rsid w:val="00857748"/>
    <w:rsid w:val="0085774E"/>
    <w:rsid w:val="0085776B"/>
    <w:rsid w:val="00857F06"/>
    <w:rsid w:val="00857F07"/>
    <w:rsid w:val="00857F5C"/>
    <w:rsid w:val="00857F6A"/>
    <w:rsid w:val="00857F79"/>
    <w:rsid w:val="00860203"/>
    <w:rsid w:val="00860303"/>
    <w:rsid w:val="00860308"/>
    <w:rsid w:val="0086053C"/>
    <w:rsid w:val="00860871"/>
    <w:rsid w:val="008609A4"/>
    <w:rsid w:val="00860AEE"/>
    <w:rsid w:val="00860C2B"/>
    <w:rsid w:val="00860D8D"/>
    <w:rsid w:val="00861015"/>
    <w:rsid w:val="0086107E"/>
    <w:rsid w:val="0086109D"/>
    <w:rsid w:val="008610E0"/>
    <w:rsid w:val="008614C9"/>
    <w:rsid w:val="00861661"/>
    <w:rsid w:val="00861772"/>
    <w:rsid w:val="00861A19"/>
    <w:rsid w:val="00861B03"/>
    <w:rsid w:val="00861B1D"/>
    <w:rsid w:val="00861B24"/>
    <w:rsid w:val="00861D98"/>
    <w:rsid w:val="00861E58"/>
    <w:rsid w:val="00861E82"/>
    <w:rsid w:val="00861E84"/>
    <w:rsid w:val="00862043"/>
    <w:rsid w:val="0086214A"/>
    <w:rsid w:val="00862150"/>
    <w:rsid w:val="00862168"/>
    <w:rsid w:val="00862261"/>
    <w:rsid w:val="00862386"/>
    <w:rsid w:val="0086249F"/>
    <w:rsid w:val="008624C6"/>
    <w:rsid w:val="008624D8"/>
    <w:rsid w:val="00862515"/>
    <w:rsid w:val="00862592"/>
    <w:rsid w:val="008626C4"/>
    <w:rsid w:val="008627A2"/>
    <w:rsid w:val="00862959"/>
    <w:rsid w:val="00862CAC"/>
    <w:rsid w:val="00862DDF"/>
    <w:rsid w:val="00862E36"/>
    <w:rsid w:val="00862F1A"/>
    <w:rsid w:val="0086310C"/>
    <w:rsid w:val="00863263"/>
    <w:rsid w:val="008632E8"/>
    <w:rsid w:val="008634B8"/>
    <w:rsid w:val="00863746"/>
    <w:rsid w:val="008637D5"/>
    <w:rsid w:val="00863B91"/>
    <w:rsid w:val="00863C92"/>
    <w:rsid w:val="00863EFF"/>
    <w:rsid w:val="00864188"/>
    <w:rsid w:val="00864372"/>
    <w:rsid w:val="008643BF"/>
    <w:rsid w:val="00864409"/>
    <w:rsid w:val="008648B2"/>
    <w:rsid w:val="00864ABB"/>
    <w:rsid w:val="00864AE9"/>
    <w:rsid w:val="00864B5C"/>
    <w:rsid w:val="00864BFA"/>
    <w:rsid w:val="00864D19"/>
    <w:rsid w:val="00864D7D"/>
    <w:rsid w:val="00864E9F"/>
    <w:rsid w:val="00865169"/>
    <w:rsid w:val="00865237"/>
    <w:rsid w:val="0086525E"/>
    <w:rsid w:val="008652DB"/>
    <w:rsid w:val="008653C5"/>
    <w:rsid w:val="00865471"/>
    <w:rsid w:val="008654F9"/>
    <w:rsid w:val="008655A0"/>
    <w:rsid w:val="008655E1"/>
    <w:rsid w:val="008656C5"/>
    <w:rsid w:val="008658D3"/>
    <w:rsid w:val="00865B0B"/>
    <w:rsid w:val="00865CF4"/>
    <w:rsid w:val="00865D0C"/>
    <w:rsid w:val="0086616B"/>
    <w:rsid w:val="00866176"/>
    <w:rsid w:val="00866219"/>
    <w:rsid w:val="00866357"/>
    <w:rsid w:val="00866405"/>
    <w:rsid w:val="0086673A"/>
    <w:rsid w:val="008667D0"/>
    <w:rsid w:val="008668DF"/>
    <w:rsid w:val="00866917"/>
    <w:rsid w:val="0086692F"/>
    <w:rsid w:val="008669FF"/>
    <w:rsid w:val="00866A25"/>
    <w:rsid w:val="00866C0B"/>
    <w:rsid w:val="00866DC4"/>
    <w:rsid w:val="00866DD6"/>
    <w:rsid w:val="0086700C"/>
    <w:rsid w:val="008671C9"/>
    <w:rsid w:val="008672DC"/>
    <w:rsid w:val="008675DC"/>
    <w:rsid w:val="0086786B"/>
    <w:rsid w:val="008678E5"/>
    <w:rsid w:val="00867A9B"/>
    <w:rsid w:val="00867B08"/>
    <w:rsid w:val="00867B72"/>
    <w:rsid w:val="00867DC3"/>
    <w:rsid w:val="00870007"/>
    <w:rsid w:val="00870230"/>
    <w:rsid w:val="00870248"/>
    <w:rsid w:val="00870324"/>
    <w:rsid w:val="00870386"/>
    <w:rsid w:val="008707C4"/>
    <w:rsid w:val="008707EF"/>
    <w:rsid w:val="00870849"/>
    <w:rsid w:val="00870A4F"/>
    <w:rsid w:val="00870BF0"/>
    <w:rsid w:val="00870D4F"/>
    <w:rsid w:val="00870DC8"/>
    <w:rsid w:val="00870DF0"/>
    <w:rsid w:val="00870E89"/>
    <w:rsid w:val="00870F52"/>
    <w:rsid w:val="00870F6A"/>
    <w:rsid w:val="00870F9E"/>
    <w:rsid w:val="008711CA"/>
    <w:rsid w:val="0087133B"/>
    <w:rsid w:val="0087142F"/>
    <w:rsid w:val="00871545"/>
    <w:rsid w:val="00871579"/>
    <w:rsid w:val="00871581"/>
    <w:rsid w:val="0087163A"/>
    <w:rsid w:val="008716E6"/>
    <w:rsid w:val="00871734"/>
    <w:rsid w:val="00871794"/>
    <w:rsid w:val="008718A7"/>
    <w:rsid w:val="008718E5"/>
    <w:rsid w:val="00871A04"/>
    <w:rsid w:val="00871A6D"/>
    <w:rsid w:val="00871C1A"/>
    <w:rsid w:val="00871DA3"/>
    <w:rsid w:val="00872048"/>
    <w:rsid w:val="008720E2"/>
    <w:rsid w:val="0087216C"/>
    <w:rsid w:val="00872257"/>
    <w:rsid w:val="008724E1"/>
    <w:rsid w:val="00872697"/>
    <w:rsid w:val="008726C4"/>
    <w:rsid w:val="008726D8"/>
    <w:rsid w:val="00872989"/>
    <w:rsid w:val="008729A4"/>
    <w:rsid w:val="00872BB7"/>
    <w:rsid w:val="00872D54"/>
    <w:rsid w:val="00872D75"/>
    <w:rsid w:val="00873131"/>
    <w:rsid w:val="00873313"/>
    <w:rsid w:val="008733BA"/>
    <w:rsid w:val="0087342B"/>
    <w:rsid w:val="0087372C"/>
    <w:rsid w:val="008737C6"/>
    <w:rsid w:val="008737FD"/>
    <w:rsid w:val="008739C4"/>
    <w:rsid w:val="00873B03"/>
    <w:rsid w:val="00873DD4"/>
    <w:rsid w:val="00874107"/>
    <w:rsid w:val="008741A9"/>
    <w:rsid w:val="008741D8"/>
    <w:rsid w:val="0087423C"/>
    <w:rsid w:val="008742CA"/>
    <w:rsid w:val="00874426"/>
    <w:rsid w:val="008744D7"/>
    <w:rsid w:val="008744DE"/>
    <w:rsid w:val="0087452A"/>
    <w:rsid w:val="008745C8"/>
    <w:rsid w:val="00874688"/>
    <w:rsid w:val="008746BF"/>
    <w:rsid w:val="008749FC"/>
    <w:rsid w:val="00874B90"/>
    <w:rsid w:val="00874C1D"/>
    <w:rsid w:val="00874C2D"/>
    <w:rsid w:val="00874D0F"/>
    <w:rsid w:val="00874E16"/>
    <w:rsid w:val="00874E21"/>
    <w:rsid w:val="00875093"/>
    <w:rsid w:val="00875098"/>
    <w:rsid w:val="00875110"/>
    <w:rsid w:val="008753C6"/>
    <w:rsid w:val="008756A8"/>
    <w:rsid w:val="00875709"/>
    <w:rsid w:val="00875726"/>
    <w:rsid w:val="00875794"/>
    <w:rsid w:val="00875886"/>
    <w:rsid w:val="008759CA"/>
    <w:rsid w:val="00875A83"/>
    <w:rsid w:val="00875C45"/>
    <w:rsid w:val="00875CBE"/>
    <w:rsid w:val="00875CF6"/>
    <w:rsid w:val="00875D0B"/>
    <w:rsid w:val="00875E54"/>
    <w:rsid w:val="00875F5F"/>
    <w:rsid w:val="00876204"/>
    <w:rsid w:val="00876227"/>
    <w:rsid w:val="00876278"/>
    <w:rsid w:val="00876296"/>
    <w:rsid w:val="008762C8"/>
    <w:rsid w:val="008762FC"/>
    <w:rsid w:val="0087633B"/>
    <w:rsid w:val="0087643A"/>
    <w:rsid w:val="008764D4"/>
    <w:rsid w:val="008766CE"/>
    <w:rsid w:val="00876A8A"/>
    <w:rsid w:val="00876CE8"/>
    <w:rsid w:val="00876D5F"/>
    <w:rsid w:val="00876F16"/>
    <w:rsid w:val="00876F9E"/>
    <w:rsid w:val="0087709A"/>
    <w:rsid w:val="008770EA"/>
    <w:rsid w:val="008771FD"/>
    <w:rsid w:val="00877281"/>
    <w:rsid w:val="0087745D"/>
    <w:rsid w:val="008774AD"/>
    <w:rsid w:val="008774B9"/>
    <w:rsid w:val="00877572"/>
    <w:rsid w:val="008777A8"/>
    <w:rsid w:val="00877804"/>
    <w:rsid w:val="00877A1A"/>
    <w:rsid w:val="00877CB0"/>
    <w:rsid w:val="00877CE4"/>
    <w:rsid w:val="008801B9"/>
    <w:rsid w:val="00880267"/>
    <w:rsid w:val="0088036C"/>
    <w:rsid w:val="008803BC"/>
    <w:rsid w:val="00880455"/>
    <w:rsid w:val="008807E0"/>
    <w:rsid w:val="00880849"/>
    <w:rsid w:val="008809C2"/>
    <w:rsid w:val="00880C4D"/>
    <w:rsid w:val="00880CE7"/>
    <w:rsid w:val="00880D27"/>
    <w:rsid w:val="00880DF2"/>
    <w:rsid w:val="0088104D"/>
    <w:rsid w:val="00881165"/>
    <w:rsid w:val="008811B2"/>
    <w:rsid w:val="00881422"/>
    <w:rsid w:val="00881453"/>
    <w:rsid w:val="00881489"/>
    <w:rsid w:val="00881503"/>
    <w:rsid w:val="00881557"/>
    <w:rsid w:val="0088167A"/>
    <w:rsid w:val="00881759"/>
    <w:rsid w:val="008817D4"/>
    <w:rsid w:val="008817DF"/>
    <w:rsid w:val="00881808"/>
    <w:rsid w:val="008819A6"/>
    <w:rsid w:val="00881BE5"/>
    <w:rsid w:val="00881D7A"/>
    <w:rsid w:val="00881E39"/>
    <w:rsid w:val="008820E9"/>
    <w:rsid w:val="00882299"/>
    <w:rsid w:val="00882319"/>
    <w:rsid w:val="0088280F"/>
    <w:rsid w:val="0088281F"/>
    <w:rsid w:val="008829B5"/>
    <w:rsid w:val="00882A73"/>
    <w:rsid w:val="00882BB3"/>
    <w:rsid w:val="00882CE6"/>
    <w:rsid w:val="00882ED4"/>
    <w:rsid w:val="00883069"/>
    <w:rsid w:val="008833BF"/>
    <w:rsid w:val="0088347C"/>
    <w:rsid w:val="008834E2"/>
    <w:rsid w:val="0088358A"/>
    <w:rsid w:val="008835D4"/>
    <w:rsid w:val="00883940"/>
    <w:rsid w:val="0088399B"/>
    <w:rsid w:val="00883B9C"/>
    <w:rsid w:val="00883C63"/>
    <w:rsid w:val="00883D8C"/>
    <w:rsid w:val="00883F9C"/>
    <w:rsid w:val="00883FFE"/>
    <w:rsid w:val="00884025"/>
    <w:rsid w:val="00884095"/>
    <w:rsid w:val="0088409B"/>
    <w:rsid w:val="008840A0"/>
    <w:rsid w:val="00884180"/>
    <w:rsid w:val="008841FC"/>
    <w:rsid w:val="008844A1"/>
    <w:rsid w:val="00884613"/>
    <w:rsid w:val="00884689"/>
    <w:rsid w:val="0088479B"/>
    <w:rsid w:val="0088492E"/>
    <w:rsid w:val="008849BF"/>
    <w:rsid w:val="008849C8"/>
    <w:rsid w:val="00884AD3"/>
    <w:rsid w:val="00884BB3"/>
    <w:rsid w:val="00884C71"/>
    <w:rsid w:val="00884CCA"/>
    <w:rsid w:val="00884D49"/>
    <w:rsid w:val="00884E46"/>
    <w:rsid w:val="00884EC2"/>
    <w:rsid w:val="00884F7F"/>
    <w:rsid w:val="0088500E"/>
    <w:rsid w:val="008852A4"/>
    <w:rsid w:val="00885388"/>
    <w:rsid w:val="0088541D"/>
    <w:rsid w:val="0088557B"/>
    <w:rsid w:val="008856EF"/>
    <w:rsid w:val="008857A1"/>
    <w:rsid w:val="008857BA"/>
    <w:rsid w:val="008857D0"/>
    <w:rsid w:val="0088593F"/>
    <w:rsid w:val="0088603B"/>
    <w:rsid w:val="00886137"/>
    <w:rsid w:val="0088619D"/>
    <w:rsid w:val="00886281"/>
    <w:rsid w:val="00886343"/>
    <w:rsid w:val="0088635A"/>
    <w:rsid w:val="008864E8"/>
    <w:rsid w:val="00886509"/>
    <w:rsid w:val="00886670"/>
    <w:rsid w:val="00886681"/>
    <w:rsid w:val="00886692"/>
    <w:rsid w:val="0088679E"/>
    <w:rsid w:val="008867E8"/>
    <w:rsid w:val="00886905"/>
    <w:rsid w:val="00886A1B"/>
    <w:rsid w:val="00886B16"/>
    <w:rsid w:val="00886F01"/>
    <w:rsid w:val="00887284"/>
    <w:rsid w:val="008872EC"/>
    <w:rsid w:val="00887398"/>
    <w:rsid w:val="0088777F"/>
    <w:rsid w:val="00887782"/>
    <w:rsid w:val="00887983"/>
    <w:rsid w:val="00887A5F"/>
    <w:rsid w:val="00887A77"/>
    <w:rsid w:val="00887BC1"/>
    <w:rsid w:val="00887C24"/>
    <w:rsid w:val="00887CC6"/>
    <w:rsid w:val="00887D04"/>
    <w:rsid w:val="00887D3A"/>
    <w:rsid w:val="00887F64"/>
    <w:rsid w:val="0089023F"/>
    <w:rsid w:val="00890462"/>
    <w:rsid w:val="00890474"/>
    <w:rsid w:val="00890615"/>
    <w:rsid w:val="008906A8"/>
    <w:rsid w:val="0089087E"/>
    <w:rsid w:val="0089088F"/>
    <w:rsid w:val="008908E3"/>
    <w:rsid w:val="0089097F"/>
    <w:rsid w:val="00890BCA"/>
    <w:rsid w:val="00890F4D"/>
    <w:rsid w:val="00891421"/>
    <w:rsid w:val="00891490"/>
    <w:rsid w:val="008914E2"/>
    <w:rsid w:val="00891640"/>
    <w:rsid w:val="008917D2"/>
    <w:rsid w:val="008918A4"/>
    <w:rsid w:val="00891D5F"/>
    <w:rsid w:val="00891EF8"/>
    <w:rsid w:val="008921B0"/>
    <w:rsid w:val="00892227"/>
    <w:rsid w:val="0089224A"/>
    <w:rsid w:val="00892263"/>
    <w:rsid w:val="008923E6"/>
    <w:rsid w:val="008926DB"/>
    <w:rsid w:val="008929FD"/>
    <w:rsid w:val="00892B45"/>
    <w:rsid w:val="00892D8C"/>
    <w:rsid w:val="00892D9F"/>
    <w:rsid w:val="008932D7"/>
    <w:rsid w:val="00893316"/>
    <w:rsid w:val="00893C6C"/>
    <w:rsid w:val="00893CCA"/>
    <w:rsid w:val="00893CE8"/>
    <w:rsid w:val="00893E93"/>
    <w:rsid w:val="00893F96"/>
    <w:rsid w:val="008940F2"/>
    <w:rsid w:val="00894148"/>
    <w:rsid w:val="008941DA"/>
    <w:rsid w:val="00894292"/>
    <w:rsid w:val="008942DC"/>
    <w:rsid w:val="00894383"/>
    <w:rsid w:val="00894997"/>
    <w:rsid w:val="00894A1B"/>
    <w:rsid w:val="00894ADE"/>
    <w:rsid w:val="00894B48"/>
    <w:rsid w:val="00894BB9"/>
    <w:rsid w:val="00894CA3"/>
    <w:rsid w:val="00894FF2"/>
    <w:rsid w:val="008950BC"/>
    <w:rsid w:val="0089510E"/>
    <w:rsid w:val="008951A7"/>
    <w:rsid w:val="008952D3"/>
    <w:rsid w:val="00895382"/>
    <w:rsid w:val="008954B4"/>
    <w:rsid w:val="00895642"/>
    <w:rsid w:val="008956AB"/>
    <w:rsid w:val="00895808"/>
    <w:rsid w:val="008959A8"/>
    <w:rsid w:val="008959F4"/>
    <w:rsid w:val="00895ABC"/>
    <w:rsid w:val="00895BDB"/>
    <w:rsid w:val="00895C17"/>
    <w:rsid w:val="00895CF9"/>
    <w:rsid w:val="00895E16"/>
    <w:rsid w:val="0089614D"/>
    <w:rsid w:val="008962FC"/>
    <w:rsid w:val="008963FF"/>
    <w:rsid w:val="008965A1"/>
    <w:rsid w:val="00896752"/>
    <w:rsid w:val="008967DF"/>
    <w:rsid w:val="00896B27"/>
    <w:rsid w:val="00896DD6"/>
    <w:rsid w:val="00896F40"/>
    <w:rsid w:val="00897161"/>
    <w:rsid w:val="00897216"/>
    <w:rsid w:val="0089726F"/>
    <w:rsid w:val="008972F9"/>
    <w:rsid w:val="00897318"/>
    <w:rsid w:val="0089749B"/>
    <w:rsid w:val="008977A8"/>
    <w:rsid w:val="0089781B"/>
    <w:rsid w:val="00897881"/>
    <w:rsid w:val="0089795E"/>
    <w:rsid w:val="008979C1"/>
    <w:rsid w:val="00897A2E"/>
    <w:rsid w:val="00897A5B"/>
    <w:rsid w:val="00897AD3"/>
    <w:rsid w:val="00897B1A"/>
    <w:rsid w:val="00897B3F"/>
    <w:rsid w:val="00897C14"/>
    <w:rsid w:val="00897C50"/>
    <w:rsid w:val="00897DA3"/>
    <w:rsid w:val="00897DDD"/>
    <w:rsid w:val="00897E42"/>
    <w:rsid w:val="00897F55"/>
    <w:rsid w:val="008A0128"/>
    <w:rsid w:val="008A0251"/>
    <w:rsid w:val="008A0371"/>
    <w:rsid w:val="008A067A"/>
    <w:rsid w:val="008A0799"/>
    <w:rsid w:val="008A088A"/>
    <w:rsid w:val="008A0A30"/>
    <w:rsid w:val="008A0AB5"/>
    <w:rsid w:val="008A0BEC"/>
    <w:rsid w:val="008A0C21"/>
    <w:rsid w:val="008A0D18"/>
    <w:rsid w:val="008A0F8A"/>
    <w:rsid w:val="008A105A"/>
    <w:rsid w:val="008A12F5"/>
    <w:rsid w:val="008A1400"/>
    <w:rsid w:val="008A1449"/>
    <w:rsid w:val="008A1503"/>
    <w:rsid w:val="008A163B"/>
    <w:rsid w:val="008A1653"/>
    <w:rsid w:val="008A16D1"/>
    <w:rsid w:val="008A1764"/>
    <w:rsid w:val="008A188D"/>
    <w:rsid w:val="008A1910"/>
    <w:rsid w:val="008A1BC6"/>
    <w:rsid w:val="008A1C48"/>
    <w:rsid w:val="008A1EF7"/>
    <w:rsid w:val="008A1F09"/>
    <w:rsid w:val="008A1F73"/>
    <w:rsid w:val="008A1F8A"/>
    <w:rsid w:val="008A1FE4"/>
    <w:rsid w:val="008A2079"/>
    <w:rsid w:val="008A21CA"/>
    <w:rsid w:val="008A227C"/>
    <w:rsid w:val="008A24AD"/>
    <w:rsid w:val="008A2632"/>
    <w:rsid w:val="008A2A09"/>
    <w:rsid w:val="008A2AF4"/>
    <w:rsid w:val="008A2C01"/>
    <w:rsid w:val="008A2C42"/>
    <w:rsid w:val="008A2CC5"/>
    <w:rsid w:val="008A3067"/>
    <w:rsid w:val="008A35B8"/>
    <w:rsid w:val="008A37A9"/>
    <w:rsid w:val="008A381C"/>
    <w:rsid w:val="008A3993"/>
    <w:rsid w:val="008A3B00"/>
    <w:rsid w:val="008A3B1A"/>
    <w:rsid w:val="008A3C95"/>
    <w:rsid w:val="008A3F62"/>
    <w:rsid w:val="008A3F81"/>
    <w:rsid w:val="008A3F96"/>
    <w:rsid w:val="008A40C5"/>
    <w:rsid w:val="008A411A"/>
    <w:rsid w:val="008A4131"/>
    <w:rsid w:val="008A415F"/>
    <w:rsid w:val="008A4385"/>
    <w:rsid w:val="008A464E"/>
    <w:rsid w:val="008A4677"/>
    <w:rsid w:val="008A4C6F"/>
    <w:rsid w:val="008A4D71"/>
    <w:rsid w:val="008A4EAE"/>
    <w:rsid w:val="008A4EF3"/>
    <w:rsid w:val="008A5209"/>
    <w:rsid w:val="008A5301"/>
    <w:rsid w:val="008A5313"/>
    <w:rsid w:val="008A5374"/>
    <w:rsid w:val="008A53D1"/>
    <w:rsid w:val="008A5463"/>
    <w:rsid w:val="008A548A"/>
    <w:rsid w:val="008A5911"/>
    <w:rsid w:val="008A591B"/>
    <w:rsid w:val="008A5994"/>
    <w:rsid w:val="008A5AD4"/>
    <w:rsid w:val="008A5D20"/>
    <w:rsid w:val="008A5D7D"/>
    <w:rsid w:val="008A5F96"/>
    <w:rsid w:val="008A60D2"/>
    <w:rsid w:val="008A6166"/>
    <w:rsid w:val="008A61D3"/>
    <w:rsid w:val="008A6257"/>
    <w:rsid w:val="008A62BA"/>
    <w:rsid w:val="008A630A"/>
    <w:rsid w:val="008A6317"/>
    <w:rsid w:val="008A63D7"/>
    <w:rsid w:val="008A6454"/>
    <w:rsid w:val="008A64B0"/>
    <w:rsid w:val="008A6834"/>
    <w:rsid w:val="008A68E4"/>
    <w:rsid w:val="008A695F"/>
    <w:rsid w:val="008A69D4"/>
    <w:rsid w:val="008A6A8B"/>
    <w:rsid w:val="008A6BC9"/>
    <w:rsid w:val="008A6D69"/>
    <w:rsid w:val="008A70AF"/>
    <w:rsid w:val="008A742A"/>
    <w:rsid w:val="008A750F"/>
    <w:rsid w:val="008A76C3"/>
    <w:rsid w:val="008A78EB"/>
    <w:rsid w:val="008A79F8"/>
    <w:rsid w:val="008A7AD0"/>
    <w:rsid w:val="008A7CA7"/>
    <w:rsid w:val="008A7DD9"/>
    <w:rsid w:val="008A7E35"/>
    <w:rsid w:val="008A7E43"/>
    <w:rsid w:val="008B01EB"/>
    <w:rsid w:val="008B01EC"/>
    <w:rsid w:val="008B035E"/>
    <w:rsid w:val="008B0607"/>
    <w:rsid w:val="008B07B8"/>
    <w:rsid w:val="008B07D6"/>
    <w:rsid w:val="008B08AF"/>
    <w:rsid w:val="008B08CC"/>
    <w:rsid w:val="008B09C8"/>
    <w:rsid w:val="008B0A9A"/>
    <w:rsid w:val="008B0B35"/>
    <w:rsid w:val="008B0F24"/>
    <w:rsid w:val="008B0F9E"/>
    <w:rsid w:val="008B123D"/>
    <w:rsid w:val="008B1277"/>
    <w:rsid w:val="008B1463"/>
    <w:rsid w:val="008B1492"/>
    <w:rsid w:val="008B160B"/>
    <w:rsid w:val="008B16F7"/>
    <w:rsid w:val="008B186D"/>
    <w:rsid w:val="008B195C"/>
    <w:rsid w:val="008B1B51"/>
    <w:rsid w:val="008B1C8F"/>
    <w:rsid w:val="008B1CDE"/>
    <w:rsid w:val="008B2049"/>
    <w:rsid w:val="008B213F"/>
    <w:rsid w:val="008B24E3"/>
    <w:rsid w:val="008B281E"/>
    <w:rsid w:val="008B2AA8"/>
    <w:rsid w:val="008B2B4F"/>
    <w:rsid w:val="008B2BAE"/>
    <w:rsid w:val="008B2D01"/>
    <w:rsid w:val="008B2D0C"/>
    <w:rsid w:val="008B2E9D"/>
    <w:rsid w:val="008B31F2"/>
    <w:rsid w:val="008B3303"/>
    <w:rsid w:val="008B33E9"/>
    <w:rsid w:val="008B36F1"/>
    <w:rsid w:val="008B3784"/>
    <w:rsid w:val="008B39A2"/>
    <w:rsid w:val="008B3B38"/>
    <w:rsid w:val="008B3C5F"/>
    <w:rsid w:val="008B3E07"/>
    <w:rsid w:val="008B3E27"/>
    <w:rsid w:val="008B3E4D"/>
    <w:rsid w:val="008B3EFF"/>
    <w:rsid w:val="008B3F64"/>
    <w:rsid w:val="008B4000"/>
    <w:rsid w:val="008B40FB"/>
    <w:rsid w:val="008B42A0"/>
    <w:rsid w:val="008B4359"/>
    <w:rsid w:val="008B4360"/>
    <w:rsid w:val="008B438D"/>
    <w:rsid w:val="008B4390"/>
    <w:rsid w:val="008B4428"/>
    <w:rsid w:val="008B44E8"/>
    <w:rsid w:val="008B45F6"/>
    <w:rsid w:val="008B46CD"/>
    <w:rsid w:val="008B4992"/>
    <w:rsid w:val="008B4A93"/>
    <w:rsid w:val="008B4D15"/>
    <w:rsid w:val="008B4DA4"/>
    <w:rsid w:val="008B4DBC"/>
    <w:rsid w:val="008B4DF8"/>
    <w:rsid w:val="008B4E5C"/>
    <w:rsid w:val="008B4F7A"/>
    <w:rsid w:val="008B4FA5"/>
    <w:rsid w:val="008B500A"/>
    <w:rsid w:val="008B512A"/>
    <w:rsid w:val="008B5643"/>
    <w:rsid w:val="008B5695"/>
    <w:rsid w:val="008B5E12"/>
    <w:rsid w:val="008B5E22"/>
    <w:rsid w:val="008B5E59"/>
    <w:rsid w:val="008B6117"/>
    <w:rsid w:val="008B61EB"/>
    <w:rsid w:val="008B6235"/>
    <w:rsid w:val="008B63F4"/>
    <w:rsid w:val="008B64A8"/>
    <w:rsid w:val="008B64D1"/>
    <w:rsid w:val="008B68E8"/>
    <w:rsid w:val="008B698E"/>
    <w:rsid w:val="008B6A4A"/>
    <w:rsid w:val="008B6AE8"/>
    <w:rsid w:val="008B6C32"/>
    <w:rsid w:val="008B6CD3"/>
    <w:rsid w:val="008B6DA9"/>
    <w:rsid w:val="008B6E48"/>
    <w:rsid w:val="008B6E75"/>
    <w:rsid w:val="008B6F65"/>
    <w:rsid w:val="008B6FCA"/>
    <w:rsid w:val="008B7045"/>
    <w:rsid w:val="008B7182"/>
    <w:rsid w:val="008B71F4"/>
    <w:rsid w:val="008B72D1"/>
    <w:rsid w:val="008B7396"/>
    <w:rsid w:val="008B7683"/>
    <w:rsid w:val="008B770A"/>
    <w:rsid w:val="008B7766"/>
    <w:rsid w:val="008B7828"/>
    <w:rsid w:val="008B78FE"/>
    <w:rsid w:val="008B7944"/>
    <w:rsid w:val="008B79DE"/>
    <w:rsid w:val="008B7BAB"/>
    <w:rsid w:val="008B7E68"/>
    <w:rsid w:val="008B7E6E"/>
    <w:rsid w:val="008C0008"/>
    <w:rsid w:val="008C02EB"/>
    <w:rsid w:val="008C032D"/>
    <w:rsid w:val="008C032E"/>
    <w:rsid w:val="008C047D"/>
    <w:rsid w:val="008C04A9"/>
    <w:rsid w:val="008C04EE"/>
    <w:rsid w:val="008C04FB"/>
    <w:rsid w:val="008C067E"/>
    <w:rsid w:val="008C0715"/>
    <w:rsid w:val="008C077F"/>
    <w:rsid w:val="008C078F"/>
    <w:rsid w:val="008C08BE"/>
    <w:rsid w:val="008C0CE8"/>
    <w:rsid w:val="008C0D49"/>
    <w:rsid w:val="008C0E0F"/>
    <w:rsid w:val="008C0E5F"/>
    <w:rsid w:val="008C0FAD"/>
    <w:rsid w:val="008C1022"/>
    <w:rsid w:val="008C10AF"/>
    <w:rsid w:val="008C11B2"/>
    <w:rsid w:val="008C1212"/>
    <w:rsid w:val="008C12C2"/>
    <w:rsid w:val="008C17B8"/>
    <w:rsid w:val="008C19EE"/>
    <w:rsid w:val="008C1A53"/>
    <w:rsid w:val="008C1B4C"/>
    <w:rsid w:val="008C1C69"/>
    <w:rsid w:val="008C1CD3"/>
    <w:rsid w:val="008C1E02"/>
    <w:rsid w:val="008C1E85"/>
    <w:rsid w:val="008C1E8A"/>
    <w:rsid w:val="008C1FF8"/>
    <w:rsid w:val="008C2036"/>
    <w:rsid w:val="008C21BE"/>
    <w:rsid w:val="008C2246"/>
    <w:rsid w:val="008C22DD"/>
    <w:rsid w:val="008C235D"/>
    <w:rsid w:val="008C2431"/>
    <w:rsid w:val="008C2449"/>
    <w:rsid w:val="008C24E3"/>
    <w:rsid w:val="008C25FD"/>
    <w:rsid w:val="008C287F"/>
    <w:rsid w:val="008C31FE"/>
    <w:rsid w:val="008C3262"/>
    <w:rsid w:val="008C35CA"/>
    <w:rsid w:val="008C3667"/>
    <w:rsid w:val="008C3690"/>
    <w:rsid w:val="008C3885"/>
    <w:rsid w:val="008C38EA"/>
    <w:rsid w:val="008C3929"/>
    <w:rsid w:val="008C3962"/>
    <w:rsid w:val="008C39A5"/>
    <w:rsid w:val="008C3A0B"/>
    <w:rsid w:val="008C3ABE"/>
    <w:rsid w:val="008C3CC4"/>
    <w:rsid w:val="008C3DCF"/>
    <w:rsid w:val="008C3E9D"/>
    <w:rsid w:val="008C3EC9"/>
    <w:rsid w:val="008C3F63"/>
    <w:rsid w:val="008C4163"/>
    <w:rsid w:val="008C41E1"/>
    <w:rsid w:val="008C42BE"/>
    <w:rsid w:val="008C4455"/>
    <w:rsid w:val="008C486A"/>
    <w:rsid w:val="008C48AB"/>
    <w:rsid w:val="008C4902"/>
    <w:rsid w:val="008C494A"/>
    <w:rsid w:val="008C495C"/>
    <w:rsid w:val="008C49E6"/>
    <w:rsid w:val="008C49EF"/>
    <w:rsid w:val="008C4A98"/>
    <w:rsid w:val="008C4AB3"/>
    <w:rsid w:val="008C4B05"/>
    <w:rsid w:val="008C4C2C"/>
    <w:rsid w:val="008C4C89"/>
    <w:rsid w:val="008C4F80"/>
    <w:rsid w:val="008C4FA7"/>
    <w:rsid w:val="008C5055"/>
    <w:rsid w:val="008C5192"/>
    <w:rsid w:val="008C53F3"/>
    <w:rsid w:val="008C55D3"/>
    <w:rsid w:val="008C5698"/>
    <w:rsid w:val="008C5809"/>
    <w:rsid w:val="008C5842"/>
    <w:rsid w:val="008C5C37"/>
    <w:rsid w:val="008C5EA8"/>
    <w:rsid w:val="008C615B"/>
    <w:rsid w:val="008C6199"/>
    <w:rsid w:val="008C61E3"/>
    <w:rsid w:val="008C6533"/>
    <w:rsid w:val="008C65B4"/>
    <w:rsid w:val="008C6610"/>
    <w:rsid w:val="008C6635"/>
    <w:rsid w:val="008C6774"/>
    <w:rsid w:val="008C69C9"/>
    <w:rsid w:val="008C6A22"/>
    <w:rsid w:val="008C6C5B"/>
    <w:rsid w:val="008C6DC2"/>
    <w:rsid w:val="008C6E84"/>
    <w:rsid w:val="008C6F35"/>
    <w:rsid w:val="008C6FB4"/>
    <w:rsid w:val="008C7077"/>
    <w:rsid w:val="008C7112"/>
    <w:rsid w:val="008C7155"/>
    <w:rsid w:val="008C72CC"/>
    <w:rsid w:val="008C72CF"/>
    <w:rsid w:val="008C748E"/>
    <w:rsid w:val="008C75B9"/>
    <w:rsid w:val="008C75BC"/>
    <w:rsid w:val="008C75EC"/>
    <w:rsid w:val="008C7618"/>
    <w:rsid w:val="008C76E9"/>
    <w:rsid w:val="008C773F"/>
    <w:rsid w:val="008C793C"/>
    <w:rsid w:val="008C7948"/>
    <w:rsid w:val="008C7A32"/>
    <w:rsid w:val="008C7AA7"/>
    <w:rsid w:val="008C7CC7"/>
    <w:rsid w:val="008C7D64"/>
    <w:rsid w:val="008C7E01"/>
    <w:rsid w:val="008C7F7A"/>
    <w:rsid w:val="008D00A3"/>
    <w:rsid w:val="008D0173"/>
    <w:rsid w:val="008D024A"/>
    <w:rsid w:val="008D0308"/>
    <w:rsid w:val="008D0390"/>
    <w:rsid w:val="008D04D3"/>
    <w:rsid w:val="008D05C8"/>
    <w:rsid w:val="008D060B"/>
    <w:rsid w:val="008D062B"/>
    <w:rsid w:val="008D0807"/>
    <w:rsid w:val="008D0A94"/>
    <w:rsid w:val="008D0A9F"/>
    <w:rsid w:val="008D0B63"/>
    <w:rsid w:val="008D0C87"/>
    <w:rsid w:val="008D0DCC"/>
    <w:rsid w:val="008D112B"/>
    <w:rsid w:val="008D1154"/>
    <w:rsid w:val="008D13CE"/>
    <w:rsid w:val="008D13F4"/>
    <w:rsid w:val="008D142E"/>
    <w:rsid w:val="008D16A7"/>
    <w:rsid w:val="008D177E"/>
    <w:rsid w:val="008D17D5"/>
    <w:rsid w:val="008D18AD"/>
    <w:rsid w:val="008D18C8"/>
    <w:rsid w:val="008D1AD2"/>
    <w:rsid w:val="008D1C57"/>
    <w:rsid w:val="008D1D52"/>
    <w:rsid w:val="008D1FC2"/>
    <w:rsid w:val="008D204F"/>
    <w:rsid w:val="008D2108"/>
    <w:rsid w:val="008D219A"/>
    <w:rsid w:val="008D2247"/>
    <w:rsid w:val="008D27A2"/>
    <w:rsid w:val="008D280D"/>
    <w:rsid w:val="008D2A0F"/>
    <w:rsid w:val="008D2CDD"/>
    <w:rsid w:val="008D2D6F"/>
    <w:rsid w:val="008D2ED6"/>
    <w:rsid w:val="008D2F15"/>
    <w:rsid w:val="008D3052"/>
    <w:rsid w:val="008D31FD"/>
    <w:rsid w:val="008D333D"/>
    <w:rsid w:val="008D3408"/>
    <w:rsid w:val="008D3437"/>
    <w:rsid w:val="008D3651"/>
    <w:rsid w:val="008D3677"/>
    <w:rsid w:val="008D375E"/>
    <w:rsid w:val="008D37E5"/>
    <w:rsid w:val="008D3845"/>
    <w:rsid w:val="008D3A0B"/>
    <w:rsid w:val="008D3AA5"/>
    <w:rsid w:val="008D3DAB"/>
    <w:rsid w:val="008D3DC2"/>
    <w:rsid w:val="008D3DEF"/>
    <w:rsid w:val="008D3E12"/>
    <w:rsid w:val="008D3FB3"/>
    <w:rsid w:val="008D4053"/>
    <w:rsid w:val="008D4189"/>
    <w:rsid w:val="008D4286"/>
    <w:rsid w:val="008D42D5"/>
    <w:rsid w:val="008D4454"/>
    <w:rsid w:val="008D4547"/>
    <w:rsid w:val="008D4587"/>
    <w:rsid w:val="008D4730"/>
    <w:rsid w:val="008D48AC"/>
    <w:rsid w:val="008D49E4"/>
    <w:rsid w:val="008D4A0F"/>
    <w:rsid w:val="008D4C01"/>
    <w:rsid w:val="008D4CD4"/>
    <w:rsid w:val="008D4F21"/>
    <w:rsid w:val="008D4FD7"/>
    <w:rsid w:val="008D5048"/>
    <w:rsid w:val="008D52D7"/>
    <w:rsid w:val="008D53C5"/>
    <w:rsid w:val="008D55DF"/>
    <w:rsid w:val="008D5740"/>
    <w:rsid w:val="008D5A90"/>
    <w:rsid w:val="008D5D48"/>
    <w:rsid w:val="008D5EEC"/>
    <w:rsid w:val="008D60F8"/>
    <w:rsid w:val="008D6108"/>
    <w:rsid w:val="008D61C2"/>
    <w:rsid w:val="008D61EF"/>
    <w:rsid w:val="008D6355"/>
    <w:rsid w:val="008D6684"/>
    <w:rsid w:val="008D676E"/>
    <w:rsid w:val="008D67CB"/>
    <w:rsid w:val="008D6CA1"/>
    <w:rsid w:val="008D6EA7"/>
    <w:rsid w:val="008D6F2F"/>
    <w:rsid w:val="008D74E0"/>
    <w:rsid w:val="008D757D"/>
    <w:rsid w:val="008D7810"/>
    <w:rsid w:val="008D79D3"/>
    <w:rsid w:val="008D7A35"/>
    <w:rsid w:val="008D7BC2"/>
    <w:rsid w:val="008D7D5B"/>
    <w:rsid w:val="008E0086"/>
    <w:rsid w:val="008E024C"/>
    <w:rsid w:val="008E03D9"/>
    <w:rsid w:val="008E0570"/>
    <w:rsid w:val="008E0A14"/>
    <w:rsid w:val="008E0B7A"/>
    <w:rsid w:val="008E0D30"/>
    <w:rsid w:val="008E0E52"/>
    <w:rsid w:val="008E11DE"/>
    <w:rsid w:val="008E134C"/>
    <w:rsid w:val="008E1535"/>
    <w:rsid w:val="008E16A2"/>
    <w:rsid w:val="008E16FB"/>
    <w:rsid w:val="008E1951"/>
    <w:rsid w:val="008E1AE2"/>
    <w:rsid w:val="008E1B52"/>
    <w:rsid w:val="008E1B75"/>
    <w:rsid w:val="008E1D71"/>
    <w:rsid w:val="008E1EA9"/>
    <w:rsid w:val="008E200D"/>
    <w:rsid w:val="008E2053"/>
    <w:rsid w:val="008E21AF"/>
    <w:rsid w:val="008E222F"/>
    <w:rsid w:val="008E2429"/>
    <w:rsid w:val="008E24D0"/>
    <w:rsid w:val="008E25D0"/>
    <w:rsid w:val="008E275B"/>
    <w:rsid w:val="008E2B70"/>
    <w:rsid w:val="008E2CD9"/>
    <w:rsid w:val="008E2DF3"/>
    <w:rsid w:val="008E2EFA"/>
    <w:rsid w:val="008E2F61"/>
    <w:rsid w:val="008E3023"/>
    <w:rsid w:val="008E30A5"/>
    <w:rsid w:val="008E315F"/>
    <w:rsid w:val="008E32AA"/>
    <w:rsid w:val="008E3374"/>
    <w:rsid w:val="008E3399"/>
    <w:rsid w:val="008E34A4"/>
    <w:rsid w:val="008E35EC"/>
    <w:rsid w:val="008E37CD"/>
    <w:rsid w:val="008E38D8"/>
    <w:rsid w:val="008E39CD"/>
    <w:rsid w:val="008E3AEC"/>
    <w:rsid w:val="008E3C38"/>
    <w:rsid w:val="008E3CA2"/>
    <w:rsid w:val="008E3CB6"/>
    <w:rsid w:val="008E3CC7"/>
    <w:rsid w:val="008E3CE5"/>
    <w:rsid w:val="008E3E4B"/>
    <w:rsid w:val="008E4008"/>
    <w:rsid w:val="008E42EF"/>
    <w:rsid w:val="008E43AB"/>
    <w:rsid w:val="008E43FD"/>
    <w:rsid w:val="008E44C4"/>
    <w:rsid w:val="008E4591"/>
    <w:rsid w:val="008E459E"/>
    <w:rsid w:val="008E484F"/>
    <w:rsid w:val="008E48C7"/>
    <w:rsid w:val="008E49DE"/>
    <w:rsid w:val="008E4AA2"/>
    <w:rsid w:val="008E4BB7"/>
    <w:rsid w:val="008E4CC8"/>
    <w:rsid w:val="008E4DD0"/>
    <w:rsid w:val="008E4E46"/>
    <w:rsid w:val="008E4FF2"/>
    <w:rsid w:val="008E5006"/>
    <w:rsid w:val="008E5097"/>
    <w:rsid w:val="008E54D6"/>
    <w:rsid w:val="008E54EF"/>
    <w:rsid w:val="008E5562"/>
    <w:rsid w:val="008E5570"/>
    <w:rsid w:val="008E57F1"/>
    <w:rsid w:val="008E58B5"/>
    <w:rsid w:val="008E58B8"/>
    <w:rsid w:val="008E5E92"/>
    <w:rsid w:val="008E5F6E"/>
    <w:rsid w:val="008E60B5"/>
    <w:rsid w:val="008E61C2"/>
    <w:rsid w:val="008E6255"/>
    <w:rsid w:val="008E6378"/>
    <w:rsid w:val="008E63F3"/>
    <w:rsid w:val="008E6439"/>
    <w:rsid w:val="008E6487"/>
    <w:rsid w:val="008E6542"/>
    <w:rsid w:val="008E65E9"/>
    <w:rsid w:val="008E6818"/>
    <w:rsid w:val="008E6990"/>
    <w:rsid w:val="008E699E"/>
    <w:rsid w:val="008E6C84"/>
    <w:rsid w:val="008E6E7F"/>
    <w:rsid w:val="008E6EB5"/>
    <w:rsid w:val="008E71E8"/>
    <w:rsid w:val="008E72AC"/>
    <w:rsid w:val="008E7314"/>
    <w:rsid w:val="008E7427"/>
    <w:rsid w:val="008E74F0"/>
    <w:rsid w:val="008E7640"/>
    <w:rsid w:val="008E779C"/>
    <w:rsid w:val="008E77AA"/>
    <w:rsid w:val="008E79E5"/>
    <w:rsid w:val="008E7A18"/>
    <w:rsid w:val="008E7A7B"/>
    <w:rsid w:val="008E7B0E"/>
    <w:rsid w:val="008E7BF7"/>
    <w:rsid w:val="008E7C93"/>
    <w:rsid w:val="008E7E20"/>
    <w:rsid w:val="008E7F7D"/>
    <w:rsid w:val="008F030C"/>
    <w:rsid w:val="008F03CA"/>
    <w:rsid w:val="008F05E0"/>
    <w:rsid w:val="008F0908"/>
    <w:rsid w:val="008F09DE"/>
    <w:rsid w:val="008F0EA4"/>
    <w:rsid w:val="008F0F85"/>
    <w:rsid w:val="008F10E0"/>
    <w:rsid w:val="008F10E9"/>
    <w:rsid w:val="008F1604"/>
    <w:rsid w:val="008F162A"/>
    <w:rsid w:val="008F1653"/>
    <w:rsid w:val="008F16D5"/>
    <w:rsid w:val="008F17E5"/>
    <w:rsid w:val="008F1872"/>
    <w:rsid w:val="008F19F4"/>
    <w:rsid w:val="008F1AE6"/>
    <w:rsid w:val="008F1B22"/>
    <w:rsid w:val="008F1CFC"/>
    <w:rsid w:val="008F1D9B"/>
    <w:rsid w:val="008F1DC8"/>
    <w:rsid w:val="008F1E80"/>
    <w:rsid w:val="008F2275"/>
    <w:rsid w:val="008F2326"/>
    <w:rsid w:val="008F2365"/>
    <w:rsid w:val="008F2575"/>
    <w:rsid w:val="008F2635"/>
    <w:rsid w:val="008F2855"/>
    <w:rsid w:val="008F285A"/>
    <w:rsid w:val="008F28CB"/>
    <w:rsid w:val="008F29E5"/>
    <w:rsid w:val="008F2B4D"/>
    <w:rsid w:val="008F2B4F"/>
    <w:rsid w:val="008F2CCE"/>
    <w:rsid w:val="008F2CDE"/>
    <w:rsid w:val="008F2D2F"/>
    <w:rsid w:val="008F2F42"/>
    <w:rsid w:val="008F2F9B"/>
    <w:rsid w:val="008F2FA7"/>
    <w:rsid w:val="008F303B"/>
    <w:rsid w:val="008F3177"/>
    <w:rsid w:val="008F31E7"/>
    <w:rsid w:val="008F3209"/>
    <w:rsid w:val="008F33E2"/>
    <w:rsid w:val="008F35A6"/>
    <w:rsid w:val="008F3685"/>
    <w:rsid w:val="008F38F0"/>
    <w:rsid w:val="008F38FF"/>
    <w:rsid w:val="008F39D1"/>
    <w:rsid w:val="008F3AB9"/>
    <w:rsid w:val="008F3B90"/>
    <w:rsid w:val="008F3BAE"/>
    <w:rsid w:val="008F3DC4"/>
    <w:rsid w:val="008F3DDE"/>
    <w:rsid w:val="008F3E8E"/>
    <w:rsid w:val="008F3ED2"/>
    <w:rsid w:val="008F3F6E"/>
    <w:rsid w:val="008F3FC1"/>
    <w:rsid w:val="008F429D"/>
    <w:rsid w:val="008F42B6"/>
    <w:rsid w:val="008F42D9"/>
    <w:rsid w:val="008F43DC"/>
    <w:rsid w:val="008F4526"/>
    <w:rsid w:val="008F458A"/>
    <w:rsid w:val="008F458C"/>
    <w:rsid w:val="008F45F5"/>
    <w:rsid w:val="008F465D"/>
    <w:rsid w:val="008F47B2"/>
    <w:rsid w:val="008F4A0F"/>
    <w:rsid w:val="008F4C65"/>
    <w:rsid w:val="008F4D49"/>
    <w:rsid w:val="008F4FBC"/>
    <w:rsid w:val="008F5208"/>
    <w:rsid w:val="008F5246"/>
    <w:rsid w:val="008F5258"/>
    <w:rsid w:val="008F570A"/>
    <w:rsid w:val="008F5748"/>
    <w:rsid w:val="008F58D8"/>
    <w:rsid w:val="008F5C62"/>
    <w:rsid w:val="008F5DD1"/>
    <w:rsid w:val="008F5E5A"/>
    <w:rsid w:val="008F5F07"/>
    <w:rsid w:val="008F5F40"/>
    <w:rsid w:val="008F5F43"/>
    <w:rsid w:val="008F5F45"/>
    <w:rsid w:val="008F5FEB"/>
    <w:rsid w:val="008F607B"/>
    <w:rsid w:val="008F624C"/>
    <w:rsid w:val="008F67A9"/>
    <w:rsid w:val="008F6856"/>
    <w:rsid w:val="008F69FC"/>
    <w:rsid w:val="008F6C44"/>
    <w:rsid w:val="008F6D1D"/>
    <w:rsid w:val="008F6D57"/>
    <w:rsid w:val="008F6EC6"/>
    <w:rsid w:val="008F6F33"/>
    <w:rsid w:val="008F6F62"/>
    <w:rsid w:val="008F6FED"/>
    <w:rsid w:val="008F70DE"/>
    <w:rsid w:val="008F714D"/>
    <w:rsid w:val="008F729E"/>
    <w:rsid w:val="008F72C4"/>
    <w:rsid w:val="008F731A"/>
    <w:rsid w:val="008F7444"/>
    <w:rsid w:val="008F75F5"/>
    <w:rsid w:val="008F7640"/>
    <w:rsid w:val="008F77E5"/>
    <w:rsid w:val="008F7829"/>
    <w:rsid w:val="008F786A"/>
    <w:rsid w:val="008F788C"/>
    <w:rsid w:val="008F79B8"/>
    <w:rsid w:val="008F7A28"/>
    <w:rsid w:val="008F7A64"/>
    <w:rsid w:val="008F7BB0"/>
    <w:rsid w:val="008F7BB1"/>
    <w:rsid w:val="008F7BC9"/>
    <w:rsid w:val="008F7CA6"/>
    <w:rsid w:val="008F7CD2"/>
    <w:rsid w:val="008F7CD5"/>
    <w:rsid w:val="008F7E6D"/>
    <w:rsid w:val="008F7EFF"/>
    <w:rsid w:val="008F7F08"/>
    <w:rsid w:val="008F7F42"/>
    <w:rsid w:val="00900353"/>
    <w:rsid w:val="00900389"/>
    <w:rsid w:val="009003D3"/>
    <w:rsid w:val="00900488"/>
    <w:rsid w:val="00900907"/>
    <w:rsid w:val="009009BF"/>
    <w:rsid w:val="00900B13"/>
    <w:rsid w:val="00900B95"/>
    <w:rsid w:val="00900E0C"/>
    <w:rsid w:val="00900E3F"/>
    <w:rsid w:val="00900E9A"/>
    <w:rsid w:val="0090136B"/>
    <w:rsid w:val="0090140D"/>
    <w:rsid w:val="009014D9"/>
    <w:rsid w:val="009014DE"/>
    <w:rsid w:val="00901710"/>
    <w:rsid w:val="00901C69"/>
    <w:rsid w:val="00901EAA"/>
    <w:rsid w:val="009021D8"/>
    <w:rsid w:val="0090250B"/>
    <w:rsid w:val="009027D8"/>
    <w:rsid w:val="009027F8"/>
    <w:rsid w:val="00902A3E"/>
    <w:rsid w:val="00902A4A"/>
    <w:rsid w:val="00902B9F"/>
    <w:rsid w:val="00902BF8"/>
    <w:rsid w:val="00902C44"/>
    <w:rsid w:val="00902CF5"/>
    <w:rsid w:val="00902DA4"/>
    <w:rsid w:val="00902E0A"/>
    <w:rsid w:val="00902F39"/>
    <w:rsid w:val="00902F3D"/>
    <w:rsid w:val="009032F5"/>
    <w:rsid w:val="00903479"/>
    <w:rsid w:val="00903528"/>
    <w:rsid w:val="00903595"/>
    <w:rsid w:val="0090373C"/>
    <w:rsid w:val="009038A7"/>
    <w:rsid w:val="009039EA"/>
    <w:rsid w:val="00903B2D"/>
    <w:rsid w:val="00903CB3"/>
    <w:rsid w:val="00903D22"/>
    <w:rsid w:val="0090413F"/>
    <w:rsid w:val="009041C4"/>
    <w:rsid w:val="0090423F"/>
    <w:rsid w:val="00904310"/>
    <w:rsid w:val="0090432C"/>
    <w:rsid w:val="009047E2"/>
    <w:rsid w:val="00904A3E"/>
    <w:rsid w:val="00904BF5"/>
    <w:rsid w:val="00904E9F"/>
    <w:rsid w:val="00904FFF"/>
    <w:rsid w:val="0090504C"/>
    <w:rsid w:val="009052B3"/>
    <w:rsid w:val="00905355"/>
    <w:rsid w:val="009053BB"/>
    <w:rsid w:val="00905413"/>
    <w:rsid w:val="0090542A"/>
    <w:rsid w:val="009054AE"/>
    <w:rsid w:val="00905585"/>
    <w:rsid w:val="009056A0"/>
    <w:rsid w:val="009057D2"/>
    <w:rsid w:val="009059EE"/>
    <w:rsid w:val="00905ADB"/>
    <w:rsid w:val="00905DEF"/>
    <w:rsid w:val="00905F44"/>
    <w:rsid w:val="00905FF5"/>
    <w:rsid w:val="009060DA"/>
    <w:rsid w:val="00906593"/>
    <w:rsid w:val="00906666"/>
    <w:rsid w:val="009068A5"/>
    <w:rsid w:val="009069E6"/>
    <w:rsid w:val="009069EF"/>
    <w:rsid w:val="00906A03"/>
    <w:rsid w:val="00906D9C"/>
    <w:rsid w:val="009070B3"/>
    <w:rsid w:val="009072BA"/>
    <w:rsid w:val="00907560"/>
    <w:rsid w:val="009075C9"/>
    <w:rsid w:val="00907687"/>
    <w:rsid w:val="00907698"/>
    <w:rsid w:val="009077D7"/>
    <w:rsid w:val="0090789F"/>
    <w:rsid w:val="009079B9"/>
    <w:rsid w:val="009079F4"/>
    <w:rsid w:val="00907A51"/>
    <w:rsid w:val="00907D0B"/>
    <w:rsid w:val="00907DF1"/>
    <w:rsid w:val="00907E38"/>
    <w:rsid w:val="009100DE"/>
    <w:rsid w:val="00910372"/>
    <w:rsid w:val="009106E3"/>
    <w:rsid w:val="0091090A"/>
    <w:rsid w:val="00910910"/>
    <w:rsid w:val="00910B68"/>
    <w:rsid w:val="00910D1C"/>
    <w:rsid w:val="0091111C"/>
    <w:rsid w:val="0091159D"/>
    <w:rsid w:val="00911811"/>
    <w:rsid w:val="009119FB"/>
    <w:rsid w:val="00911DB5"/>
    <w:rsid w:val="00911E72"/>
    <w:rsid w:val="00912041"/>
    <w:rsid w:val="0091224D"/>
    <w:rsid w:val="00912556"/>
    <w:rsid w:val="00912968"/>
    <w:rsid w:val="009129CC"/>
    <w:rsid w:val="00912C8C"/>
    <w:rsid w:val="00912D8D"/>
    <w:rsid w:val="00912DC3"/>
    <w:rsid w:val="00912E31"/>
    <w:rsid w:val="00912EC5"/>
    <w:rsid w:val="00913316"/>
    <w:rsid w:val="0091335F"/>
    <w:rsid w:val="009133EB"/>
    <w:rsid w:val="00913455"/>
    <w:rsid w:val="009134D2"/>
    <w:rsid w:val="00913557"/>
    <w:rsid w:val="009135F7"/>
    <w:rsid w:val="00913764"/>
    <w:rsid w:val="0091398C"/>
    <w:rsid w:val="00913A6C"/>
    <w:rsid w:val="00913C6F"/>
    <w:rsid w:val="00913C7F"/>
    <w:rsid w:val="00913D01"/>
    <w:rsid w:val="00914274"/>
    <w:rsid w:val="00914276"/>
    <w:rsid w:val="0091434A"/>
    <w:rsid w:val="00914496"/>
    <w:rsid w:val="00914516"/>
    <w:rsid w:val="00914764"/>
    <w:rsid w:val="0091476F"/>
    <w:rsid w:val="00914927"/>
    <w:rsid w:val="00914AD6"/>
    <w:rsid w:val="00914B87"/>
    <w:rsid w:val="00914D6E"/>
    <w:rsid w:val="00914E42"/>
    <w:rsid w:val="00914FEE"/>
    <w:rsid w:val="009151A4"/>
    <w:rsid w:val="0091533F"/>
    <w:rsid w:val="00915474"/>
    <w:rsid w:val="009155FF"/>
    <w:rsid w:val="00915967"/>
    <w:rsid w:val="00915A01"/>
    <w:rsid w:val="00915A64"/>
    <w:rsid w:val="00915BE8"/>
    <w:rsid w:val="00915BF2"/>
    <w:rsid w:val="00915C45"/>
    <w:rsid w:val="00915C65"/>
    <w:rsid w:val="00915C9E"/>
    <w:rsid w:val="00915D86"/>
    <w:rsid w:val="00915F84"/>
    <w:rsid w:val="00916074"/>
    <w:rsid w:val="009160D9"/>
    <w:rsid w:val="00916257"/>
    <w:rsid w:val="009162BA"/>
    <w:rsid w:val="00916320"/>
    <w:rsid w:val="009164E3"/>
    <w:rsid w:val="00916501"/>
    <w:rsid w:val="009165CC"/>
    <w:rsid w:val="009165DD"/>
    <w:rsid w:val="00916931"/>
    <w:rsid w:val="00916AF0"/>
    <w:rsid w:val="00916D4B"/>
    <w:rsid w:val="00916D55"/>
    <w:rsid w:val="00916EA5"/>
    <w:rsid w:val="00916F41"/>
    <w:rsid w:val="00916FE8"/>
    <w:rsid w:val="009172F8"/>
    <w:rsid w:val="009173F8"/>
    <w:rsid w:val="0091750E"/>
    <w:rsid w:val="0091765B"/>
    <w:rsid w:val="00917673"/>
    <w:rsid w:val="009178EF"/>
    <w:rsid w:val="0091791B"/>
    <w:rsid w:val="009179D9"/>
    <w:rsid w:val="00917B15"/>
    <w:rsid w:val="00917C42"/>
    <w:rsid w:val="00917C6D"/>
    <w:rsid w:val="00917F74"/>
    <w:rsid w:val="00917FD8"/>
    <w:rsid w:val="00920495"/>
    <w:rsid w:val="00920594"/>
    <w:rsid w:val="00920597"/>
    <w:rsid w:val="009205D5"/>
    <w:rsid w:val="00920603"/>
    <w:rsid w:val="0092061B"/>
    <w:rsid w:val="009208C7"/>
    <w:rsid w:val="00920AAF"/>
    <w:rsid w:val="00920AFA"/>
    <w:rsid w:val="00920BF1"/>
    <w:rsid w:val="00920C60"/>
    <w:rsid w:val="00920D26"/>
    <w:rsid w:val="00920DCC"/>
    <w:rsid w:val="00921188"/>
    <w:rsid w:val="00921357"/>
    <w:rsid w:val="0092137C"/>
    <w:rsid w:val="00921429"/>
    <w:rsid w:val="00921532"/>
    <w:rsid w:val="009216E3"/>
    <w:rsid w:val="00921725"/>
    <w:rsid w:val="00921788"/>
    <w:rsid w:val="009218C1"/>
    <w:rsid w:val="0092194B"/>
    <w:rsid w:val="00921D94"/>
    <w:rsid w:val="00921DE2"/>
    <w:rsid w:val="00921EF8"/>
    <w:rsid w:val="00921FD0"/>
    <w:rsid w:val="00922237"/>
    <w:rsid w:val="0092226C"/>
    <w:rsid w:val="0092245E"/>
    <w:rsid w:val="0092247D"/>
    <w:rsid w:val="00922648"/>
    <w:rsid w:val="00922819"/>
    <w:rsid w:val="0092293E"/>
    <w:rsid w:val="00922BC7"/>
    <w:rsid w:val="00922D15"/>
    <w:rsid w:val="00922F26"/>
    <w:rsid w:val="00922F8D"/>
    <w:rsid w:val="0092300F"/>
    <w:rsid w:val="0092321A"/>
    <w:rsid w:val="0092323A"/>
    <w:rsid w:val="00923411"/>
    <w:rsid w:val="009234C8"/>
    <w:rsid w:val="00923561"/>
    <w:rsid w:val="00923568"/>
    <w:rsid w:val="00923670"/>
    <w:rsid w:val="00923812"/>
    <w:rsid w:val="00923819"/>
    <w:rsid w:val="00923830"/>
    <w:rsid w:val="00923835"/>
    <w:rsid w:val="009239F4"/>
    <w:rsid w:val="00923DC4"/>
    <w:rsid w:val="00923E2E"/>
    <w:rsid w:val="00923FB5"/>
    <w:rsid w:val="009240F6"/>
    <w:rsid w:val="00924100"/>
    <w:rsid w:val="00924201"/>
    <w:rsid w:val="00924203"/>
    <w:rsid w:val="009242FC"/>
    <w:rsid w:val="009244F6"/>
    <w:rsid w:val="0092460B"/>
    <w:rsid w:val="0092471E"/>
    <w:rsid w:val="00924782"/>
    <w:rsid w:val="00924910"/>
    <w:rsid w:val="00924C30"/>
    <w:rsid w:val="00924D13"/>
    <w:rsid w:val="00924D29"/>
    <w:rsid w:val="00924EBC"/>
    <w:rsid w:val="00924FBE"/>
    <w:rsid w:val="00924FF6"/>
    <w:rsid w:val="009250B1"/>
    <w:rsid w:val="009252F8"/>
    <w:rsid w:val="00925421"/>
    <w:rsid w:val="0092549D"/>
    <w:rsid w:val="009254C2"/>
    <w:rsid w:val="009255BF"/>
    <w:rsid w:val="00925623"/>
    <w:rsid w:val="00925755"/>
    <w:rsid w:val="009258CD"/>
    <w:rsid w:val="00925981"/>
    <w:rsid w:val="0092598E"/>
    <w:rsid w:val="00925C04"/>
    <w:rsid w:val="00925D0A"/>
    <w:rsid w:val="00925DDA"/>
    <w:rsid w:val="00925F88"/>
    <w:rsid w:val="0092604D"/>
    <w:rsid w:val="00926094"/>
    <w:rsid w:val="00926162"/>
    <w:rsid w:val="0092632F"/>
    <w:rsid w:val="0092636F"/>
    <w:rsid w:val="009265B7"/>
    <w:rsid w:val="009265F3"/>
    <w:rsid w:val="00926631"/>
    <w:rsid w:val="00926793"/>
    <w:rsid w:val="009268A8"/>
    <w:rsid w:val="00926B6E"/>
    <w:rsid w:val="00926C7E"/>
    <w:rsid w:val="00926DEC"/>
    <w:rsid w:val="00926FA7"/>
    <w:rsid w:val="00926FEB"/>
    <w:rsid w:val="00927040"/>
    <w:rsid w:val="00927064"/>
    <w:rsid w:val="009271BC"/>
    <w:rsid w:val="00927226"/>
    <w:rsid w:val="0092722B"/>
    <w:rsid w:val="00927500"/>
    <w:rsid w:val="00927516"/>
    <w:rsid w:val="0092757B"/>
    <w:rsid w:val="00927695"/>
    <w:rsid w:val="009276A8"/>
    <w:rsid w:val="0092772E"/>
    <w:rsid w:val="00927776"/>
    <w:rsid w:val="00927844"/>
    <w:rsid w:val="0092789D"/>
    <w:rsid w:val="00927B26"/>
    <w:rsid w:val="00927B42"/>
    <w:rsid w:val="00927B4B"/>
    <w:rsid w:val="00927C53"/>
    <w:rsid w:val="00927C7E"/>
    <w:rsid w:val="00927E84"/>
    <w:rsid w:val="00927EEC"/>
    <w:rsid w:val="00930125"/>
    <w:rsid w:val="00930189"/>
    <w:rsid w:val="009301B0"/>
    <w:rsid w:val="0093026D"/>
    <w:rsid w:val="00930337"/>
    <w:rsid w:val="0093054C"/>
    <w:rsid w:val="00930563"/>
    <w:rsid w:val="009306E4"/>
    <w:rsid w:val="00930736"/>
    <w:rsid w:val="00930738"/>
    <w:rsid w:val="009309A4"/>
    <w:rsid w:val="00930A39"/>
    <w:rsid w:val="00930BBA"/>
    <w:rsid w:val="009310BD"/>
    <w:rsid w:val="00931239"/>
    <w:rsid w:val="00931270"/>
    <w:rsid w:val="009312C7"/>
    <w:rsid w:val="009312D7"/>
    <w:rsid w:val="0093140B"/>
    <w:rsid w:val="00931441"/>
    <w:rsid w:val="009315E9"/>
    <w:rsid w:val="0093174C"/>
    <w:rsid w:val="00931775"/>
    <w:rsid w:val="0093185C"/>
    <w:rsid w:val="009318B4"/>
    <w:rsid w:val="00931A9C"/>
    <w:rsid w:val="00931AB3"/>
    <w:rsid w:val="00931B13"/>
    <w:rsid w:val="00931B33"/>
    <w:rsid w:val="00931DC2"/>
    <w:rsid w:val="00931FC9"/>
    <w:rsid w:val="009322EE"/>
    <w:rsid w:val="00932392"/>
    <w:rsid w:val="0093247B"/>
    <w:rsid w:val="0093265D"/>
    <w:rsid w:val="00932678"/>
    <w:rsid w:val="00932734"/>
    <w:rsid w:val="009327C9"/>
    <w:rsid w:val="00932821"/>
    <w:rsid w:val="009329D3"/>
    <w:rsid w:val="00932BFD"/>
    <w:rsid w:val="00932CA1"/>
    <w:rsid w:val="00932D8B"/>
    <w:rsid w:val="00932E0C"/>
    <w:rsid w:val="009330BF"/>
    <w:rsid w:val="009330E3"/>
    <w:rsid w:val="009331A9"/>
    <w:rsid w:val="0093325B"/>
    <w:rsid w:val="00933407"/>
    <w:rsid w:val="009335BB"/>
    <w:rsid w:val="009336E9"/>
    <w:rsid w:val="009337F2"/>
    <w:rsid w:val="00933B8A"/>
    <w:rsid w:val="00933C27"/>
    <w:rsid w:val="00933C68"/>
    <w:rsid w:val="00933D1B"/>
    <w:rsid w:val="00933D3B"/>
    <w:rsid w:val="00933EAC"/>
    <w:rsid w:val="00933FED"/>
    <w:rsid w:val="00934015"/>
    <w:rsid w:val="00934079"/>
    <w:rsid w:val="00934086"/>
    <w:rsid w:val="00934229"/>
    <w:rsid w:val="009344A2"/>
    <w:rsid w:val="00934507"/>
    <w:rsid w:val="009345B8"/>
    <w:rsid w:val="0093460C"/>
    <w:rsid w:val="0093481E"/>
    <w:rsid w:val="0093484E"/>
    <w:rsid w:val="00934850"/>
    <w:rsid w:val="00934AB2"/>
    <w:rsid w:val="00934DC3"/>
    <w:rsid w:val="00934E21"/>
    <w:rsid w:val="00934EC2"/>
    <w:rsid w:val="009351C1"/>
    <w:rsid w:val="009352C3"/>
    <w:rsid w:val="00935335"/>
    <w:rsid w:val="009353F8"/>
    <w:rsid w:val="009355F0"/>
    <w:rsid w:val="009357D5"/>
    <w:rsid w:val="00935A73"/>
    <w:rsid w:val="00935B37"/>
    <w:rsid w:val="00935C05"/>
    <w:rsid w:val="00935E57"/>
    <w:rsid w:val="00935EBA"/>
    <w:rsid w:val="00935FF0"/>
    <w:rsid w:val="0093600B"/>
    <w:rsid w:val="0093614B"/>
    <w:rsid w:val="00936202"/>
    <w:rsid w:val="009362BD"/>
    <w:rsid w:val="009363D5"/>
    <w:rsid w:val="00936418"/>
    <w:rsid w:val="0093647B"/>
    <w:rsid w:val="009364F1"/>
    <w:rsid w:val="00936584"/>
    <w:rsid w:val="0093663C"/>
    <w:rsid w:val="00936869"/>
    <w:rsid w:val="0093694F"/>
    <w:rsid w:val="0093695A"/>
    <w:rsid w:val="00936980"/>
    <w:rsid w:val="00936A6C"/>
    <w:rsid w:val="00936D86"/>
    <w:rsid w:val="00936DD2"/>
    <w:rsid w:val="00936E1A"/>
    <w:rsid w:val="0093704C"/>
    <w:rsid w:val="0093714D"/>
    <w:rsid w:val="00937175"/>
    <w:rsid w:val="009371CD"/>
    <w:rsid w:val="0093748A"/>
    <w:rsid w:val="00937646"/>
    <w:rsid w:val="00937790"/>
    <w:rsid w:val="00937C0E"/>
    <w:rsid w:val="00937D03"/>
    <w:rsid w:val="00937E76"/>
    <w:rsid w:val="00940045"/>
    <w:rsid w:val="00940104"/>
    <w:rsid w:val="009401BE"/>
    <w:rsid w:val="00940272"/>
    <w:rsid w:val="009402B0"/>
    <w:rsid w:val="00940308"/>
    <w:rsid w:val="009403A0"/>
    <w:rsid w:val="0094055C"/>
    <w:rsid w:val="0094069C"/>
    <w:rsid w:val="00940757"/>
    <w:rsid w:val="009408EC"/>
    <w:rsid w:val="00940ADB"/>
    <w:rsid w:val="00940B19"/>
    <w:rsid w:val="00940E17"/>
    <w:rsid w:val="00940EEE"/>
    <w:rsid w:val="00940F80"/>
    <w:rsid w:val="00940F89"/>
    <w:rsid w:val="00940F8D"/>
    <w:rsid w:val="009410E8"/>
    <w:rsid w:val="0094117E"/>
    <w:rsid w:val="009414FB"/>
    <w:rsid w:val="00941614"/>
    <w:rsid w:val="009417BA"/>
    <w:rsid w:val="00941823"/>
    <w:rsid w:val="0094188C"/>
    <w:rsid w:val="009418D6"/>
    <w:rsid w:val="009418DA"/>
    <w:rsid w:val="00941A1B"/>
    <w:rsid w:val="00941AAD"/>
    <w:rsid w:val="00941B72"/>
    <w:rsid w:val="00941CE6"/>
    <w:rsid w:val="00941D4F"/>
    <w:rsid w:val="00941FDA"/>
    <w:rsid w:val="00942120"/>
    <w:rsid w:val="009421DE"/>
    <w:rsid w:val="00942226"/>
    <w:rsid w:val="009422FA"/>
    <w:rsid w:val="009425EC"/>
    <w:rsid w:val="00942655"/>
    <w:rsid w:val="00942703"/>
    <w:rsid w:val="0094286D"/>
    <w:rsid w:val="0094293B"/>
    <w:rsid w:val="0094296F"/>
    <w:rsid w:val="0094298E"/>
    <w:rsid w:val="00942AF7"/>
    <w:rsid w:val="00942BE4"/>
    <w:rsid w:val="00942CDF"/>
    <w:rsid w:val="00942D4F"/>
    <w:rsid w:val="00942FB8"/>
    <w:rsid w:val="0094306D"/>
    <w:rsid w:val="009431F6"/>
    <w:rsid w:val="00943202"/>
    <w:rsid w:val="0094339A"/>
    <w:rsid w:val="00943593"/>
    <w:rsid w:val="00943809"/>
    <w:rsid w:val="009439AB"/>
    <w:rsid w:val="00943A50"/>
    <w:rsid w:val="00943A8B"/>
    <w:rsid w:val="00943F64"/>
    <w:rsid w:val="00943F80"/>
    <w:rsid w:val="00943FCB"/>
    <w:rsid w:val="009440B0"/>
    <w:rsid w:val="0094416E"/>
    <w:rsid w:val="00944231"/>
    <w:rsid w:val="00944332"/>
    <w:rsid w:val="0094452C"/>
    <w:rsid w:val="009445F4"/>
    <w:rsid w:val="0094472F"/>
    <w:rsid w:val="00944849"/>
    <w:rsid w:val="00944A52"/>
    <w:rsid w:val="00944AEF"/>
    <w:rsid w:val="00944B5E"/>
    <w:rsid w:val="00944BDD"/>
    <w:rsid w:val="00944CEA"/>
    <w:rsid w:val="00944CEC"/>
    <w:rsid w:val="00944F8E"/>
    <w:rsid w:val="0094501F"/>
    <w:rsid w:val="0094503B"/>
    <w:rsid w:val="009452B4"/>
    <w:rsid w:val="009452BE"/>
    <w:rsid w:val="00945436"/>
    <w:rsid w:val="00945509"/>
    <w:rsid w:val="00945596"/>
    <w:rsid w:val="009455D0"/>
    <w:rsid w:val="009456A8"/>
    <w:rsid w:val="009459A7"/>
    <w:rsid w:val="009459DD"/>
    <w:rsid w:val="00945BB9"/>
    <w:rsid w:val="00945CC3"/>
    <w:rsid w:val="00945CFD"/>
    <w:rsid w:val="00945DF9"/>
    <w:rsid w:val="00945F28"/>
    <w:rsid w:val="00945FDC"/>
    <w:rsid w:val="00945FEE"/>
    <w:rsid w:val="00946078"/>
    <w:rsid w:val="00946192"/>
    <w:rsid w:val="00946882"/>
    <w:rsid w:val="00946999"/>
    <w:rsid w:val="00946C0D"/>
    <w:rsid w:val="00946CA4"/>
    <w:rsid w:val="00946DC4"/>
    <w:rsid w:val="00946DE0"/>
    <w:rsid w:val="00946FFF"/>
    <w:rsid w:val="00947075"/>
    <w:rsid w:val="009471E1"/>
    <w:rsid w:val="00947407"/>
    <w:rsid w:val="00947427"/>
    <w:rsid w:val="0094787B"/>
    <w:rsid w:val="00947B7B"/>
    <w:rsid w:val="00947C94"/>
    <w:rsid w:val="00947ECC"/>
    <w:rsid w:val="00947F06"/>
    <w:rsid w:val="00947F5B"/>
    <w:rsid w:val="0095005D"/>
    <w:rsid w:val="0095030B"/>
    <w:rsid w:val="0095061F"/>
    <w:rsid w:val="0095087D"/>
    <w:rsid w:val="00950AC5"/>
    <w:rsid w:val="00950DB4"/>
    <w:rsid w:val="00950F0F"/>
    <w:rsid w:val="00951023"/>
    <w:rsid w:val="00951190"/>
    <w:rsid w:val="009511D7"/>
    <w:rsid w:val="00951298"/>
    <w:rsid w:val="009512DC"/>
    <w:rsid w:val="009514AC"/>
    <w:rsid w:val="009516F5"/>
    <w:rsid w:val="00951796"/>
    <w:rsid w:val="009517A1"/>
    <w:rsid w:val="00951CDB"/>
    <w:rsid w:val="00952051"/>
    <w:rsid w:val="00952183"/>
    <w:rsid w:val="00952455"/>
    <w:rsid w:val="0095267C"/>
    <w:rsid w:val="009526F4"/>
    <w:rsid w:val="009528D0"/>
    <w:rsid w:val="009528F0"/>
    <w:rsid w:val="00952941"/>
    <w:rsid w:val="00952985"/>
    <w:rsid w:val="009529C9"/>
    <w:rsid w:val="00952AA6"/>
    <w:rsid w:val="00952B44"/>
    <w:rsid w:val="00952D3D"/>
    <w:rsid w:val="00952DBE"/>
    <w:rsid w:val="00952DC4"/>
    <w:rsid w:val="009530A5"/>
    <w:rsid w:val="00953179"/>
    <w:rsid w:val="00953327"/>
    <w:rsid w:val="00953B33"/>
    <w:rsid w:val="00953B42"/>
    <w:rsid w:val="00953B46"/>
    <w:rsid w:val="00953E1F"/>
    <w:rsid w:val="0095414B"/>
    <w:rsid w:val="009544E3"/>
    <w:rsid w:val="00954631"/>
    <w:rsid w:val="00954741"/>
    <w:rsid w:val="0095475E"/>
    <w:rsid w:val="009547E7"/>
    <w:rsid w:val="00954A51"/>
    <w:rsid w:val="00954B66"/>
    <w:rsid w:val="00954C91"/>
    <w:rsid w:val="00954D37"/>
    <w:rsid w:val="00954DD5"/>
    <w:rsid w:val="00954E40"/>
    <w:rsid w:val="00954E77"/>
    <w:rsid w:val="00954FDE"/>
    <w:rsid w:val="009550A4"/>
    <w:rsid w:val="00955287"/>
    <w:rsid w:val="009552FB"/>
    <w:rsid w:val="00955373"/>
    <w:rsid w:val="0095541C"/>
    <w:rsid w:val="009554F4"/>
    <w:rsid w:val="00955A06"/>
    <w:rsid w:val="00955C07"/>
    <w:rsid w:val="00955C22"/>
    <w:rsid w:val="00955D0D"/>
    <w:rsid w:val="00955D0F"/>
    <w:rsid w:val="00955D84"/>
    <w:rsid w:val="00955DD5"/>
    <w:rsid w:val="00955E40"/>
    <w:rsid w:val="00955E7C"/>
    <w:rsid w:val="0095651B"/>
    <w:rsid w:val="0095661A"/>
    <w:rsid w:val="009567DE"/>
    <w:rsid w:val="00956A14"/>
    <w:rsid w:val="00956BE4"/>
    <w:rsid w:val="00956C43"/>
    <w:rsid w:val="00956E2E"/>
    <w:rsid w:val="00957115"/>
    <w:rsid w:val="009574B0"/>
    <w:rsid w:val="0095750F"/>
    <w:rsid w:val="0095759D"/>
    <w:rsid w:val="00957637"/>
    <w:rsid w:val="0095790E"/>
    <w:rsid w:val="00957A43"/>
    <w:rsid w:val="00957F1D"/>
    <w:rsid w:val="0096001F"/>
    <w:rsid w:val="0096004B"/>
    <w:rsid w:val="009603E7"/>
    <w:rsid w:val="00960478"/>
    <w:rsid w:val="0096050B"/>
    <w:rsid w:val="00960586"/>
    <w:rsid w:val="0096061B"/>
    <w:rsid w:val="009606B7"/>
    <w:rsid w:val="009607B5"/>
    <w:rsid w:val="009609CE"/>
    <w:rsid w:val="009609DF"/>
    <w:rsid w:val="00960B7A"/>
    <w:rsid w:val="00960CB7"/>
    <w:rsid w:val="00960CD6"/>
    <w:rsid w:val="00960CFE"/>
    <w:rsid w:val="00960D34"/>
    <w:rsid w:val="00960D64"/>
    <w:rsid w:val="00960E9A"/>
    <w:rsid w:val="00960FFF"/>
    <w:rsid w:val="009610D7"/>
    <w:rsid w:val="009611E3"/>
    <w:rsid w:val="00961329"/>
    <w:rsid w:val="00961641"/>
    <w:rsid w:val="00961711"/>
    <w:rsid w:val="0096172D"/>
    <w:rsid w:val="00961820"/>
    <w:rsid w:val="0096190E"/>
    <w:rsid w:val="009619B9"/>
    <w:rsid w:val="00961A87"/>
    <w:rsid w:val="00961A90"/>
    <w:rsid w:val="00961CE3"/>
    <w:rsid w:val="00961D81"/>
    <w:rsid w:val="00961F38"/>
    <w:rsid w:val="0096205B"/>
    <w:rsid w:val="009620CB"/>
    <w:rsid w:val="0096211E"/>
    <w:rsid w:val="009622CB"/>
    <w:rsid w:val="0096236F"/>
    <w:rsid w:val="0096245F"/>
    <w:rsid w:val="009624EA"/>
    <w:rsid w:val="009625DE"/>
    <w:rsid w:val="00962802"/>
    <w:rsid w:val="009628B7"/>
    <w:rsid w:val="009629AA"/>
    <w:rsid w:val="00962C14"/>
    <w:rsid w:val="00962E25"/>
    <w:rsid w:val="00962FD3"/>
    <w:rsid w:val="009632E8"/>
    <w:rsid w:val="009637BC"/>
    <w:rsid w:val="009637BE"/>
    <w:rsid w:val="00963887"/>
    <w:rsid w:val="00963AEE"/>
    <w:rsid w:val="00963B17"/>
    <w:rsid w:val="00963B63"/>
    <w:rsid w:val="00963BD4"/>
    <w:rsid w:val="00963C13"/>
    <w:rsid w:val="00963DBD"/>
    <w:rsid w:val="00963E3A"/>
    <w:rsid w:val="00963ED4"/>
    <w:rsid w:val="00963FE5"/>
    <w:rsid w:val="009640F9"/>
    <w:rsid w:val="0096426B"/>
    <w:rsid w:val="009642ED"/>
    <w:rsid w:val="00964350"/>
    <w:rsid w:val="00964354"/>
    <w:rsid w:val="00964581"/>
    <w:rsid w:val="00964785"/>
    <w:rsid w:val="0096488A"/>
    <w:rsid w:val="00964959"/>
    <w:rsid w:val="00964C0D"/>
    <w:rsid w:val="00964E9B"/>
    <w:rsid w:val="00964F16"/>
    <w:rsid w:val="009656FC"/>
    <w:rsid w:val="0096575C"/>
    <w:rsid w:val="00965875"/>
    <w:rsid w:val="00965B74"/>
    <w:rsid w:val="00965C63"/>
    <w:rsid w:val="00965C74"/>
    <w:rsid w:val="00965DAA"/>
    <w:rsid w:val="00965E32"/>
    <w:rsid w:val="00965EE3"/>
    <w:rsid w:val="0096602E"/>
    <w:rsid w:val="00966113"/>
    <w:rsid w:val="00966180"/>
    <w:rsid w:val="00966228"/>
    <w:rsid w:val="009663CA"/>
    <w:rsid w:val="00966414"/>
    <w:rsid w:val="00966535"/>
    <w:rsid w:val="00966590"/>
    <w:rsid w:val="00966784"/>
    <w:rsid w:val="009667E2"/>
    <w:rsid w:val="00966998"/>
    <w:rsid w:val="00966A20"/>
    <w:rsid w:val="00966C8E"/>
    <w:rsid w:val="00966D70"/>
    <w:rsid w:val="00966E37"/>
    <w:rsid w:val="00966F3D"/>
    <w:rsid w:val="00966FDB"/>
    <w:rsid w:val="00967126"/>
    <w:rsid w:val="0096731C"/>
    <w:rsid w:val="00967411"/>
    <w:rsid w:val="0096745A"/>
    <w:rsid w:val="009675F0"/>
    <w:rsid w:val="009677B7"/>
    <w:rsid w:val="009679C8"/>
    <w:rsid w:val="009679FA"/>
    <w:rsid w:val="00967AA4"/>
    <w:rsid w:val="00967AF8"/>
    <w:rsid w:val="00967D57"/>
    <w:rsid w:val="00967D6B"/>
    <w:rsid w:val="009700D1"/>
    <w:rsid w:val="0097010A"/>
    <w:rsid w:val="00970A1A"/>
    <w:rsid w:val="00970AEB"/>
    <w:rsid w:val="00970BEC"/>
    <w:rsid w:val="00970CF7"/>
    <w:rsid w:val="00970F5F"/>
    <w:rsid w:val="00970F6A"/>
    <w:rsid w:val="00971008"/>
    <w:rsid w:val="0097111E"/>
    <w:rsid w:val="00971196"/>
    <w:rsid w:val="0097121F"/>
    <w:rsid w:val="009713CD"/>
    <w:rsid w:val="00971501"/>
    <w:rsid w:val="009715ED"/>
    <w:rsid w:val="00971694"/>
    <w:rsid w:val="009716AA"/>
    <w:rsid w:val="009716C3"/>
    <w:rsid w:val="00971776"/>
    <w:rsid w:val="009717AD"/>
    <w:rsid w:val="00971AE5"/>
    <w:rsid w:val="00971E02"/>
    <w:rsid w:val="00972195"/>
    <w:rsid w:val="00972261"/>
    <w:rsid w:val="00972327"/>
    <w:rsid w:val="009723A7"/>
    <w:rsid w:val="009723AD"/>
    <w:rsid w:val="009723F3"/>
    <w:rsid w:val="009727D3"/>
    <w:rsid w:val="00972877"/>
    <w:rsid w:val="009728FB"/>
    <w:rsid w:val="0097298A"/>
    <w:rsid w:val="009729B7"/>
    <w:rsid w:val="00972A05"/>
    <w:rsid w:val="00972B8B"/>
    <w:rsid w:val="00972CCD"/>
    <w:rsid w:val="00972FA4"/>
    <w:rsid w:val="0097331D"/>
    <w:rsid w:val="009735F3"/>
    <w:rsid w:val="0097361F"/>
    <w:rsid w:val="009736C8"/>
    <w:rsid w:val="009736DC"/>
    <w:rsid w:val="00973776"/>
    <w:rsid w:val="009739A3"/>
    <w:rsid w:val="00973A9E"/>
    <w:rsid w:val="00973AAB"/>
    <w:rsid w:val="00973ADC"/>
    <w:rsid w:val="00973CD1"/>
    <w:rsid w:val="00973EBF"/>
    <w:rsid w:val="00973F26"/>
    <w:rsid w:val="00974244"/>
    <w:rsid w:val="0097434B"/>
    <w:rsid w:val="00974416"/>
    <w:rsid w:val="009744CD"/>
    <w:rsid w:val="00974533"/>
    <w:rsid w:val="00974569"/>
    <w:rsid w:val="00974D00"/>
    <w:rsid w:val="00974D8E"/>
    <w:rsid w:val="00974D9D"/>
    <w:rsid w:val="00974E36"/>
    <w:rsid w:val="00974EBE"/>
    <w:rsid w:val="00974F08"/>
    <w:rsid w:val="00974F53"/>
    <w:rsid w:val="00975657"/>
    <w:rsid w:val="00975766"/>
    <w:rsid w:val="00975782"/>
    <w:rsid w:val="0097596E"/>
    <w:rsid w:val="00975A93"/>
    <w:rsid w:val="00975B27"/>
    <w:rsid w:val="00975ED0"/>
    <w:rsid w:val="00975F26"/>
    <w:rsid w:val="00975FEB"/>
    <w:rsid w:val="009760A5"/>
    <w:rsid w:val="00976426"/>
    <w:rsid w:val="00976823"/>
    <w:rsid w:val="00976905"/>
    <w:rsid w:val="00976B0A"/>
    <w:rsid w:val="00976C09"/>
    <w:rsid w:val="00976C8F"/>
    <w:rsid w:val="00976D3E"/>
    <w:rsid w:val="00976E80"/>
    <w:rsid w:val="00976F3F"/>
    <w:rsid w:val="00976FFF"/>
    <w:rsid w:val="0097742F"/>
    <w:rsid w:val="00977516"/>
    <w:rsid w:val="00977580"/>
    <w:rsid w:val="009776CE"/>
    <w:rsid w:val="00977760"/>
    <w:rsid w:val="009777A4"/>
    <w:rsid w:val="00977898"/>
    <w:rsid w:val="00977A1B"/>
    <w:rsid w:val="00977B28"/>
    <w:rsid w:val="00977D7D"/>
    <w:rsid w:val="00977DFB"/>
    <w:rsid w:val="00977E10"/>
    <w:rsid w:val="00977FF6"/>
    <w:rsid w:val="00980116"/>
    <w:rsid w:val="00980145"/>
    <w:rsid w:val="009802D4"/>
    <w:rsid w:val="0098042A"/>
    <w:rsid w:val="0098046F"/>
    <w:rsid w:val="0098061A"/>
    <w:rsid w:val="0098076F"/>
    <w:rsid w:val="00980775"/>
    <w:rsid w:val="00980B98"/>
    <w:rsid w:val="00980CCF"/>
    <w:rsid w:val="00980DC9"/>
    <w:rsid w:val="00980ED9"/>
    <w:rsid w:val="00980F00"/>
    <w:rsid w:val="00980F9E"/>
    <w:rsid w:val="0098106F"/>
    <w:rsid w:val="00981132"/>
    <w:rsid w:val="00981289"/>
    <w:rsid w:val="009816E4"/>
    <w:rsid w:val="00981AEC"/>
    <w:rsid w:val="00981B87"/>
    <w:rsid w:val="00981E2E"/>
    <w:rsid w:val="00981E2F"/>
    <w:rsid w:val="00981F24"/>
    <w:rsid w:val="00981F9C"/>
    <w:rsid w:val="009820B3"/>
    <w:rsid w:val="00982124"/>
    <w:rsid w:val="0098234F"/>
    <w:rsid w:val="00982536"/>
    <w:rsid w:val="009825C2"/>
    <w:rsid w:val="0098260C"/>
    <w:rsid w:val="0098264D"/>
    <w:rsid w:val="009827CB"/>
    <w:rsid w:val="00982B17"/>
    <w:rsid w:val="00982BC3"/>
    <w:rsid w:val="00982D58"/>
    <w:rsid w:val="00982E5E"/>
    <w:rsid w:val="00982FED"/>
    <w:rsid w:val="009830C4"/>
    <w:rsid w:val="00983167"/>
    <w:rsid w:val="009831AA"/>
    <w:rsid w:val="009832E4"/>
    <w:rsid w:val="009833E5"/>
    <w:rsid w:val="00983436"/>
    <w:rsid w:val="0098343C"/>
    <w:rsid w:val="0098372D"/>
    <w:rsid w:val="0098373F"/>
    <w:rsid w:val="0098384E"/>
    <w:rsid w:val="009839F8"/>
    <w:rsid w:val="00983BCC"/>
    <w:rsid w:val="00983BF4"/>
    <w:rsid w:val="00983C55"/>
    <w:rsid w:val="00983CCD"/>
    <w:rsid w:val="00983DE7"/>
    <w:rsid w:val="00984033"/>
    <w:rsid w:val="0098405C"/>
    <w:rsid w:val="0098405D"/>
    <w:rsid w:val="009840AC"/>
    <w:rsid w:val="0098412E"/>
    <w:rsid w:val="00984169"/>
    <w:rsid w:val="00984547"/>
    <w:rsid w:val="00984601"/>
    <w:rsid w:val="00984641"/>
    <w:rsid w:val="00984957"/>
    <w:rsid w:val="00984A57"/>
    <w:rsid w:val="00984C33"/>
    <w:rsid w:val="00984D90"/>
    <w:rsid w:val="00985165"/>
    <w:rsid w:val="009852F8"/>
    <w:rsid w:val="00985429"/>
    <w:rsid w:val="00985547"/>
    <w:rsid w:val="0098558D"/>
    <w:rsid w:val="00985685"/>
    <w:rsid w:val="00985730"/>
    <w:rsid w:val="00985791"/>
    <w:rsid w:val="00985807"/>
    <w:rsid w:val="0098582D"/>
    <w:rsid w:val="009858D4"/>
    <w:rsid w:val="00985A3F"/>
    <w:rsid w:val="00985A42"/>
    <w:rsid w:val="00985BBF"/>
    <w:rsid w:val="00985BC7"/>
    <w:rsid w:val="00985DC1"/>
    <w:rsid w:val="00985DC8"/>
    <w:rsid w:val="00985ED9"/>
    <w:rsid w:val="00985F2A"/>
    <w:rsid w:val="009860A0"/>
    <w:rsid w:val="00986172"/>
    <w:rsid w:val="0098619E"/>
    <w:rsid w:val="00986249"/>
    <w:rsid w:val="00986331"/>
    <w:rsid w:val="009864F5"/>
    <w:rsid w:val="009865DE"/>
    <w:rsid w:val="009865E0"/>
    <w:rsid w:val="009866DD"/>
    <w:rsid w:val="0098670A"/>
    <w:rsid w:val="009867B9"/>
    <w:rsid w:val="00986999"/>
    <w:rsid w:val="009869A5"/>
    <w:rsid w:val="00986AC0"/>
    <w:rsid w:val="00986CD6"/>
    <w:rsid w:val="00986F33"/>
    <w:rsid w:val="00987099"/>
    <w:rsid w:val="00987226"/>
    <w:rsid w:val="0098722E"/>
    <w:rsid w:val="00987234"/>
    <w:rsid w:val="0098724D"/>
    <w:rsid w:val="00987650"/>
    <w:rsid w:val="00987771"/>
    <w:rsid w:val="009879B8"/>
    <w:rsid w:val="00987C67"/>
    <w:rsid w:val="00987E33"/>
    <w:rsid w:val="00987E3F"/>
    <w:rsid w:val="00987E6E"/>
    <w:rsid w:val="0099003D"/>
    <w:rsid w:val="0099011A"/>
    <w:rsid w:val="00990133"/>
    <w:rsid w:val="00990155"/>
    <w:rsid w:val="0099016C"/>
    <w:rsid w:val="00990204"/>
    <w:rsid w:val="0099027F"/>
    <w:rsid w:val="00990383"/>
    <w:rsid w:val="0099057D"/>
    <w:rsid w:val="00990613"/>
    <w:rsid w:val="0099078F"/>
    <w:rsid w:val="0099092A"/>
    <w:rsid w:val="009909AE"/>
    <w:rsid w:val="009909F8"/>
    <w:rsid w:val="00990C51"/>
    <w:rsid w:val="00990C6C"/>
    <w:rsid w:val="00990D2A"/>
    <w:rsid w:val="00990E5C"/>
    <w:rsid w:val="00990EF0"/>
    <w:rsid w:val="00990F16"/>
    <w:rsid w:val="00990F85"/>
    <w:rsid w:val="0099105A"/>
    <w:rsid w:val="00991201"/>
    <w:rsid w:val="0099156C"/>
    <w:rsid w:val="00991626"/>
    <w:rsid w:val="009916B8"/>
    <w:rsid w:val="00991AA1"/>
    <w:rsid w:val="00991AE1"/>
    <w:rsid w:val="00991AF4"/>
    <w:rsid w:val="00991C84"/>
    <w:rsid w:val="00992338"/>
    <w:rsid w:val="009925C3"/>
    <w:rsid w:val="00992625"/>
    <w:rsid w:val="0099279A"/>
    <w:rsid w:val="009930F8"/>
    <w:rsid w:val="00993153"/>
    <w:rsid w:val="00993194"/>
    <w:rsid w:val="0099322A"/>
    <w:rsid w:val="00993361"/>
    <w:rsid w:val="00993518"/>
    <w:rsid w:val="0099368F"/>
    <w:rsid w:val="0099369E"/>
    <w:rsid w:val="00993739"/>
    <w:rsid w:val="00993A18"/>
    <w:rsid w:val="00993C1B"/>
    <w:rsid w:val="00993F5A"/>
    <w:rsid w:val="00993FE8"/>
    <w:rsid w:val="009940B0"/>
    <w:rsid w:val="009941BA"/>
    <w:rsid w:val="00994203"/>
    <w:rsid w:val="009942AF"/>
    <w:rsid w:val="009944C1"/>
    <w:rsid w:val="00994717"/>
    <w:rsid w:val="009947BA"/>
    <w:rsid w:val="009949E1"/>
    <w:rsid w:val="00994A3C"/>
    <w:rsid w:val="00994AA8"/>
    <w:rsid w:val="00994DC0"/>
    <w:rsid w:val="00994ED7"/>
    <w:rsid w:val="00994F22"/>
    <w:rsid w:val="00994F60"/>
    <w:rsid w:val="00995118"/>
    <w:rsid w:val="009951FA"/>
    <w:rsid w:val="00995204"/>
    <w:rsid w:val="009952F6"/>
    <w:rsid w:val="0099537E"/>
    <w:rsid w:val="00995385"/>
    <w:rsid w:val="009954D6"/>
    <w:rsid w:val="0099555F"/>
    <w:rsid w:val="00995620"/>
    <w:rsid w:val="00995719"/>
    <w:rsid w:val="00995793"/>
    <w:rsid w:val="0099596D"/>
    <w:rsid w:val="00995D44"/>
    <w:rsid w:val="00995DA0"/>
    <w:rsid w:val="00995E55"/>
    <w:rsid w:val="00995EFB"/>
    <w:rsid w:val="00995F46"/>
    <w:rsid w:val="00995FF7"/>
    <w:rsid w:val="00996012"/>
    <w:rsid w:val="009960DA"/>
    <w:rsid w:val="0099614F"/>
    <w:rsid w:val="00996167"/>
    <w:rsid w:val="0099619F"/>
    <w:rsid w:val="009964A7"/>
    <w:rsid w:val="00996501"/>
    <w:rsid w:val="00996598"/>
    <w:rsid w:val="009966D1"/>
    <w:rsid w:val="009967D1"/>
    <w:rsid w:val="009967EE"/>
    <w:rsid w:val="00996929"/>
    <w:rsid w:val="009969A3"/>
    <w:rsid w:val="00996AE6"/>
    <w:rsid w:val="00996BDA"/>
    <w:rsid w:val="00996CD1"/>
    <w:rsid w:val="00996D09"/>
    <w:rsid w:val="00996E1B"/>
    <w:rsid w:val="0099715B"/>
    <w:rsid w:val="00997314"/>
    <w:rsid w:val="0099735B"/>
    <w:rsid w:val="009973E7"/>
    <w:rsid w:val="00997433"/>
    <w:rsid w:val="0099755E"/>
    <w:rsid w:val="009977F6"/>
    <w:rsid w:val="0099786D"/>
    <w:rsid w:val="009978C4"/>
    <w:rsid w:val="00997AEC"/>
    <w:rsid w:val="00997B15"/>
    <w:rsid w:val="00997B20"/>
    <w:rsid w:val="00997BD0"/>
    <w:rsid w:val="00997D8A"/>
    <w:rsid w:val="00997DD0"/>
    <w:rsid w:val="00997DE6"/>
    <w:rsid w:val="00997FDC"/>
    <w:rsid w:val="009A0068"/>
    <w:rsid w:val="009A00AA"/>
    <w:rsid w:val="009A01B0"/>
    <w:rsid w:val="009A01F6"/>
    <w:rsid w:val="009A02CD"/>
    <w:rsid w:val="009A03ED"/>
    <w:rsid w:val="009A03F6"/>
    <w:rsid w:val="009A041C"/>
    <w:rsid w:val="009A084A"/>
    <w:rsid w:val="009A09A1"/>
    <w:rsid w:val="009A0A41"/>
    <w:rsid w:val="009A0A9E"/>
    <w:rsid w:val="009A0ACB"/>
    <w:rsid w:val="009A0CAC"/>
    <w:rsid w:val="009A0DA9"/>
    <w:rsid w:val="009A0EBE"/>
    <w:rsid w:val="009A0EC8"/>
    <w:rsid w:val="009A0F19"/>
    <w:rsid w:val="009A0F5F"/>
    <w:rsid w:val="009A133C"/>
    <w:rsid w:val="009A1370"/>
    <w:rsid w:val="009A15B8"/>
    <w:rsid w:val="009A166D"/>
    <w:rsid w:val="009A16F6"/>
    <w:rsid w:val="009A1744"/>
    <w:rsid w:val="009A1757"/>
    <w:rsid w:val="009A17C7"/>
    <w:rsid w:val="009A17EF"/>
    <w:rsid w:val="009A18DD"/>
    <w:rsid w:val="009A1AB4"/>
    <w:rsid w:val="009A1AF0"/>
    <w:rsid w:val="009A1B0A"/>
    <w:rsid w:val="009A1B13"/>
    <w:rsid w:val="009A1B17"/>
    <w:rsid w:val="009A1B64"/>
    <w:rsid w:val="009A1CB7"/>
    <w:rsid w:val="009A1D56"/>
    <w:rsid w:val="009A1DD3"/>
    <w:rsid w:val="009A2055"/>
    <w:rsid w:val="009A2242"/>
    <w:rsid w:val="009A2555"/>
    <w:rsid w:val="009A284A"/>
    <w:rsid w:val="009A28A3"/>
    <w:rsid w:val="009A2B10"/>
    <w:rsid w:val="009A2CCB"/>
    <w:rsid w:val="009A2D22"/>
    <w:rsid w:val="009A2DA2"/>
    <w:rsid w:val="009A3070"/>
    <w:rsid w:val="009A30C7"/>
    <w:rsid w:val="009A30ED"/>
    <w:rsid w:val="009A3114"/>
    <w:rsid w:val="009A3117"/>
    <w:rsid w:val="009A31BB"/>
    <w:rsid w:val="009A3370"/>
    <w:rsid w:val="009A33DA"/>
    <w:rsid w:val="009A3401"/>
    <w:rsid w:val="009A3436"/>
    <w:rsid w:val="009A345C"/>
    <w:rsid w:val="009A36E4"/>
    <w:rsid w:val="009A3939"/>
    <w:rsid w:val="009A3C93"/>
    <w:rsid w:val="009A3D1F"/>
    <w:rsid w:val="009A3E14"/>
    <w:rsid w:val="009A3F82"/>
    <w:rsid w:val="009A413A"/>
    <w:rsid w:val="009A416A"/>
    <w:rsid w:val="009A4202"/>
    <w:rsid w:val="009A426E"/>
    <w:rsid w:val="009A4635"/>
    <w:rsid w:val="009A4789"/>
    <w:rsid w:val="009A4865"/>
    <w:rsid w:val="009A48B8"/>
    <w:rsid w:val="009A4A9F"/>
    <w:rsid w:val="009A4D32"/>
    <w:rsid w:val="009A4E09"/>
    <w:rsid w:val="009A5154"/>
    <w:rsid w:val="009A51CF"/>
    <w:rsid w:val="009A523C"/>
    <w:rsid w:val="009A5244"/>
    <w:rsid w:val="009A5251"/>
    <w:rsid w:val="009A5253"/>
    <w:rsid w:val="009A52B1"/>
    <w:rsid w:val="009A52D0"/>
    <w:rsid w:val="009A5435"/>
    <w:rsid w:val="009A543D"/>
    <w:rsid w:val="009A54CA"/>
    <w:rsid w:val="009A54F9"/>
    <w:rsid w:val="009A5557"/>
    <w:rsid w:val="009A557E"/>
    <w:rsid w:val="009A55C1"/>
    <w:rsid w:val="009A59B8"/>
    <w:rsid w:val="009A5AA0"/>
    <w:rsid w:val="009A5BE1"/>
    <w:rsid w:val="009A5F95"/>
    <w:rsid w:val="009A5FF4"/>
    <w:rsid w:val="009A62E9"/>
    <w:rsid w:val="009A6395"/>
    <w:rsid w:val="009A648B"/>
    <w:rsid w:val="009A64DC"/>
    <w:rsid w:val="009A6527"/>
    <w:rsid w:val="009A6821"/>
    <w:rsid w:val="009A6841"/>
    <w:rsid w:val="009A69F1"/>
    <w:rsid w:val="009A6A45"/>
    <w:rsid w:val="009A6A61"/>
    <w:rsid w:val="009A6C8A"/>
    <w:rsid w:val="009A6D8D"/>
    <w:rsid w:val="009A6E05"/>
    <w:rsid w:val="009A70EC"/>
    <w:rsid w:val="009A729D"/>
    <w:rsid w:val="009A738D"/>
    <w:rsid w:val="009A73D1"/>
    <w:rsid w:val="009A7421"/>
    <w:rsid w:val="009A7433"/>
    <w:rsid w:val="009A74D5"/>
    <w:rsid w:val="009A7AF8"/>
    <w:rsid w:val="009A7B73"/>
    <w:rsid w:val="009A7BA9"/>
    <w:rsid w:val="009A7F48"/>
    <w:rsid w:val="009A7FB8"/>
    <w:rsid w:val="009B0081"/>
    <w:rsid w:val="009B00C6"/>
    <w:rsid w:val="009B00E7"/>
    <w:rsid w:val="009B03AA"/>
    <w:rsid w:val="009B05D8"/>
    <w:rsid w:val="009B064B"/>
    <w:rsid w:val="009B075E"/>
    <w:rsid w:val="009B0763"/>
    <w:rsid w:val="009B07F6"/>
    <w:rsid w:val="009B08D9"/>
    <w:rsid w:val="009B0AC9"/>
    <w:rsid w:val="009B0B2C"/>
    <w:rsid w:val="009B0EB3"/>
    <w:rsid w:val="009B0ED1"/>
    <w:rsid w:val="009B0F69"/>
    <w:rsid w:val="009B0FA5"/>
    <w:rsid w:val="009B0FDE"/>
    <w:rsid w:val="009B11E0"/>
    <w:rsid w:val="009B146D"/>
    <w:rsid w:val="009B1530"/>
    <w:rsid w:val="009B1701"/>
    <w:rsid w:val="009B1772"/>
    <w:rsid w:val="009B17ED"/>
    <w:rsid w:val="009B18C6"/>
    <w:rsid w:val="009B1C41"/>
    <w:rsid w:val="009B1C76"/>
    <w:rsid w:val="009B1D23"/>
    <w:rsid w:val="009B1D35"/>
    <w:rsid w:val="009B1EAA"/>
    <w:rsid w:val="009B2119"/>
    <w:rsid w:val="009B22EC"/>
    <w:rsid w:val="009B237B"/>
    <w:rsid w:val="009B23BE"/>
    <w:rsid w:val="009B2453"/>
    <w:rsid w:val="009B2462"/>
    <w:rsid w:val="009B24B9"/>
    <w:rsid w:val="009B256E"/>
    <w:rsid w:val="009B2933"/>
    <w:rsid w:val="009B29B9"/>
    <w:rsid w:val="009B2B0E"/>
    <w:rsid w:val="009B2B6F"/>
    <w:rsid w:val="009B2C82"/>
    <w:rsid w:val="009B2CE3"/>
    <w:rsid w:val="009B2DF0"/>
    <w:rsid w:val="009B2E40"/>
    <w:rsid w:val="009B2F1F"/>
    <w:rsid w:val="009B2F84"/>
    <w:rsid w:val="009B33C2"/>
    <w:rsid w:val="009B376C"/>
    <w:rsid w:val="009B38B0"/>
    <w:rsid w:val="009B3D61"/>
    <w:rsid w:val="009B3D8F"/>
    <w:rsid w:val="009B3EA6"/>
    <w:rsid w:val="009B40C4"/>
    <w:rsid w:val="009B42E1"/>
    <w:rsid w:val="009B4379"/>
    <w:rsid w:val="009B43A3"/>
    <w:rsid w:val="009B43ED"/>
    <w:rsid w:val="009B44DD"/>
    <w:rsid w:val="009B44E5"/>
    <w:rsid w:val="009B45F3"/>
    <w:rsid w:val="009B474E"/>
    <w:rsid w:val="009B47B4"/>
    <w:rsid w:val="009B47DE"/>
    <w:rsid w:val="009B47F7"/>
    <w:rsid w:val="009B4854"/>
    <w:rsid w:val="009B49EC"/>
    <w:rsid w:val="009B4C20"/>
    <w:rsid w:val="009B4E27"/>
    <w:rsid w:val="009B4E2B"/>
    <w:rsid w:val="009B4E5A"/>
    <w:rsid w:val="009B4EEC"/>
    <w:rsid w:val="009B4F1B"/>
    <w:rsid w:val="009B4FAB"/>
    <w:rsid w:val="009B4FC7"/>
    <w:rsid w:val="009B512C"/>
    <w:rsid w:val="009B52EA"/>
    <w:rsid w:val="009B5341"/>
    <w:rsid w:val="009B5610"/>
    <w:rsid w:val="009B5658"/>
    <w:rsid w:val="009B5738"/>
    <w:rsid w:val="009B6293"/>
    <w:rsid w:val="009B62ED"/>
    <w:rsid w:val="009B6375"/>
    <w:rsid w:val="009B64D4"/>
    <w:rsid w:val="009B655F"/>
    <w:rsid w:val="009B6591"/>
    <w:rsid w:val="009B6742"/>
    <w:rsid w:val="009B6856"/>
    <w:rsid w:val="009B6863"/>
    <w:rsid w:val="009B68FA"/>
    <w:rsid w:val="009B69F2"/>
    <w:rsid w:val="009B6CF9"/>
    <w:rsid w:val="009B6DFE"/>
    <w:rsid w:val="009B723E"/>
    <w:rsid w:val="009B73BA"/>
    <w:rsid w:val="009B74C7"/>
    <w:rsid w:val="009B74DC"/>
    <w:rsid w:val="009B75F5"/>
    <w:rsid w:val="009B7907"/>
    <w:rsid w:val="009B7A9C"/>
    <w:rsid w:val="009B7C4D"/>
    <w:rsid w:val="009B7E2B"/>
    <w:rsid w:val="009C01E6"/>
    <w:rsid w:val="009C0242"/>
    <w:rsid w:val="009C0255"/>
    <w:rsid w:val="009C03DE"/>
    <w:rsid w:val="009C041B"/>
    <w:rsid w:val="009C055C"/>
    <w:rsid w:val="009C0575"/>
    <w:rsid w:val="009C068B"/>
    <w:rsid w:val="009C07E0"/>
    <w:rsid w:val="009C0ADE"/>
    <w:rsid w:val="009C0B13"/>
    <w:rsid w:val="009C0F35"/>
    <w:rsid w:val="009C10C7"/>
    <w:rsid w:val="009C1261"/>
    <w:rsid w:val="009C13A1"/>
    <w:rsid w:val="009C142A"/>
    <w:rsid w:val="009C182B"/>
    <w:rsid w:val="009C1970"/>
    <w:rsid w:val="009C1B9C"/>
    <w:rsid w:val="009C1C70"/>
    <w:rsid w:val="009C1DCC"/>
    <w:rsid w:val="009C1DE0"/>
    <w:rsid w:val="009C1E19"/>
    <w:rsid w:val="009C1E40"/>
    <w:rsid w:val="009C1E85"/>
    <w:rsid w:val="009C1EBE"/>
    <w:rsid w:val="009C21A9"/>
    <w:rsid w:val="009C234E"/>
    <w:rsid w:val="009C2357"/>
    <w:rsid w:val="009C23D4"/>
    <w:rsid w:val="009C2550"/>
    <w:rsid w:val="009C25A9"/>
    <w:rsid w:val="009C27B2"/>
    <w:rsid w:val="009C2A94"/>
    <w:rsid w:val="009C2BBB"/>
    <w:rsid w:val="009C2C37"/>
    <w:rsid w:val="009C2EAF"/>
    <w:rsid w:val="009C3095"/>
    <w:rsid w:val="009C344A"/>
    <w:rsid w:val="009C34ED"/>
    <w:rsid w:val="009C3612"/>
    <w:rsid w:val="009C36A9"/>
    <w:rsid w:val="009C3774"/>
    <w:rsid w:val="009C3A5E"/>
    <w:rsid w:val="009C3C3A"/>
    <w:rsid w:val="009C3DE4"/>
    <w:rsid w:val="009C3F85"/>
    <w:rsid w:val="009C3FF6"/>
    <w:rsid w:val="009C4037"/>
    <w:rsid w:val="009C403F"/>
    <w:rsid w:val="009C407B"/>
    <w:rsid w:val="009C40BE"/>
    <w:rsid w:val="009C43DE"/>
    <w:rsid w:val="009C44A5"/>
    <w:rsid w:val="009C454E"/>
    <w:rsid w:val="009C45AE"/>
    <w:rsid w:val="009C473F"/>
    <w:rsid w:val="009C4816"/>
    <w:rsid w:val="009C496F"/>
    <w:rsid w:val="009C4DF5"/>
    <w:rsid w:val="009C4FED"/>
    <w:rsid w:val="009C5042"/>
    <w:rsid w:val="009C51C0"/>
    <w:rsid w:val="009C529C"/>
    <w:rsid w:val="009C52CF"/>
    <w:rsid w:val="009C5332"/>
    <w:rsid w:val="009C5615"/>
    <w:rsid w:val="009C562C"/>
    <w:rsid w:val="009C56B5"/>
    <w:rsid w:val="009C5862"/>
    <w:rsid w:val="009C59CA"/>
    <w:rsid w:val="009C5B3C"/>
    <w:rsid w:val="009C5BBA"/>
    <w:rsid w:val="009C5CA2"/>
    <w:rsid w:val="009C5CA9"/>
    <w:rsid w:val="009C5DBE"/>
    <w:rsid w:val="009C5F5B"/>
    <w:rsid w:val="009C6207"/>
    <w:rsid w:val="009C6286"/>
    <w:rsid w:val="009C6367"/>
    <w:rsid w:val="009C6429"/>
    <w:rsid w:val="009C67ED"/>
    <w:rsid w:val="009C6995"/>
    <w:rsid w:val="009C6A0B"/>
    <w:rsid w:val="009C6B00"/>
    <w:rsid w:val="009C6E53"/>
    <w:rsid w:val="009C6EC4"/>
    <w:rsid w:val="009C6EDF"/>
    <w:rsid w:val="009C6F0C"/>
    <w:rsid w:val="009C7121"/>
    <w:rsid w:val="009C71F2"/>
    <w:rsid w:val="009C736C"/>
    <w:rsid w:val="009C73BB"/>
    <w:rsid w:val="009C74BB"/>
    <w:rsid w:val="009C75D7"/>
    <w:rsid w:val="009C76B4"/>
    <w:rsid w:val="009C777D"/>
    <w:rsid w:val="009C78C5"/>
    <w:rsid w:val="009C797B"/>
    <w:rsid w:val="009C7A1B"/>
    <w:rsid w:val="009C7A98"/>
    <w:rsid w:val="009C7AFC"/>
    <w:rsid w:val="009C7BEA"/>
    <w:rsid w:val="009C7D1D"/>
    <w:rsid w:val="009D0112"/>
    <w:rsid w:val="009D026E"/>
    <w:rsid w:val="009D0312"/>
    <w:rsid w:val="009D0492"/>
    <w:rsid w:val="009D05BA"/>
    <w:rsid w:val="009D082F"/>
    <w:rsid w:val="009D0B2D"/>
    <w:rsid w:val="009D0B95"/>
    <w:rsid w:val="009D0DDD"/>
    <w:rsid w:val="009D0F05"/>
    <w:rsid w:val="009D0F27"/>
    <w:rsid w:val="009D0F81"/>
    <w:rsid w:val="009D11F3"/>
    <w:rsid w:val="009D12E9"/>
    <w:rsid w:val="009D12F6"/>
    <w:rsid w:val="009D130D"/>
    <w:rsid w:val="009D134C"/>
    <w:rsid w:val="009D1380"/>
    <w:rsid w:val="009D1449"/>
    <w:rsid w:val="009D14D5"/>
    <w:rsid w:val="009D15BE"/>
    <w:rsid w:val="009D18FC"/>
    <w:rsid w:val="009D1ACC"/>
    <w:rsid w:val="009D1D6B"/>
    <w:rsid w:val="009D278E"/>
    <w:rsid w:val="009D27A6"/>
    <w:rsid w:val="009D27D6"/>
    <w:rsid w:val="009D282E"/>
    <w:rsid w:val="009D284D"/>
    <w:rsid w:val="009D2962"/>
    <w:rsid w:val="009D2963"/>
    <w:rsid w:val="009D297F"/>
    <w:rsid w:val="009D29C3"/>
    <w:rsid w:val="009D2DCD"/>
    <w:rsid w:val="009D3129"/>
    <w:rsid w:val="009D329D"/>
    <w:rsid w:val="009D345A"/>
    <w:rsid w:val="009D34B2"/>
    <w:rsid w:val="009D3580"/>
    <w:rsid w:val="009D35BE"/>
    <w:rsid w:val="009D36FB"/>
    <w:rsid w:val="009D38C1"/>
    <w:rsid w:val="009D38ED"/>
    <w:rsid w:val="009D3999"/>
    <w:rsid w:val="009D3A04"/>
    <w:rsid w:val="009D3B97"/>
    <w:rsid w:val="009D3C4A"/>
    <w:rsid w:val="009D3DA8"/>
    <w:rsid w:val="009D3DED"/>
    <w:rsid w:val="009D3E38"/>
    <w:rsid w:val="009D3EDA"/>
    <w:rsid w:val="009D4122"/>
    <w:rsid w:val="009D42C8"/>
    <w:rsid w:val="009D4385"/>
    <w:rsid w:val="009D455C"/>
    <w:rsid w:val="009D4717"/>
    <w:rsid w:val="009D48B8"/>
    <w:rsid w:val="009D49C3"/>
    <w:rsid w:val="009D4B51"/>
    <w:rsid w:val="009D4D0E"/>
    <w:rsid w:val="009D4E7A"/>
    <w:rsid w:val="009D50D2"/>
    <w:rsid w:val="009D5216"/>
    <w:rsid w:val="009D5237"/>
    <w:rsid w:val="009D5271"/>
    <w:rsid w:val="009D52C1"/>
    <w:rsid w:val="009D53B8"/>
    <w:rsid w:val="009D5643"/>
    <w:rsid w:val="009D56BF"/>
    <w:rsid w:val="009D577E"/>
    <w:rsid w:val="009D57C7"/>
    <w:rsid w:val="009D581E"/>
    <w:rsid w:val="009D5895"/>
    <w:rsid w:val="009D589C"/>
    <w:rsid w:val="009D58F7"/>
    <w:rsid w:val="009D58F9"/>
    <w:rsid w:val="009D5B4F"/>
    <w:rsid w:val="009D5BD2"/>
    <w:rsid w:val="009D5DA1"/>
    <w:rsid w:val="009D5DE7"/>
    <w:rsid w:val="009D5E16"/>
    <w:rsid w:val="009D5E79"/>
    <w:rsid w:val="009D5E7D"/>
    <w:rsid w:val="009D5FAE"/>
    <w:rsid w:val="009D6066"/>
    <w:rsid w:val="009D60C5"/>
    <w:rsid w:val="009D621C"/>
    <w:rsid w:val="009D62B9"/>
    <w:rsid w:val="009D6409"/>
    <w:rsid w:val="009D642B"/>
    <w:rsid w:val="009D6484"/>
    <w:rsid w:val="009D656D"/>
    <w:rsid w:val="009D668C"/>
    <w:rsid w:val="009D6780"/>
    <w:rsid w:val="009D683B"/>
    <w:rsid w:val="009D6862"/>
    <w:rsid w:val="009D689F"/>
    <w:rsid w:val="009D693A"/>
    <w:rsid w:val="009D6985"/>
    <w:rsid w:val="009D6A3E"/>
    <w:rsid w:val="009D6D4D"/>
    <w:rsid w:val="009D6FFA"/>
    <w:rsid w:val="009D7316"/>
    <w:rsid w:val="009D7492"/>
    <w:rsid w:val="009D74AA"/>
    <w:rsid w:val="009D7897"/>
    <w:rsid w:val="009D7A60"/>
    <w:rsid w:val="009D7AFC"/>
    <w:rsid w:val="009D7C42"/>
    <w:rsid w:val="009D7CFF"/>
    <w:rsid w:val="009D7EE4"/>
    <w:rsid w:val="009D7EF1"/>
    <w:rsid w:val="009D7F85"/>
    <w:rsid w:val="009E02AD"/>
    <w:rsid w:val="009E0574"/>
    <w:rsid w:val="009E0636"/>
    <w:rsid w:val="009E0704"/>
    <w:rsid w:val="009E070F"/>
    <w:rsid w:val="009E0723"/>
    <w:rsid w:val="009E074C"/>
    <w:rsid w:val="009E0921"/>
    <w:rsid w:val="009E0A6E"/>
    <w:rsid w:val="009E0FB5"/>
    <w:rsid w:val="009E0FD0"/>
    <w:rsid w:val="009E1235"/>
    <w:rsid w:val="009E1244"/>
    <w:rsid w:val="009E1346"/>
    <w:rsid w:val="009E13F5"/>
    <w:rsid w:val="009E1495"/>
    <w:rsid w:val="009E18F1"/>
    <w:rsid w:val="009E19FC"/>
    <w:rsid w:val="009E1ABA"/>
    <w:rsid w:val="009E1C08"/>
    <w:rsid w:val="009E1CDA"/>
    <w:rsid w:val="009E1D55"/>
    <w:rsid w:val="009E1DA7"/>
    <w:rsid w:val="009E20AD"/>
    <w:rsid w:val="009E20C0"/>
    <w:rsid w:val="009E210D"/>
    <w:rsid w:val="009E2117"/>
    <w:rsid w:val="009E2131"/>
    <w:rsid w:val="009E21CB"/>
    <w:rsid w:val="009E22F1"/>
    <w:rsid w:val="009E230B"/>
    <w:rsid w:val="009E25E5"/>
    <w:rsid w:val="009E28CF"/>
    <w:rsid w:val="009E2990"/>
    <w:rsid w:val="009E2A24"/>
    <w:rsid w:val="009E2BC1"/>
    <w:rsid w:val="009E2D8D"/>
    <w:rsid w:val="009E2DE5"/>
    <w:rsid w:val="009E327A"/>
    <w:rsid w:val="009E3319"/>
    <w:rsid w:val="009E33ED"/>
    <w:rsid w:val="009E3698"/>
    <w:rsid w:val="009E3846"/>
    <w:rsid w:val="009E3861"/>
    <w:rsid w:val="009E3941"/>
    <w:rsid w:val="009E3973"/>
    <w:rsid w:val="009E3AEF"/>
    <w:rsid w:val="009E3D0B"/>
    <w:rsid w:val="009E3DC6"/>
    <w:rsid w:val="009E3E79"/>
    <w:rsid w:val="009E4071"/>
    <w:rsid w:val="009E427B"/>
    <w:rsid w:val="009E453B"/>
    <w:rsid w:val="009E4615"/>
    <w:rsid w:val="009E46AD"/>
    <w:rsid w:val="009E46F3"/>
    <w:rsid w:val="009E4739"/>
    <w:rsid w:val="009E48AB"/>
    <w:rsid w:val="009E4A46"/>
    <w:rsid w:val="009E4A9F"/>
    <w:rsid w:val="009E4ACB"/>
    <w:rsid w:val="009E4B06"/>
    <w:rsid w:val="009E4B75"/>
    <w:rsid w:val="009E4C19"/>
    <w:rsid w:val="009E4D39"/>
    <w:rsid w:val="009E4DA8"/>
    <w:rsid w:val="009E4DC7"/>
    <w:rsid w:val="009E4F20"/>
    <w:rsid w:val="009E50FA"/>
    <w:rsid w:val="009E53CD"/>
    <w:rsid w:val="009E550F"/>
    <w:rsid w:val="009E5A86"/>
    <w:rsid w:val="009E5AD3"/>
    <w:rsid w:val="009E5ADD"/>
    <w:rsid w:val="009E5B62"/>
    <w:rsid w:val="009E5CD2"/>
    <w:rsid w:val="009E5D80"/>
    <w:rsid w:val="009E5E53"/>
    <w:rsid w:val="009E5E9E"/>
    <w:rsid w:val="009E6132"/>
    <w:rsid w:val="009E61A6"/>
    <w:rsid w:val="009E6238"/>
    <w:rsid w:val="009E62FA"/>
    <w:rsid w:val="009E643D"/>
    <w:rsid w:val="009E6612"/>
    <w:rsid w:val="009E662D"/>
    <w:rsid w:val="009E67AD"/>
    <w:rsid w:val="009E697A"/>
    <w:rsid w:val="009E6C5A"/>
    <w:rsid w:val="009E6C69"/>
    <w:rsid w:val="009E6CCF"/>
    <w:rsid w:val="009E6DF5"/>
    <w:rsid w:val="009E6E9C"/>
    <w:rsid w:val="009E6F0B"/>
    <w:rsid w:val="009E6F4C"/>
    <w:rsid w:val="009E7346"/>
    <w:rsid w:val="009E7498"/>
    <w:rsid w:val="009E74C7"/>
    <w:rsid w:val="009E7BF7"/>
    <w:rsid w:val="009E7F07"/>
    <w:rsid w:val="009EC1DC"/>
    <w:rsid w:val="009F0070"/>
    <w:rsid w:val="009F008A"/>
    <w:rsid w:val="009F00BA"/>
    <w:rsid w:val="009F0120"/>
    <w:rsid w:val="009F0266"/>
    <w:rsid w:val="009F02D7"/>
    <w:rsid w:val="009F041E"/>
    <w:rsid w:val="009F052C"/>
    <w:rsid w:val="009F056B"/>
    <w:rsid w:val="009F05F5"/>
    <w:rsid w:val="009F05FD"/>
    <w:rsid w:val="009F0739"/>
    <w:rsid w:val="009F078D"/>
    <w:rsid w:val="009F07C7"/>
    <w:rsid w:val="009F09B3"/>
    <w:rsid w:val="009F0AF1"/>
    <w:rsid w:val="009F0B56"/>
    <w:rsid w:val="009F0E5A"/>
    <w:rsid w:val="009F11A4"/>
    <w:rsid w:val="009F1332"/>
    <w:rsid w:val="009F1362"/>
    <w:rsid w:val="009F14EF"/>
    <w:rsid w:val="009F1507"/>
    <w:rsid w:val="009F157C"/>
    <w:rsid w:val="009F17D2"/>
    <w:rsid w:val="009F19F6"/>
    <w:rsid w:val="009F1ADE"/>
    <w:rsid w:val="009F1E1E"/>
    <w:rsid w:val="009F1ED5"/>
    <w:rsid w:val="009F1FD0"/>
    <w:rsid w:val="009F209E"/>
    <w:rsid w:val="009F20BC"/>
    <w:rsid w:val="009F2142"/>
    <w:rsid w:val="009F21D7"/>
    <w:rsid w:val="009F2277"/>
    <w:rsid w:val="009F2523"/>
    <w:rsid w:val="009F282D"/>
    <w:rsid w:val="009F2AAE"/>
    <w:rsid w:val="009F2AD9"/>
    <w:rsid w:val="009F2CB7"/>
    <w:rsid w:val="009F2D97"/>
    <w:rsid w:val="009F2E62"/>
    <w:rsid w:val="009F3197"/>
    <w:rsid w:val="009F3202"/>
    <w:rsid w:val="009F328F"/>
    <w:rsid w:val="009F32E4"/>
    <w:rsid w:val="009F32ED"/>
    <w:rsid w:val="009F348B"/>
    <w:rsid w:val="009F366D"/>
    <w:rsid w:val="009F371B"/>
    <w:rsid w:val="009F38B1"/>
    <w:rsid w:val="009F3925"/>
    <w:rsid w:val="009F39D1"/>
    <w:rsid w:val="009F39D5"/>
    <w:rsid w:val="009F3B78"/>
    <w:rsid w:val="009F3C49"/>
    <w:rsid w:val="009F3CA3"/>
    <w:rsid w:val="009F4114"/>
    <w:rsid w:val="009F419C"/>
    <w:rsid w:val="009F4236"/>
    <w:rsid w:val="009F437A"/>
    <w:rsid w:val="009F4484"/>
    <w:rsid w:val="009F46F6"/>
    <w:rsid w:val="009F49A7"/>
    <w:rsid w:val="009F4B99"/>
    <w:rsid w:val="009F4C79"/>
    <w:rsid w:val="009F4D04"/>
    <w:rsid w:val="009F4EF2"/>
    <w:rsid w:val="009F50B1"/>
    <w:rsid w:val="009F520D"/>
    <w:rsid w:val="009F5214"/>
    <w:rsid w:val="009F5592"/>
    <w:rsid w:val="009F5748"/>
    <w:rsid w:val="009F5811"/>
    <w:rsid w:val="009F59D2"/>
    <w:rsid w:val="009F5B01"/>
    <w:rsid w:val="009F5CF2"/>
    <w:rsid w:val="009F5D15"/>
    <w:rsid w:val="009F5E18"/>
    <w:rsid w:val="009F5EA6"/>
    <w:rsid w:val="009F5F92"/>
    <w:rsid w:val="009F5FCE"/>
    <w:rsid w:val="009F6071"/>
    <w:rsid w:val="009F6254"/>
    <w:rsid w:val="009F64E5"/>
    <w:rsid w:val="009F6516"/>
    <w:rsid w:val="009F6554"/>
    <w:rsid w:val="009F6572"/>
    <w:rsid w:val="009F6577"/>
    <w:rsid w:val="009F65B9"/>
    <w:rsid w:val="009F66A4"/>
    <w:rsid w:val="009F66DF"/>
    <w:rsid w:val="009F66FF"/>
    <w:rsid w:val="009F67E2"/>
    <w:rsid w:val="009F683F"/>
    <w:rsid w:val="009F693F"/>
    <w:rsid w:val="009F6941"/>
    <w:rsid w:val="009F6991"/>
    <w:rsid w:val="009F69A2"/>
    <w:rsid w:val="009F69C3"/>
    <w:rsid w:val="009F6ABC"/>
    <w:rsid w:val="009F6E1D"/>
    <w:rsid w:val="009F6EDF"/>
    <w:rsid w:val="009F6F19"/>
    <w:rsid w:val="009F708D"/>
    <w:rsid w:val="009F71E6"/>
    <w:rsid w:val="009F73F2"/>
    <w:rsid w:val="009F7435"/>
    <w:rsid w:val="009F7451"/>
    <w:rsid w:val="009F751A"/>
    <w:rsid w:val="009F757F"/>
    <w:rsid w:val="009F761A"/>
    <w:rsid w:val="009F76E5"/>
    <w:rsid w:val="009F7738"/>
    <w:rsid w:val="009F7816"/>
    <w:rsid w:val="009F79B8"/>
    <w:rsid w:val="009F7B2C"/>
    <w:rsid w:val="009F7B5B"/>
    <w:rsid w:val="009F7B77"/>
    <w:rsid w:val="009F7EF8"/>
    <w:rsid w:val="009F946E"/>
    <w:rsid w:val="00A00165"/>
    <w:rsid w:val="00A00269"/>
    <w:rsid w:val="00A002CE"/>
    <w:rsid w:val="00A00595"/>
    <w:rsid w:val="00A0098D"/>
    <w:rsid w:val="00A009DA"/>
    <w:rsid w:val="00A009F7"/>
    <w:rsid w:val="00A00AEC"/>
    <w:rsid w:val="00A00C2D"/>
    <w:rsid w:val="00A00C4F"/>
    <w:rsid w:val="00A00C76"/>
    <w:rsid w:val="00A00D32"/>
    <w:rsid w:val="00A00D55"/>
    <w:rsid w:val="00A00D9C"/>
    <w:rsid w:val="00A00DB9"/>
    <w:rsid w:val="00A00DFE"/>
    <w:rsid w:val="00A00F02"/>
    <w:rsid w:val="00A00F08"/>
    <w:rsid w:val="00A01052"/>
    <w:rsid w:val="00A010CA"/>
    <w:rsid w:val="00A01233"/>
    <w:rsid w:val="00A01290"/>
    <w:rsid w:val="00A0156E"/>
    <w:rsid w:val="00A015F3"/>
    <w:rsid w:val="00A0182A"/>
    <w:rsid w:val="00A018DE"/>
    <w:rsid w:val="00A019B1"/>
    <w:rsid w:val="00A01A79"/>
    <w:rsid w:val="00A01D0A"/>
    <w:rsid w:val="00A01E95"/>
    <w:rsid w:val="00A02148"/>
    <w:rsid w:val="00A021E0"/>
    <w:rsid w:val="00A0222C"/>
    <w:rsid w:val="00A0223B"/>
    <w:rsid w:val="00A02408"/>
    <w:rsid w:val="00A024E3"/>
    <w:rsid w:val="00A027BF"/>
    <w:rsid w:val="00A02C54"/>
    <w:rsid w:val="00A02E05"/>
    <w:rsid w:val="00A02EFB"/>
    <w:rsid w:val="00A02F39"/>
    <w:rsid w:val="00A02FCF"/>
    <w:rsid w:val="00A030B9"/>
    <w:rsid w:val="00A030EA"/>
    <w:rsid w:val="00A0314A"/>
    <w:rsid w:val="00A0335A"/>
    <w:rsid w:val="00A033A6"/>
    <w:rsid w:val="00A033CB"/>
    <w:rsid w:val="00A034D0"/>
    <w:rsid w:val="00A035D4"/>
    <w:rsid w:val="00A037A8"/>
    <w:rsid w:val="00A039AD"/>
    <w:rsid w:val="00A03DF4"/>
    <w:rsid w:val="00A03E01"/>
    <w:rsid w:val="00A04218"/>
    <w:rsid w:val="00A04261"/>
    <w:rsid w:val="00A04345"/>
    <w:rsid w:val="00A04455"/>
    <w:rsid w:val="00A044E9"/>
    <w:rsid w:val="00A0451B"/>
    <w:rsid w:val="00A04549"/>
    <w:rsid w:val="00A0456A"/>
    <w:rsid w:val="00A04683"/>
    <w:rsid w:val="00A04841"/>
    <w:rsid w:val="00A048CB"/>
    <w:rsid w:val="00A04956"/>
    <w:rsid w:val="00A04A38"/>
    <w:rsid w:val="00A04A8F"/>
    <w:rsid w:val="00A04CD5"/>
    <w:rsid w:val="00A04D46"/>
    <w:rsid w:val="00A04DDC"/>
    <w:rsid w:val="00A04E46"/>
    <w:rsid w:val="00A051B3"/>
    <w:rsid w:val="00A0522B"/>
    <w:rsid w:val="00A05240"/>
    <w:rsid w:val="00A05259"/>
    <w:rsid w:val="00A0536A"/>
    <w:rsid w:val="00A0559E"/>
    <w:rsid w:val="00A05981"/>
    <w:rsid w:val="00A05A4A"/>
    <w:rsid w:val="00A05BEF"/>
    <w:rsid w:val="00A05ECB"/>
    <w:rsid w:val="00A05FD8"/>
    <w:rsid w:val="00A0608F"/>
    <w:rsid w:val="00A061AB"/>
    <w:rsid w:val="00A061E4"/>
    <w:rsid w:val="00A06201"/>
    <w:rsid w:val="00A0624E"/>
    <w:rsid w:val="00A063AA"/>
    <w:rsid w:val="00A0666C"/>
    <w:rsid w:val="00A06692"/>
    <w:rsid w:val="00A0670C"/>
    <w:rsid w:val="00A0691F"/>
    <w:rsid w:val="00A06951"/>
    <w:rsid w:val="00A06BDC"/>
    <w:rsid w:val="00A06F02"/>
    <w:rsid w:val="00A070FE"/>
    <w:rsid w:val="00A0717D"/>
    <w:rsid w:val="00A07223"/>
    <w:rsid w:val="00A07355"/>
    <w:rsid w:val="00A07494"/>
    <w:rsid w:val="00A074AA"/>
    <w:rsid w:val="00A075DC"/>
    <w:rsid w:val="00A078C1"/>
    <w:rsid w:val="00A07A31"/>
    <w:rsid w:val="00A07C8F"/>
    <w:rsid w:val="00A07CC9"/>
    <w:rsid w:val="00A07CF4"/>
    <w:rsid w:val="00A07F8B"/>
    <w:rsid w:val="00A10229"/>
    <w:rsid w:val="00A1032C"/>
    <w:rsid w:val="00A105F4"/>
    <w:rsid w:val="00A1094D"/>
    <w:rsid w:val="00A109B4"/>
    <w:rsid w:val="00A10BB7"/>
    <w:rsid w:val="00A10D5A"/>
    <w:rsid w:val="00A10D83"/>
    <w:rsid w:val="00A10F4E"/>
    <w:rsid w:val="00A1104E"/>
    <w:rsid w:val="00A110A7"/>
    <w:rsid w:val="00A112CB"/>
    <w:rsid w:val="00A11486"/>
    <w:rsid w:val="00A114BB"/>
    <w:rsid w:val="00A117A4"/>
    <w:rsid w:val="00A11814"/>
    <w:rsid w:val="00A118B8"/>
    <w:rsid w:val="00A1191F"/>
    <w:rsid w:val="00A11974"/>
    <w:rsid w:val="00A11A6E"/>
    <w:rsid w:val="00A11E10"/>
    <w:rsid w:val="00A11F3D"/>
    <w:rsid w:val="00A12087"/>
    <w:rsid w:val="00A1213C"/>
    <w:rsid w:val="00A12158"/>
    <w:rsid w:val="00A12188"/>
    <w:rsid w:val="00A12390"/>
    <w:rsid w:val="00A124BD"/>
    <w:rsid w:val="00A1256C"/>
    <w:rsid w:val="00A12630"/>
    <w:rsid w:val="00A12730"/>
    <w:rsid w:val="00A128A2"/>
    <w:rsid w:val="00A12927"/>
    <w:rsid w:val="00A1295D"/>
    <w:rsid w:val="00A1299E"/>
    <w:rsid w:val="00A12BA7"/>
    <w:rsid w:val="00A12CB0"/>
    <w:rsid w:val="00A12E4A"/>
    <w:rsid w:val="00A12F27"/>
    <w:rsid w:val="00A130EA"/>
    <w:rsid w:val="00A1314A"/>
    <w:rsid w:val="00A134AC"/>
    <w:rsid w:val="00A13614"/>
    <w:rsid w:val="00A1380B"/>
    <w:rsid w:val="00A138E9"/>
    <w:rsid w:val="00A13A70"/>
    <w:rsid w:val="00A13AB1"/>
    <w:rsid w:val="00A13D1E"/>
    <w:rsid w:val="00A13D4E"/>
    <w:rsid w:val="00A13E8B"/>
    <w:rsid w:val="00A13F3A"/>
    <w:rsid w:val="00A14201"/>
    <w:rsid w:val="00A1423C"/>
    <w:rsid w:val="00A1430F"/>
    <w:rsid w:val="00A1435F"/>
    <w:rsid w:val="00A1436A"/>
    <w:rsid w:val="00A143B5"/>
    <w:rsid w:val="00A144D6"/>
    <w:rsid w:val="00A145A7"/>
    <w:rsid w:val="00A1494C"/>
    <w:rsid w:val="00A14B1B"/>
    <w:rsid w:val="00A14C64"/>
    <w:rsid w:val="00A14CA9"/>
    <w:rsid w:val="00A14CF9"/>
    <w:rsid w:val="00A14F18"/>
    <w:rsid w:val="00A14FF2"/>
    <w:rsid w:val="00A1502D"/>
    <w:rsid w:val="00A15486"/>
    <w:rsid w:val="00A154BC"/>
    <w:rsid w:val="00A158D1"/>
    <w:rsid w:val="00A159B7"/>
    <w:rsid w:val="00A1601F"/>
    <w:rsid w:val="00A16697"/>
    <w:rsid w:val="00A168E0"/>
    <w:rsid w:val="00A169F1"/>
    <w:rsid w:val="00A16DFC"/>
    <w:rsid w:val="00A16E4C"/>
    <w:rsid w:val="00A16EC6"/>
    <w:rsid w:val="00A16F34"/>
    <w:rsid w:val="00A17227"/>
    <w:rsid w:val="00A17433"/>
    <w:rsid w:val="00A17558"/>
    <w:rsid w:val="00A17573"/>
    <w:rsid w:val="00A175C4"/>
    <w:rsid w:val="00A1764E"/>
    <w:rsid w:val="00A17857"/>
    <w:rsid w:val="00A178C8"/>
    <w:rsid w:val="00A17916"/>
    <w:rsid w:val="00A17A8C"/>
    <w:rsid w:val="00A17B72"/>
    <w:rsid w:val="00A17BF8"/>
    <w:rsid w:val="00A17E87"/>
    <w:rsid w:val="00A17EAD"/>
    <w:rsid w:val="00A17F43"/>
    <w:rsid w:val="00A17F4B"/>
    <w:rsid w:val="00A20166"/>
    <w:rsid w:val="00A202EC"/>
    <w:rsid w:val="00A2039F"/>
    <w:rsid w:val="00A20505"/>
    <w:rsid w:val="00A206B0"/>
    <w:rsid w:val="00A206E7"/>
    <w:rsid w:val="00A209D8"/>
    <w:rsid w:val="00A20A16"/>
    <w:rsid w:val="00A20D39"/>
    <w:rsid w:val="00A213D6"/>
    <w:rsid w:val="00A213E6"/>
    <w:rsid w:val="00A215D5"/>
    <w:rsid w:val="00A217FA"/>
    <w:rsid w:val="00A21812"/>
    <w:rsid w:val="00A219E4"/>
    <w:rsid w:val="00A21A1F"/>
    <w:rsid w:val="00A21B7C"/>
    <w:rsid w:val="00A21E7F"/>
    <w:rsid w:val="00A21F41"/>
    <w:rsid w:val="00A224AE"/>
    <w:rsid w:val="00A22621"/>
    <w:rsid w:val="00A2271D"/>
    <w:rsid w:val="00A2295B"/>
    <w:rsid w:val="00A229C0"/>
    <w:rsid w:val="00A22AAB"/>
    <w:rsid w:val="00A22AB2"/>
    <w:rsid w:val="00A22C5F"/>
    <w:rsid w:val="00A22CA7"/>
    <w:rsid w:val="00A22DEE"/>
    <w:rsid w:val="00A22F5A"/>
    <w:rsid w:val="00A23035"/>
    <w:rsid w:val="00A23267"/>
    <w:rsid w:val="00A2368E"/>
    <w:rsid w:val="00A236B5"/>
    <w:rsid w:val="00A2371A"/>
    <w:rsid w:val="00A23865"/>
    <w:rsid w:val="00A23A11"/>
    <w:rsid w:val="00A23A83"/>
    <w:rsid w:val="00A23BEE"/>
    <w:rsid w:val="00A23C41"/>
    <w:rsid w:val="00A23CC0"/>
    <w:rsid w:val="00A23CC8"/>
    <w:rsid w:val="00A23E34"/>
    <w:rsid w:val="00A23E45"/>
    <w:rsid w:val="00A23F4A"/>
    <w:rsid w:val="00A240A6"/>
    <w:rsid w:val="00A2415D"/>
    <w:rsid w:val="00A241D0"/>
    <w:rsid w:val="00A24306"/>
    <w:rsid w:val="00A2436E"/>
    <w:rsid w:val="00A243C1"/>
    <w:rsid w:val="00A243E2"/>
    <w:rsid w:val="00A24411"/>
    <w:rsid w:val="00A24486"/>
    <w:rsid w:val="00A245F6"/>
    <w:rsid w:val="00A246AF"/>
    <w:rsid w:val="00A2473C"/>
    <w:rsid w:val="00A247EE"/>
    <w:rsid w:val="00A24877"/>
    <w:rsid w:val="00A249F2"/>
    <w:rsid w:val="00A24A92"/>
    <w:rsid w:val="00A24AE3"/>
    <w:rsid w:val="00A24C31"/>
    <w:rsid w:val="00A24E22"/>
    <w:rsid w:val="00A25150"/>
    <w:rsid w:val="00A25211"/>
    <w:rsid w:val="00A25244"/>
    <w:rsid w:val="00A252D3"/>
    <w:rsid w:val="00A25364"/>
    <w:rsid w:val="00A25425"/>
    <w:rsid w:val="00A25439"/>
    <w:rsid w:val="00A25495"/>
    <w:rsid w:val="00A25653"/>
    <w:rsid w:val="00A25A6A"/>
    <w:rsid w:val="00A25C5D"/>
    <w:rsid w:val="00A25E36"/>
    <w:rsid w:val="00A25FFF"/>
    <w:rsid w:val="00A2608D"/>
    <w:rsid w:val="00A260C9"/>
    <w:rsid w:val="00A260E6"/>
    <w:rsid w:val="00A26121"/>
    <w:rsid w:val="00A261B6"/>
    <w:rsid w:val="00A26679"/>
    <w:rsid w:val="00A2678D"/>
    <w:rsid w:val="00A26831"/>
    <w:rsid w:val="00A2687A"/>
    <w:rsid w:val="00A268F3"/>
    <w:rsid w:val="00A26A9A"/>
    <w:rsid w:val="00A26B2D"/>
    <w:rsid w:val="00A26BAF"/>
    <w:rsid w:val="00A26CC3"/>
    <w:rsid w:val="00A26E1D"/>
    <w:rsid w:val="00A2714C"/>
    <w:rsid w:val="00A27222"/>
    <w:rsid w:val="00A27265"/>
    <w:rsid w:val="00A272C5"/>
    <w:rsid w:val="00A2734A"/>
    <w:rsid w:val="00A2776B"/>
    <w:rsid w:val="00A27948"/>
    <w:rsid w:val="00A27971"/>
    <w:rsid w:val="00A27B69"/>
    <w:rsid w:val="00A27CD1"/>
    <w:rsid w:val="00A27D44"/>
    <w:rsid w:val="00A27FC9"/>
    <w:rsid w:val="00A300C5"/>
    <w:rsid w:val="00A30242"/>
    <w:rsid w:val="00A30419"/>
    <w:rsid w:val="00A3056B"/>
    <w:rsid w:val="00A307ED"/>
    <w:rsid w:val="00A308C4"/>
    <w:rsid w:val="00A30BA0"/>
    <w:rsid w:val="00A30C45"/>
    <w:rsid w:val="00A30C9D"/>
    <w:rsid w:val="00A30E1E"/>
    <w:rsid w:val="00A30E2C"/>
    <w:rsid w:val="00A30EB5"/>
    <w:rsid w:val="00A30F69"/>
    <w:rsid w:val="00A3103D"/>
    <w:rsid w:val="00A311E2"/>
    <w:rsid w:val="00A31294"/>
    <w:rsid w:val="00A314C2"/>
    <w:rsid w:val="00A315D8"/>
    <w:rsid w:val="00A316B8"/>
    <w:rsid w:val="00A31744"/>
    <w:rsid w:val="00A317C3"/>
    <w:rsid w:val="00A31818"/>
    <w:rsid w:val="00A318FF"/>
    <w:rsid w:val="00A31940"/>
    <w:rsid w:val="00A319B9"/>
    <w:rsid w:val="00A31A6A"/>
    <w:rsid w:val="00A31A6F"/>
    <w:rsid w:val="00A31A89"/>
    <w:rsid w:val="00A31B5C"/>
    <w:rsid w:val="00A31C76"/>
    <w:rsid w:val="00A31C7E"/>
    <w:rsid w:val="00A31F8E"/>
    <w:rsid w:val="00A32003"/>
    <w:rsid w:val="00A32006"/>
    <w:rsid w:val="00A3207F"/>
    <w:rsid w:val="00A322A2"/>
    <w:rsid w:val="00A32347"/>
    <w:rsid w:val="00A32395"/>
    <w:rsid w:val="00A323AC"/>
    <w:rsid w:val="00A325DB"/>
    <w:rsid w:val="00A3260F"/>
    <w:rsid w:val="00A326DF"/>
    <w:rsid w:val="00A327D9"/>
    <w:rsid w:val="00A32854"/>
    <w:rsid w:val="00A32FE3"/>
    <w:rsid w:val="00A3343B"/>
    <w:rsid w:val="00A33810"/>
    <w:rsid w:val="00A33B18"/>
    <w:rsid w:val="00A33C70"/>
    <w:rsid w:val="00A33C95"/>
    <w:rsid w:val="00A33DE4"/>
    <w:rsid w:val="00A33F5C"/>
    <w:rsid w:val="00A3402F"/>
    <w:rsid w:val="00A340E8"/>
    <w:rsid w:val="00A3416D"/>
    <w:rsid w:val="00A343D7"/>
    <w:rsid w:val="00A3450B"/>
    <w:rsid w:val="00A34620"/>
    <w:rsid w:val="00A3478D"/>
    <w:rsid w:val="00A348E2"/>
    <w:rsid w:val="00A34A4F"/>
    <w:rsid w:val="00A34B3F"/>
    <w:rsid w:val="00A34C8E"/>
    <w:rsid w:val="00A34E09"/>
    <w:rsid w:val="00A34FB5"/>
    <w:rsid w:val="00A350AF"/>
    <w:rsid w:val="00A3510B"/>
    <w:rsid w:val="00A3522D"/>
    <w:rsid w:val="00A3533F"/>
    <w:rsid w:val="00A35536"/>
    <w:rsid w:val="00A35816"/>
    <w:rsid w:val="00A35910"/>
    <w:rsid w:val="00A359E1"/>
    <w:rsid w:val="00A359F6"/>
    <w:rsid w:val="00A35AA9"/>
    <w:rsid w:val="00A35D6A"/>
    <w:rsid w:val="00A35DF7"/>
    <w:rsid w:val="00A36198"/>
    <w:rsid w:val="00A3620B"/>
    <w:rsid w:val="00A365E0"/>
    <w:rsid w:val="00A36601"/>
    <w:rsid w:val="00A366A8"/>
    <w:rsid w:val="00A366D9"/>
    <w:rsid w:val="00A367E4"/>
    <w:rsid w:val="00A36822"/>
    <w:rsid w:val="00A368C4"/>
    <w:rsid w:val="00A36C57"/>
    <w:rsid w:val="00A36CD9"/>
    <w:rsid w:val="00A36CF1"/>
    <w:rsid w:val="00A36F66"/>
    <w:rsid w:val="00A3701D"/>
    <w:rsid w:val="00A370EA"/>
    <w:rsid w:val="00A37161"/>
    <w:rsid w:val="00A3748B"/>
    <w:rsid w:val="00A37899"/>
    <w:rsid w:val="00A379BF"/>
    <w:rsid w:val="00A379CA"/>
    <w:rsid w:val="00A37A6B"/>
    <w:rsid w:val="00A37BE5"/>
    <w:rsid w:val="00A37C96"/>
    <w:rsid w:val="00A37D2D"/>
    <w:rsid w:val="00A37E36"/>
    <w:rsid w:val="00A37EC1"/>
    <w:rsid w:val="00A37F2A"/>
    <w:rsid w:val="00A37F92"/>
    <w:rsid w:val="00A4008E"/>
    <w:rsid w:val="00A4012E"/>
    <w:rsid w:val="00A40281"/>
    <w:rsid w:val="00A4029D"/>
    <w:rsid w:val="00A40430"/>
    <w:rsid w:val="00A4063D"/>
    <w:rsid w:val="00A40688"/>
    <w:rsid w:val="00A40710"/>
    <w:rsid w:val="00A40832"/>
    <w:rsid w:val="00A40865"/>
    <w:rsid w:val="00A40989"/>
    <w:rsid w:val="00A40C2A"/>
    <w:rsid w:val="00A40C7B"/>
    <w:rsid w:val="00A40CE7"/>
    <w:rsid w:val="00A40F11"/>
    <w:rsid w:val="00A40F67"/>
    <w:rsid w:val="00A40FBE"/>
    <w:rsid w:val="00A4102A"/>
    <w:rsid w:val="00A41119"/>
    <w:rsid w:val="00A4126D"/>
    <w:rsid w:val="00A4135F"/>
    <w:rsid w:val="00A413A2"/>
    <w:rsid w:val="00A413CB"/>
    <w:rsid w:val="00A41405"/>
    <w:rsid w:val="00A414EE"/>
    <w:rsid w:val="00A4166B"/>
    <w:rsid w:val="00A41682"/>
    <w:rsid w:val="00A418C1"/>
    <w:rsid w:val="00A41935"/>
    <w:rsid w:val="00A4194C"/>
    <w:rsid w:val="00A41A51"/>
    <w:rsid w:val="00A41C04"/>
    <w:rsid w:val="00A41CE9"/>
    <w:rsid w:val="00A41D4C"/>
    <w:rsid w:val="00A41E86"/>
    <w:rsid w:val="00A41FFC"/>
    <w:rsid w:val="00A4200E"/>
    <w:rsid w:val="00A420C2"/>
    <w:rsid w:val="00A42223"/>
    <w:rsid w:val="00A42241"/>
    <w:rsid w:val="00A42267"/>
    <w:rsid w:val="00A422B8"/>
    <w:rsid w:val="00A422F2"/>
    <w:rsid w:val="00A4238E"/>
    <w:rsid w:val="00A42430"/>
    <w:rsid w:val="00A42455"/>
    <w:rsid w:val="00A42500"/>
    <w:rsid w:val="00A4258B"/>
    <w:rsid w:val="00A428B9"/>
    <w:rsid w:val="00A42971"/>
    <w:rsid w:val="00A429B3"/>
    <w:rsid w:val="00A42A03"/>
    <w:rsid w:val="00A42AAE"/>
    <w:rsid w:val="00A42C44"/>
    <w:rsid w:val="00A42DA7"/>
    <w:rsid w:val="00A42E1D"/>
    <w:rsid w:val="00A42FBC"/>
    <w:rsid w:val="00A4303A"/>
    <w:rsid w:val="00A43041"/>
    <w:rsid w:val="00A43168"/>
    <w:rsid w:val="00A433D5"/>
    <w:rsid w:val="00A43404"/>
    <w:rsid w:val="00A4352C"/>
    <w:rsid w:val="00A435F7"/>
    <w:rsid w:val="00A43645"/>
    <w:rsid w:val="00A4377F"/>
    <w:rsid w:val="00A43847"/>
    <w:rsid w:val="00A43A23"/>
    <w:rsid w:val="00A43C1B"/>
    <w:rsid w:val="00A43F32"/>
    <w:rsid w:val="00A441EF"/>
    <w:rsid w:val="00A4421F"/>
    <w:rsid w:val="00A444D8"/>
    <w:rsid w:val="00A444DD"/>
    <w:rsid w:val="00A447FF"/>
    <w:rsid w:val="00A44A9B"/>
    <w:rsid w:val="00A44AA5"/>
    <w:rsid w:val="00A44AD2"/>
    <w:rsid w:val="00A44C81"/>
    <w:rsid w:val="00A44E18"/>
    <w:rsid w:val="00A44E3F"/>
    <w:rsid w:val="00A44F30"/>
    <w:rsid w:val="00A4502A"/>
    <w:rsid w:val="00A45569"/>
    <w:rsid w:val="00A455FC"/>
    <w:rsid w:val="00A45615"/>
    <w:rsid w:val="00A4564D"/>
    <w:rsid w:val="00A456EC"/>
    <w:rsid w:val="00A4583B"/>
    <w:rsid w:val="00A458F8"/>
    <w:rsid w:val="00A45953"/>
    <w:rsid w:val="00A45A5B"/>
    <w:rsid w:val="00A45B8E"/>
    <w:rsid w:val="00A45D09"/>
    <w:rsid w:val="00A45E1C"/>
    <w:rsid w:val="00A45E50"/>
    <w:rsid w:val="00A45E9A"/>
    <w:rsid w:val="00A45FAE"/>
    <w:rsid w:val="00A4606C"/>
    <w:rsid w:val="00A460A0"/>
    <w:rsid w:val="00A4617E"/>
    <w:rsid w:val="00A461D7"/>
    <w:rsid w:val="00A463FF"/>
    <w:rsid w:val="00A4644E"/>
    <w:rsid w:val="00A46479"/>
    <w:rsid w:val="00A465F6"/>
    <w:rsid w:val="00A46649"/>
    <w:rsid w:val="00A46673"/>
    <w:rsid w:val="00A4669F"/>
    <w:rsid w:val="00A468F1"/>
    <w:rsid w:val="00A46A6A"/>
    <w:rsid w:val="00A46BB1"/>
    <w:rsid w:val="00A46CDB"/>
    <w:rsid w:val="00A46D61"/>
    <w:rsid w:val="00A46DEC"/>
    <w:rsid w:val="00A46EF2"/>
    <w:rsid w:val="00A4703E"/>
    <w:rsid w:val="00A47197"/>
    <w:rsid w:val="00A47315"/>
    <w:rsid w:val="00A476A2"/>
    <w:rsid w:val="00A476E5"/>
    <w:rsid w:val="00A47764"/>
    <w:rsid w:val="00A4776C"/>
    <w:rsid w:val="00A477EB"/>
    <w:rsid w:val="00A478D2"/>
    <w:rsid w:val="00A478F4"/>
    <w:rsid w:val="00A47A0C"/>
    <w:rsid w:val="00A47AC7"/>
    <w:rsid w:val="00A47AC9"/>
    <w:rsid w:val="00A47BAD"/>
    <w:rsid w:val="00A47F39"/>
    <w:rsid w:val="00A47FA7"/>
    <w:rsid w:val="00A47FFE"/>
    <w:rsid w:val="00A5004F"/>
    <w:rsid w:val="00A50140"/>
    <w:rsid w:val="00A50344"/>
    <w:rsid w:val="00A504D5"/>
    <w:rsid w:val="00A505F0"/>
    <w:rsid w:val="00A5081B"/>
    <w:rsid w:val="00A50A3D"/>
    <w:rsid w:val="00A50CDC"/>
    <w:rsid w:val="00A50DDE"/>
    <w:rsid w:val="00A50EDC"/>
    <w:rsid w:val="00A50FC7"/>
    <w:rsid w:val="00A510CE"/>
    <w:rsid w:val="00A510DF"/>
    <w:rsid w:val="00A51107"/>
    <w:rsid w:val="00A51174"/>
    <w:rsid w:val="00A51287"/>
    <w:rsid w:val="00A512BD"/>
    <w:rsid w:val="00A51494"/>
    <w:rsid w:val="00A517D7"/>
    <w:rsid w:val="00A51A7E"/>
    <w:rsid w:val="00A51A8E"/>
    <w:rsid w:val="00A51C63"/>
    <w:rsid w:val="00A51C65"/>
    <w:rsid w:val="00A51D34"/>
    <w:rsid w:val="00A51D5B"/>
    <w:rsid w:val="00A51D61"/>
    <w:rsid w:val="00A51E2C"/>
    <w:rsid w:val="00A51EB0"/>
    <w:rsid w:val="00A51F04"/>
    <w:rsid w:val="00A5219D"/>
    <w:rsid w:val="00A52234"/>
    <w:rsid w:val="00A52236"/>
    <w:rsid w:val="00A52243"/>
    <w:rsid w:val="00A522AB"/>
    <w:rsid w:val="00A523A7"/>
    <w:rsid w:val="00A524E8"/>
    <w:rsid w:val="00A525C3"/>
    <w:rsid w:val="00A526AD"/>
    <w:rsid w:val="00A52D30"/>
    <w:rsid w:val="00A52E4C"/>
    <w:rsid w:val="00A52EDC"/>
    <w:rsid w:val="00A530AF"/>
    <w:rsid w:val="00A530CA"/>
    <w:rsid w:val="00A53103"/>
    <w:rsid w:val="00A5328D"/>
    <w:rsid w:val="00A534CD"/>
    <w:rsid w:val="00A53538"/>
    <w:rsid w:val="00A5365B"/>
    <w:rsid w:val="00A53702"/>
    <w:rsid w:val="00A53792"/>
    <w:rsid w:val="00A53793"/>
    <w:rsid w:val="00A5383C"/>
    <w:rsid w:val="00A539DD"/>
    <w:rsid w:val="00A53A41"/>
    <w:rsid w:val="00A53C81"/>
    <w:rsid w:val="00A53D7A"/>
    <w:rsid w:val="00A5412F"/>
    <w:rsid w:val="00A542FC"/>
    <w:rsid w:val="00A54418"/>
    <w:rsid w:val="00A54493"/>
    <w:rsid w:val="00A5455C"/>
    <w:rsid w:val="00A549F8"/>
    <w:rsid w:val="00A54A1C"/>
    <w:rsid w:val="00A54B42"/>
    <w:rsid w:val="00A54B77"/>
    <w:rsid w:val="00A54B7A"/>
    <w:rsid w:val="00A54BFD"/>
    <w:rsid w:val="00A54FC7"/>
    <w:rsid w:val="00A54FE0"/>
    <w:rsid w:val="00A54FF7"/>
    <w:rsid w:val="00A55378"/>
    <w:rsid w:val="00A5545B"/>
    <w:rsid w:val="00A5548D"/>
    <w:rsid w:val="00A555DE"/>
    <w:rsid w:val="00A555F4"/>
    <w:rsid w:val="00A55691"/>
    <w:rsid w:val="00A5574C"/>
    <w:rsid w:val="00A5593C"/>
    <w:rsid w:val="00A559F4"/>
    <w:rsid w:val="00A55AF9"/>
    <w:rsid w:val="00A55BD0"/>
    <w:rsid w:val="00A55C43"/>
    <w:rsid w:val="00A55CA4"/>
    <w:rsid w:val="00A55CE0"/>
    <w:rsid w:val="00A55D89"/>
    <w:rsid w:val="00A55F1C"/>
    <w:rsid w:val="00A55F42"/>
    <w:rsid w:val="00A5608B"/>
    <w:rsid w:val="00A56142"/>
    <w:rsid w:val="00A561BB"/>
    <w:rsid w:val="00A562E6"/>
    <w:rsid w:val="00A5631D"/>
    <w:rsid w:val="00A5640A"/>
    <w:rsid w:val="00A5662C"/>
    <w:rsid w:val="00A566DB"/>
    <w:rsid w:val="00A5677D"/>
    <w:rsid w:val="00A56879"/>
    <w:rsid w:val="00A56A5C"/>
    <w:rsid w:val="00A56DA5"/>
    <w:rsid w:val="00A57015"/>
    <w:rsid w:val="00A5704D"/>
    <w:rsid w:val="00A5707D"/>
    <w:rsid w:val="00A57222"/>
    <w:rsid w:val="00A5722E"/>
    <w:rsid w:val="00A57492"/>
    <w:rsid w:val="00A574CD"/>
    <w:rsid w:val="00A5773F"/>
    <w:rsid w:val="00A578E2"/>
    <w:rsid w:val="00A57DE0"/>
    <w:rsid w:val="00A57DEC"/>
    <w:rsid w:val="00A57E95"/>
    <w:rsid w:val="00A600FD"/>
    <w:rsid w:val="00A60124"/>
    <w:rsid w:val="00A6019F"/>
    <w:rsid w:val="00A6022A"/>
    <w:rsid w:val="00A6036E"/>
    <w:rsid w:val="00A60427"/>
    <w:rsid w:val="00A604AD"/>
    <w:rsid w:val="00A60505"/>
    <w:rsid w:val="00A60553"/>
    <w:rsid w:val="00A60916"/>
    <w:rsid w:val="00A60A16"/>
    <w:rsid w:val="00A60A2A"/>
    <w:rsid w:val="00A60B79"/>
    <w:rsid w:val="00A60B7E"/>
    <w:rsid w:val="00A60F97"/>
    <w:rsid w:val="00A61088"/>
    <w:rsid w:val="00A61094"/>
    <w:rsid w:val="00A611B0"/>
    <w:rsid w:val="00A611D9"/>
    <w:rsid w:val="00A6124A"/>
    <w:rsid w:val="00A6161E"/>
    <w:rsid w:val="00A61761"/>
    <w:rsid w:val="00A617E0"/>
    <w:rsid w:val="00A61AAD"/>
    <w:rsid w:val="00A61AE4"/>
    <w:rsid w:val="00A61B06"/>
    <w:rsid w:val="00A61B55"/>
    <w:rsid w:val="00A61BCE"/>
    <w:rsid w:val="00A61C4A"/>
    <w:rsid w:val="00A61D04"/>
    <w:rsid w:val="00A61E39"/>
    <w:rsid w:val="00A61E3F"/>
    <w:rsid w:val="00A61E91"/>
    <w:rsid w:val="00A61FEC"/>
    <w:rsid w:val="00A6266F"/>
    <w:rsid w:val="00A627DC"/>
    <w:rsid w:val="00A62835"/>
    <w:rsid w:val="00A62945"/>
    <w:rsid w:val="00A62AAD"/>
    <w:rsid w:val="00A62EFA"/>
    <w:rsid w:val="00A62F3B"/>
    <w:rsid w:val="00A632BF"/>
    <w:rsid w:val="00A6342C"/>
    <w:rsid w:val="00A63613"/>
    <w:rsid w:val="00A63732"/>
    <w:rsid w:val="00A639ED"/>
    <w:rsid w:val="00A63A92"/>
    <w:rsid w:val="00A63C57"/>
    <w:rsid w:val="00A63E5D"/>
    <w:rsid w:val="00A63ED2"/>
    <w:rsid w:val="00A63EFD"/>
    <w:rsid w:val="00A63F90"/>
    <w:rsid w:val="00A6406D"/>
    <w:rsid w:val="00A640CC"/>
    <w:rsid w:val="00A642C5"/>
    <w:rsid w:val="00A6431D"/>
    <w:rsid w:val="00A64460"/>
    <w:rsid w:val="00A64914"/>
    <w:rsid w:val="00A649C1"/>
    <w:rsid w:val="00A64A93"/>
    <w:rsid w:val="00A64BF0"/>
    <w:rsid w:val="00A64C9D"/>
    <w:rsid w:val="00A64D14"/>
    <w:rsid w:val="00A64D29"/>
    <w:rsid w:val="00A64EBD"/>
    <w:rsid w:val="00A64F8E"/>
    <w:rsid w:val="00A651ED"/>
    <w:rsid w:val="00A6522F"/>
    <w:rsid w:val="00A6567B"/>
    <w:rsid w:val="00A657DB"/>
    <w:rsid w:val="00A65905"/>
    <w:rsid w:val="00A65990"/>
    <w:rsid w:val="00A65B2A"/>
    <w:rsid w:val="00A65CBE"/>
    <w:rsid w:val="00A65D87"/>
    <w:rsid w:val="00A65DC9"/>
    <w:rsid w:val="00A65E04"/>
    <w:rsid w:val="00A66039"/>
    <w:rsid w:val="00A660E9"/>
    <w:rsid w:val="00A6610F"/>
    <w:rsid w:val="00A6612B"/>
    <w:rsid w:val="00A66369"/>
    <w:rsid w:val="00A66381"/>
    <w:rsid w:val="00A66506"/>
    <w:rsid w:val="00A665E8"/>
    <w:rsid w:val="00A66810"/>
    <w:rsid w:val="00A66903"/>
    <w:rsid w:val="00A669D8"/>
    <w:rsid w:val="00A66A32"/>
    <w:rsid w:val="00A66B5E"/>
    <w:rsid w:val="00A66B7C"/>
    <w:rsid w:val="00A66BF4"/>
    <w:rsid w:val="00A66F09"/>
    <w:rsid w:val="00A66F3A"/>
    <w:rsid w:val="00A67094"/>
    <w:rsid w:val="00A6712F"/>
    <w:rsid w:val="00A671CA"/>
    <w:rsid w:val="00A6734A"/>
    <w:rsid w:val="00A6736C"/>
    <w:rsid w:val="00A673D9"/>
    <w:rsid w:val="00A674C8"/>
    <w:rsid w:val="00A677C5"/>
    <w:rsid w:val="00A67A0E"/>
    <w:rsid w:val="00A67A3B"/>
    <w:rsid w:val="00A67B36"/>
    <w:rsid w:val="00A67B3D"/>
    <w:rsid w:val="00A67B50"/>
    <w:rsid w:val="00A67CC4"/>
    <w:rsid w:val="00A67D85"/>
    <w:rsid w:val="00A67E37"/>
    <w:rsid w:val="00A67F0D"/>
    <w:rsid w:val="00A67F66"/>
    <w:rsid w:val="00A70080"/>
    <w:rsid w:val="00A702BF"/>
    <w:rsid w:val="00A702C6"/>
    <w:rsid w:val="00A70640"/>
    <w:rsid w:val="00A706D2"/>
    <w:rsid w:val="00A70748"/>
    <w:rsid w:val="00A707C2"/>
    <w:rsid w:val="00A708E2"/>
    <w:rsid w:val="00A708EE"/>
    <w:rsid w:val="00A70A94"/>
    <w:rsid w:val="00A70ADD"/>
    <w:rsid w:val="00A70BC7"/>
    <w:rsid w:val="00A70BD8"/>
    <w:rsid w:val="00A70EBD"/>
    <w:rsid w:val="00A70EE0"/>
    <w:rsid w:val="00A70F26"/>
    <w:rsid w:val="00A70FEF"/>
    <w:rsid w:val="00A710B5"/>
    <w:rsid w:val="00A711A6"/>
    <w:rsid w:val="00A71563"/>
    <w:rsid w:val="00A7156D"/>
    <w:rsid w:val="00A7167A"/>
    <w:rsid w:val="00A717CB"/>
    <w:rsid w:val="00A7182F"/>
    <w:rsid w:val="00A71A4E"/>
    <w:rsid w:val="00A71B4E"/>
    <w:rsid w:val="00A71B77"/>
    <w:rsid w:val="00A71BD7"/>
    <w:rsid w:val="00A71C9E"/>
    <w:rsid w:val="00A71D01"/>
    <w:rsid w:val="00A71E65"/>
    <w:rsid w:val="00A71F8D"/>
    <w:rsid w:val="00A71FBF"/>
    <w:rsid w:val="00A71FD9"/>
    <w:rsid w:val="00A72306"/>
    <w:rsid w:val="00A72368"/>
    <w:rsid w:val="00A72458"/>
    <w:rsid w:val="00A724E7"/>
    <w:rsid w:val="00A725A1"/>
    <w:rsid w:val="00A7263F"/>
    <w:rsid w:val="00A72A07"/>
    <w:rsid w:val="00A72ACE"/>
    <w:rsid w:val="00A72AEF"/>
    <w:rsid w:val="00A72B03"/>
    <w:rsid w:val="00A72B5B"/>
    <w:rsid w:val="00A72BA8"/>
    <w:rsid w:val="00A72BC7"/>
    <w:rsid w:val="00A72CDF"/>
    <w:rsid w:val="00A72D34"/>
    <w:rsid w:val="00A72DFF"/>
    <w:rsid w:val="00A72E50"/>
    <w:rsid w:val="00A72E9F"/>
    <w:rsid w:val="00A72FF3"/>
    <w:rsid w:val="00A73239"/>
    <w:rsid w:val="00A7325C"/>
    <w:rsid w:val="00A73368"/>
    <w:rsid w:val="00A7338B"/>
    <w:rsid w:val="00A73435"/>
    <w:rsid w:val="00A73514"/>
    <w:rsid w:val="00A7366E"/>
    <w:rsid w:val="00A738C7"/>
    <w:rsid w:val="00A739DE"/>
    <w:rsid w:val="00A739E6"/>
    <w:rsid w:val="00A73A2D"/>
    <w:rsid w:val="00A73B1F"/>
    <w:rsid w:val="00A73C2F"/>
    <w:rsid w:val="00A73D66"/>
    <w:rsid w:val="00A73E36"/>
    <w:rsid w:val="00A74286"/>
    <w:rsid w:val="00A7432B"/>
    <w:rsid w:val="00A744DF"/>
    <w:rsid w:val="00A74594"/>
    <w:rsid w:val="00A745C7"/>
    <w:rsid w:val="00A745D1"/>
    <w:rsid w:val="00A74732"/>
    <w:rsid w:val="00A747CD"/>
    <w:rsid w:val="00A74AF3"/>
    <w:rsid w:val="00A74B80"/>
    <w:rsid w:val="00A74B9D"/>
    <w:rsid w:val="00A74BE5"/>
    <w:rsid w:val="00A74BE6"/>
    <w:rsid w:val="00A74FDC"/>
    <w:rsid w:val="00A75018"/>
    <w:rsid w:val="00A7524A"/>
    <w:rsid w:val="00A75295"/>
    <w:rsid w:val="00A752A0"/>
    <w:rsid w:val="00A752BE"/>
    <w:rsid w:val="00A752CD"/>
    <w:rsid w:val="00A75569"/>
    <w:rsid w:val="00A7566D"/>
    <w:rsid w:val="00A7575C"/>
    <w:rsid w:val="00A758AC"/>
    <w:rsid w:val="00A75906"/>
    <w:rsid w:val="00A75966"/>
    <w:rsid w:val="00A759E0"/>
    <w:rsid w:val="00A759E3"/>
    <w:rsid w:val="00A75AAC"/>
    <w:rsid w:val="00A75BA6"/>
    <w:rsid w:val="00A75CA5"/>
    <w:rsid w:val="00A75DAF"/>
    <w:rsid w:val="00A75F29"/>
    <w:rsid w:val="00A75F68"/>
    <w:rsid w:val="00A76188"/>
    <w:rsid w:val="00A761A0"/>
    <w:rsid w:val="00A76768"/>
    <w:rsid w:val="00A769CE"/>
    <w:rsid w:val="00A76A3F"/>
    <w:rsid w:val="00A76E07"/>
    <w:rsid w:val="00A76E37"/>
    <w:rsid w:val="00A76EB1"/>
    <w:rsid w:val="00A7704C"/>
    <w:rsid w:val="00A7745C"/>
    <w:rsid w:val="00A774F2"/>
    <w:rsid w:val="00A777BA"/>
    <w:rsid w:val="00A7781C"/>
    <w:rsid w:val="00A77A71"/>
    <w:rsid w:val="00A77A7C"/>
    <w:rsid w:val="00A77F05"/>
    <w:rsid w:val="00A800ED"/>
    <w:rsid w:val="00A80273"/>
    <w:rsid w:val="00A80278"/>
    <w:rsid w:val="00A802DF"/>
    <w:rsid w:val="00A80337"/>
    <w:rsid w:val="00A803F7"/>
    <w:rsid w:val="00A805A8"/>
    <w:rsid w:val="00A805F4"/>
    <w:rsid w:val="00A80632"/>
    <w:rsid w:val="00A8076B"/>
    <w:rsid w:val="00A808A4"/>
    <w:rsid w:val="00A80A4B"/>
    <w:rsid w:val="00A80AED"/>
    <w:rsid w:val="00A80B65"/>
    <w:rsid w:val="00A80C36"/>
    <w:rsid w:val="00A80DC2"/>
    <w:rsid w:val="00A80FA9"/>
    <w:rsid w:val="00A811F9"/>
    <w:rsid w:val="00A812F0"/>
    <w:rsid w:val="00A815FC"/>
    <w:rsid w:val="00A8177F"/>
    <w:rsid w:val="00A81896"/>
    <w:rsid w:val="00A818C1"/>
    <w:rsid w:val="00A81C7E"/>
    <w:rsid w:val="00A81E5B"/>
    <w:rsid w:val="00A81EFE"/>
    <w:rsid w:val="00A81F10"/>
    <w:rsid w:val="00A81FA2"/>
    <w:rsid w:val="00A81FF7"/>
    <w:rsid w:val="00A8211F"/>
    <w:rsid w:val="00A8228D"/>
    <w:rsid w:val="00A8230C"/>
    <w:rsid w:val="00A8233D"/>
    <w:rsid w:val="00A82347"/>
    <w:rsid w:val="00A8269B"/>
    <w:rsid w:val="00A829E1"/>
    <w:rsid w:val="00A82A53"/>
    <w:rsid w:val="00A82C82"/>
    <w:rsid w:val="00A82D1E"/>
    <w:rsid w:val="00A82D30"/>
    <w:rsid w:val="00A82DCC"/>
    <w:rsid w:val="00A82F3D"/>
    <w:rsid w:val="00A82F4B"/>
    <w:rsid w:val="00A8301E"/>
    <w:rsid w:val="00A8307C"/>
    <w:rsid w:val="00A830A7"/>
    <w:rsid w:val="00A831C3"/>
    <w:rsid w:val="00A8341E"/>
    <w:rsid w:val="00A8346F"/>
    <w:rsid w:val="00A83672"/>
    <w:rsid w:val="00A836AE"/>
    <w:rsid w:val="00A8370F"/>
    <w:rsid w:val="00A83780"/>
    <w:rsid w:val="00A83805"/>
    <w:rsid w:val="00A83898"/>
    <w:rsid w:val="00A83997"/>
    <w:rsid w:val="00A83AD8"/>
    <w:rsid w:val="00A83AE3"/>
    <w:rsid w:val="00A83AF6"/>
    <w:rsid w:val="00A83B5D"/>
    <w:rsid w:val="00A83D1A"/>
    <w:rsid w:val="00A83EF8"/>
    <w:rsid w:val="00A83F40"/>
    <w:rsid w:val="00A8422D"/>
    <w:rsid w:val="00A84332"/>
    <w:rsid w:val="00A843BE"/>
    <w:rsid w:val="00A843DB"/>
    <w:rsid w:val="00A847B6"/>
    <w:rsid w:val="00A847E3"/>
    <w:rsid w:val="00A84891"/>
    <w:rsid w:val="00A8494F"/>
    <w:rsid w:val="00A84A70"/>
    <w:rsid w:val="00A84AF1"/>
    <w:rsid w:val="00A84B82"/>
    <w:rsid w:val="00A84B8B"/>
    <w:rsid w:val="00A8500F"/>
    <w:rsid w:val="00A85365"/>
    <w:rsid w:val="00A853C0"/>
    <w:rsid w:val="00A854DD"/>
    <w:rsid w:val="00A85511"/>
    <w:rsid w:val="00A8553B"/>
    <w:rsid w:val="00A85561"/>
    <w:rsid w:val="00A85647"/>
    <w:rsid w:val="00A856B8"/>
    <w:rsid w:val="00A857FD"/>
    <w:rsid w:val="00A85884"/>
    <w:rsid w:val="00A858D1"/>
    <w:rsid w:val="00A859AE"/>
    <w:rsid w:val="00A859D1"/>
    <w:rsid w:val="00A85AFC"/>
    <w:rsid w:val="00A85B26"/>
    <w:rsid w:val="00A85B69"/>
    <w:rsid w:val="00A85EE3"/>
    <w:rsid w:val="00A8600A"/>
    <w:rsid w:val="00A86117"/>
    <w:rsid w:val="00A86144"/>
    <w:rsid w:val="00A862CF"/>
    <w:rsid w:val="00A8636A"/>
    <w:rsid w:val="00A864D4"/>
    <w:rsid w:val="00A86623"/>
    <w:rsid w:val="00A866E2"/>
    <w:rsid w:val="00A867AD"/>
    <w:rsid w:val="00A86813"/>
    <w:rsid w:val="00A8688E"/>
    <w:rsid w:val="00A86894"/>
    <w:rsid w:val="00A8692D"/>
    <w:rsid w:val="00A86993"/>
    <w:rsid w:val="00A86A80"/>
    <w:rsid w:val="00A86B32"/>
    <w:rsid w:val="00A86CAD"/>
    <w:rsid w:val="00A86D6F"/>
    <w:rsid w:val="00A86EF4"/>
    <w:rsid w:val="00A86FA9"/>
    <w:rsid w:val="00A870FE"/>
    <w:rsid w:val="00A87160"/>
    <w:rsid w:val="00A874F6"/>
    <w:rsid w:val="00A8753F"/>
    <w:rsid w:val="00A87692"/>
    <w:rsid w:val="00A87827"/>
    <w:rsid w:val="00A87AA9"/>
    <w:rsid w:val="00A87D83"/>
    <w:rsid w:val="00A87DBF"/>
    <w:rsid w:val="00A90147"/>
    <w:rsid w:val="00A903A1"/>
    <w:rsid w:val="00A903AD"/>
    <w:rsid w:val="00A90490"/>
    <w:rsid w:val="00A904C3"/>
    <w:rsid w:val="00A90581"/>
    <w:rsid w:val="00A9081E"/>
    <w:rsid w:val="00A90AC6"/>
    <w:rsid w:val="00A90B2A"/>
    <w:rsid w:val="00A90B3E"/>
    <w:rsid w:val="00A90CE6"/>
    <w:rsid w:val="00A90CEE"/>
    <w:rsid w:val="00A90DF1"/>
    <w:rsid w:val="00A90ECB"/>
    <w:rsid w:val="00A90F47"/>
    <w:rsid w:val="00A911AF"/>
    <w:rsid w:val="00A91262"/>
    <w:rsid w:val="00A9151E"/>
    <w:rsid w:val="00A9152D"/>
    <w:rsid w:val="00A9168D"/>
    <w:rsid w:val="00A91799"/>
    <w:rsid w:val="00A917F1"/>
    <w:rsid w:val="00A9190D"/>
    <w:rsid w:val="00A919F5"/>
    <w:rsid w:val="00A91A0E"/>
    <w:rsid w:val="00A91A99"/>
    <w:rsid w:val="00A91CA7"/>
    <w:rsid w:val="00A91E5C"/>
    <w:rsid w:val="00A91EE5"/>
    <w:rsid w:val="00A92001"/>
    <w:rsid w:val="00A92083"/>
    <w:rsid w:val="00A92125"/>
    <w:rsid w:val="00A9221F"/>
    <w:rsid w:val="00A92459"/>
    <w:rsid w:val="00A92671"/>
    <w:rsid w:val="00A92A9F"/>
    <w:rsid w:val="00A92AE1"/>
    <w:rsid w:val="00A92B50"/>
    <w:rsid w:val="00A92C1A"/>
    <w:rsid w:val="00A92D4C"/>
    <w:rsid w:val="00A93355"/>
    <w:rsid w:val="00A934B6"/>
    <w:rsid w:val="00A934CB"/>
    <w:rsid w:val="00A935BF"/>
    <w:rsid w:val="00A9384F"/>
    <w:rsid w:val="00A939D7"/>
    <w:rsid w:val="00A93A56"/>
    <w:rsid w:val="00A93B2E"/>
    <w:rsid w:val="00A93B72"/>
    <w:rsid w:val="00A93C31"/>
    <w:rsid w:val="00A93C33"/>
    <w:rsid w:val="00A93CDA"/>
    <w:rsid w:val="00A93D0E"/>
    <w:rsid w:val="00A93F0D"/>
    <w:rsid w:val="00A94493"/>
    <w:rsid w:val="00A94693"/>
    <w:rsid w:val="00A946AA"/>
    <w:rsid w:val="00A947EC"/>
    <w:rsid w:val="00A947FA"/>
    <w:rsid w:val="00A94822"/>
    <w:rsid w:val="00A94825"/>
    <w:rsid w:val="00A94925"/>
    <w:rsid w:val="00A9499E"/>
    <w:rsid w:val="00A94B6A"/>
    <w:rsid w:val="00A94CEE"/>
    <w:rsid w:val="00A94D53"/>
    <w:rsid w:val="00A94E78"/>
    <w:rsid w:val="00A9502C"/>
    <w:rsid w:val="00A95052"/>
    <w:rsid w:val="00A950BD"/>
    <w:rsid w:val="00A950E0"/>
    <w:rsid w:val="00A9555D"/>
    <w:rsid w:val="00A95724"/>
    <w:rsid w:val="00A9572A"/>
    <w:rsid w:val="00A957CF"/>
    <w:rsid w:val="00A959E8"/>
    <w:rsid w:val="00A95D67"/>
    <w:rsid w:val="00A95D92"/>
    <w:rsid w:val="00A95FBD"/>
    <w:rsid w:val="00A96152"/>
    <w:rsid w:val="00A96360"/>
    <w:rsid w:val="00A963ED"/>
    <w:rsid w:val="00A96471"/>
    <w:rsid w:val="00A96504"/>
    <w:rsid w:val="00A96508"/>
    <w:rsid w:val="00A9658C"/>
    <w:rsid w:val="00A966AA"/>
    <w:rsid w:val="00A96964"/>
    <w:rsid w:val="00A96B74"/>
    <w:rsid w:val="00A96BD5"/>
    <w:rsid w:val="00A96C4C"/>
    <w:rsid w:val="00A96C5F"/>
    <w:rsid w:val="00A96C72"/>
    <w:rsid w:val="00A96DE2"/>
    <w:rsid w:val="00A96EAC"/>
    <w:rsid w:val="00A96EDE"/>
    <w:rsid w:val="00A97200"/>
    <w:rsid w:val="00A97603"/>
    <w:rsid w:val="00A9771E"/>
    <w:rsid w:val="00A97765"/>
    <w:rsid w:val="00A9799A"/>
    <w:rsid w:val="00A97B0A"/>
    <w:rsid w:val="00A97B71"/>
    <w:rsid w:val="00AA0284"/>
    <w:rsid w:val="00AA0629"/>
    <w:rsid w:val="00AA075F"/>
    <w:rsid w:val="00AA07BB"/>
    <w:rsid w:val="00AA0B18"/>
    <w:rsid w:val="00AA0C88"/>
    <w:rsid w:val="00AA0D02"/>
    <w:rsid w:val="00AA0D6D"/>
    <w:rsid w:val="00AA0D9B"/>
    <w:rsid w:val="00AA0DCE"/>
    <w:rsid w:val="00AA100B"/>
    <w:rsid w:val="00AA137B"/>
    <w:rsid w:val="00AA1450"/>
    <w:rsid w:val="00AA148A"/>
    <w:rsid w:val="00AA14C2"/>
    <w:rsid w:val="00AA14E5"/>
    <w:rsid w:val="00AA151A"/>
    <w:rsid w:val="00AA163E"/>
    <w:rsid w:val="00AA1AB8"/>
    <w:rsid w:val="00AA1CA2"/>
    <w:rsid w:val="00AA1DA3"/>
    <w:rsid w:val="00AA215A"/>
    <w:rsid w:val="00AA223A"/>
    <w:rsid w:val="00AA2263"/>
    <w:rsid w:val="00AA2342"/>
    <w:rsid w:val="00AA247D"/>
    <w:rsid w:val="00AA26E8"/>
    <w:rsid w:val="00AA289D"/>
    <w:rsid w:val="00AA29E4"/>
    <w:rsid w:val="00AA2B1E"/>
    <w:rsid w:val="00AA2B32"/>
    <w:rsid w:val="00AA2B7E"/>
    <w:rsid w:val="00AA2CD9"/>
    <w:rsid w:val="00AA2D68"/>
    <w:rsid w:val="00AA2D76"/>
    <w:rsid w:val="00AA2E98"/>
    <w:rsid w:val="00AA312D"/>
    <w:rsid w:val="00AA317A"/>
    <w:rsid w:val="00AA3292"/>
    <w:rsid w:val="00AA3360"/>
    <w:rsid w:val="00AA35CA"/>
    <w:rsid w:val="00AA3681"/>
    <w:rsid w:val="00AA369E"/>
    <w:rsid w:val="00AA386B"/>
    <w:rsid w:val="00AA38C1"/>
    <w:rsid w:val="00AA3936"/>
    <w:rsid w:val="00AA394B"/>
    <w:rsid w:val="00AA3A0D"/>
    <w:rsid w:val="00AA3A51"/>
    <w:rsid w:val="00AA3A75"/>
    <w:rsid w:val="00AA3AB6"/>
    <w:rsid w:val="00AA3D63"/>
    <w:rsid w:val="00AA3E50"/>
    <w:rsid w:val="00AA4010"/>
    <w:rsid w:val="00AA4065"/>
    <w:rsid w:val="00AA4174"/>
    <w:rsid w:val="00AA43C6"/>
    <w:rsid w:val="00AA443B"/>
    <w:rsid w:val="00AA45FC"/>
    <w:rsid w:val="00AA463E"/>
    <w:rsid w:val="00AA4835"/>
    <w:rsid w:val="00AA48DE"/>
    <w:rsid w:val="00AA4B2E"/>
    <w:rsid w:val="00AA4B83"/>
    <w:rsid w:val="00AA4CB0"/>
    <w:rsid w:val="00AA4D58"/>
    <w:rsid w:val="00AA50CF"/>
    <w:rsid w:val="00AA5174"/>
    <w:rsid w:val="00AA5277"/>
    <w:rsid w:val="00AA5294"/>
    <w:rsid w:val="00AA5344"/>
    <w:rsid w:val="00AA543B"/>
    <w:rsid w:val="00AA56E1"/>
    <w:rsid w:val="00AA5842"/>
    <w:rsid w:val="00AA59D1"/>
    <w:rsid w:val="00AA5B34"/>
    <w:rsid w:val="00AA5C21"/>
    <w:rsid w:val="00AA5C40"/>
    <w:rsid w:val="00AA5E5D"/>
    <w:rsid w:val="00AA62A2"/>
    <w:rsid w:val="00AA63DE"/>
    <w:rsid w:val="00AA676C"/>
    <w:rsid w:val="00AA67B0"/>
    <w:rsid w:val="00AA67C7"/>
    <w:rsid w:val="00AA6913"/>
    <w:rsid w:val="00AA6C49"/>
    <w:rsid w:val="00AA6C9E"/>
    <w:rsid w:val="00AA6D41"/>
    <w:rsid w:val="00AA6EAA"/>
    <w:rsid w:val="00AA701C"/>
    <w:rsid w:val="00AA70FE"/>
    <w:rsid w:val="00AA7181"/>
    <w:rsid w:val="00AA72AB"/>
    <w:rsid w:val="00AA7471"/>
    <w:rsid w:val="00AA75F9"/>
    <w:rsid w:val="00AA7796"/>
    <w:rsid w:val="00AA7A1B"/>
    <w:rsid w:val="00AA7A2E"/>
    <w:rsid w:val="00AA7C79"/>
    <w:rsid w:val="00AA7CBC"/>
    <w:rsid w:val="00AA7EBE"/>
    <w:rsid w:val="00AA7FD8"/>
    <w:rsid w:val="00AB0036"/>
    <w:rsid w:val="00AB0125"/>
    <w:rsid w:val="00AB01F8"/>
    <w:rsid w:val="00AB03B1"/>
    <w:rsid w:val="00AB04D7"/>
    <w:rsid w:val="00AB05A2"/>
    <w:rsid w:val="00AB0736"/>
    <w:rsid w:val="00AB0751"/>
    <w:rsid w:val="00AB07FD"/>
    <w:rsid w:val="00AB098C"/>
    <w:rsid w:val="00AB09E6"/>
    <w:rsid w:val="00AB0E4D"/>
    <w:rsid w:val="00AB0EAA"/>
    <w:rsid w:val="00AB11A8"/>
    <w:rsid w:val="00AB126A"/>
    <w:rsid w:val="00AB18B4"/>
    <w:rsid w:val="00AB18DB"/>
    <w:rsid w:val="00AB1BC3"/>
    <w:rsid w:val="00AB1CDC"/>
    <w:rsid w:val="00AB1DC7"/>
    <w:rsid w:val="00AB1DCC"/>
    <w:rsid w:val="00AB2191"/>
    <w:rsid w:val="00AB219B"/>
    <w:rsid w:val="00AB2268"/>
    <w:rsid w:val="00AB2338"/>
    <w:rsid w:val="00AB23DB"/>
    <w:rsid w:val="00AB2834"/>
    <w:rsid w:val="00AB29F1"/>
    <w:rsid w:val="00AB2B9F"/>
    <w:rsid w:val="00AB2E05"/>
    <w:rsid w:val="00AB2E42"/>
    <w:rsid w:val="00AB2E6D"/>
    <w:rsid w:val="00AB2EB5"/>
    <w:rsid w:val="00AB2F3E"/>
    <w:rsid w:val="00AB2F40"/>
    <w:rsid w:val="00AB2F48"/>
    <w:rsid w:val="00AB3125"/>
    <w:rsid w:val="00AB3166"/>
    <w:rsid w:val="00AB329A"/>
    <w:rsid w:val="00AB32A9"/>
    <w:rsid w:val="00AB32C3"/>
    <w:rsid w:val="00AB32FC"/>
    <w:rsid w:val="00AB3431"/>
    <w:rsid w:val="00AB36D6"/>
    <w:rsid w:val="00AB3832"/>
    <w:rsid w:val="00AB3846"/>
    <w:rsid w:val="00AB385E"/>
    <w:rsid w:val="00AB397F"/>
    <w:rsid w:val="00AB3B52"/>
    <w:rsid w:val="00AB3C84"/>
    <w:rsid w:val="00AB3DD7"/>
    <w:rsid w:val="00AB3E35"/>
    <w:rsid w:val="00AB4112"/>
    <w:rsid w:val="00AB41BC"/>
    <w:rsid w:val="00AB41D4"/>
    <w:rsid w:val="00AB41E5"/>
    <w:rsid w:val="00AB42E8"/>
    <w:rsid w:val="00AB4369"/>
    <w:rsid w:val="00AB4408"/>
    <w:rsid w:val="00AB4414"/>
    <w:rsid w:val="00AB443B"/>
    <w:rsid w:val="00AB4609"/>
    <w:rsid w:val="00AB468E"/>
    <w:rsid w:val="00AB479F"/>
    <w:rsid w:val="00AB4967"/>
    <w:rsid w:val="00AB4986"/>
    <w:rsid w:val="00AB49D6"/>
    <w:rsid w:val="00AB4A02"/>
    <w:rsid w:val="00AB4ACD"/>
    <w:rsid w:val="00AB4AD7"/>
    <w:rsid w:val="00AB4BCF"/>
    <w:rsid w:val="00AB4D59"/>
    <w:rsid w:val="00AB4E10"/>
    <w:rsid w:val="00AB4F2F"/>
    <w:rsid w:val="00AB53BA"/>
    <w:rsid w:val="00AB5468"/>
    <w:rsid w:val="00AB5498"/>
    <w:rsid w:val="00AB55B9"/>
    <w:rsid w:val="00AB564A"/>
    <w:rsid w:val="00AB57FD"/>
    <w:rsid w:val="00AB581E"/>
    <w:rsid w:val="00AB59F5"/>
    <w:rsid w:val="00AB5A16"/>
    <w:rsid w:val="00AB5A3B"/>
    <w:rsid w:val="00AB5BC7"/>
    <w:rsid w:val="00AB5D6E"/>
    <w:rsid w:val="00AB6050"/>
    <w:rsid w:val="00AB610E"/>
    <w:rsid w:val="00AB6181"/>
    <w:rsid w:val="00AB62C3"/>
    <w:rsid w:val="00AB62DF"/>
    <w:rsid w:val="00AB6424"/>
    <w:rsid w:val="00AB6445"/>
    <w:rsid w:val="00AB6507"/>
    <w:rsid w:val="00AB6772"/>
    <w:rsid w:val="00AB6826"/>
    <w:rsid w:val="00AB68D4"/>
    <w:rsid w:val="00AB6A81"/>
    <w:rsid w:val="00AB6B2F"/>
    <w:rsid w:val="00AB6BB3"/>
    <w:rsid w:val="00AB6F5E"/>
    <w:rsid w:val="00AB7045"/>
    <w:rsid w:val="00AB7069"/>
    <w:rsid w:val="00AB7083"/>
    <w:rsid w:val="00AB74B6"/>
    <w:rsid w:val="00AB7578"/>
    <w:rsid w:val="00AB758F"/>
    <w:rsid w:val="00AB75EF"/>
    <w:rsid w:val="00AB7674"/>
    <w:rsid w:val="00AB7B1E"/>
    <w:rsid w:val="00AB7BF3"/>
    <w:rsid w:val="00AC0123"/>
    <w:rsid w:val="00AC0443"/>
    <w:rsid w:val="00AC0572"/>
    <w:rsid w:val="00AC07A7"/>
    <w:rsid w:val="00AC0854"/>
    <w:rsid w:val="00AC0B54"/>
    <w:rsid w:val="00AC0C34"/>
    <w:rsid w:val="00AC0C8B"/>
    <w:rsid w:val="00AC0E41"/>
    <w:rsid w:val="00AC0EAB"/>
    <w:rsid w:val="00AC0EEB"/>
    <w:rsid w:val="00AC10F4"/>
    <w:rsid w:val="00AC1501"/>
    <w:rsid w:val="00AC160C"/>
    <w:rsid w:val="00AC1679"/>
    <w:rsid w:val="00AC1CA1"/>
    <w:rsid w:val="00AC1CE0"/>
    <w:rsid w:val="00AC1E68"/>
    <w:rsid w:val="00AC1E7A"/>
    <w:rsid w:val="00AC1EAB"/>
    <w:rsid w:val="00AC20E0"/>
    <w:rsid w:val="00AC216B"/>
    <w:rsid w:val="00AC2212"/>
    <w:rsid w:val="00AC2293"/>
    <w:rsid w:val="00AC23A0"/>
    <w:rsid w:val="00AC23AF"/>
    <w:rsid w:val="00AC25DE"/>
    <w:rsid w:val="00AC2607"/>
    <w:rsid w:val="00AC2ADF"/>
    <w:rsid w:val="00AC2C36"/>
    <w:rsid w:val="00AC2D0F"/>
    <w:rsid w:val="00AC2D1D"/>
    <w:rsid w:val="00AC2D8B"/>
    <w:rsid w:val="00AC2DF3"/>
    <w:rsid w:val="00AC2E47"/>
    <w:rsid w:val="00AC2F97"/>
    <w:rsid w:val="00AC3069"/>
    <w:rsid w:val="00AC319D"/>
    <w:rsid w:val="00AC3309"/>
    <w:rsid w:val="00AC344D"/>
    <w:rsid w:val="00AC34D1"/>
    <w:rsid w:val="00AC3547"/>
    <w:rsid w:val="00AC35E8"/>
    <w:rsid w:val="00AC3600"/>
    <w:rsid w:val="00AC3777"/>
    <w:rsid w:val="00AC398D"/>
    <w:rsid w:val="00AC39B7"/>
    <w:rsid w:val="00AC3A90"/>
    <w:rsid w:val="00AC3AAD"/>
    <w:rsid w:val="00AC3BD6"/>
    <w:rsid w:val="00AC3C39"/>
    <w:rsid w:val="00AC3C3C"/>
    <w:rsid w:val="00AC3CDD"/>
    <w:rsid w:val="00AC3EAE"/>
    <w:rsid w:val="00AC3EBD"/>
    <w:rsid w:val="00AC3FAC"/>
    <w:rsid w:val="00AC40B9"/>
    <w:rsid w:val="00AC40ED"/>
    <w:rsid w:val="00AC4315"/>
    <w:rsid w:val="00AC4326"/>
    <w:rsid w:val="00AC4399"/>
    <w:rsid w:val="00AC44EC"/>
    <w:rsid w:val="00AC4647"/>
    <w:rsid w:val="00AC4734"/>
    <w:rsid w:val="00AC4983"/>
    <w:rsid w:val="00AC498A"/>
    <w:rsid w:val="00AC4998"/>
    <w:rsid w:val="00AC4AE5"/>
    <w:rsid w:val="00AC4BE6"/>
    <w:rsid w:val="00AC4C3C"/>
    <w:rsid w:val="00AC4E1B"/>
    <w:rsid w:val="00AC4E64"/>
    <w:rsid w:val="00AC4F61"/>
    <w:rsid w:val="00AC5190"/>
    <w:rsid w:val="00AC51DD"/>
    <w:rsid w:val="00AC5241"/>
    <w:rsid w:val="00AC531E"/>
    <w:rsid w:val="00AC54E7"/>
    <w:rsid w:val="00AC56C0"/>
    <w:rsid w:val="00AC58B2"/>
    <w:rsid w:val="00AC5C48"/>
    <w:rsid w:val="00AC5CAD"/>
    <w:rsid w:val="00AC5D25"/>
    <w:rsid w:val="00AC5F86"/>
    <w:rsid w:val="00AC6089"/>
    <w:rsid w:val="00AC613A"/>
    <w:rsid w:val="00AC6304"/>
    <w:rsid w:val="00AC64B0"/>
    <w:rsid w:val="00AC64CB"/>
    <w:rsid w:val="00AC654C"/>
    <w:rsid w:val="00AC6868"/>
    <w:rsid w:val="00AC686D"/>
    <w:rsid w:val="00AC6DEA"/>
    <w:rsid w:val="00AC6E1E"/>
    <w:rsid w:val="00AC6E2D"/>
    <w:rsid w:val="00AC6F75"/>
    <w:rsid w:val="00AC70CD"/>
    <w:rsid w:val="00AC70D5"/>
    <w:rsid w:val="00AC7109"/>
    <w:rsid w:val="00AC71C7"/>
    <w:rsid w:val="00AC7491"/>
    <w:rsid w:val="00AC74BF"/>
    <w:rsid w:val="00AC7636"/>
    <w:rsid w:val="00AC76C7"/>
    <w:rsid w:val="00AC78D8"/>
    <w:rsid w:val="00AC7CD0"/>
    <w:rsid w:val="00AC7DE3"/>
    <w:rsid w:val="00AC7DF7"/>
    <w:rsid w:val="00AC7DFD"/>
    <w:rsid w:val="00AC7E94"/>
    <w:rsid w:val="00AD00EE"/>
    <w:rsid w:val="00AD0109"/>
    <w:rsid w:val="00AD01AF"/>
    <w:rsid w:val="00AD01FF"/>
    <w:rsid w:val="00AD02DB"/>
    <w:rsid w:val="00AD02E3"/>
    <w:rsid w:val="00AD037C"/>
    <w:rsid w:val="00AD074E"/>
    <w:rsid w:val="00AD0969"/>
    <w:rsid w:val="00AD0B35"/>
    <w:rsid w:val="00AD0D3F"/>
    <w:rsid w:val="00AD0E73"/>
    <w:rsid w:val="00AD0EC6"/>
    <w:rsid w:val="00AD10D5"/>
    <w:rsid w:val="00AD110D"/>
    <w:rsid w:val="00AD1247"/>
    <w:rsid w:val="00AD136C"/>
    <w:rsid w:val="00AD1506"/>
    <w:rsid w:val="00AD16D1"/>
    <w:rsid w:val="00AD1738"/>
    <w:rsid w:val="00AD177B"/>
    <w:rsid w:val="00AD18C1"/>
    <w:rsid w:val="00AD1E28"/>
    <w:rsid w:val="00AD1E9B"/>
    <w:rsid w:val="00AD1EED"/>
    <w:rsid w:val="00AD1F36"/>
    <w:rsid w:val="00AD203C"/>
    <w:rsid w:val="00AD2154"/>
    <w:rsid w:val="00AD215A"/>
    <w:rsid w:val="00AD232B"/>
    <w:rsid w:val="00AD2792"/>
    <w:rsid w:val="00AD27A4"/>
    <w:rsid w:val="00AD27B2"/>
    <w:rsid w:val="00AD29A6"/>
    <w:rsid w:val="00AD2B83"/>
    <w:rsid w:val="00AD2BA6"/>
    <w:rsid w:val="00AD2D06"/>
    <w:rsid w:val="00AD3130"/>
    <w:rsid w:val="00AD320B"/>
    <w:rsid w:val="00AD3273"/>
    <w:rsid w:val="00AD32EA"/>
    <w:rsid w:val="00AD345D"/>
    <w:rsid w:val="00AD34AE"/>
    <w:rsid w:val="00AD34D8"/>
    <w:rsid w:val="00AD352B"/>
    <w:rsid w:val="00AD37C1"/>
    <w:rsid w:val="00AD3ACD"/>
    <w:rsid w:val="00AD3AE9"/>
    <w:rsid w:val="00AD3CE0"/>
    <w:rsid w:val="00AD3D09"/>
    <w:rsid w:val="00AD3FDF"/>
    <w:rsid w:val="00AD40A3"/>
    <w:rsid w:val="00AD40CB"/>
    <w:rsid w:val="00AD432B"/>
    <w:rsid w:val="00AD4808"/>
    <w:rsid w:val="00AD486C"/>
    <w:rsid w:val="00AD4A3D"/>
    <w:rsid w:val="00AD4C17"/>
    <w:rsid w:val="00AD4C7D"/>
    <w:rsid w:val="00AD4D48"/>
    <w:rsid w:val="00AD4D51"/>
    <w:rsid w:val="00AD4E0A"/>
    <w:rsid w:val="00AD4E54"/>
    <w:rsid w:val="00AD4ED3"/>
    <w:rsid w:val="00AD4F0F"/>
    <w:rsid w:val="00AD5183"/>
    <w:rsid w:val="00AD5259"/>
    <w:rsid w:val="00AD5363"/>
    <w:rsid w:val="00AD540D"/>
    <w:rsid w:val="00AD54D2"/>
    <w:rsid w:val="00AD557C"/>
    <w:rsid w:val="00AD55B5"/>
    <w:rsid w:val="00AD5792"/>
    <w:rsid w:val="00AD5BBA"/>
    <w:rsid w:val="00AD5BF3"/>
    <w:rsid w:val="00AD5C48"/>
    <w:rsid w:val="00AD5D27"/>
    <w:rsid w:val="00AD5DE8"/>
    <w:rsid w:val="00AD5E30"/>
    <w:rsid w:val="00AD5E33"/>
    <w:rsid w:val="00AD5EC5"/>
    <w:rsid w:val="00AD61C4"/>
    <w:rsid w:val="00AD6371"/>
    <w:rsid w:val="00AD650A"/>
    <w:rsid w:val="00AD66C5"/>
    <w:rsid w:val="00AD6823"/>
    <w:rsid w:val="00AD6917"/>
    <w:rsid w:val="00AD699F"/>
    <w:rsid w:val="00AD6BF6"/>
    <w:rsid w:val="00AD6CBA"/>
    <w:rsid w:val="00AD6D00"/>
    <w:rsid w:val="00AD6F08"/>
    <w:rsid w:val="00AD7123"/>
    <w:rsid w:val="00AD73A4"/>
    <w:rsid w:val="00AD74AE"/>
    <w:rsid w:val="00AD7549"/>
    <w:rsid w:val="00AD7702"/>
    <w:rsid w:val="00AD773F"/>
    <w:rsid w:val="00AD78DA"/>
    <w:rsid w:val="00AD79BB"/>
    <w:rsid w:val="00AD7A50"/>
    <w:rsid w:val="00AD7DE9"/>
    <w:rsid w:val="00AD7EA9"/>
    <w:rsid w:val="00AD7F2C"/>
    <w:rsid w:val="00AD7F58"/>
    <w:rsid w:val="00AD7F8C"/>
    <w:rsid w:val="00AE0190"/>
    <w:rsid w:val="00AE021B"/>
    <w:rsid w:val="00AE0388"/>
    <w:rsid w:val="00AE0420"/>
    <w:rsid w:val="00AE05F1"/>
    <w:rsid w:val="00AE062E"/>
    <w:rsid w:val="00AE06A4"/>
    <w:rsid w:val="00AE06BD"/>
    <w:rsid w:val="00AE072A"/>
    <w:rsid w:val="00AE076F"/>
    <w:rsid w:val="00AE078F"/>
    <w:rsid w:val="00AE08AA"/>
    <w:rsid w:val="00AE0942"/>
    <w:rsid w:val="00AE098B"/>
    <w:rsid w:val="00AE09E9"/>
    <w:rsid w:val="00AE0AEE"/>
    <w:rsid w:val="00AE0AF2"/>
    <w:rsid w:val="00AE0F40"/>
    <w:rsid w:val="00AE0F78"/>
    <w:rsid w:val="00AE0F9D"/>
    <w:rsid w:val="00AE1024"/>
    <w:rsid w:val="00AE10B0"/>
    <w:rsid w:val="00AE11AF"/>
    <w:rsid w:val="00AE11F1"/>
    <w:rsid w:val="00AE121F"/>
    <w:rsid w:val="00AE12B2"/>
    <w:rsid w:val="00AE1473"/>
    <w:rsid w:val="00AE1638"/>
    <w:rsid w:val="00AE1761"/>
    <w:rsid w:val="00AE19E8"/>
    <w:rsid w:val="00AE1A8B"/>
    <w:rsid w:val="00AE1ABC"/>
    <w:rsid w:val="00AE1B73"/>
    <w:rsid w:val="00AE1DD1"/>
    <w:rsid w:val="00AE1EB8"/>
    <w:rsid w:val="00AE25A2"/>
    <w:rsid w:val="00AE261C"/>
    <w:rsid w:val="00AE27F0"/>
    <w:rsid w:val="00AE28A3"/>
    <w:rsid w:val="00AE28BD"/>
    <w:rsid w:val="00AE2BA0"/>
    <w:rsid w:val="00AE2CEE"/>
    <w:rsid w:val="00AE2D41"/>
    <w:rsid w:val="00AE2D8A"/>
    <w:rsid w:val="00AE2F3D"/>
    <w:rsid w:val="00AE3141"/>
    <w:rsid w:val="00AE3463"/>
    <w:rsid w:val="00AE36B5"/>
    <w:rsid w:val="00AE36DC"/>
    <w:rsid w:val="00AE38E5"/>
    <w:rsid w:val="00AE395D"/>
    <w:rsid w:val="00AE3A91"/>
    <w:rsid w:val="00AE3AB4"/>
    <w:rsid w:val="00AE3BE3"/>
    <w:rsid w:val="00AE3C57"/>
    <w:rsid w:val="00AE3CE0"/>
    <w:rsid w:val="00AE3E79"/>
    <w:rsid w:val="00AE3E8A"/>
    <w:rsid w:val="00AE3EE3"/>
    <w:rsid w:val="00AE3F79"/>
    <w:rsid w:val="00AE4039"/>
    <w:rsid w:val="00AE40D7"/>
    <w:rsid w:val="00AE415A"/>
    <w:rsid w:val="00AE41D4"/>
    <w:rsid w:val="00AE4544"/>
    <w:rsid w:val="00AE45F4"/>
    <w:rsid w:val="00AE45F7"/>
    <w:rsid w:val="00AE461C"/>
    <w:rsid w:val="00AE4BC3"/>
    <w:rsid w:val="00AE4CCD"/>
    <w:rsid w:val="00AE5213"/>
    <w:rsid w:val="00AE52FC"/>
    <w:rsid w:val="00AE52FF"/>
    <w:rsid w:val="00AE5389"/>
    <w:rsid w:val="00AE54F1"/>
    <w:rsid w:val="00AE5584"/>
    <w:rsid w:val="00AE5604"/>
    <w:rsid w:val="00AE5636"/>
    <w:rsid w:val="00AE56FF"/>
    <w:rsid w:val="00AE5767"/>
    <w:rsid w:val="00AE5832"/>
    <w:rsid w:val="00AE58B7"/>
    <w:rsid w:val="00AE5BEA"/>
    <w:rsid w:val="00AE5E8F"/>
    <w:rsid w:val="00AE601F"/>
    <w:rsid w:val="00AE60CC"/>
    <w:rsid w:val="00AE6102"/>
    <w:rsid w:val="00AE627B"/>
    <w:rsid w:val="00AE629F"/>
    <w:rsid w:val="00AE63BD"/>
    <w:rsid w:val="00AE6437"/>
    <w:rsid w:val="00AE6469"/>
    <w:rsid w:val="00AE6546"/>
    <w:rsid w:val="00AE6659"/>
    <w:rsid w:val="00AE6CB5"/>
    <w:rsid w:val="00AE6ECE"/>
    <w:rsid w:val="00AE6FA0"/>
    <w:rsid w:val="00AE6FF7"/>
    <w:rsid w:val="00AE7090"/>
    <w:rsid w:val="00AE7410"/>
    <w:rsid w:val="00AE76FB"/>
    <w:rsid w:val="00AE7705"/>
    <w:rsid w:val="00AE7789"/>
    <w:rsid w:val="00AE77AA"/>
    <w:rsid w:val="00AE7A24"/>
    <w:rsid w:val="00AE7CA7"/>
    <w:rsid w:val="00AE7D84"/>
    <w:rsid w:val="00AE7DD2"/>
    <w:rsid w:val="00AE7FCE"/>
    <w:rsid w:val="00AF0110"/>
    <w:rsid w:val="00AF02AB"/>
    <w:rsid w:val="00AF0307"/>
    <w:rsid w:val="00AF0365"/>
    <w:rsid w:val="00AF0400"/>
    <w:rsid w:val="00AF0408"/>
    <w:rsid w:val="00AF0437"/>
    <w:rsid w:val="00AF045E"/>
    <w:rsid w:val="00AF0524"/>
    <w:rsid w:val="00AF06C7"/>
    <w:rsid w:val="00AF0A71"/>
    <w:rsid w:val="00AF0B79"/>
    <w:rsid w:val="00AF0C3E"/>
    <w:rsid w:val="00AF0CF1"/>
    <w:rsid w:val="00AF0E3D"/>
    <w:rsid w:val="00AF121F"/>
    <w:rsid w:val="00AF122B"/>
    <w:rsid w:val="00AF134F"/>
    <w:rsid w:val="00AF1485"/>
    <w:rsid w:val="00AF1495"/>
    <w:rsid w:val="00AF19D3"/>
    <w:rsid w:val="00AF19D5"/>
    <w:rsid w:val="00AF1C1E"/>
    <w:rsid w:val="00AF1D4D"/>
    <w:rsid w:val="00AF1EAB"/>
    <w:rsid w:val="00AF2328"/>
    <w:rsid w:val="00AF23E3"/>
    <w:rsid w:val="00AF2400"/>
    <w:rsid w:val="00AF24AA"/>
    <w:rsid w:val="00AF2710"/>
    <w:rsid w:val="00AF27C0"/>
    <w:rsid w:val="00AF2962"/>
    <w:rsid w:val="00AF2984"/>
    <w:rsid w:val="00AF2A3F"/>
    <w:rsid w:val="00AF2A78"/>
    <w:rsid w:val="00AF2B13"/>
    <w:rsid w:val="00AF2C83"/>
    <w:rsid w:val="00AF2E69"/>
    <w:rsid w:val="00AF301A"/>
    <w:rsid w:val="00AF301D"/>
    <w:rsid w:val="00AF3251"/>
    <w:rsid w:val="00AF33E8"/>
    <w:rsid w:val="00AF3435"/>
    <w:rsid w:val="00AF345B"/>
    <w:rsid w:val="00AF34A9"/>
    <w:rsid w:val="00AF34B6"/>
    <w:rsid w:val="00AF357B"/>
    <w:rsid w:val="00AF3656"/>
    <w:rsid w:val="00AF37B5"/>
    <w:rsid w:val="00AF3820"/>
    <w:rsid w:val="00AF38EF"/>
    <w:rsid w:val="00AF39EA"/>
    <w:rsid w:val="00AF3AF3"/>
    <w:rsid w:val="00AF3ED5"/>
    <w:rsid w:val="00AF3F3B"/>
    <w:rsid w:val="00AF404C"/>
    <w:rsid w:val="00AF417A"/>
    <w:rsid w:val="00AF41E5"/>
    <w:rsid w:val="00AF432A"/>
    <w:rsid w:val="00AF43A1"/>
    <w:rsid w:val="00AF4630"/>
    <w:rsid w:val="00AF46D2"/>
    <w:rsid w:val="00AF4859"/>
    <w:rsid w:val="00AF49FA"/>
    <w:rsid w:val="00AF4B5C"/>
    <w:rsid w:val="00AF4BF0"/>
    <w:rsid w:val="00AF4CA5"/>
    <w:rsid w:val="00AF4D27"/>
    <w:rsid w:val="00AF4D59"/>
    <w:rsid w:val="00AF4F09"/>
    <w:rsid w:val="00AF50D5"/>
    <w:rsid w:val="00AF5186"/>
    <w:rsid w:val="00AF52B1"/>
    <w:rsid w:val="00AF5308"/>
    <w:rsid w:val="00AF538C"/>
    <w:rsid w:val="00AF55DA"/>
    <w:rsid w:val="00AF5690"/>
    <w:rsid w:val="00AF5974"/>
    <w:rsid w:val="00AF5A32"/>
    <w:rsid w:val="00AF5B27"/>
    <w:rsid w:val="00AF5B8B"/>
    <w:rsid w:val="00AF5BE5"/>
    <w:rsid w:val="00AF5F07"/>
    <w:rsid w:val="00AF605D"/>
    <w:rsid w:val="00AF60B1"/>
    <w:rsid w:val="00AF61E5"/>
    <w:rsid w:val="00AF62D4"/>
    <w:rsid w:val="00AF65B5"/>
    <w:rsid w:val="00AF6978"/>
    <w:rsid w:val="00AF69F3"/>
    <w:rsid w:val="00AF6BAE"/>
    <w:rsid w:val="00AF6C57"/>
    <w:rsid w:val="00AF6D09"/>
    <w:rsid w:val="00AF6DF1"/>
    <w:rsid w:val="00AF6E93"/>
    <w:rsid w:val="00AF6F2C"/>
    <w:rsid w:val="00AF7073"/>
    <w:rsid w:val="00AF7244"/>
    <w:rsid w:val="00AF72BF"/>
    <w:rsid w:val="00AF7311"/>
    <w:rsid w:val="00AF732F"/>
    <w:rsid w:val="00AF741E"/>
    <w:rsid w:val="00AF7457"/>
    <w:rsid w:val="00AF7472"/>
    <w:rsid w:val="00AF76B3"/>
    <w:rsid w:val="00AF7778"/>
    <w:rsid w:val="00AF7A68"/>
    <w:rsid w:val="00AF7D60"/>
    <w:rsid w:val="00AF7E94"/>
    <w:rsid w:val="00B002ED"/>
    <w:rsid w:val="00B0048D"/>
    <w:rsid w:val="00B004B7"/>
    <w:rsid w:val="00B0059E"/>
    <w:rsid w:val="00B006F4"/>
    <w:rsid w:val="00B00853"/>
    <w:rsid w:val="00B00ACC"/>
    <w:rsid w:val="00B00BE7"/>
    <w:rsid w:val="00B00D88"/>
    <w:rsid w:val="00B00E9D"/>
    <w:rsid w:val="00B00EDD"/>
    <w:rsid w:val="00B00F0B"/>
    <w:rsid w:val="00B00FD6"/>
    <w:rsid w:val="00B010D0"/>
    <w:rsid w:val="00B01107"/>
    <w:rsid w:val="00B011FB"/>
    <w:rsid w:val="00B014B1"/>
    <w:rsid w:val="00B01521"/>
    <w:rsid w:val="00B016B6"/>
    <w:rsid w:val="00B0191A"/>
    <w:rsid w:val="00B019C9"/>
    <w:rsid w:val="00B01A71"/>
    <w:rsid w:val="00B01B8C"/>
    <w:rsid w:val="00B01B8D"/>
    <w:rsid w:val="00B01C73"/>
    <w:rsid w:val="00B01DD0"/>
    <w:rsid w:val="00B01F66"/>
    <w:rsid w:val="00B021D9"/>
    <w:rsid w:val="00B022A8"/>
    <w:rsid w:val="00B0240D"/>
    <w:rsid w:val="00B024B9"/>
    <w:rsid w:val="00B025B3"/>
    <w:rsid w:val="00B027AB"/>
    <w:rsid w:val="00B0285E"/>
    <w:rsid w:val="00B02A06"/>
    <w:rsid w:val="00B02A80"/>
    <w:rsid w:val="00B02B10"/>
    <w:rsid w:val="00B02BCF"/>
    <w:rsid w:val="00B02BEA"/>
    <w:rsid w:val="00B02DCE"/>
    <w:rsid w:val="00B02F5F"/>
    <w:rsid w:val="00B02FC8"/>
    <w:rsid w:val="00B02FCA"/>
    <w:rsid w:val="00B03107"/>
    <w:rsid w:val="00B031A3"/>
    <w:rsid w:val="00B03209"/>
    <w:rsid w:val="00B0334C"/>
    <w:rsid w:val="00B0346A"/>
    <w:rsid w:val="00B0357C"/>
    <w:rsid w:val="00B03A1C"/>
    <w:rsid w:val="00B03ADE"/>
    <w:rsid w:val="00B03B2B"/>
    <w:rsid w:val="00B03EC1"/>
    <w:rsid w:val="00B03F1E"/>
    <w:rsid w:val="00B03F91"/>
    <w:rsid w:val="00B0413D"/>
    <w:rsid w:val="00B04184"/>
    <w:rsid w:val="00B042EA"/>
    <w:rsid w:val="00B042EE"/>
    <w:rsid w:val="00B0436C"/>
    <w:rsid w:val="00B04382"/>
    <w:rsid w:val="00B0459E"/>
    <w:rsid w:val="00B046AC"/>
    <w:rsid w:val="00B04820"/>
    <w:rsid w:val="00B0484C"/>
    <w:rsid w:val="00B04866"/>
    <w:rsid w:val="00B048A1"/>
    <w:rsid w:val="00B04940"/>
    <w:rsid w:val="00B04C29"/>
    <w:rsid w:val="00B04CDB"/>
    <w:rsid w:val="00B04E59"/>
    <w:rsid w:val="00B04EDF"/>
    <w:rsid w:val="00B05135"/>
    <w:rsid w:val="00B0523D"/>
    <w:rsid w:val="00B05373"/>
    <w:rsid w:val="00B053D2"/>
    <w:rsid w:val="00B0567C"/>
    <w:rsid w:val="00B056A5"/>
    <w:rsid w:val="00B05710"/>
    <w:rsid w:val="00B05834"/>
    <w:rsid w:val="00B059DA"/>
    <w:rsid w:val="00B05C25"/>
    <w:rsid w:val="00B05C2A"/>
    <w:rsid w:val="00B05D7C"/>
    <w:rsid w:val="00B05DC2"/>
    <w:rsid w:val="00B05ECC"/>
    <w:rsid w:val="00B05F5D"/>
    <w:rsid w:val="00B061E1"/>
    <w:rsid w:val="00B06343"/>
    <w:rsid w:val="00B0635C"/>
    <w:rsid w:val="00B065B9"/>
    <w:rsid w:val="00B06726"/>
    <w:rsid w:val="00B06856"/>
    <w:rsid w:val="00B0686A"/>
    <w:rsid w:val="00B06A75"/>
    <w:rsid w:val="00B06B88"/>
    <w:rsid w:val="00B06BC9"/>
    <w:rsid w:val="00B06C68"/>
    <w:rsid w:val="00B06D5E"/>
    <w:rsid w:val="00B06E7A"/>
    <w:rsid w:val="00B06FDC"/>
    <w:rsid w:val="00B07142"/>
    <w:rsid w:val="00B0724D"/>
    <w:rsid w:val="00B077D5"/>
    <w:rsid w:val="00B07978"/>
    <w:rsid w:val="00B079A4"/>
    <w:rsid w:val="00B07A4F"/>
    <w:rsid w:val="00B07A6B"/>
    <w:rsid w:val="00B07B44"/>
    <w:rsid w:val="00B07C2C"/>
    <w:rsid w:val="00B07D01"/>
    <w:rsid w:val="00B07D2C"/>
    <w:rsid w:val="00B07DBF"/>
    <w:rsid w:val="00B07F92"/>
    <w:rsid w:val="00B10116"/>
    <w:rsid w:val="00B10175"/>
    <w:rsid w:val="00B102EB"/>
    <w:rsid w:val="00B1060D"/>
    <w:rsid w:val="00B10614"/>
    <w:rsid w:val="00B107B6"/>
    <w:rsid w:val="00B1088B"/>
    <w:rsid w:val="00B10977"/>
    <w:rsid w:val="00B10B69"/>
    <w:rsid w:val="00B10B85"/>
    <w:rsid w:val="00B10E82"/>
    <w:rsid w:val="00B10E9D"/>
    <w:rsid w:val="00B10EFB"/>
    <w:rsid w:val="00B10F62"/>
    <w:rsid w:val="00B10F87"/>
    <w:rsid w:val="00B10FD9"/>
    <w:rsid w:val="00B1108D"/>
    <w:rsid w:val="00B11108"/>
    <w:rsid w:val="00B11199"/>
    <w:rsid w:val="00B111AE"/>
    <w:rsid w:val="00B11415"/>
    <w:rsid w:val="00B1150F"/>
    <w:rsid w:val="00B115F3"/>
    <w:rsid w:val="00B116D9"/>
    <w:rsid w:val="00B116EC"/>
    <w:rsid w:val="00B117C1"/>
    <w:rsid w:val="00B11956"/>
    <w:rsid w:val="00B11991"/>
    <w:rsid w:val="00B119A6"/>
    <w:rsid w:val="00B11F0D"/>
    <w:rsid w:val="00B120AC"/>
    <w:rsid w:val="00B12292"/>
    <w:rsid w:val="00B12438"/>
    <w:rsid w:val="00B125CA"/>
    <w:rsid w:val="00B126F1"/>
    <w:rsid w:val="00B12A06"/>
    <w:rsid w:val="00B12A14"/>
    <w:rsid w:val="00B12A88"/>
    <w:rsid w:val="00B12AB2"/>
    <w:rsid w:val="00B12BAA"/>
    <w:rsid w:val="00B12F6D"/>
    <w:rsid w:val="00B1304A"/>
    <w:rsid w:val="00B135E9"/>
    <w:rsid w:val="00B137EB"/>
    <w:rsid w:val="00B138A5"/>
    <w:rsid w:val="00B138E4"/>
    <w:rsid w:val="00B13B48"/>
    <w:rsid w:val="00B13B7C"/>
    <w:rsid w:val="00B13BBA"/>
    <w:rsid w:val="00B13C1F"/>
    <w:rsid w:val="00B13C76"/>
    <w:rsid w:val="00B13DFE"/>
    <w:rsid w:val="00B13EC4"/>
    <w:rsid w:val="00B1411E"/>
    <w:rsid w:val="00B14197"/>
    <w:rsid w:val="00B1427E"/>
    <w:rsid w:val="00B142B3"/>
    <w:rsid w:val="00B1462A"/>
    <w:rsid w:val="00B14757"/>
    <w:rsid w:val="00B147A4"/>
    <w:rsid w:val="00B148F9"/>
    <w:rsid w:val="00B14A41"/>
    <w:rsid w:val="00B14AFA"/>
    <w:rsid w:val="00B14B71"/>
    <w:rsid w:val="00B14C82"/>
    <w:rsid w:val="00B14D5F"/>
    <w:rsid w:val="00B14DE8"/>
    <w:rsid w:val="00B14FDD"/>
    <w:rsid w:val="00B1505A"/>
    <w:rsid w:val="00B1560D"/>
    <w:rsid w:val="00B15630"/>
    <w:rsid w:val="00B156DF"/>
    <w:rsid w:val="00B1572A"/>
    <w:rsid w:val="00B15A8D"/>
    <w:rsid w:val="00B15AC5"/>
    <w:rsid w:val="00B15C97"/>
    <w:rsid w:val="00B16007"/>
    <w:rsid w:val="00B160C1"/>
    <w:rsid w:val="00B160F4"/>
    <w:rsid w:val="00B163CA"/>
    <w:rsid w:val="00B164FE"/>
    <w:rsid w:val="00B16589"/>
    <w:rsid w:val="00B165A5"/>
    <w:rsid w:val="00B16674"/>
    <w:rsid w:val="00B166C2"/>
    <w:rsid w:val="00B166F2"/>
    <w:rsid w:val="00B1695B"/>
    <w:rsid w:val="00B169F7"/>
    <w:rsid w:val="00B16B5E"/>
    <w:rsid w:val="00B16C67"/>
    <w:rsid w:val="00B17381"/>
    <w:rsid w:val="00B17392"/>
    <w:rsid w:val="00B173CC"/>
    <w:rsid w:val="00B17415"/>
    <w:rsid w:val="00B174A8"/>
    <w:rsid w:val="00B1755C"/>
    <w:rsid w:val="00B1786C"/>
    <w:rsid w:val="00B17E74"/>
    <w:rsid w:val="00B17EC0"/>
    <w:rsid w:val="00B17F09"/>
    <w:rsid w:val="00B20035"/>
    <w:rsid w:val="00B202FF"/>
    <w:rsid w:val="00B20528"/>
    <w:rsid w:val="00B205E9"/>
    <w:rsid w:val="00B20669"/>
    <w:rsid w:val="00B20EC3"/>
    <w:rsid w:val="00B20F8B"/>
    <w:rsid w:val="00B21005"/>
    <w:rsid w:val="00B21074"/>
    <w:rsid w:val="00B21238"/>
    <w:rsid w:val="00B2131B"/>
    <w:rsid w:val="00B2137F"/>
    <w:rsid w:val="00B215E7"/>
    <w:rsid w:val="00B21724"/>
    <w:rsid w:val="00B21865"/>
    <w:rsid w:val="00B218BE"/>
    <w:rsid w:val="00B2193B"/>
    <w:rsid w:val="00B21941"/>
    <w:rsid w:val="00B21957"/>
    <w:rsid w:val="00B219F9"/>
    <w:rsid w:val="00B21C0E"/>
    <w:rsid w:val="00B21F59"/>
    <w:rsid w:val="00B21FA7"/>
    <w:rsid w:val="00B22064"/>
    <w:rsid w:val="00B22076"/>
    <w:rsid w:val="00B22103"/>
    <w:rsid w:val="00B224D9"/>
    <w:rsid w:val="00B2258B"/>
    <w:rsid w:val="00B225D1"/>
    <w:rsid w:val="00B22796"/>
    <w:rsid w:val="00B22836"/>
    <w:rsid w:val="00B22841"/>
    <w:rsid w:val="00B228FF"/>
    <w:rsid w:val="00B22BD9"/>
    <w:rsid w:val="00B22D42"/>
    <w:rsid w:val="00B22D5F"/>
    <w:rsid w:val="00B22DFB"/>
    <w:rsid w:val="00B230C7"/>
    <w:rsid w:val="00B230CC"/>
    <w:rsid w:val="00B23229"/>
    <w:rsid w:val="00B23270"/>
    <w:rsid w:val="00B236C3"/>
    <w:rsid w:val="00B239AB"/>
    <w:rsid w:val="00B239D7"/>
    <w:rsid w:val="00B23D49"/>
    <w:rsid w:val="00B23DDC"/>
    <w:rsid w:val="00B23EC8"/>
    <w:rsid w:val="00B23EE1"/>
    <w:rsid w:val="00B23EF7"/>
    <w:rsid w:val="00B2404A"/>
    <w:rsid w:val="00B24129"/>
    <w:rsid w:val="00B24207"/>
    <w:rsid w:val="00B2429D"/>
    <w:rsid w:val="00B24305"/>
    <w:rsid w:val="00B24336"/>
    <w:rsid w:val="00B243BB"/>
    <w:rsid w:val="00B24543"/>
    <w:rsid w:val="00B248BF"/>
    <w:rsid w:val="00B24B8C"/>
    <w:rsid w:val="00B24C03"/>
    <w:rsid w:val="00B25089"/>
    <w:rsid w:val="00B250D8"/>
    <w:rsid w:val="00B25174"/>
    <w:rsid w:val="00B2527E"/>
    <w:rsid w:val="00B25489"/>
    <w:rsid w:val="00B25644"/>
    <w:rsid w:val="00B2565A"/>
    <w:rsid w:val="00B256CE"/>
    <w:rsid w:val="00B258FF"/>
    <w:rsid w:val="00B25946"/>
    <w:rsid w:val="00B25B9D"/>
    <w:rsid w:val="00B25CAF"/>
    <w:rsid w:val="00B25DAC"/>
    <w:rsid w:val="00B25EF9"/>
    <w:rsid w:val="00B25FA9"/>
    <w:rsid w:val="00B25FD3"/>
    <w:rsid w:val="00B26067"/>
    <w:rsid w:val="00B263EF"/>
    <w:rsid w:val="00B26460"/>
    <w:rsid w:val="00B266AE"/>
    <w:rsid w:val="00B266B7"/>
    <w:rsid w:val="00B266FE"/>
    <w:rsid w:val="00B2676C"/>
    <w:rsid w:val="00B26AC9"/>
    <w:rsid w:val="00B26B8B"/>
    <w:rsid w:val="00B26C6A"/>
    <w:rsid w:val="00B26F8B"/>
    <w:rsid w:val="00B2711B"/>
    <w:rsid w:val="00B27176"/>
    <w:rsid w:val="00B271D6"/>
    <w:rsid w:val="00B2720B"/>
    <w:rsid w:val="00B27253"/>
    <w:rsid w:val="00B27277"/>
    <w:rsid w:val="00B27398"/>
    <w:rsid w:val="00B2746F"/>
    <w:rsid w:val="00B27540"/>
    <w:rsid w:val="00B27831"/>
    <w:rsid w:val="00B27920"/>
    <w:rsid w:val="00B27B95"/>
    <w:rsid w:val="00B27DF7"/>
    <w:rsid w:val="00B27E13"/>
    <w:rsid w:val="00B30012"/>
    <w:rsid w:val="00B30123"/>
    <w:rsid w:val="00B3016D"/>
    <w:rsid w:val="00B3039D"/>
    <w:rsid w:val="00B30437"/>
    <w:rsid w:val="00B304AE"/>
    <w:rsid w:val="00B309BC"/>
    <w:rsid w:val="00B30A75"/>
    <w:rsid w:val="00B30C97"/>
    <w:rsid w:val="00B30CA8"/>
    <w:rsid w:val="00B30D0F"/>
    <w:rsid w:val="00B30E11"/>
    <w:rsid w:val="00B30F11"/>
    <w:rsid w:val="00B310CB"/>
    <w:rsid w:val="00B311CC"/>
    <w:rsid w:val="00B31319"/>
    <w:rsid w:val="00B31377"/>
    <w:rsid w:val="00B31473"/>
    <w:rsid w:val="00B31515"/>
    <w:rsid w:val="00B315D2"/>
    <w:rsid w:val="00B31660"/>
    <w:rsid w:val="00B317E5"/>
    <w:rsid w:val="00B31A25"/>
    <w:rsid w:val="00B31BFD"/>
    <w:rsid w:val="00B31C71"/>
    <w:rsid w:val="00B31CBE"/>
    <w:rsid w:val="00B31F1F"/>
    <w:rsid w:val="00B31FF6"/>
    <w:rsid w:val="00B320F8"/>
    <w:rsid w:val="00B3231B"/>
    <w:rsid w:val="00B32399"/>
    <w:rsid w:val="00B32424"/>
    <w:rsid w:val="00B3263F"/>
    <w:rsid w:val="00B326C9"/>
    <w:rsid w:val="00B3272E"/>
    <w:rsid w:val="00B327B2"/>
    <w:rsid w:val="00B328F6"/>
    <w:rsid w:val="00B32989"/>
    <w:rsid w:val="00B32B0A"/>
    <w:rsid w:val="00B32B6A"/>
    <w:rsid w:val="00B32BA7"/>
    <w:rsid w:val="00B32D0B"/>
    <w:rsid w:val="00B32D1C"/>
    <w:rsid w:val="00B32DF5"/>
    <w:rsid w:val="00B32F14"/>
    <w:rsid w:val="00B32F3C"/>
    <w:rsid w:val="00B33263"/>
    <w:rsid w:val="00B332F8"/>
    <w:rsid w:val="00B335AE"/>
    <w:rsid w:val="00B3367B"/>
    <w:rsid w:val="00B336F8"/>
    <w:rsid w:val="00B3375F"/>
    <w:rsid w:val="00B338EF"/>
    <w:rsid w:val="00B33C79"/>
    <w:rsid w:val="00B33E13"/>
    <w:rsid w:val="00B342ED"/>
    <w:rsid w:val="00B34460"/>
    <w:rsid w:val="00B34598"/>
    <w:rsid w:val="00B34947"/>
    <w:rsid w:val="00B34AC2"/>
    <w:rsid w:val="00B34AD1"/>
    <w:rsid w:val="00B34F9D"/>
    <w:rsid w:val="00B351AF"/>
    <w:rsid w:val="00B352BA"/>
    <w:rsid w:val="00B3532C"/>
    <w:rsid w:val="00B355CA"/>
    <w:rsid w:val="00B35655"/>
    <w:rsid w:val="00B3565E"/>
    <w:rsid w:val="00B3573A"/>
    <w:rsid w:val="00B35764"/>
    <w:rsid w:val="00B3583F"/>
    <w:rsid w:val="00B35843"/>
    <w:rsid w:val="00B359F2"/>
    <w:rsid w:val="00B35A88"/>
    <w:rsid w:val="00B35A96"/>
    <w:rsid w:val="00B35C19"/>
    <w:rsid w:val="00B35D6D"/>
    <w:rsid w:val="00B36057"/>
    <w:rsid w:val="00B36150"/>
    <w:rsid w:val="00B36170"/>
    <w:rsid w:val="00B367D2"/>
    <w:rsid w:val="00B368D0"/>
    <w:rsid w:val="00B369AF"/>
    <w:rsid w:val="00B36AE9"/>
    <w:rsid w:val="00B36B20"/>
    <w:rsid w:val="00B36C2F"/>
    <w:rsid w:val="00B36DB2"/>
    <w:rsid w:val="00B36DD4"/>
    <w:rsid w:val="00B36DF3"/>
    <w:rsid w:val="00B3709A"/>
    <w:rsid w:val="00B370D0"/>
    <w:rsid w:val="00B37139"/>
    <w:rsid w:val="00B37273"/>
    <w:rsid w:val="00B372BF"/>
    <w:rsid w:val="00B373D7"/>
    <w:rsid w:val="00B3746C"/>
    <w:rsid w:val="00B378FB"/>
    <w:rsid w:val="00B379AD"/>
    <w:rsid w:val="00B37A7C"/>
    <w:rsid w:val="00B37B0C"/>
    <w:rsid w:val="00B37B65"/>
    <w:rsid w:val="00B37F38"/>
    <w:rsid w:val="00B37F59"/>
    <w:rsid w:val="00B400EC"/>
    <w:rsid w:val="00B4012B"/>
    <w:rsid w:val="00B402A6"/>
    <w:rsid w:val="00B40377"/>
    <w:rsid w:val="00B40393"/>
    <w:rsid w:val="00B403D2"/>
    <w:rsid w:val="00B405D2"/>
    <w:rsid w:val="00B405F5"/>
    <w:rsid w:val="00B40850"/>
    <w:rsid w:val="00B40A1D"/>
    <w:rsid w:val="00B40A62"/>
    <w:rsid w:val="00B40E3C"/>
    <w:rsid w:val="00B40EDA"/>
    <w:rsid w:val="00B40F99"/>
    <w:rsid w:val="00B40FD0"/>
    <w:rsid w:val="00B4124F"/>
    <w:rsid w:val="00B41317"/>
    <w:rsid w:val="00B413F2"/>
    <w:rsid w:val="00B41494"/>
    <w:rsid w:val="00B4158A"/>
    <w:rsid w:val="00B41D53"/>
    <w:rsid w:val="00B42023"/>
    <w:rsid w:val="00B42064"/>
    <w:rsid w:val="00B421E7"/>
    <w:rsid w:val="00B421E9"/>
    <w:rsid w:val="00B4221B"/>
    <w:rsid w:val="00B42397"/>
    <w:rsid w:val="00B424C3"/>
    <w:rsid w:val="00B4258B"/>
    <w:rsid w:val="00B42676"/>
    <w:rsid w:val="00B42786"/>
    <w:rsid w:val="00B428A3"/>
    <w:rsid w:val="00B428A6"/>
    <w:rsid w:val="00B42A49"/>
    <w:rsid w:val="00B42CF7"/>
    <w:rsid w:val="00B42D89"/>
    <w:rsid w:val="00B42E7D"/>
    <w:rsid w:val="00B430F1"/>
    <w:rsid w:val="00B43143"/>
    <w:rsid w:val="00B43164"/>
    <w:rsid w:val="00B43195"/>
    <w:rsid w:val="00B4319C"/>
    <w:rsid w:val="00B4335E"/>
    <w:rsid w:val="00B4381D"/>
    <w:rsid w:val="00B438C1"/>
    <w:rsid w:val="00B438C3"/>
    <w:rsid w:val="00B43BE0"/>
    <w:rsid w:val="00B43C17"/>
    <w:rsid w:val="00B43C4A"/>
    <w:rsid w:val="00B43DD2"/>
    <w:rsid w:val="00B43E19"/>
    <w:rsid w:val="00B440A4"/>
    <w:rsid w:val="00B44144"/>
    <w:rsid w:val="00B44218"/>
    <w:rsid w:val="00B44335"/>
    <w:rsid w:val="00B443DF"/>
    <w:rsid w:val="00B444A8"/>
    <w:rsid w:val="00B4478F"/>
    <w:rsid w:val="00B447D6"/>
    <w:rsid w:val="00B448C7"/>
    <w:rsid w:val="00B44A23"/>
    <w:rsid w:val="00B44C16"/>
    <w:rsid w:val="00B44C1E"/>
    <w:rsid w:val="00B44E38"/>
    <w:rsid w:val="00B44E59"/>
    <w:rsid w:val="00B4501A"/>
    <w:rsid w:val="00B45325"/>
    <w:rsid w:val="00B45445"/>
    <w:rsid w:val="00B45553"/>
    <w:rsid w:val="00B4558B"/>
    <w:rsid w:val="00B4595A"/>
    <w:rsid w:val="00B45A62"/>
    <w:rsid w:val="00B45BDA"/>
    <w:rsid w:val="00B45C8C"/>
    <w:rsid w:val="00B45D05"/>
    <w:rsid w:val="00B45E44"/>
    <w:rsid w:val="00B46017"/>
    <w:rsid w:val="00B464A0"/>
    <w:rsid w:val="00B46512"/>
    <w:rsid w:val="00B46522"/>
    <w:rsid w:val="00B46533"/>
    <w:rsid w:val="00B4658F"/>
    <w:rsid w:val="00B466CD"/>
    <w:rsid w:val="00B46786"/>
    <w:rsid w:val="00B4696D"/>
    <w:rsid w:val="00B46AFC"/>
    <w:rsid w:val="00B46C44"/>
    <w:rsid w:val="00B46CF2"/>
    <w:rsid w:val="00B47245"/>
    <w:rsid w:val="00B47440"/>
    <w:rsid w:val="00B474C1"/>
    <w:rsid w:val="00B475D2"/>
    <w:rsid w:val="00B4762A"/>
    <w:rsid w:val="00B4778C"/>
    <w:rsid w:val="00B4783B"/>
    <w:rsid w:val="00B478A5"/>
    <w:rsid w:val="00B47A92"/>
    <w:rsid w:val="00B47B1C"/>
    <w:rsid w:val="00B47C65"/>
    <w:rsid w:val="00B47FAD"/>
    <w:rsid w:val="00B5023D"/>
    <w:rsid w:val="00B50498"/>
    <w:rsid w:val="00B505DB"/>
    <w:rsid w:val="00B506D9"/>
    <w:rsid w:val="00B507B9"/>
    <w:rsid w:val="00B507EE"/>
    <w:rsid w:val="00B50CD6"/>
    <w:rsid w:val="00B50CFA"/>
    <w:rsid w:val="00B50DCE"/>
    <w:rsid w:val="00B50E07"/>
    <w:rsid w:val="00B511FE"/>
    <w:rsid w:val="00B51334"/>
    <w:rsid w:val="00B5148A"/>
    <w:rsid w:val="00B51525"/>
    <w:rsid w:val="00B515DA"/>
    <w:rsid w:val="00B515FA"/>
    <w:rsid w:val="00B5195A"/>
    <w:rsid w:val="00B51AFD"/>
    <w:rsid w:val="00B51B61"/>
    <w:rsid w:val="00B51BE0"/>
    <w:rsid w:val="00B51E5F"/>
    <w:rsid w:val="00B51E65"/>
    <w:rsid w:val="00B51E8B"/>
    <w:rsid w:val="00B51F27"/>
    <w:rsid w:val="00B520DC"/>
    <w:rsid w:val="00B520FC"/>
    <w:rsid w:val="00B52160"/>
    <w:rsid w:val="00B524EB"/>
    <w:rsid w:val="00B527B9"/>
    <w:rsid w:val="00B52859"/>
    <w:rsid w:val="00B52883"/>
    <w:rsid w:val="00B52956"/>
    <w:rsid w:val="00B52967"/>
    <w:rsid w:val="00B529F2"/>
    <w:rsid w:val="00B52AB0"/>
    <w:rsid w:val="00B52AD2"/>
    <w:rsid w:val="00B52BFB"/>
    <w:rsid w:val="00B52C13"/>
    <w:rsid w:val="00B52D18"/>
    <w:rsid w:val="00B52E07"/>
    <w:rsid w:val="00B52E25"/>
    <w:rsid w:val="00B52E86"/>
    <w:rsid w:val="00B52EC2"/>
    <w:rsid w:val="00B52F67"/>
    <w:rsid w:val="00B52FB1"/>
    <w:rsid w:val="00B531C4"/>
    <w:rsid w:val="00B5327C"/>
    <w:rsid w:val="00B532CE"/>
    <w:rsid w:val="00B536A8"/>
    <w:rsid w:val="00B53853"/>
    <w:rsid w:val="00B53ABF"/>
    <w:rsid w:val="00B53BB3"/>
    <w:rsid w:val="00B53D1C"/>
    <w:rsid w:val="00B53EAE"/>
    <w:rsid w:val="00B53EE8"/>
    <w:rsid w:val="00B53F2A"/>
    <w:rsid w:val="00B53F40"/>
    <w:rsid w:val="00B53FF2"/>
    <w:rsid w:val="00B540C2"/>
    <w:rsid w:val="00B543A8"/>
    <w:rsid w:val="00B543D9"/>
    <w:rsid w:val="00B543EB"/>
    <w:rsid w:val="00B54451"/>
    <w:rsid w:val="00B544FC"/>
    <w:rsid w:val="00B545B1"/>
    <w:rsid w:val="00B54663"/>
    <w:rsid w:val="00B547F7"/>
    <w:rsid w:val="00B54BE1"/>
    <w:rsid w:val="00B54C13"/>
    <w:rsid w:val="00B54CAC"/>
    <w:rsid w:val="00B54D6B"/>
    <w:rsid w:val="00B54FCD"/>
    <w:rsid w:val="00B5504E"/>
    <w:rsid w:val="00B552E4"/>
    <w:rsid w:val="00B55383"/>
    <w:rsid w:val="00B55898"/>
    <w:rsid w:val="00B5597F"/>
    <w:rsid w:val="00B55A71"/>
    <w:rsid w:val="00B55A8C"/>
    <w:rsid w:val="00B55DA1"/>
    <w:rsid w:val="00B55DFB"/>
    <w:rsid w:val="00B55E7F"/>
    <w:rsid w:val="00B56027"/>
    <w:rsid w:val="00B56083"/>
    <w:rsid w:val="00B560FF"/>
    <w:rsid w:val="00B56231"/>
    <w:rsid w:val="00B5652C"/>
    <w:rsid w:val="00B56894"/>
    <w:rsid w:val="00B5695C"/>
    <w:rsid w:val="00B56D0D"/>
    <w:rsid w:val="00B56D87"/>
    <w:rsid w:val="00B5706E"/>
    <w:rsid w:val="00B57161"/>
    <w:rsid w:val="00B5791D"/>
    <w:rsid w:val="00B57A54"/>
    <w:rsid w:val="00B57B52"/>
    <w:rsid w:val="00B57C40"/>
    <w:rsid w:val="00B57DF4"/>
    <w:rsid w:val="00B57F7D"/>
    <w:rsid w:val="00B57F90"/>
    <w:rsid w:val="00B57FAF"/>
    <w:rsid w:val="00B6005F"/>
    <w:rsid w:val="00B60090"/>
    <w:rsid w:val="00B60117"/>
    <w:rsid w:val="00B60141"/>
    <w:rsid w:val="00B60186"/>
    <w:rsid w:val="00B601C7"/>
    <w:rsid w:val="00B60234"/>
    <w:rsid w:val="00B602C8"/>
    <w:rsid w:val="00B60301"/>
    <w:rsid w:val="00B60327"/>
    <w:rsid w:val="00B60469"/>
    <w:rsid w:val="00B604BF"/>
    <w:rsid w:val="00B604D3"/>
    <w:rsid w:val="00B60559"/>
    <w:rsid w:val="00B605AC"/>
    <w:rsid w:val="00B6063A"/>
    <w:rsid w:val="00B60AB7"/>
    <w:rsid w:val="00B60BCF"/>
    <w:rsid w:val="00B60E3C"/>
    <w:rsid w:val="00B60ED3"/>
    <w:rsid w:val="00B60EE1"/>
    <w:rsid w:val="00B60F6A"/>
    <w:rsid w:val="00B6109B"/>
    <w:rsid w:val="00B6114C"/>
    <w:rsid w:val="00B612F6"/>
    <w:rsid w:val="00B6132B"/>
    <w:rsid w:val="00B613ED"/>
    <w:rsid w:val="00B61494"/>
    <w:rsid w:val="00B61508"/>
    <w:rsid w:val="00B616E0"/>
    <w:rsid w:val="00B617E0"/>
    <w:rsid w:val="00B617FD"/>
    <w:rsid w:val="00B6191B"/>
    <w:rsid w:val="00B619BB"/>
    <w:rsid w:val="00B619FB"/>
    <w:rsid w:val="00B61A24"/>
    <w:rsid w:val="00B61C7C"/>
    <w:rsid w:val="00B61CDB"/>
    <w:rsid w:val="00B61E57"/>
    <w:rsid w:val="00B61F14"/>
    <w:rsid w:val="00B62218"/>
    <w:rsid w:val="00B62346"/>
    <w:rsid w:val="00B62370"/>
    <w:rsid w:val="00B62477"/>
    <w:rsid w:val="00B626A0"/>
    <w:rsid w:val="00B62724"/>
    <w:rsid w:val="00B62BCF"/>
    <w:rsid w:val="00B62C91"/>
    <w:rsid w:val="00B62D10"/>
    <w:rsid w:val="00B6317E"/>
    <w:rsid w:val="00B631AB"/>
    <w:rsid w:val="00B631D1"/>
    <w:rsid w:val="00B631F5"/>
    <w:rsid w:val="00B63207"/>
    <w:rsid w:val="00B63396"/>
    <w:rsid w:val="00B63539"/>
    <w:rsid w:val="00B635FE"/>
    <w:rsid w:val="00B6382E"/>
    <w:rsid w:val="00B6387A"/>
    <w:rsid w:val="00B63B87"/>
    <w:rsid w:val="00B63C1C"/>
    <w:rsid w:val="00B63CF3"/>
    <w:rsid w:val="00B63DF4"/>
    <w:rsid w:val="00B63E3D"/>
    <w:rsid w:val="00B63EDC"/>
    <w:rsid w:val="00B640B3"/>
    <w:rsid w:val="00B641E1"/>
    <w:rsid w:val="00B642CC"/>
    <w:rsid w:val="00B64449"/>
    <w:rsid w:val="00B6458E"/>
    <w:rsid w:val="00B645A5"/>
    <w:rsid w:val="00B6460D"/>
    <w:rsid w:val="00B646BE"/>
    <w:rsid w:val="00B6474E"/>
    <w:rsid w:val="00B6478A"/>
    <w:rsid w:val="00B6478C"/>
    <w:rsid w:val="00B648F9"/>
    <w:rsid w:val="00B648FC"/>
    <w:rsid w:val="00B64B23"/>
    <w:rsid w:val="00B64C29"/>
    <w:rsid w:val="00B64F82"/>
    <w:rsid w:val="00B64FBF"/>
    <w:rsid w:val="00B65313"/>
    <w:rsid w:val="00B6536A"/>
    <w:rsid w:val="00B656A0"/>
    <w:rsid w:val="00B6579F"/>
    <w:rsid w:val="00B657BE"/>
    <w:rsid w:val="00B65833"/>
    <w:rsid w:val="00B65C60"/>
    <w:rsid w:val="00B65C81"/>
    <w:rsid w:val="00B65D34"/>
    <w:rsid w:val="00B65DC8"/>
    <w:rsid w:val="00B65E0C"/>
    <w:rsid w:val="00B65F2A"/>
    <w:rsid w:val="00B6634E"/>
    <w:rsid w:val="00B66354"/>
    <w:rsid w:val="00B66658"/>
    <w:rsid w:val="00B6668A"/>
    <w:rsid w:val="00B666FF"/>
    <w:rsid w:val="00B66734"/>
    <w:rsid w:val="00B66795"/>
    <w:rsid w:val="00B66951"/>
    <w:rsid w:val="00B66B15"/>
    <w:rsid w:val="00B66BAD"/>
    <w:rsid w:val="00B66C9D"/>
    <w:rsid w:val="00B66DA0"/>
    <w:rsid w:val="00B66DA9"/>
    <w:rsid w:val="00B66EB1"/>
    <w:rsid w:val="00B67134"/>
    <w:rsid w:val="00B671D8"/>
    <w:rsid w:val="00B67296"/>
    <w:rsid w:val="00B6759A"/>
    <w:rsid w:val="00B675DD"/>
    <w:rsid w:val="00B676EC"/>
    <w:rsid w:val="00B677E6"/>
    <w:rsid w:val="00B678B6"/>
    <w:rsid w:val="00B67A72"/>
    <w:rsid w:val="00B67B1E"/>
    <w:rsid w:val="00B67B46"/>
    <w:rsid w:val="00B67E70"/>
    <w:rsid w:val="00B67F6E"/>
    <w:rsid w:val="00B70248"/>
    <w:rsid w:val="00B70469"/>
    <w:rsid w:val="00B704F4"/>
    <w:rsid w:val="00B705E0"/>
    <w:rsid w:val="00B705F1"/>
    <w:rsid w:val="00B706F8"/>
    <w:rsid w:val="00B707D7"/>
    <w:rsid w:val="00B709E3"/>
    <w:rsid w:val="00B70C5F"/>
    <w:rsid w:val="00B7134F"/>
    <w:rsid w:val="00B71593"/>
    <w:rsid w:val="00B71870"/>
    <w:rsid w:val="00B719ED"/>
    <w:rsid w:val="00B71A13"/>
    <w:rsid w:val="00B71CF2"/>
    <w:rsid w:val="00B71EDC"/>
    <w:rsid w:val="00B72137"/>
    <w:rsid w:val="00B724D0"/>
    <w:rsid w:val="00B7252F"/>
    <w:rsid w:val="00B7253B"/>
    <w:rsid w:val="00B7278E"/>
    <w:rsid w:val="00B727DC"/>
    <w:rsid w:val="00B72F4F"/>
    <w:rsid w:val="00B73007"/>
    <w:rsid w:val="00B7300F"/>
    <w:rsid w:val="00B73020"/>
    <w:rsid w:val="00B73662"/>
    <w:rsid w:val="00B73795"/>
    <w:rsid w:val="00B739B7"/>
    <w:rsid w:val="00B73A78"/>
    <w:rsid w:val="00B73A82"/>
    <w:rsid w:val="00B73AA3"/>
    <w:rsid w:val="00B73B6C"/>
    <w:rsid w:val="00B73DD4"/>
    <w:rsid w:val="00B73E2C"/>
    <w:rsid w:val="00B73E92"/>
    <w:rsid w:val="00B73EE6"/>
    <w:rsid w:val="00B73F0E"/>
    <w:rsid w:val="00B73F27"/>
    <w:rsid w:val="00B7400E"/>
    <w:rsid w:val="00B74048"/>
    <w:rsid w:val="00B74087"/>
    <w:rsid w:val="00B744AD"/>
    <w:rsid w:val="00B7454F"/>
    <w:rsid w:val="00B746AB"/>
    <w:rsid w:val="00B747C3"/>
    <w:rsid w:val="00B74962"/>
    <w:rsid w:val="00B74988"/>
    <w:rsid w:val="00B74A68"/>
    <w:rsid w:val="00B74B2B"/>
    <w:rsid w:val="00B74BA7"/>
    <w:rsid w:val="00B74BAC"/>
    <w:rsid w:val="00B74BF6"/>
    <w:rsid w:val="00B74DD5"/>
    <w:rsid w:val="00B74E3A"/>
    <w:rsid w:val="00B750DA"/>
    <w:rsid w:val="00B7530E"/>
    <w:rsid w:val="00B7531F"/>
    <w:rsid w:val="00B75450"/>
    <w:rsid w:val="00B754F4"/>
    <w:rsid w:val="00B757FE"/>
    <w:rsid w:val="00B7582C"/>
    <w:rsid w:val="00B75DA8"/>
    <w:rsid w:val="00B75E1F"/>
    <w:rsid w:val="00B75F05"/>
    <w:rsid w:val="00B760B3"/>
    <w:rsid w:val="00B760D3"/>
    <w:rsid w:val="00B76118"/>
    <w:rsid w:val="00B7627C"/>
    <w:rsid w:val="00B7665B"/>
    <w:rsid w:val="00B76665"/>
    <w:rsid w:val="00B768D9"/>
    <w:rsid w:val="00B768E5"/>
    <w:rsid w:val="00B768E6"/>
    <w:rsid w:val="00B769A1"/>
    <w:rsid w:val="00B76A60"/>
    <w:rsid w:val="00B76B1C"/>
    <w:rsid w:val="00B76C2A"/>
    <w:rsid w:val="00B76DED"/>
    <w:rsid w:val="00B76E60"/>
    <w:rsid w:val="00B76E68"/>
    <w:rsid w:val="00B76EF9"/>
    <w:rsid w:val="00B76F0B"/>
    <w:rsid w:val="00B76F48"/>
    <w:rsid w:val="00B76F82"/>
    <w:rsid w:val="00B770CB"/>
    <w:rsid w:val="00B770CC"/>
    <w:rsid w:val="00B770DD"/>
    <w:rsid w:val="00B7710B"/>
    <w:rsid w:val="00B773B2"/>
    <w:rsid w:val="00B77980"/>
    <w:rsid w:val="00B779AF"/>
    <w:rsid w:val="00B77C3A"/>
    <w:rsid w:val="00B77DC5"/>
    <w:rsid w:val="00B77EAE"/>
    <w:rsid w:val="00B800CB"/>
    <w:rsid w:val="00B800F8"/>
    <w:rsid w:val="00B80119"/>
    <w:rsid w:val="00B8017E"/>
    <w:rsid w:val="00B804B0"/>
    <w:rsid w:val="00B80720"/>
    <w:rsid w:val="00B8075D"/>
    <w:rsid w:val="00B809E0"/>
    <w:rsid w:val="00B80BB1"/>
    <w:rsid w:val="00B80D68"/>
    <w:rsid w:val="00B80DF7"/>
    <w:rsid w:val="00B80EB1"/>
    <w:rsid w:val="00B80F28"/>
    <w:rsid w:val="00B81138"/>
    <w:rsid w:val="00B81183"/>
    <w:rsid w:val="00B81206"/>
    <w:rsid w:val="00B8128A"/>
    <w:rsid w:val="00B8131D"/>
    <w:rsid w:val="00B81323"/>
    <w:rsid w:val="00B8135C"/>
    <w:rsid w:val="00B81400"/>
    <w:rsid w:val="00B814F0"/>
    <w:rsid w:val="00B8153C"/>
    <w:rsid w:val="00B81594"/>
    <w:rsid w:val="00B81662"/>
    <w:rsid w:val="00B8180F"/>
    <w:rsid w:val="00B818E5"/>
    <w:rsid w:val="00B81B8A"/>
    <w:rsid w:val="00B81E0D"/>
    <w:rsid w:val="00B81EB1"/>
    <w:rsid w:val="00B81F93"/>
    <w:rsid w:val="00B820E1"/>
    <w:rsid w:val="00B82161"/>
    <w:rsid w:val="00B82166"/>
    <w:rsid w:val="00B82358"/>
    <w:rsid w:val="00B8272C"/>
    <w:rsid w:val="00B8281F"/>
    <w:rsid w:val="00B82B82"/>
    <w:rsid w:val="00B82D4D"/>
    <w:rsid w:val="00B82E70"/>
    <w:rsid w:val="00B82E95"/>
    <w:rsid w:val="00B83012"/>
    <w:rsid w:val="00B83150"/>
    <w:rsid w:val="00B83177"/>
    <w:rsid w:val="00B83246"/>
    <w:rsid w:val="00B83330"/>
    <w:rsid w:val="00B835C5"/>
    <w:rsid w:val="00B83653"/>
    <w:rsid w:val="00B836E1"/>
    <w:rsid w:val="00B83730"/>
    <w:rsid w:val="00B8384F"/>
    <w:rsid w:val="00B838A4"/>
    <w:rsid w:val="00B838AB"/>
    <w:rsid w:val="00B83906"/>
    <w:rsid w:val="00B83A9B"/>
    <w:rsid w:val="00B83C82"/>
    <w:rsid w:val="00B83D79"/>
    <w:rsid w:val="00B83DEF"/>
    <w:rsid w:val="00B83E1E"/>
    <w:rsid w:val="00B8410A"/>
    <w:rsid w:val="00B8456F"/>
    <w:rsid w:val="00B845D1"/>
    <w:rsid w:val="00B84784"/>
    <w:rsid w:val="00B8489D"/>
    <w:rsid w:val="00B84966"/>
    <w:rsid w:val="00B84A1D"/>
    <w:rsid w:val="00B84A30"/>
    <w:rsid w:val="00B84B73"/>
    <w:rsid w:val="00B84DC5"/>
    <w:rsid w:val="00B84DC7"/>
    <w:rsid w:val="00B84EA7"/>
    <w:rsid w:val="00B84FFE"/>
    <w:rsid w:val="00B85014"/>
    <w:rsid w:val="00B850DC"/>
    <w:rsid w:val="00B85115"/>
    <w:rsid w:val="00B85173"/>
    <w:rsid w:val="00B851E0"/>
    <w:rsid w:val="00B852E5"/>
    <w:rsid w:val="00B85394"/>
    <w:rsid w:val="00B855D7"/>
    <w:rsid w:val="00B85894"/>
    <w:rsid w:val="00B85A64"/>
    <w:rsid w:val="00B85B07"/>
    <w:rsid w:val="00B85B0D"/>
    <w:rsid w:val="00B85BCE"/>
    <w:rsid w:val="00B85D9D"/>
    <w:rsid w:val="00B86368"/>
    <w:rsid w:val="00B86473"/>
    <w:rsid w:val="00B86524"/>
    <w:rsid w:val="00B86629"/>
    <w:rsid w:val="00B8668D"/>
    <w:rsid w:val="00B867FB"/>
    <w:rsid w:val="00B8682D"/>
    <w:rsid w:val="00B868D3"/>
    <w:rsid w:val="00B86907"/>
    <w:rsid w:val="00B86C86"/>
    <w:rsid w:val="00B871FC"/>
    <w:rsid w:val="00B872E3"/>
    <w:rsid w:val="00B8737B"/>
    <w:rsid w:val="00B8749E"/>
    <w:rsid w:val="00B87551"/>
    <w:rsid w:val="00B8772C"/>
    <w:rsid w:val="00B87777"/>
    <w:rsid w:val="00B8777E"/>
    <w:rsid w:val="00B877A8"/>
    <w:rsid w:val="00B87911"/>
    <w:rsid w:val="00B8794A"/>
    <w:rsid w:val="00B879F0"/>
    <w:rsid w:val="00B87A3C"/>
    <w:rsid w:val="00B87B57"/>
    <w:rsid w:val="00B87BBD"/>
    <w:rsid w:val="00B87D15"/>
    <w:rsid w:val="00B87DCA"/>
    <w:rsid w:val="00B87DFB"/>
    <w:rsid w:val="00B87FA3"/>
    <w:rsid w:val="00B901C3"/>
    <w:rsid w:val="00B901FA"/>
    <w:rsid w:val="00B90232"/>
    <w:rsid w:val="00B904F3"/>
    <w:rsid w:val="00B90568"/>
    <w:rsid w:val="00B9068E"/>
    <w:rsid w:val="00B9076F"/>
    <w:rsid w:val="00B90A2B"/>
    <w:rsid w:val="00B90D97"/>
    <w:rsid w:val="00B90DC4"/>
    <w:rsid w:val="00B90E24"/>
    <w:rsid w:val="00B912D0"/>
    <w:rsid w:val="00B91488"/>
    <w:rsid w:val="00B9149F"/>
    <w:rsid w:val="00B91532"/>
    <w:rsid w:val="00B915EE"/>
    <w:rsid w:val="00B91616"/>
    <w:rsid w:val="00B91830"/>
    <w:rsid w:val="00B919B3"/>
    <w:rsid w:val="00B91ACE"/>
    <w:rsid w:val="00B91BE3"/>
    <w:rsid w:val="00B91C63"/>
    <w:rsid w:val="00B91C88"/>
    <w:rsid w:val="00B91DE4"/>
    <w:rsid w:val="00B91DEC"/>
    <w:rsid w:val="00B91E08"/>
    <w:rsid w:val="00B91E17"/>
    <w:rsid w:val="00B91E4F"/>
    <w:rsid w:val="00B91F2D"/>
    <w:rsid w:val="00B920F9"/>
    <w:rsid w:val="00B92158"/>
    <w:rsid w:val="00B9216C"/>
    <w:rsid w:val="00B92199"/>
    <w:rsid w:val="00B92341"/>
    <w:rsid w:val="00B92459"/>
    <w:rsid w:val="00B92507"/>
    <w:rsid w:val="00B925D2"/>
    <w:rsid w:val="00B92688"/>
    <w:rsid w:val="00B9277F"/>
    <w:rsid w:val="00B92B64"/>
    <w:rsid w:val="00B92D21"/>
    <w:rsid w:val="00B92D47"/>
    <w:rsid w:val="00B92F81"/>
    <w:rsid w:val="00B92F9D"/>
    <w:rsid w:val="00B93061"/>
    <w:rsid w:val="00B931DF"/>
    <w:rsid w:val="00B9322C"/>
    <w:rsid w:val="00B9322F"/>
    <w:rsid w:val="00B9330A"/>
    <w:rsid w:val="00B93342"/>
    <w:rsid w:val="00B93467"/>
    <w:rsid w:val="00B93634"/>
    <w:rsid w:val="00B9373B"/>
    <w:rsid w:val="00B937AA"/>
    <w:rsid w:val="00B9386B"/>
    <w:rsid w:val="00B93D19"/>
    <w:rsid w:val="00B93E1F"/>
    <w:rsid w:val="00B94025"/>
    <w:rsid w:val="00B9402E"/>
    <w:rsid w:val="00B9404F"/>
    <w:rsid w:val="00B940E8"/>
    <w:rsid w:val="00B94134"/>
    <w:rsid w:val="00B9414B"/>
    <w:rsid w:val="00B941D7"/>
    <w:rsid w:val="00B94227"/>
    <w:rsid w:val="00B94333"/>
    <w:rsid w:val="00B94335"/>
    <w:rsid w:val="00B943A5"/>
    <w:rsid w:val="00B9442C"/>
    <w:rsid w:val="00B94686"/>
    <w:rsid w:val="00B946A8"/>
    <w:rsid w:val="00B94764"/>
    <w:rsid w:val="00B94766"/>
    <w:rsid w:val="00B94800"/>
    <w:rsid w:val="00B949C0"/>
    <w:rsid w:val="00B94A7E"/>
    <w:rsid w:val="00B94AD8"/>
    <w:rsid w:val="00B94BC9"/>
    <w:rsid w:val="00B94C5A"/>
    <w:rsid w:val="00B94CB7"/>
    <w:rsid w:val="00B94E6A"/>
    <w:rsid w:val="00B94E7B"/>
    <w:rsid w:val="00B9507D"/>
    <w:rsid w:val="00B9542C"/>
    <w:rsid w:val="00B95432"/>
    <w:rsid w:val="00B955A7"/>
    <w:rsid w:val="00B9581F"/>
    <w:rsid w:val="00B95993"/>
    <w:rsid w:val="00B959FA"/>
    <w:rsid w:val="00B95B26"/>
    <w:rsid w:val="00B95D9B"/>
    <w:rsid w:val="00B95F49"/>
    <w:rsid w:val="00B95F7F"/>
    <w:rsid w:val="00B96001"/>
    <w:rsid w:val="00B960F8"/>
    <w:rsid w:val="00B961DF"/>
    <w:rsid w:val="00B962C3"/>
    <w:rsid w:val="00B965AF"/>
    <w:rsid w:val="00B96733"/>
    <w:rsid w:val="00B96799"/>
    <w:rsid w:val="00B9681C"/>
    <w:rsid w:val="00B96894"/>
    <w:rsid w:val="00B968B9"/>
    <w:rsid w:val="00B96B07"/>
    <w:rsid w:val="00B96BD2"/>
    <w:rsid w:val="00B96C4B"/>
    <w:rsid w:val="00B96EB2"/>
    <w:rsid w:val="00B96EDE"/>
    <w:rsid w:val="00B96F4B"/>
    <w:rsid w:val="00B973D1"/>
    <w:rsid w:val="00B97403"/>
    <w:rsid w:val="00B977D9"/>
    <w:rsid w:val="00B978F1"/>
    <w:rsid w:val="00B9792A"/>
    <w:rsid w:val="00B97C7E"/>
    <w:rsid w:val="00B97D0E"/>
    <w:rsid w:val="00B97D97"/>
    <w:rsid w:val="00B97DB8"/>
    <w:rsid w:val="00B97DF0"/>
    <w:rsid w:val="00B97E52"/>
    <w:rsid w:val="00BA008D"/>
    <w:rsid w:val="00BA0272"/>
    <w:rsid w:val="00BA0400"/>
    <w:rsid w:val="00BA046A"/>
    <w:rsid w:val="00BA0507"/>
    <w:rsid w:val="00BA09AE"/>
    <w:rsid w:val="00BA0A4E"/>
    <w:rsid w:val="00BA0A69"/>
    <w:rsid w:val="00BA0A6E"/>
    <w:rsid w:val="00BA0BA7"/>
    <w:rsid w:val="00BA0CE9"/>
    <w:rsid w:val="00BA0D3D"/>
    <w:rsid w:val="00BA0D96"/>
    <w:rsid w:val="00BA0DC5"/>
    <w:rsid w:val="00BA0DDC"/>
    <w:rsid w:val="00BA0E52"/>
    <w:rsid w:val="00BA100F"/>
    <w:rsid w:val="00BA123F"/>
    <w:rsid w:val="00BA1459"/>
    <w:rsid w:val="00BA176E"/>
    <w:rsid w:val="00BA18CF"/>
    <w:rsid w:val="00BA18EF"/>
    <w:rsid w:val="00BA191A"/>
    <w:rsid w:val="00BA1ADD"/>
    <w:rsid w:val="00BA1D4E"/>
    <w:rsid w:val="00BA1EA7"/>
    <w:rsid w:val="00BA1ECC"/>
    <w:rsid w:val="00BA1F5D"/>
    <w:rsid w:val="00BA2062"/>
    <w:rsid w:val="00BA207B"/>
    <w:rsid w:val="00BA2202"/>
    <w:rsid w:val="00BA22CD"/>
    <w:rsid w:val="00BA252C"/>
    <w:rsid w:val="00BA25D4"/>
    <w:rsid w:val="00BA26E9"/>
    <w:rsid w:val="00BA2797"/>
    <w:rsid w:val="00BA28D3"/>
    <w:rsid w:val="00BA325C"/>
    <w:rsid w:val="00BA3424"/>
    <w:rsid w:val="00BA3428"/>
    <w:rsid w:val="00BA354B"/>
    <w:rsid w:val="00BA357A"/>
    <w:rsid w:val="00BA35BD"/>
    <w:rsid w:val="00BA3A0B"/>
    <w:rsid w:val="00BA3CBF"/>
    <w:rsid w:val="00BA3EB9"/>
    <w:rsid w:val="00BA3FA4"/>
    <w:rsid w:val="00BA3FE9"/>
    <w:rsid w:val="00BA4326"/>
    <w:rsid w:val="00BA446A"/>
    <w:rsid w:val="00BA4707"/>
    <w:rsid w:val="00BA4868"/>
    <w:rsid w:val="00BA4BFE"/>
    <w:rsid w:val="00BA4FE4"/>
    <w:rsid w:val="00BA56A1"/>
    <w:rsid w:val="00BA5957"/>
    <w:rsid w:val="00BA599D"/>
    <w:rsid w:val="00BA5DE7"/>
    <w:rsid w:val="00BA5E00"/>
    <w:rsid w:val="00BA6281"/>
    <w:rsid w:val="00BA62C1"/>
    <w:rsid w:val="00BA62DE"/>
    <w:rsid w:val="00BA64F8"/>
    <w:rsid w:val="00BA6986"/>
    <w:rsid w:val="00BA6B8E"/>
    <w:rsid w:val="00BA6C84"/>
    <w:rsid w:val="00BA724A"/>
    <w:rsid w:val="00BA72C4"/>
    <w:rsid w:val="00BA7350"/>
    <w:rsid w:val="00BA73A1"/>
    <w:rsid w:val="00BA765F"/>
    <w:rsid w:val="00BA7770"/>
    <w:rsid w:val="00BA7796"/>
    <w:rsid w:val="00BA7900"/>
    <w:rsid w:val="00BA7A71"/>
    <w:rsid w:val="00BA7AB8"/>
    <w:rsid w:val="00BA7B0F"/>
    <w:rsid w:val="00BA7C5B"/>
    <w:rsid w:val="00BA7CAF"/>
    <w:rsid w:val="00BA7CE2"/>
    <w:rsid w:val="00BA7DD8"/>
    <w:rsid w:val="00BA7EBB"/>
    <w:rsid w:val="00BA7EFA"/>
    <w:rsid w:val="00BB0080"/>
    <w:rsid w:val="00BB0149"/>
    <w:rsid w:val="00BB0241"/>
    <w:rsid w:val="00BB04DD"/>
    <w:rsid w:val="00BB05D3"/>
    <w:rsid w:val="00BB05D5"/>
    <w:rsid w:val="00BB05FF"/>
    <w:rsid w:val="00BB071F"/>
    <w:rsid w:val="00BB0737"/>
    <w:rsid w:val="00BB0766"/>
    <w:rsid w:val="00BB0786"/>
    <w:rsid w:val="00BB0816"/>
    <w:rsid w:val="00BB09A5"/>
    <w:rsid w:val="00BB09BF"/>
    <w:rsid w:val="00BB09CC"/>
    <w:rsid w:val="00BB0D8D"/>
    <w:rsid w:val="00BB0E32"/>
    <w:rsid w:val="00BB0F62"/>
    <w:rsid w:val="00BB0FAA"/>
    <w:rsid w:val="00BB0FF4"/>
    <w:rsid w:val="00BB1009"/>
    <w:rsid w:val="00BB1081"/>
    <w:rsid w:val="00BB11E7"/>
    <w:rsid w:val="00BB13C1"/>
    <w:rsid w:val="00BB144E"/>
    <w:rsid w:val="00BB1470"/>
    <w:rsid w:val="00BB14CA"/>
    <w:rsid w:val="00BB1508"/>
    <w:rsid w:val="00BB1769"/>
    <w:rsid w:val="00BB1EDA"/>
    <w:rsid w:val="00BB21D2"/>
    <w:rsid w:val="00BB21D4"/>
    <w:rsid w:val="00BB2308"/>
    <w:rsid w:val="00BB23C7"/>
    <w:rsid w:val="00BB241E"/>
    <w:rsid w:val="00BB255D"/>
    <w:rsid w:val="00BB25B6"/>
    <w:rsid w:val="00BB2615"/>
    <w:rsid w:val="00BB2637"/>
    <w:rsid w:val="00BB2651"/>
    <w:rsid w:val="00BB2736"/>
    <w:rsid w:val="00BB277C"/>
    <w:rsid w:val="00BB2813"/>
    <w:rsid w:val="00BB2862"/>
    <w:rsid w:val="00BB28A2"/>
    <w:rsid w:val="00BB28B2"/>
    <w:rsid w:val="00BB28D6"/>
    <w:rsid w:val="00BB28E0"/>
    <w:rsid w:val="00BB2BE2"/>
    <w:rsid w:val="00BB2BE4"/>
    <w:rsid w:val="00BB2EE1"/>
    <w:rsid w:val="00BB2F4C"/>
    <w:rsid w:val="00BB32CC"/>
    <w:rsid w:val="00BB3328"/>
    <w:rsid w:val="00BB3341"/>
    <w:rsid w:val="00BB3686"/>
    <w:rsid w:val="00BB36B8"/>
    <w:rsid w:val="00BB3BF8"/>
    <w:rsid w:val="00BB3D77"/>
    <w:rsid w:val="00BB3EC2"/>
    <w:rsid w:val="00BB4164"/>
    <w:rsid w:val="00BB4206"/>
    <w:rsid w:val="00BB4224"/>
    <w:rsid w:val="00BB4259"/>
    <w:rsid w:val="00BB432C"/>
    <w:rsid w:val="00BB43A9"/>
    <w:rsid w:val="00BB43C9"/>
    <w:rsid w:val="00BB45D1"/>
    <w:rsid w:val="00BB4626"/>
    <w:rsid w:val="00BB4748"/>
    <w:rsid w:val="00BB4A08"/>
    <w:rsid w:val="00BB4AB3"/>
    <w:rsid w:val="00BB4B01"/>
    <w:rsid w:val="00BB4C0F"/>
    <w:rsid w:val="00BB4CED"/>
    <w:rsid w:val="00BB4D81"/>
    <w:rsid w:val="00BB4D83"/>
    <w:rsid w:val="00BB4E7C"/>
    <w:rsid w:val="00BB4E9B"/>
    <w:rsid w:val="00BB4F4C"/>
    <w:rsid w:val="00BB5188"/>
    <w:rsid w:val="00BB51B7"/>
    <w:rsid w:val="00BB5275"/>
    <w:rsid w:val="00BB530E"/>
    <w:rsid w:val="00BB535E"/>
    <w:rsid w:val="00BB53FC"/>
    <w:rsid w:val="00BB5436"/>
    <w:rsid w:val="00BB57F7"/>
    <w:rsid w:val="00BB5851"/>
    <w:rsid w:val="00BB5881"/>
    <w:rsid w:val="00BB593B"/>
    <w:rsid w:val="00BB5BC5"/>
    <w:rsid w:val="00BB5C54"/>
    <w:rsid w:val="00BB5D64"/>
    <w:rsid w:val="00BB60BE"/>
    <w:rsid w:val="00BB61A6"/>
    <w:rsid w:val="00BB62EC"/>
    <w:rsid w:val="00BB6305"/>
    <w:rsid w:val="00BB63E6"/>
    <w:rsid w:val="00BB6731"/>
    <w:rsid w:val="00BB6AFE"/>
    <w:rsid w:val="00BB6E0E"/>
    <w:rsid w:val="00BB6E4B"/>
    <w:rsid w:val="00BB6F3B"/>
    <w:rsid w:val="00BB6F7F"/>
    <w:rsid w:val="00BB6FB0"/>
    <w:rsid w:val="00BB6FF5"/>
    <w:rsid w:val="00BB72BD"/>
    <w:rsid w:val="00BB733C"/>
    <w:rsid w:val="00BB734E"/>
    <w:rsid w:val="00BB73E1"/>
    <w:rsid w:val="00BB74C2"/>
    <w:rsid w:val="00BB7655"/>
    <w:rsid w:val="00BB76FF"/>
    <w:rsid w:val="00BB77E7"/>
    <w:rsid w:val="00BB7985"/>
    <w:rsid w:val="00BB7B14"/>
    <w:rsid w:val="00BB7D20"/>
    <w:rsid w:val="00BB7DF1"/>
    <w:rsid w:val="00BB7E0D"/>
    <w:rsid w:val="00BB7F55"/>
    <w:rsid w:val="00BC0358"/>
    <w:rsid w:val="00BC066B"/>
    <w:rsid w:val="00BC06E9"/>
    <w:rsid w:val="00BC0808"/>
    <w:rsid w:val="00BC08F6"/>
    <w:rsid w:val="00BC0C2A"/>
    <w:rsid w:val="00BC0C31"/>
    <w:rsid w:val="00BC0CB4"/>
    <w:rsid w:val="00BC0E63"/>
    <w:rsid w:val="00BC0E73"/>
    <w:rsid w:val="00BC0F87"/>
    <w:rsid w:val="00BC10A6"/>
    <w:rsid w:val="00BC10F5"/>
    <w:rsid w:val="00BC1519"/>
    <w:rsid w:val="00BC15DD"/>
    <w:rsid w:val="00BC1655"/>
    <w:rsid w:val="00BC16B2"/>
    <w:rsid w:val="00BC1708"/>
    <w:rsid w:val="00BC19A3"/>
    <w:rsid w:val="00BC1C39"/>
    <w:rsid w:val="00BC1C3C"/>
    <w:rsid w:val="00BC1CE1"/>
    <w:rsid w:val="00BC1F1B"/>
    <w:rsid w:val="00BC1F70"/>
    <w:rsid w:val="00BC2154"/>
    <w:rsid w:val="00BC222E"/>
    <w:rsid w:val="00BC25EF"/>
    <w:rsid w:val="00BC26A0"/>
    <w:rsid w:val="00BC29CF"/>
    <w:rsid w:val="00BC2ACE"/>
    <w:rsid w:val="00BC2B0B"/>
    <w:rsid w:val="00BC2C6C"/>
    <w:rsid w:val="00BC2C97"/>
    <w:rsid w:val="00BC2F24"/>
    <w:rsid w:val="00BC2F7A"/>
    <w:rsid w:val="00BC31F8"/>
    <w:rsid w:val="00BC3204"/>
    <w:rsid w:val="00BC3916"/>
    <w:rsid w:val="00BC399D"/>
    <w:rsid w:val="00BC3AD8"/>
    <w:rsid w:val="00BC3B62"/>
    <w:rsid w:val="00BC3BCE"/>
    <w:rsid w:val="00BC3CEC"/>
    <w:rsid w:val="00BC3FF9"/>
    <w:rsid w:val="00BC400A"/>
    <w:rsid w:val="00BC4012"/>
    <w:rsid w:val="00BC4137"/>
    <w:rsid w:val="00BC41B9"/>
    <w:rsid w:val="00BC423B"/>
    <w:rsid w:val="00BC4383"/>
    <w:rsid w:val="00BC457E"/>
    <w:rsid w:val="00BC46A6"/>
    <w:rsid w:val="00BC47FB"/>
    <w:rsid w:val="00BC4869"/>
    <w:rsid w:val="00BC4BCF"/>
    <w:rsid w:val="00BC4C97"/>
    <w:rsid w:val="00BC4C9D"/>
    <w:rsid w:val="00BC4D4D"/>
    <w:rsid w:val="00BC5460"/>
    <w:rsid w:val="00BC57C1"/>
    <w:rsid w:val="00BC59DD"/>
    <w:rsid w:val="00BC5A39"/>
    <w:rsid w:val="00BC5CAE"/>
    <w:rsid w:val="00BC5D5E"/>
    <w:rsid w:val="00BC5DC2"/>
    <w:rsid w:val="00BC62D5"/>
    <w:rsid w:val="00BC63B4"/>
    <w:rsid w:val="00BC6487"/>
    <w:rsid w:val="00BC64C4"/>
    <w:rsid w:val="00BC66FD"/>
    <w:rsid w:val="00BC695F"/>
    <w:rsid w:val="00BC6A52"/>
    <w:rsid w:val="00BC6A87"/>
    <w:rsid w:val="00BC6AC5"/>
    <w:rsid w:val="00BC6BB7"/>
    <w:rsid w:val="00BC6D13"/>
    <w:rsid w:val="00BC70B7"/>
    <w:rsid w:val="00BC747C"/>
    <w:rsid w:val="00BC74AD"/>
    <w:rsid w:val="00BC756B"/>
    <w:rsid w:val="00BC786A"/>
    <w:rsid w:val="00BC7A76"/>
    <w:rsid w:val="00BC7BDD"/>
    <w:rsid w:val="00BD001C"/>
    <w:rsid w:val="00BD00F4"/>
    <w:rsid w:val="00BD01CB"/>
    <w:rsid w:val="00BD0284"/>
    <w:rsid w:val="00BD0397"/>
    <w:rsid w:val="00BD0414"/>
    <w:rsid w:val="00BD04EF"/>
    <w:rsid w:val="00BD0902"/>
    <w:rsid w:val="00BD09D6"/>
    <w:rsid w:val="00BD0D70"/>
    <w:rsid w:val="00BD0D9D"/>
    <w:rsid w:val="00BD0E61"/>
    <w:rsid w:val="00BD0F55"/>
    <w:rsid w:val="00BD0FBC"/>
    <w:rsid w:val="00BD1323"/>
    <w:rsid w:val="00BD1399"/>
    <w:rsid w:val="00BD151A"/>
    <w:rsid w:val="00BD15A1"/>
    <w:rsid w:val="00BD162E"/>
    <w:rsid w:val="00BD170A"/>
    <w:rsid w:val="00BD17CF"/>
    <w:rsid w:val="00BD19FF"/>
    <w:rsid w:val="00BD1A65"/>
    <w:rsid w:val="00BD1A6C"/>
    <w:rsid w:val="00BD1A9F"/>
    <w:rsid w:val="00BD1B6F"/>
    <w:rsid w:val="00BD1E07"/>
    <w:rsid w:val="00BD1E5C"/>
    <w:rsid w:val="00BD2181"/>
    <w:rsid w:val="00BD2277"/>
    <w:rsid w:val="00BD2517"/>
    <w:rsid w:val="00BD254E"/>
    <w:rsid w:val="00BD25DB"/>
    <w:rsid w:val="00BD27F1"/>
    <w:rsid w:val="00BD2903"/>
    <w:rsid w:val="00BD2BA8"/>
    <w:rsid w:val="00BD2D63"/>
    <w:rsid w:val="00BD2D8B"/>
    <w:rsid w:val="00BD2DD7"/>
    <w:rsid w:val="00BD2EE3"/>
    <w:rsid w:val="00BD3005"/>
    <w:rsid w:val="00BD32BC"/>
    <w:rsid w:val="00BD332B"/>
    <w:rsid w:val="00BD379D"/>
    <w:rsid w:val="00BD37EC"/>
    <w:rsid w:val="00BD3AB8"/>
    <w:rsid w:val="00BD3B8B"/>
    <w:rsid w:val="00BD3CBB"/>
    <w:rsid w:val="00BD3E1B"/>
    <w:rsid w:val="00BD3F8B"/>
    <w:rsid w:val="00BD3FB0"/>
    <w:rsid w:val="00BD4032"/>
    <w:rsid w:val="00BD425A"/>
    <w:rsid w:val="00BD4611"/>
    <w:rsid w:val="00BD463A"/>
    <w:rsid w:val="00BD4651"/>
    <w:rsid w:val="00BD46F1"/>
    <w:rsid w:val="00BD4DB9"/>
    <w:rsid w:val="00BD4DD1"/>
    <w:rsid w:val="00BD4DE4"/>
    <w:rsid w:val="00BD4E48"/>
    <w:rsid w:val="00BD4EEC"/>
    <w:rsid w:val="00BD5054"/>
    <w:rsid w:val="00BD54F8"/>
    <w:rsid w:val="00BD558C"/>
    <w:rsid w:val="00BD5614"/>
    <w:rsid w:val="00BD5640"/>
    <w:rsid w:val="00BD56A8"/>
    <w:rsid w:val="00BD5887"/>
    <w:rsid w:val="00BD5B2C"/>
    <w:rsid w:val="00BD5B89"/>
    <w:rsid w:val="00BD5CEA"/>
    <w:rsid w:val="00BD5DD2"/>
    <w:rsid w:val="00BD5F87"/>
    <w:rsid w:val="00BD5FE9"/>
    <w:rsid w:val="00BD6067"/>
    <w:rsid w:val="00BD6163"/>
    <w:rsid w:val="00BD6252"/>
    <w:rsid w:val="00BD62E7"/>
    <w:rsid w:val="00BD6372"/>
    <w:rsid w:val="00BD6620"/>
    <w:rsid w:val="00BD66B6"/>
    <w:rsid w:val="00BD67BE"/>
    <w:rsid w:val="00BD6BF5"/>
    <w:rsid w:val="00BD6C3E"/>
    <w:rsid w:val="00BD6D59"/>
    <w:rsid w:val="00BD6E49"/>
    <w:rsid w:val="00BD70BA"/>
    <w:rsid w:val="00BD71FB"/>
    <w:rsid w:val="00BD7494"/>
    <w:rsid w:val="00BD74C9"/>
    <w:rsid w:val="00BD7658"/>
    <w:rsid w:val="00BD7873"/>
    <w:rsid w:val="00BD78E6"/>
    <w:rsid w:val="00BD7910"/>
    <w:rsid w:val="00BD7BE5"/>
    <w:rsid w:val="00BD7BF7"/>
    <w:rsid w:val="00BD7D47"/>
    <w:rsid w:val="00BD7D5F"/>
    <w:rsid w:val="00BD7D9F"/>
    <w:rsid w:val="00BD7DC6"/>
    <w:rsid w:val="00BD7EC1"/>
    <w:rsid w:val="00BD7ECE"/>
    <w:rsid w:val="00BE0020"/>
    <w:rsid w:val="00BE04B8"/>
    <w:rsid w:val="00BE0865"/>
    <w:rsid w:val="00BE086A"/>
    <w:rsid w:val="00BE0871"/>
    <w:rsid w:val="00BE0B8B"/>
    <w:rsid w:val="00BE0F62"/>
    <w:rsid w:val="00BE1020"/>
    <w:rsid w:val="00BE10F9"/>
    <w:rsid w:val="00BE12FE"/>
    <w:rsid w:val="00BE13A3"/>
    <w:rsid w:val="00BE1426"/>
    <w:rsid w:val="00BE174C"/>
    <w:rsid w:val="00BE198C"/>
    <w:rsid w:val="00BE1ACD"/>
    <w:rsid w:val="00BE1E84"/>
    <w:rsid w:val="00BE1EDC"/>
    <w:rsid w:val="00BE1F57"/>
    <w:rsid w:val="00BE1FB7"/>
    <w:rsid w:val="00BE25E4"/>
    <w:rsid w:val="00BE2674"/>
    <w:rsid w:val="00BE27FF"/>
    <w:rsid w:val="00BE28AD"/>
    <w:rsid w:val="00BE28B0"/>
    <w:rsid w:val="00BE2A18"/>
    <w:rsid w:val="00BE2B5D"/>
    <w:rsid w:val="00BE2BDD"/>
    <w:rsid w:val="00BE2CB4"/>
    <w:rsid w:val="00BE2D90"/>
    <w:rsid w:val="00BE2E2F"/>
    <w:rsid w:val="00BE2EDD"/>
    <w:rsid w:val="00BE2EF7"/>
    <w:rsid w:val="00BE2FA3"/>
    <w:rsid w:val="00BE3001"/>
    <w:rsid w:val="00BE3046"/>
    <w:rsid w:val="00BE305B"/>
    <w:rsid w:val="00BE3127"/>
    <w:rsid w:val="00BE324B"/>
    <w:rsid w:val="00BE3285"/>
    <w:rsid w:val="00BE342B"/>
    <w:rsid w:val="00BE34B7"/>
    <w:rsid w:val="00BE3954"/>
    <w:rsid w:val="00BE40B3"/>
    <w:rsid w:val="00BE43A1"/>
    <w:rsid w:val="00BE44DF"/>
    <w:rsid w:val="00BE4575"/>
    <w:rsid w:val="00BE45AF"/>
    <w:rsid w:val="00BE45E9"/>
    <w:rsid w:val="00BE461B"/>
    <w:rsid w:val="00BE462C"/>
    <w:rsid w:val="00BE4800"/>
    <w:rsid w:val="00BE4C68"/>
    <w:rsid w:val="00BE4C97"/>
    <w:rsid w:val="00BE4D85"/>
    <w:rsid w:val="00BE50B2"/>
    <w:rsid w:val="00BE53D3"/>
    <w:rsid w:val="00BE551B"/>
    <w:rsid w:val="00BE5576"/>
    <w:rsid w:val="00BE55A8"/>
    <w:rsid w:val="00BE561B"/>
    <w:rsid w:val="00BE56BA"/>
    <w:rsid w:val="00BE5702"/>
    <w:rsid w:val="00BE5724"/>
    <w:rsid w:val="00BE5936"/>
    <w:rsid w:val="00BE5A68"/>
    <w:rsid w:val="00BE5B31"/>
    <w:rsid w:val="00BE5E85"/>
    <w:rsid w:val="00BE61EB"/>
    <w:rsid w:val="00BE64B7"/>
    <w:rsid w:val="00BE6869"/>
    <w:rsid w:val="00BE6B23"/>
    <w:rsid w:val="00BE701C"/>
    <w:rsid w:val="00BE7072"/>
    <w:rsid w:val="00BE7099"/>
    <w:rsid w:val="00BE710C"/>
    <w:rsid w:val="00BE7166"/>
    <w:rsid w:val="00BE7460"/>
    <w:rsid w:val="00BE7465"/>
    <w:rsid w:val="00BE753F"/>
    <w:rsid w:val="00BE78F8"/>
    <w:rsid w:val="00BE791D"/>
    <w:rsid w:val="00BE7E1D"/>
    <w:rsid w:val="00BF0004"/>
    <w:rsid w:val="00BF059B"/>
    <w:rsid w:val="00BF05DA"/>
    <w:rsid w:val="00BF0743"/>
    <w:rsid w:val="00BF081D"/>
    <w:rsid w:val="00BF0A87"/>
    <w:rsid w:val="00BF0BF4"/>
    <w:rsid w:val="00BF0DE3"/>
    <w:rsid w:val="00BF0DFC"/>
    <w:rsid w:val="00BF0FB8"/>
    <w:rsid w:val="00BF1005"/>
    <w:rsid w:val="00BF116D"/>
    <w:rsid w:val="00BF126D"/>
    <w:rsid w:val="00BF132A"/>
    <w:rsid w:val="00BF1443"/>
    <w:rsid w:val="00BF1680"/>
    <w:rsid w:val="00BF1898"/>
    <w:rsid w:val="00BF18A7"/>
    <w:rsid w:val="00BF18C8"/>
    <w:rsid w:val="00BF1908"/>
    <w:rsid w:val="00BF1A22"/>
    <w:rsid w:val="00BF1AE1"/>
    <w:rsid w:val="00BF1C64"/>
    <w:rsid w:val="00BF1D65"/>
    <w:rsid w:val="00BF1F09"/>
    <w:rsid w:val="00BF1F1B"/>
    <w:rsid w:val="00BF1F32"/>
    <w:rsid w:val="00BF2211"/>
    <w:rsid w:val="00BF227D"/>
    <w:rsid w:val="00BF22FC"/>
    <w:rsid w:val="00BF2328"/>
    <w:rsid w:val="00BF23A0"/>
    <w:rsid w:val="00BF254A"/>
    <w:rsid w:val="00BF2A58"/>
    <w:rsid w:val="00BF2A6B"/>
    <w:rsid w:val="00BF2BD6"/>
    <w:rsid w:val="00BF2F0C"/>
    <w:rsid w:val="00BF2F59"/>
    <w:rsid w:val="00BF2F6F"/>
    <w:rsid w:val="00BF2FC6"/>
    <w:rsid w:val="00BF3119"/>
    <w:rsid w:val="00BF31B8"/>
    <w:rsid w:val="00BF32F9"/>
    <w:rsid w:val="00BF3384"/>
    <w:rsid w:val="00BF33D7"/>
    <w:rsid w:val="00BF34D4"/>
    <w:rsid w:val="00BF3523"/>
    <w:rsid w:val="00BF3573"/>
    <w:rsid w:val="00BF3785"/>
    <w:rsid w:val="00BF38CE"/>
    <w:rsid w:val="00BF391D"/>
    <w:rsid w:val="00BF3926"/>
    <w:rsid w:val="00BF3A4C"/>
    <w:rsid w:val="00BF3A98"/>
    <w:rsid w:val="00BF3C40"/>
    <w:rsid w:val="00BF3D5C"/>
    <w:rsid w:val="00BF3EB4"/>
    <w:rsid w:val="00BF3FE5"/>
    <w:rsid w:val="00BF3FEF"/>
    <w:rsid w:val="00BF424B"/>
    <w:rsid w:val="00BF4616"/>
    <w:rsid w:val="00BF469D"/>
    <w:rsid w:val="00BF4712"/>
    <w:rsid w:val="00BF4825"/>
    <w:rsid w:val="00BF49C8"/>
    <w:rsid w:val="00BF4A1D"/>
    <w:rsid w:val="00BF4AAB"/>
    <w:rsid w:val="00BF4B5D"/>
    <w:rsid w:val="00BF4C91"/>
    <w:rsid w:val="00BF4D05"/>
    <w:rsid w:val="00BF4E6C"/>
    <w:rsid w:val="00BF4ECE"/>
    <w:rsid w:val="00BF5100"/>
    <w:rsid w:val="00BF51A5"/>
    <w:rsid w:val="00BF52B2"/>
    <w:rsid w:val="00BF5392"/>
    <w:rsid w:val="00BF5977"/>
    <w:rsid w:val="00BF5A91"/>
    <w:rsid w:val="00BF5AC9"/>
    <w:rsid w:val="00BF5B1D"/>
    <w:rsid w:val="00BF5B33"/>
    <w:rsid w:val="00BF5C1A"/>
    <w:rsid w:val="00BF5E42"/>
    <w:rsid w:val="00BF6040"/>
    <w:rsid w:val="00BF6099"/>
    <w:rsid w:val="00BF6109"/>
    <w:rsid w:val="00BF64BA"/>
    <w:rsid w:val="00BF6596"/>
    <w:rsid w:val="00BF673E"/>
    <w:rsid w:val="00BF6DA4"/>
    <w:rsid w:val="00BF6E08"/>
    <w:rsid w:val="00BF6EAE"/>
    <w:rsid w:val="00BF6ED6"/>
    <w:rsid w:val="00BF6F68"/>
    <w:rsid w:val="00BF6FE7"/>
    <w:rsid w:val="00BF7006"/>
    <w:rsid w:val="00BF7072"/>
    <w:rsid w:val="00BF7285"/>
    <w:rsid w:val="00BF74CA"/>
    <w:rsid w:val="00BF7540"/>
    <w:rsid w:val="00BF75A8"/>
    <w:rsid w:val="00BF7731"/>
    <w:rsid w:val="00BF7988"/>
    <w:rsid w:val="00BF7EB2"/>
    <w:rsid w:val="00BF7FDB"/>
    <w:rsid w:val="00C00213"/>
    <w:rsid w:val="00C00371"/>
    <w:rsid w:val="00C00469"/>
    <w:rsid w:val="00C00493"/>
    <w:rsid w:val="00C00974"/>
    <w:rsid w:val="00C00A9F"/>
    <w:rsid w:val="00C00CC3"/>
    <w:rsid w:val="00C00E12"/>
    <w:rsid w:val="00C00E1D"/>
    <w:rsid w:val="00C00E2D"/>
    <w:rsid w:val="00C00EA5"/>
    <w:rsid w:val="00C00F3F"/>
    <w:rsid w:val="00C00F43"/>
    <w:rsid w:val="00C00F57"/>
    <w:rsid w:val="00C00FCF"/>
    <w:rsid w:val="00C0113C"/>
    <w:rsid w:val="00C011F1"/>
    <w:rsid w:val="00C0125A"/>
    <w:rsid w:val="00C01330"/>
    <w:rsid w:val="00C013BE"/>
    <w:rsid w:val="00C0141F"/>
    <w:rsid w:val="00C01436"/>
    <w:rsid w:val="00C01481"/>
    <w:rsid w:val="00C018A7"/>
    <w:rsid w:val="00C019B0"/>
    <w:rsid w:val="00C01A19"/>
    <w:rsid w:val="00C01AB7"/>
    <w:rsid w:val="00C01B9C"/>
    <w:rsid w:val="00C01C62"/>
    <w:rsid w:val="00C01CE6"/>
    <w:rsid w:val="00C01EB0"/>
    <w:rsid w:val="00C01F1A"/>
    <w:rsid w:val="00C01F74"/>
    <w:rsid w:val="00C02042"/>
    <w:rsid w:val="00C0215B"/>
    <w:rsid w:val="00C023C6"/>
    <w:rsid w:val="00C02477"/>
    <w:rsid w:val="00C025CB"/>
    <w:rsid w:val="00C026AE"/>
    <w:rsid w:val="00C026FA"/>
    <w:rsid w:val="00C02762"/>
    <w:rsid w:val="00C027DE"/>
    <w:rsid w:val="00C02932"/>
    <w:rsid w:val="00C029F9"/>
    <w:rsid w:val="00C02A34"/>
    <w:rsid w:val="00C02B15"/>
    <w:rsid w:val="00C02B31"/>
    <w:rsid w:val="00C02B3B"/>
    <w:rsid w:val="00C02C25"/>
    <w:rsid w:val="00C02C4D"/>
    <w:rsid w:val="00C02CAC"/>
    <w:rsid w:val="00C02D69"/>
    <w:rsid w:val="00C02D72"/>
    <w:rsid w:val="00C02DB2"/>
    <w:rsid w:val="00C02FA0"/>
    <w:rsid w:val="00C03080"/>
    <w:rsid w:val="00C0308D"/>
    <w:rsid w:val="00C030C2"/>
    <w:rsid w:val="00C031D1"/>
    <w:rsid w:val="00C03545"/>
    <w:rsid w:val="00C0355F"/>
    <w:rsid w:val="00C036EF"/>
    <w:rsid w:val="00C0386A"/>
    <w:rsid w:val="00C038CA"/>
    <w:rsid w:val="00C03988"/>
    <w:rsid w:val="00C03A3C"/>
    <w:rsid w:val="00C03AE8"/>
    <w:rsid w:val="00C03AFA"/>
    <w:rsid w:val="00C03B2D"/>
    <w:rsid w:val="00C03FB3"/>
    <w:rsid w:val="00C04004"/>
    <w:rsid w:val="00C04044"/>
    <w:rsid w:val="00C0404B"/>
    <w:rsid w:val="00C04061"/>
    <w:rsid w:val="00C04303"/>
    <w:rsid w:val="00C04315"/>
    <w:rsid w:val="00C045B0"/>
    <w:rsid w:val="00C0466A"/>
    <w:rsid w:val="00C04756"/>
    <w:rsid w:val="00C04831"/>
    <w:rsid w:val="00C048AC"/>
    <w:rsid w:val="00C0491F"/>
    <w:rsid w:val="00C04A27"/>
    <w:rsid w:val="00C04B5B"/>
    <w:rsid w:val="00C04C98"/>
    <w:rsid w:val="00C04D54"/>
    <w:rsid w:val="00C04E5B"/>
    <w:rsid w:val="00C04F6D"/>
    <w:rsid w:val="00C050BF"/>
    <w:rsid w:val="00C050D1"/>
    <w:rsid w:val="00C051B7"/>
    <w:rsid w:val="00C05222"/>
    <w:rsid w:val="00C0530A"/>
    <w:rsid w:val="00C053E0"/>
    <w:rsid w:val="00C0557A"/>
    <w:rsid w:val="00C056DF"/>
    <w:rsid w:val="00C05708"/>
    <w:rsid w:val="00C0576F"/>
    <w:rsid w:val="00C05788"/>
    <w:rsid w:val="00C058CE"/>
    <w:rsid w:val="00C05BE2"/>
    <w:rsid w:val="00C05C5E"/>
    <w:rsid w:val="00C05E68"/>
    <w:rsid w:val="00C05EDF"/>
    <w:rsid w:val="00C05F23"/>
    <w:rsid w:val="00C06184"/>
    <w:rsid w:val="00C061CE"/>
    <w:rsid w:val="00C061EC"/>
    <w:rsid w:val="00C065CA"/>
    <w:rsid w:val="00C06802"/>
    <w:rsid w:val="00C06AEA"/>
    <w:rsid w:val="00C06CEE"/>
    <w:rsid w:val="00C06E1B"/>
    <w:rsid w:val="00C07078"/>
    <w:rsid w:val="00C0721F"/>
    <w:rsid w:val="00C0758D"/>
    <w:rsid w:val="00C0777A"/>
    <w:rsid w:val="00C07786"/>
    <w:rsid w:val="00C07792"/>
    <w:rsid w:val="00C07AA9"/>
    <w:rsid w:val="00C07BA3"/>
    <w:rsid w:val="00C07D42"/>
    <w:rsid w:val="00C07D5D"/>
    <w:rsid w:val="00C07DF3"/>
    <w:rsid w:val="00C07F6F"/>
    <w:rsid w:val="00C1026F"/>
    <w:rsid w:val="00C1083B"/>
    <w:rsid w:val="00C10A71"/>
    <w:rsid w:val="00C10DE7"/>
    <w:rsid w:val="00C10EF3"/>
    <w:rsid w:val="00C10F99"/>
    <w:rsid w:val="00C1118A"/>
    <w:rsid w:val="00C11451"/>
    <w:rsid w:val="00C1145F"/>
    <w:rsid w:val="00C11460"/>
    <w:rsid w:val="00C115D0"/>
    <w:rsid w:val="00C11639"/>
    <w:rsid w:val="00C1168A"/>
    <w:rsid w:val="00C116B2"/>
    <w:rsid w:val="00C11771"/>
    <w:rsid w:val="00C117E2"/>
    <w:rsid w:val="00C119D6"/>
    <w:rsid w:val="00C119E2"/>
    <w:rsid w:val="00C11A4F"/>
    <w:rsid w:val="00C11A9A"/>
    <w:rsid w:val="00C11C80"/>
    <w:rsid w:val="00C11D6C"/>
    <w:rsid w:val="00C11DD7"/>
    <w:rsid w:val="00C11EEE"/>
    <w:rsid w:val="00C1200A"/>
    <w:rsid w:val="00C1200F"/>
    <w:rsid w:val="00C120D7"/>
    <w:rsid w:val="00C121B7"/>
    <w:rsid w:val="00C12660"/>
    <w:rsid w:val="00C12679"/>
    <w:rsid w:val="00C12758"/>
    <w:rsid w:val="00C1282B"/>
    <w:rsid w:val="00C1296E"/>
    <w:rsid w:val="00C129C1"/>
    <w:rsid w:val="00C12A72"/>
    <w:rsid w:val="00C12C76"/>
    <w:rsid w:val="00C12D99"/>
    <w:rsid w:val="00C13097"/>
    <w:rsid w:val="00C1311D"/>
    <w:rsid w:val="00C1339A"/>
    <w:rsid w:val="00C133A3"/>
    <w:rsid w:val="00C1344A"/>
    <w:rsid w:val="00C13490"/>
    <w:rsid w:val="00C134CD"/>
    <w:rsid w:val="00C13B02"/>
    <w:rsid w:val="00C13C8D"/>
    <w:rsid w:val="00C13E43"/>
    <w:rsid w:val="00C13F96"/>
    <w:rsid w:val="00C141D5"/>
    <w:rsid w:val="00C143F5"/>
    <w:rsid w:val="00C14498"/>
    <w:rsid w:val="00C144B7"/>
    <w:rsid w:val="00C1464C"/>
    <w:rsid w:val="00C14676"/>
    <w:rsid w:val="00C14830"/>
    <w:rsid w:val="00C14940"/>
    <w:rsid w:val="00C14A43"/>
    <w:rsid w:val="00C14B6C"/>
    <w:rsid w:val="00C14B77"/>
    <w:rsid w:val="00C14CE3"/>
    <w:rsid w:val="00C14DEA"/>
    <w:rsid w:val="00C14EC3"/>
    <w:rsid w:val="00C14EFF"/>
    <w:rsid w:val="00C14F28"/>
    <w:rsid w:val="00C14F8C"/>
    <w:rsid w:val="00C1505D"/>
    <w:rsid w:val="00C1524C"/>
    <w:rsid w:val="00C15255"/>
    <w:rsid w:val="00C1526E"/>
    <w:rsid w:val="00C1529E"/>
    <w:rsid w:val="00C156CA"/>
    <w:rsid w:val="00C1583E"/>
    <w:rsid w:val="00C15867"/>
    <w:rsid w:val="00C15896"/>
    <w:rsid w:val="00C158CD"/>
    <w:rsid w:val="00C158E0"/>
    <w:rsid w:val="00C15E26"/>
    <w:rsid w:val="00C15E47"/>
    <w:rsid w:val="00C161ED"/>
    <w:rsid w:val="00C16449"/>
    <w:rsid w:val="00C1654A"/>
    <w:rsid w:val="00C1658E"/>
    <w:rsid w:val="00C1673C"/>
    <w:rsid w:val="00C16766"/>
    <w:rsid w:val="00C16806"/>
    <w:rsid w:val="00C16B10"/>
    <w:rsid w:val="00C16BA9"/>
    <w:rsid w:val="00C16C16"/>
    <w:rsid w:val="00C16C86"/>
    <w:rsid w:val="00C16D78"/>
    <w:rsid w:val="00C16E65"/>
    <w:rsid w:val="00C16EC3"/>
    <w:rsid w:val="00C17326"/>
    <w:rsid w:val="00C1743D"/>
    <w:rsid w:val="00C1753A"/>
    <w:rsid w:val="00C177F1"/>
    <w:rsid w:val="00C178C7"/>
    <w:rsid w:val="00C1796B"/>
    <w:rsid w:val="00C179ED"/>
    <w:rsid w:val="00C17A89"/>
    <w:rsid w:val="00C17D6E"/>
    <w:rsid w:val="00C17D87"/>
    <w:rsid w:val="00C17DBC"/>
    <w:rsid w:val="00C201E5"/>
    <w:rsid w:val="00C20228"/>
    <w:rsid w:val="00C20395"/>
    <w:rsid w:val="00C203D9"/>
    <w:rsid w:val="00C20498"/>
    <w:rsid w:val="00C20855"/>
    <w:rsid w:val="00C208A7"/>
    <w:rsid w:val="00C208B6"/>
    <w:rsid w:val="00C208CA"/>
    <w:rsid w:val="00C208D0"/>
    <w:rsid w:val="00C20927"/>
    <w:rsid w:val="00C209F5"/>
    <w:rsid w:val="00C20A25"/>
    <w:rsid w:val="00C20CAA"/>
    <w:rsid w:val="00C20E70"/>
    <w:rsid w:val="00C20FB8"/>
    <w:rsid w:val="00C211A8"/>
    <w:rsid w:val="00C21366"/>
    <w:rsid w:val="00C21391"/>
    <w:rsid w:val="00C21496"/>
    <w:rsid w:val="00C21623"/>
    <w:rsid w:val="00C21ABD"/>
    <w:rsid w:val="00C21CC7"/>
    <w:rsid w:val="00C21D77"/>
    <w:rsid w:val="00C21EB5"/>
    <w:rsid w:val="00C21F19"/>
    <w:rsid w:val="00C22042"/>
    <w:rsid w:val="00C2214F"/>
    <w:rsid w:val="00C2223C"/>
    <w:rsid w:val="00C22254"/>
    <w:rsid w:val="00C2236A"/>
    <w:rsid w:val="00C225CD"/>
    <w:rsid w:val="00C22740"/>
    <w:rsid w:val="00C2279B"/>
    <w:rsid w:val="00C22A8A"/>
    <w:rsid w:val="00C22A95"/>
    <w:rsid w:val="00C22B06"/>
    <w:rsid w:val="00C22E4C"/>
    <w:rsid w:val="00C22E6B"/>
    <w:rsid w:val="00C23109"/>
    <w:rsid w:val="00C232BA"/>
    <w:rsid w:val="00C2357A"/>
    <w:rsid w:val="00C235D4"/>
    <w:rsid w:val="00C23838"/>
    <w:rsid w:val="00C23842"/>
    <w:rsid w:val="00C2393B"/>
    <w:rsid w:val="00C239BC"/>
    <w:rsid w:val="00C23AE0"/>
    <w:rsid w:val="00C23AE9"/>
    <w:rsid w:val="00C23BB1"/>
    <w:rsid w:val="00C23C1D"/>
    <w:rsid w:val="00C23F08"/>
    <w:rsid w:val="00C24063"/>
    <w:rsid w:val="00C24282"/>
    <w:rsid w:val="00C2446B"/>
    <w:rsid w:val="00C24537"/>
    <w:rsid w:val="00C245BC"/>
    <w:rsid w:val="00C24A36"/>
    <w:rsid w:val="00C24C0B"/>
    <w:rsid w:val="00C24C1E"/>
    <w:rsid w:val="00C24C5B"/>
    <w:rsid w:val="00C24D39"/>
    <w:rsid w:val="00C25143"/>
    <w:rsid w:val="00C25230"/>
    <w:rsid w:val="00C25350"/>
    <w:rsid w:val="00C2538A"/>
    <w:rsid w:val="00C25412"/>
    <w:rsid w:val="00C2545F"/>
    <w:rsid w:val="00C25561"/>
    <w:rsid w:val="00C258B5"/>
    <w:rsid w:val="00C25907"/>
    <w:rsid w:val="00C25A44"/>
    <w:rsid w:val="00C25B64"/>
    <w:rsid w:val="00C25BB3"/>
    <w:rsid w:val="00C25BC5"/>
    <w:rsid w:val="00C25BE1"/>
    <w:rsid w:val="00C25E17"/>
    <w:rsid w:val="00C25F2D"/>
    <w:rsid w:val="00C25F76"/>
    <w:rsid w:val="00C26110"/>
    <w:rsid w:val="00C2655F"/>
    <w:rsid w:val="00C2689D"/>
    <w:rsid w:val="00C26903"/>
    <w:rsid w:val="00C26A07"/>
    <w:rsid w:val="00C26A1D"/>
    <w:rsid w:val="00C26B67"/>
    <w:rsid w:val="00C26CC5"/>
    <w:rsid w:val="00C26DA9"/>
    <w:rsid w:val="00C26EA9"/>
    <w:rsid w:val="00C26EDA"/>
    <w:rsid w:val="00C27077"/>
    <w:rsid w:val="00C27081"/>
    <w:rsid w:val="00C27198"/>
    <w:rsid w:val="00C27238"/>
    <w:rsid w:val="00C273D3"/>
    <w:rsid w:val="00C27481"/>
    <w:rsid w:val="00C276B6"/>
    <w:rsid w:val="00C27728"/>
    <w:rsid w:val="00C27870"/>
    <w:rsid w:val="00C27A25"/>
    <w:rsid w:val="00C27A93"/>
    <w:rsid w:val="00C27B8A"/>
    <w:rsid w:val="00C27B9F"/>
    <w:rsid w:val="00C27C76"/>
    <w:rsid w:val="00C27D1D"/>
    <w:rsid w:val="00C27E4D"/>
    <w:rsid w:val="00C27E67"/>
    <w:rsid w:val="00C303B5"/>
    <w:rsid w:val="00C305ED"/>
    <w:rsid w:val="00C308E4"/>
    <w:rsid w:val="00C309FD"/>
    <w:rsid w:val="00C30BA0"/>
    <w:rsid w:val="00C30D69"/>
    <w:rsid w:val="00C30DE2"/>
    <w:rsid w:val="00C30DF2"/>
    <w:rsid w:val="00C30E5B"/>
    <w:rsid w:val="00C30F59"/>
    <w:rsid w:val="00C314DE"/>
    <w:rsid w:val="00C31715"/>
    <w:rsid w:val="00C31790"/>
    <w:rsid w:val="00C3185C"/>
    <w:rsid w:val="00C3196B"/>
    <w:rsid w:val="00C31A67"/>
    <w:rsid w:val="00C31AB4"/>
    <w:rsid w:val="00C31C06"/>
    <w:rsid w:val="00C31D7A"/>
    <w:rsid w:val="00C31DBD"/>
    <w:rsid w:val="00C31E4F"/>
    <w:rsid w:val="00C31E78"/>
    <w:rsid w:val="00C32029"/>
    <w:rsid w:val="00C32219"/>
    <w:rsid w:val="00C322E3"/>
    <w:rsid w:val="00C32670"/>
    <w:rsid w:val="00C3292A"/>
    <w:rsid w:val="00C32A0E"/>
    <w:rsid w:val="00C32ACC"/>
    <w:rsid w:val="00C32B0D"/>
    <w:rsid w:val="00C32C33"/>
    <w:rsid w:val="00C32D81"/>
    <w:rsid w:val="00C32EE2"/>
    <w:rsid w:val="00C33101"/>
    <w:rsid w:val="00C33161"/>
    <w:rsid w:val="00C3323A"/>
    <w:rsid w:val="00C3327C"/>
    <w:rsid w:val="00C33361"/>
    <w:rsid w:val="00C334F9"/>
    <w:rsid w:val="00C3351F"/>
    <w:rsid w:val="00C33532"/>
    <w:rsid w:val="00C3360D"/>
    <w:rsid w:val="00C33646"/>
    <w:rsid w:val="00C3372E"/>
    <w:rsid w:val="00C33A8F"/>
    <w:rsid w:val="00C33B22"/>
    <w:rsid w:val="00C33B76"/>
    <w:rsid w:val="00C33CC5"/>
    <w:rsid w:val="00C33DD6"/>
    <w:rsid w:val="00C34183"/>
    <w:rsid w:val="00C341A2"/>
    <w:rsid w:val="00C34A26"/>
    <w:rsid w:val="00C34BC8"/>
    <w:rsid w:val="00C34C85"/>
    <w:rsid w:val="00C3514A"/>
    <w:rsid w:val="00C353DD"/>
    <w:rsid w:val="00C35445"/>
    <w:rsid w:val="00C3559E"/>
    <w:rsid w:val="00C355E6"/>
    <w:rsid w:val="00C355FF"/>
    <w:rsid w:val="00C35687"/>
    <w:rsid w:val="00C356B0"/>
    <w:rsid w:val="00C356C7"/>
    <w:rsid w:val="00C357FD"/>
    <w:rsid w:val="00C3584C"/>
    <w:rsid w:val="00C358D0"/>
    <w:rsid w:val="00C3598A"/>
    <w:rsid w:val="00C35AA2"/>
    <w:rsid w:val="00C35AB3"/>
    <w:rsid w:val="00C35AF2"/>
    <w:rsid w:val="00C35DBE"/>
    <w:rsid w:val="00C35F2F"/>
    <w:rsid w:val="00C36161"/>
    <w:rsid w:val="00C3633B"/>
    <w:rsid w:val="00C36728"/>
    <w:rsid w:val="00C3680D"/>
    <w:rsid w:val="00C36833"/>
    <w:rsid w:val="00C36B7F"/>
    <w:rsid w:val="00C36C07"/>
    <w:rsid w:val="00C36C90"/>
    <w:rsid w:val="00C36D91"/>
    <w:rsid w:val="00C36E68"/>
    <w:rsid w:val="00C36FB7"/>
    <w:rsid w:val="00C37126"/>
    <w:rsid w:val="00C373BC"/>
    <w:rsid w:val="00C3768E"/>
    <w:rsid w:val="00C376E4"/>
    <w:rsid w:val="00C377EE"/>
    <w:rsid w:val="00C37815"/>
    <w:rsid w:val="00C378E2"/>
    <w:rsid w:val="00C37ABA"/>
    <w:rsid w:val="00C37AD4"/>
    <w:rsid w:val="00C37B09"/>
    <w:rsid w:val="00C37CEC"/>
    <w:rsid w:val="00C37F42"/>
    <w:rsid w:val="00C400BE"/>
    <w:rsid w:val="00C40294"/>
    <w:rsid w:val="00C40368"/>
    <w:rsid w:val="00C40376"/>
    <w:rsid w:val="00C403B3"/>
    <w:rsid w:val="00C4050C"/>
    <w:rsid w:val="00C405D1"/>
    <w:rsid w:val="00C40665"/>
    <w:rsid w:val="00C40737"/>
    <w:rsid w:val="00C40775"/>
    <w:rsid w:val="00C408DE"/>
    <w:rsid w:val="00C40914"/>
    <w:rsid w:val="00C40A31"/>
    <w:rsid w:val="00C40AF6"/>
    <w:rsid w:val="00C40C3A"/>
    <w:rsid w:val="00C40C7B"/>
    <w:rsid w:val="00C40CCD"/>
    <w:rsid w:val="00C40DCA"/>
    <w:rsid w:val="00C40DFC"/>
    <w:rsid w:val="00C40E18"/>
    <w:rsid w:val="00C40ED7"/>
    <w:rsid w:val="00C40F3C"/>
    <w:rsid w:val="00C40F5B"/>
    <w:rsid w:val="00C41142"/>
    <w:rsid w:val="00C4124A"/>
    <w:rsid w:val="00C415DC"/>
    <w:rsid w:val="00C41647"/>
    <w:rsid w:val="00C41679"/>
    <w:rsid w:val="00C41744"/>
    <w:rsid w:val="00C41986"/>
    <w:rsid w:val="00C41AD1"/>
    <w:rsid w:val="00C41B6F"/>
    <w:rsid w:val="00C41CF1"/>
    <w:rsid w:val="00C41D54"/>
    <w:rsid w:val="00C41F16"/>
    <w:rsid w:val="00C41FDD"/>
    <w:rsid w:val="00C42139"/>
    <w:rsid w:val="00C42347"/>
    <w:rsid w:val="00C4241D"/>
    <w:rsid w:val="00C42432"/>
    <w:rsid w:val="00C4261C"/>
    <w:rsid w:val="00C427CB"/>
    <w:rsid w:val="00C429DB"/>
    <w:rsid w:val="00C42A69"/>
    <w:rsid w:val="00C42A80"/>
    <w:rsid w:val="00C42BC0"/>
    <w:rsid w:val="00C42C32"/>
    <w:rsid w:val="00C42C36"/>
    <w:rsid w:val="00C42C39"/>
    <w:rsid w:val="00C42C5A"/>
    <w:rsid w:val="00C42FD5"/>
    <w:rsid w:val="00C431C5"/>
    <w:rsid w:val="00C431FF"/>
    <w:rsid w:val="00C43203"/>
    <w:rsid w:val="00C432F3"/>
    <w:rsid w:val="00C4357D"/>
    <w:rsid w:val="00C436F0"/>
    <w:rsid w:val="00C43736"/>
    <w:rsid w:val="00C43F42"/>
    <w:rsid w:val="00C44073"/>
    <w:rsid w:val="00C441DD"/>
    <w:rsid w:val="00C4429F"/>
    <w:rsid w:val="00C44376"/>
    <w:rsid w:val="00C449CD"/>
    <w:rsid w:val="00C449EA"/>
    <w:rsid w:val="00C44A23"/>
    <w:rsid w:val="00C44C51"/>
    <w:rsid w:val="00C44D55"/>
    <w:rsid w:val="00C44F1B"/>
    <w:rsid w:val="00C45088"/>
    <w:rsid w:val="00C453FF"/>
    <w:rsid w:val="00C454C2"/>
    <w:rsid w:val="00C45599"/>
    <w:rsid w:val="00C4564B"/>
    <w:rsid w:val="00C456AD"/>
    <w:rsid w:val="00C456FB"/>
    <w:rsid w:val="00C45917"/>
    <w:rsid w:val="00C45B1A"/>
    <w:rsid w:val="00C45BFF"/>
    <w:rsid w:val="00C45C59"/>
    <w:rsid w:val="00C45E1A"/>
    <w:rsid w:val="00C460E4"/>
    <w:rsid w:val="00C460FF"/>
    <w:rsid w:val="00C46364"/>
    <w:rsid w:val="00C463CF"/>
    <w:rsid w:val="00C463D9"/>
    <w:rsid w:val="00C465DA"/>
    <w:rsid w:val="00C466CC"/>
    <w:rsid w:val="00C4676E"/>
    <w:rsid w:val="00C4687D"/>
    <w:rsid w:val="00C46A79"/>
    <w:rsid w:val="00C46E34"/>
    <w:rsid w:val="00C46F2B"/>
    <w:rsid w:val="00C4707A"/>
    <w:rsid w:val="00C470F6"/>
    <w:rsid w:val="00C47320"/>
    <w:rsid w:val="00C47601"/>
    <w:rsid w:val="00C47865"/>
    <w:rsid w:val="00C478B3"/>
    <w:rsid w:val="00C4794C"/>
    <w:rsid w:val="00C479A6"/>
    <w:rsid w:val="00C479B6"/>
    <w:rsid w:val="00C47AB4"/>
    <w:rsid w:val="00C47C08"/>
    <w:rsid w:val="00C47CF5"/>
    <w:rsid w:val="00C47D6C"/>
    <w:rsid w:val="00C47EB1"/>
    <w:rsid w:val="00C47EF5"/>
    <w:rsid w:val="00C47F26"/>
    <w:rsid w:val="00C47F70"/>
    <w:rsid w:val="00C500CD"/>
    <w:rsid w:val="00C504C1"/>
    <w:rsid w:val="00C50629"/>
    <w:rsid w:val="00C5071F"/>
    <w:rsid w:val="00C50BD7"/>
    <w:rsid w:val="00C50C36"/>
    <w:rsid w:val="00C510E0"/>
    <w:rsid w:val="00C5118B"/>
    <w:rsid w:val="00C5122D"/>
    <w:rsid w:val="00C51371"/>
    <w:rsid w:val="00C513A4"/>
    <w:rsid w:val="00C51662"/>
    <w:rsid w:val="00C51707"/>
    <w:rsid w:val="00C51757"/>
    <w:rsid w:val="00C517EC"/>
    <w:rsid w:val="00C51942"/>
    <w:rsid w:val="00C51AC3"/>
    <w:rsid w:val="00C51AC6"/>
    <w:rsid w:val="00C51B06"/>
    <w:rsid w:val="00C51C11"/>
    <w:rsid w:val="00C51D35"/>
    <w:rsid w:val="00C51D47"/>
    <w:rsid w:val="00C51D72"/>
    <w:rsid w:val="00C51E14"/>
    <w:rsid w:val="00C52031"/>
    <w:rsid w:val="00C5221D"/>
    <w:rsid w:val="00C52237"/>
    <w:rsid w:val="00C52255"/>
    <w:rsid w:val="00C522D7"/>
    <w:rsid w:val="00C525F6"/>
    <w:rsid w:val="00C52638"/>
    <w:rsid w:val="00C52643"/>
    <w:rsid w:val="00C52644"/>
    <w:rsid w:val="00C527BE"/>
    <w:rsid w:val="00C5280A"/>
    <w:rsid w:val="00C5285A"/>
    <w:rsid w:val="00C52A93"/>
    <w:rsid w:val="00C52C32"/>
    <w:rsid w:val="00C52D39"/>
    <w:rsid w:val="00C52DB0"/>
    <w:rsid w:val="00C52DCA"/>
    <w:rsid w:val="00C52E24"/>
    <w:rsid w:val="00C53007"/>
    <w:rsid w:val="00C53135"/>
    <w:rsid w:val="00C5317A"/>
    <w:rsid w:val="00C53316"/>
    <w:rsid w:val="00C533F5"/>
    <w:rsid w:val="00C53468"/>
    <w:rsid w:val="00C534A1"/>
    <w:rsid w:val="00C534DF"/>
    <w:rsid w:val="00C536EE"/>
    <w:rsid w:val="00C53734"/>
    <w:rsid w:val="00C5382A"/>
    <w:rsid w:val="00C53970"/>
    <w:rsid w:val="00C53ABA"/>
    <w:rsid w:val="00C53C5C"/>
    <w:rsid w:val="00C53F1E"/>
    <w:rsid w:val="00C53FBD"/>
    <w:rsid w:val="00C5411E"/>
    <w:rsid w:val="00C541B5"/>
    <w:rsid w:val="00C54320"/>
    <w:rsid w:val="00C5480C"/>
    <w:rsid w:val="00C54937"/>
    <w:rsid w:val="00C5494A"/>
    <w:rsid w:val="00C5499B"/>
    <w:rsid w:val="00C54A91"/>
    <w:rsid w:val="00C54B1C"/>
    <w:rsid w:val="00C54BDA"/>
    <w:rsid w:val="00C54C65"/>
    <w:rsid w:val="00C54C68"/>
    <w:rsid w:val="00C54D73"/>
    <w:rsid w:val="00C54EC4"/>
    <w:rsid w:val="00C5512B"/>
    <w:rsid w:val="00C5519F"/>
    <w:rsid w:val="00C551AE"/>
    <w:rsid w:val="00C55479"/>
    <w:rsid w:val="00C555E3"/>
    <w:rsid w:val="00C557E4"/>
    <w:rsid w:val="00C55B1F"/>
    <w:rsid w:val="00C55B54"/>
    <w:rsid w:val="00C55CED"/>
    <w:rsid w:val="00C55F27"/>
    <w:rsid w:val="00C55F31"/>
    <w:rsid w:val="00C560AB"/>
    <w:rsid w:val="00C56143"/>
    <w:rsid w:val="00C562EA"/>
    <w:rsid w:val="00C56382"/>
    <w:rsid w:val="00C563AC"/>
    <w:rsid w:val="00C563E7"/>
    <w:rsid w:val="00C56655"/>
    <w:rsid w:val="00C566C6"/>
    <w:rsid w:val="00C5686D"/>
    <w:rsid w:val="00C56BCC"/>
    <w:rsid w:val="00C56C61"/>
    <w:rsid w:val="00C56CDC"/>
    <w:rsid w:val="00C56CF4"/>
    <w:rsid w:val="00C56E5F"/>
    <w:rsid w:val="00C56F00"/>
    <w:rsid w:val="00C570CD"/>
    <w:rsid w:val="00C57131"/>
    <w:rsid w:val="00C57211"/>
    <w:rsid w:val="00C572C2"/>
    <w:rsid w:val="00C577AC"/>
    <w:rsid w:val="00C57999"/>
    <w:rsid w:val="00C57B67"/>
    <w:rsid w:val="00C57BE1"/>
    <w:rsid w:val="00C57D40"/>
    <w:rsid w:val="00C57E96"/>
    <w:rsid w:val="00C57EB3"/>
    <w:rsid w:val="00C6016D"/>
    <w:rsid w:val="00C60399"/>
    <w:rsid w:val="00C60450"/>
    <w:rsid w:val="00C60457"/>
    <w:rsid w:val="00C604DF"/>
    <w:rsid w:val="00C60822"/>
    <w:rsid w:val="00C60CEB"/>
    <w:rsid w:val="00C61539"/>
    <w:rsid w:val="00C615A8"/>
    <w:rsid w:val="00C61627"/>
    <w:rsid w:val="00C6168D"/>
    <w:rsid w:val="00C61760"/>
    <w:rsid w:val="00C617AF"/>
    <w:rsid w:val="00C618A1"/>
    <w:rsid w:val="00C61A0D"/>
    <w:rsid w:val="00C61B50"/>
    <w:rsid w:val="00C61B56"/>
    <w:rsid w:val="00C61D3B"/>
    <w:rsid w:val="00C61DE8"/>
    <w:rsid w:val="00C61E6A"/>
    <w:rsid w:val="00C61F9E"/>
    <w:rsid w:val="00C62057"/>
    <w:rsid w:val="00C62137"/>
    <w:rsid w:val="00C62254"/>
    <w:rsid w:val="00C623FE"/>
    <w:rsid w:val="00C6244C"/>
    <w:rsid w:val="00C627CE"/>
    <w:rsid w:val="00C629DC"/>
    <w:rsid w:val="00C62DF0"/>
    <w:rsid w:val="00C62E8A"/>
    <w:rsid w:val="00C62F08"/>
    <w:rsid w:val="00C62FF8"/>
    <w:rsid w:val="00C63062"/>
    <w:rsid w:val="00C6308B"/>
    <w:rsid w:val="00C632B0"/>
    <w:rsid w:val="00C633AE"/>
    <w:rsid w:val="00C634F0"/>
    <w:rsid w:val="00C635D5"/>
    <w:rsid w:val="00C63753"/>
    <w:rsid w:val="00C63785"/>
    <w:rsid w:val="00C638E6"/>
    <w:rsid w:val="00C63A9C"/>
    <w:rsid w:val="00C63BB3"/>
    <w:rsid w:val="00C63CAD"/>
    <w:rsid w:val="00C63DC5"/>
    <w:rsid w:val="00C63E57"/>
    <w:rsid w:val="00C63F9A"/>
    <w:rsid w:val="00C641EE"/>
    <w:rsid w:val="00C64211"/>
    <w:rsid w:val="00C643A8"/>
    <w:rsid w:val="00C645BD"/>
    <w:rsid w:val="00C6474A"/>
    <w:rsid w:val="00C64750"/>
    <w:rsid w:val="00C6482A"/>
    <w:rsid w:val="00C64884"/>
    <w:rsid w:val="00C648BE"/>
    <w:rsid w:val="00C649A4"/>
    <w:rsid w:val="00C64A44"/>
    <w:rsid w:val="00C64AF1"/>
    <w:rsid w:val="00C64BF0"/>
    <w:rsid w:val="00C64C6A"/>
    <w:rsid w:val="00C64C7B"/>
    <w:rsid w:val="00C64D4B"/>
    <w:rsid w:val="00C6502E"/>
    <w:rsid w:val="00C6517D"/>
    <w:rsid w:val="00C655CD"/>
    <w:rsid w:val="00C655DE"/>
    <w:rsid w:val="00C655E0"/>
    <w:rsid w:val="00C6561E"/>
    <w:rsid w:val="00C6563B"/>
    <w:rsid w:val="00C6583A"/>
    <w:rsid w:val="00C65846"/>
    <w:rsid w:val="00C65B6E"/>
    <w:rsid w:val="00C65C3C"/>
    <w:rsid w:val="00C65F85"/>
    <w:rsid w:val="00C6630E"/>
    <w:rsid w:val="00C6651C"/>
    <w:rsid w:val="00C66555"/>
    <w:rsid w:val="00C66666"/>
    <w:rsid w:val="00C66891"/>
    <w:rsid w:val="00C668D8"/>
    <w:rsid w:val="00C66934"/>
    <w:rsid w:val="00C66BEE"/>
    <w:rsid w:val="00C66C35"/>
    <w:rsid w:val="00C66CD7"/>
    <w:rsid w:val="00C66E69"/>
    <w:rsid w:val="00C67026"/>
    <w:rsid w:val="00C670D0"/>
    <w:rsid w:val="00C67102"/>
    <w:rsid w:val="00C67369"/>
    <w:rsid w:val="00C6738C"/>
    <w:rsid w:val="00C6745A"/>
    <w:rsid w:val="00C675C4"/>
    <w:rsid w:val="00C6777E"/>
    <w:rsid w:val="00C67897"/>
    <w:rsid w:val="00C6791A"/>
    <w:rsid w:val="00C679DA"/>
    <w:rsid w:val="00C67AC9"/>
    <w:rsid w:val="00C67C57"/>
    <w:rsid w:val="00C67DCE"/>
    <w:rsid w:val="00C67F98"/>
    <w:rsid w:val="00C67FF3"/>
    <w:rsid w:val="00C70088"/>
    <w:rsid w:val="00C7009D"/>
    <w:rsid w:val="00C70154"/>
    <w:rsid w:val="00C7025B"/>
    <w:rsid w:val="00C7032C"/>
    <w:rsid w:val="00C7059C"/>
    <w:rsid w:val="00C70733"/>
    <w:rsid w:val="00C707BC"/>
    <w:rsid w:val="00C70B0F"/>
    <w:rsid w:val="00C70BC7"/>
    <w:rsid w:val="00C70F7F"/>
    <w:rsid w:val="00C711A8"/>
    <w:rsid w:val="00C71250"/>
    <w:rsid w:val="00C712B1"/>
    <w:rsid w:val="00C71373"/>
    <w:rsid w:val="00C7157D"/>
    <w:rsid w:val="00C718F8"/>
    <w:rsid w:val="00C71A88"/>
    <w:rsid w:val="00C71B04"/>
    <w:rsid w:val="00C71DDE"/>
    <w:rsid w:val="00C71EBB"/>
    <w:rsid w:val="00C7223F"/>
    <w:rsid w:val="00C723DF"/>
    <w:rsid w:val="00C7259C"/>
    <w:rsid w:val="00C725A4"/>
    <w:rsid w:val="00C726A4"/>
    <w:rsid w:val="00C72721"/>
    <w:rsid w:val="00C72753"/>
    <w:rsid w:val="00C7276E"/>
    <w:rsid w:val="00C72920"/>
    <w:rsid w:val="00C72B66"/>
    <w:rsid w:val="00C72B97"/>
    <w:rsid w:val="00C72D10"/>
    <w:rsid w:val="00C72F24"/>
    <w:rsid w:val="00C7317F"/>
    <w:rsid w:val="00C731A3"/>
    <w:rsid w:val="00C732A1"/>
    <w:rsid w:val="00C7346B"/>
    <w:rsid w:val="00C7350A"/>
    <w:rsid w:val="00C7351B"/>
    <w:rsid w:val="00C73750"/>
    <w:rsid w:val="00C73776"/>
    <w:rsid w:val="00C737D2"/>
    <w:rsid w:val="00C73A25"/>
    <w:rsid w:val="00C73AA0"/>
    <w:rsid w:val="00C73AA6"/>
    <w:rsid w:val="00C73B42"/>
    <w:rsid w:val="00C73B53"/>
    <w:rsid w:val="00C73C74"/>
    <w:rsid w:val="00C73D1C"/>
    <w:rsid w:val="00C73D6B"/>
    <w:rsid w:val="00C73DF6"/>
    <w:rsid w:val="00C73EF6"/>
    <w:rsid w:val="00C74020"/>
    <w:rsid w:val="00C741E0"/>
    <w:rsid w:val="00C74430"/>
    <w:rsid w:val="00C747CD"/>
    <w:rsid w:val="00C74874"/>
    <w:rsid w:val="00C74AAA"/>
    <w:rsid w:val="00C74B09"/>
    <w:rsid w:val="00C74BE3"/>
    <w:rsid w:val="00C74BED"/>
    <w:rsid w:val="00C74C0E"/>
    <w:rsid w:val="00C74D10"/>
    <w:rsid w:val="00C74DD5"/>
    <w:rsid w:val="00C74F54"/>
    <w:rsid w:val="00C7502A"/>
    <w:rsid w:val="00C753EE"/>
    <w:rsid w:val="00C7561A"/>
    <w:rsid w:val="00C7578A"/>
    <w:rsid w:val="00C7584D"/>
    <w:rsid w:val="00C75A13"/>
    <w:rsid w:val="00C75A47"/>
    <w:rsid w:val="00C75A9F"/>
    <w:rsid w:val="00C75AF8"/>
    <w:rsid w:val="00C75B26"/>
    <w:rsid w:val="00C75D5F"/>
    <w:rsid w:val="00C75EA0"/>
    <w:rsid w:val="00C75EC3"/>
    <w:rsid w:val="00C7600E"/>
    <w:rsid w:val="00C760B7"/>
    <w:rsid w:val="00C76149"/>
    <w:rsid w:val="00C764D3"/>
    <w:rsid w:val="00C764D4"/>
    <w:rsid w:val="00C76568"/>
    <w:rsid w:val="00C76615"/>
    <w:rsid w:val="00C766DC"/>
    <w:rsid w:val="00C76781"/>
    <w:rsid w:val="00C76876"/>
    <w:rsid w:val="00C76951"/>
    <w:rsid w:val="00C76FCC"/>
    <w:rsid w:val="00C7729A"/>
    <w:rsid w:val="00C772B5"/>
    <w:rsid w:val="00C773AE"/>
    <w:rsid w:val="00C77A51"/>
    <w:rsid w:val="00C77AE8"/>
    <w:rsid w:val="00C77B15"/>
    <w:rsid w:val="00C77B85"/>
    <w:rsid w:val="00C77BF4"/>
    <w:rsid w:val="00C77CF1"/>
    <w:rsid w:val="00C77DE4"/>
    <w:rsid w:val="00C77E2B"/>
    <w:rsid w:val="00C77E6C"/>
    <w:rsid w:val="00C77EEF"/>
    <w:rsid w:val="00C800D7"/>
    <w:rsid w:val="00C80196"/>
    <w:rsid w:val="00C802A2"/>
    <w:rsid w:val="00C80478"/>
    <w:rsid w:val="00C808B1"/>
    <w:rsid w:val="00C80992"/>
    <w:rsid w:val="00C80A03"/>
    <w:rsid w:val="00C80ADD"/>
    <w:rsid w:val="00C80AE8"/>
    <w:rsid w:val="00C80C8F"/>
    <w:rsid w:val="00C80E17"/>
    <w:rsid w:val="00C80F2E"/>
    <w:rsid w:val="00C81038"/>
    <w:rsid w:val="00C81281"/>
    <w:rsid w:val="00C81696"/>
    <w:rsid w:val="00C818D1"/>
    <w:rsid w:val="00C8191F"/>
    <w:rsid w:val="00C81CFE"/>
    <w:rsid w:val="00C81D60"/>
    <w:rsid w:val="00C81DC4"/>
    <w:rsid w:val="00C820FC"/>
    <w:rsid w:val="00C8216C"/>
    <w:rsid w:val="00C822C5"/>
    <w:rsid w:val="00C82380"/>
    <w:rsid w:val="00C827A1"/>
    <w:rsid w:val="00C8280D"/>
    <w:rsid w:val="00C82B2A"/>
    <w:rsid w:val="00C82D1B"/>
    <w:rsid w:val="00C82F40"/>
    <w:rsid w:val="00C83003"/>
    <w:rsid w:val="00C830D7"/>
    <w:rsid w:val="00C8329E"/>
    <w:rsid w:val="00C83510"/>
    <w:rsid w:val="00C8355F"/>
    <w:rsid w:val="00C835E2"/>
    <w:rsid w:val="00C8376D"/>
    <w:rsid w:val="00C83A27"/>
    <w:rsid w:val="00C83C7C"/>
    <w:rsid w:val="00C83E49"/>
    <w:rsid w:val="00C83EC6"/>
    <w:rsid w:val="00C83F49"/>
    <w:rsid w:val="00C83FC3"/>
    <w:rsid w:val="00C84115"/>
    <w:rsid w:val="00C84209"/>
    <w:rsid w:val="00C842F5"/>
    <w:rsid w:val="00C84357"/>
    <w:rsid w:val="00C84494"/>
    <w:rsid w:val="00C844E3"/>
    <w:rsid w:val="00C84727"/>
    <w:rsid w:val="00C84745"/>
    <w:rsid w:val="00C848A4"/>
    <w:rsid w:val="00C84A55"/>
    <w:rsid w:val="00C84A6F"/>
    <w:rsid w:val="00C84A85"/>
    <w:rsid w:val="00C84AFD"/>
    <w:rsid w:val="00C84CF1"/>
    <w:rsid w:val="00C84D57"/>
    <w:rsid w:val="00C84F1E"/>
    <w:rsid w:val="00C85388"/>
    <w:rsid w:val="00C853A2"/>
    <w:rsid w:val="00C85588"/>
    <w:rsid w:val="00C8562C"/>
    <w:rsid w:val="00C85928"/>
    <w:rsid w:val="00C859D8"/>
    <w:rsid w:val="00C85A8B"/>
    <w:rsid w:val="00C85E10"/>
    <w:rsid w:val="00C85E5B"/>
    <w:rsid w:val="00C85F30"/>
    <w:rsid w:val="00C85FBD"/>
    <w:rsid w:val="00C86327"/>
    <w:rsid w:val="00C86380"/>
    <w:rsid w:val="00C8639B"/>
    <w:rsid w:val="00C86419"/>
    <w:rsid w:val="00C86430"/>
    <w:rsid w:val="00C8662E"/>
    <w:rsid w:val="00C86737"/>
    <w:rsid w:val="00C86879"/>
    <w:rsid w:val="00C869F4"/>
    <w:rsid w:val="00C8704B"/>
    <w:rsid w:val="00C871F7"/>
    <w:rsid w:val="00C87205"/>
    <w:rsid w:val="00C8745C"/>
    <w:rsid w:val="00C877E1"/>
    <w:rsid w:val="00C87909"/>
    <w:rsid w:val="00C879B1"/>
    <w:rsid w:val="00C87B95"/>
    <w:rsid w:val="00C87C18"/>
    <w:rsid w:val="00C87CE7"/>
    <w:rsid w:val="00C87FDA"/>
    <w:rsid w:val="00C90066"/>
    <w:rsid w:val="00C902A6"/>
    <w:rsid w:val="00C9035F"/>
    <w:rsid w:val="00C90377"/>
    <w:rsid w:val="00C903A2"/>
    <w:rsid w:val="00C90505"/>
    <w:rsid w:val="00C905E6"/>
    <w:rsid w:val="00C90756"/>
    <w:rsid w:val="00C9075F"/>
    <w:rsid w:val="00C908A7"/>
    <w:rsid w:val="00C909D8"/>
    <w:rsid w:val="00C90A14"/>
    <w:rsid w:val="00C90A89"/>
    <w:rsid w:val="00C90ADE"/>
    <w:rsid w:val="00C90B86"/>
    <w:rsid w:val="00C90CAB"/>
    <w:rsid w:val="00C90DB1"/>
    <w:rsid w:val="00C91041"/>
    <w:rsid w:val="00C91131"/>
    <w:rsid w:val="00C912AB"/>
    <w:rsid w:val="00C913ED"/>
    <w:rsid w:val="00C91602"/>
    <w:rsid w:val="00C91610"/>
    <w:rsid w:val="00C9163B"/>
    <w:rsid w:val="00C9182F"/>
    <w:rsid w:val="00C91850"/>
    <w:rsid w:val="00C91CFB"/>
    <w:rsid w:val="00C91D68"/>
    <w:rsid w:val="00C91EB0"/>
    <w:rsid w:val="00C92235"/>
    <w:rsid w:val="00C923A9"/>
    <w:rsid w:val="00C92531"/>
    <w:rsid w:val="00C926F0"/>
    <w:rsid w:val="00C92723"/>
    <w:rsid w:val="00C92748"/>
    <w:rsid w:val="00C92806"/>
    <w:rsid w:val="00C92825"/>
    <w:rsid w:val="00C92A0B"/>
    <w:rsid w:val="00C92A18"/>
    <w:rsid w:val="00C92AAA"/>
    <w:rsid w:val="00C92CDB"/>
    <w:rsid w:val="00C92D47"/>
    <w:rsid w:val="00C92E60"/>
    <w:rsid w:val="00C92ED4"/>
    <w:rsid w:val="00C93217"/>
    <w:rsid w:val="00C9343B"/>
    <w:rsid w:val="00C93612"/>
    <w:rsid w:val="00C938EF"/>
    <w:rsid w:val="00C938FC"/>
    <w:rsid w:val="00C93C72"/>
    <w:rsid w:val="00C93EF1"/>
    <w:rsid w:val="00C93F42"/>
    <w:rsid w:val="00C93FBE"/>
    <w:rsid w:val="00C9421F"/>
    <w:rsid w:val="00C94238"/>
    <w:rsid w:val="00C94470"/>
    <w:rsid w:val="00C944D5"/>
    <w:rsid w:val="00C94691"/>
    <w:rsid w:val="00C946CE"/>
    <w:rsid w:val="00C94A6F"/>
    <w:rsid w:val="00C94A9E"/>
    <w:rsid w:val="00C94ACC"/>
    <w:rsid w:val="00C94B65"/>
    <w:rsid w:val="00C94D15"/>
    <w:rsid w:val="00C94DA2"/>
    <w:rsid w:val="00C94DC3"/>
    <w:rsid w:val="00C94E08"/>
    <w:rsid w:val="00C94E35"/>
    <w:rsid w:val="00C950F0"/>
    <w:rsid w:val="00C95232"/>
    <w:rsid w:val="00C95444"/>
    <w:rsid w:val="00C95454"/>
    <w:rsid w:val="00C954D8"/>
    <w:rsid w:val="00C95840"/>
    <w:rsid w:val="00C9613E"/>
    <w:rsid w:val="00C96273"/>
    <w:rsid w:val="00C962C6"/>
    <w:rsid w:val="00C96636"/>
    <w:rsid w:val="00C966C9"/>
    <w:rsid w:val="00C9674C"/>
    <w:rsid w:val="00C96AF6"/>
    <w:rsid w:val="00C96D5E"/>
    <w:rsid w:val="00C96E02"/>
    <w:rsid w:val="00C96F0A"/>
    <w:rsid w:val="00C97060"/>
    <w:rsid w:val="00C97450"/>
    <w:rsid w:val="00C9771D"/>
    <w:rsid w:val="00C97757"/>
    <w:rsid w:val="00C977F8"/>
    <w:rsid w:val="00C97903"/>
    <w:rsid w:val="00C97DA8"/>
    <w:rsid w:val="00C97E55"/>
    <w:rsid w:val="00C97E77"/>
    <w:rsid w:val="00C97EE1"/>
    <w:rsid w:val="00C97FB2"/>
    <w:rsid w:val="00CA03CA"/>
    <w:rsid w:val="00CA0664"/>
    <w:rsid w:val="00CA0700"/>
    <w:rsid w:val="00CA0885"/>
    <w:rsid w:val="00CA0AFB"/>
    <w:rsid w:val="00CA0B4B"/>
    <w:rsid w:val="00CA0C35"/>
    <w:rsid w:val="00CA0CF9"/>
    <w:rsid w:val="00CA10E5"/>
    <w:rsid w:val="00CA12AD"/>
    <w:rsid w:val="00CA14C1"/>
    <w:rsid w:val="00CA15B7"/>
    <w:rsid w:val="00CA15FD"/>
    <w:rsid w:val="00CA185B"/>
    <w:rsid w:val="00CA1BB0"/>
    <w:rsid w:val="00CA1DF9"/>
    <w:rsid w:val="00CA1E6E"/>
    <w:rsid w:val="00CA20F8"/>
    <w:rsid w:val="00CA21E6"/>
    <w:rsid w:val="00CA22CD"/>
    <w:rsid w:val="00CA239E"/>
    <w:rsid w:val="00CA241E"/>
    <w:rsid w:val="00CA250E"/>
    <w:rsid w:val="00CA2553"/>
    <w:rsid w:val="00CA256D"/>
    <w:rsid w:val="00CA25EB"/>
    <w:rsid w:val="00CA25EE"/>
    <w:rsid w:val="00CA261F"/>
    <w:rsid w:val="00CA2740"/>
    <w:rsid w:val="00CA2793"/>
    <w:rsid w:val="00CA288A"/>
    <w:rsid w:val="00CA289A"/>
    <w:rsid w:val="00CA2991"/>
    <w:rsid w:val="00CA29E3"/>
    <w:rsid w:val="00CA2BA9"/>
    <w:rsid w:val="00CA2C67"/>
    <w:rsid w:val="00CA2CBB"/>
    <w:rsid w:val="00CA2D41"/>
    <w:rsid w:val="00CA2D4B"/>
    <w:rsid w:val="00CA2E86"/>
    <w:rsid w:val="00CA2E94"/>
    <w:rsid w:val="00CA2F85"/>
    <w:rsid w:val="00CA2FE3"/>
    <w:rsid w:val="00CA3102"/>
    <w:rsid w:val="00CA31D8"/>
    <w:rsid w:val="00CA3243"/>
    <w:rsid w:val="00CA32D6"/>
    <w:rsid w:val="00CA3516"/>
    <w:rsid w:val="00CA3531"/>
    <w:rsid w:val="00CA35AA"/>
    <w:rsid w:val="00CA3618"/>
    <w:rsid w:val="00CA36C0"/>
    <w:rsid w:val="00CA3710"/>
    <w:rsid w:val="00CA3976"/>
    <w:rsid w:val="00CA3A4E"/>
    <w:rsid w:val="00CA3A79"/>
    <w:rsid w:val="00CA3BD2"/>
    <w:rsid w:val="00CA3BF1"/>
    <w:rsid w:val="00CA3C4D"/>
    <w:rsid w:val="00CA3CC3"/>
    <w:rsid w:val="00CA3D70"/>
    <w:rsid w:val="00CA405C"/>
    <w:rsid w:val="00CA42F3"/>
    <w:rsid w:val="00CA4484"/>
    <w:rsid w:val="00CA46AC"/>
    <w:rsid w:val="00CA4908"/>
    <w:rsid w:val="00CA497F"/>
    <w:rsid w:val="00CA49D1"/>
    <w:rsid w:val="00CA49D3"/>
    <w:rsid w:val="00CA4B2A"/>
    <w:rsid w:val="00CA4BB6"/>
    <w:rsid w:val="00CA4EFB"/>
    <w:rsid w:val="00CA5298"/>
    <w:rsid w:val="00CA52FF"/>
    <w:rsid w:val="00CA5315"/>
    <w:rsid w:val="00CA53FB"/>
    <w:rsid w:val="00CA5412"/>
    <w:rsid w:val="00CA565A"/>
    <w:rsid w:val="00CA56AB"/>
    <w:rsid w:val="00CA56C4"/>
    <w:rsid w:val="00CA56F1"/>
    <w:rsid w:val="00CA5921"/>
    <w:rsid w:val="00CA5AB9"/>
    <w:rsid w:val="00CA5AFA"/>
    <w:rsid w:val="00CA5B28"/>
    <w:rsid w:val="00CA5C20"/>
    <w:rsid w:val="00CA5D41"/>
    <w:rsid w:val="00CA5E72"/>
    <w:rsid w:val="00CA5FB3"/>
    <w:rsid w:val="00CA5FF0"/>
    <w:rsid w:val="00CA60A3"/>
    <w:rsid w:val="00CA62E0"/>
    <w:rsid w:val="00CA639B"/>
    <w:rsid w:val="00CA6507"/>
    <w:rsid w:val="00CA666B"/>
    <w:rsid w:val="00CA671C"/>
    <w:rsid w:val="00CA67A5"/>
    <w:rsid w:val="00CA685F"/>
    <w:rsid w:val="00CA6A37"/>
    <w:rsid w:val="00CA6AA6"/>
    <w:rsid w:val="00CA6B4B"/>
    <w:rsid w:val="00CA6C5D"/>
    <w:rsid w:val="00CA6D77"/>
    <w:rsid w:val="00CA6F02"/>
    <w:rsid w:val="00CA6FB9"/>
    <w:rsid w:val="00CA700F"/>
    <w:rsid w:val="00CA712C"/>
    <w:rsid w:val="00CA72C4"/>
    <w:rsid w:val="00CA7375"/>
    <w:rsid w:val="00CA739B"/>
    <w:rsid w:val="00CA73F7"/>
    <w:rsid w:val="00CA74CC"/>
    <w:rsid w:val="00CA779F"/>
    <w:rsid w:val="00CA7A75"/>
    <w:rsid w:val="00CA7B25"/>
    <w:rsid w:val="00CA7B9C"/>
    <w:rsid w:val="00CA7C8F"/>
    <w:rsid w:val="00CA7E67"/>
    <w:rsid w:val="00CA7F21"/>
    <w:rsid w:val="00CA7F82"/>
    <w:rsid w:val="00CA85D9"/>
    <w:rsid w:val="00CB00FB"/>
    <w:rsid w:val="00CB01B4"/>
    <w:rsid w:val="00CB03A3"/>
    <w:rsid w:val="00CB0515"/>
    <w:rsid w:val="00CB0614"/>
    <w:rsid w:val="00CB084C"/>
    <w:rsid w:val="00CB08A6"/>
    <w:rsid w:val="00CB0BED"/>
    <w:rsid w:val="00CB0D51"/>
    <w:rsid w:val="00CB0FA1"/>
    <w:rsid w:val="00CB133A"/>
    <w:rsid w:val="00CB142D"/>
    <w:rsid w:val="00CB15FB"/>
    <w:rsid w:val="00CB1627"/>
    <w:rsid w:val="00CB175C"/>
    <w:rsid w:val="00CB17B3"/>
    <w:rsid w:val="00CB1882"/>
    <w:rsid w:val="00CB1965"/>
    <w:rsid w:val="00CB1A6E"/>
    <w:rsid w:val="00CB1B8D"/>
    <w:rsid w:val="00CB1C20"/>
    <w:rsid w:val="00CB1C43"/>
    <w:rsid w:val="00CB1D49"/>
    <w:rsid w:val="00CB1D4C"/>
    <w:rsid w:val="00CB1D5F"/>
    <w:rsid w:val="00CB1F03"/>
    <w:rsid w:val="00CB20CB"/>
    <w:rsid w:val="00CB25D6"/>
    <w:rsid w:val="00CB263B"/>
    <w:rsid w:val="00CB26AF"/>
    <w:rsid w:val="00CB2897"/>
    <w:rsid w:val="00CB2928"/>
    <w:rsid w:val="00CB298A"/>
    <w:rsid w:val="00CB2AFA"/>
    <w:rsid w:val="00CB2C7B"/>
    <w:rsid w:val="00CB2F9B"/>
    <w:rsid w:val="00CB32EA"/>
    <w:rsid w:val="00CB3497"/>
    <w:rsid w:val="00CB3B19"/>
    <w:rsid w:val="00CB3B75"/>
    <w:rsid w:val="00CB3B98"/>
    <w:rsid w:val="00CB3CAF"/>
    <w:rsid w:val="00CB3D54"/>
    <w:rsid w:val="00CB3DB4"/>
    <w:rsid w:val="00CB3E6F"/>
    <w:rsid w:val="00CB4040"/>
    <w:rsid w:val="00CB4046"/>
    <w:rsid w:val="00CB4119"/>
    <w:rsid w:val="00CB4348"/>
    <w:rsid w:val="00CB4385"/>
    <w:rsid w:val="00CB4565"/>
    <w:rsid w:val="00CB4876"/>
    <w:rsid w:val="00CB48A6"/>
    <w:rsid w:val="00CB4930"/>
    <w:rsid w:val="00CB49EE"/>
    <w:rsid w:val="00CB4B5C"/>
    <w:rsid w:val="00CB4C56"/>
    <w:rsid w:val="00CB4D5C"/>
    <w:rsid w:val="00CB5129"/>
    <w:rsid w:val="00CB51C3"/>
    <w:rsid w:val="00CB54AE"/>
    <w:rsid w:val="00CB54B9"/>
    <w:rsid w:val="00CB56A7"/>
    <w:rsid w:val="00CB5722"/>
    <w:rsid w:val="00CB5754"/>
    <w:rsid w:val="00CB5757"/>
    <w:rsid w:val="00CB57DA"/>
    <w:rsid w:val="00CB582F"/>
    <w:rsid w:val="00CB58A5"/>
    <w:rsid w:val="00CB5904"/>
    <w:rsid w:val="00CB5AFE"/>
    <w:rsid w:val="00CB5C15"/>
    <w:rsid w:val="00CB5C97"/>
    <w:rsid w:val="00CB605E"/>
    <w:rsid w:val="00CB60F0"/>
    <w:rsid w:val="00CB6196"/>
    <w:rsid w:val="00CB6396"/>
    <w:rsid w:val="00CB65CE"/>
    <w:rsid w:val="00CB6652"/>
    <w:rsid w:val="00CB66E3"/>
    <w:rsid w:val="00CB671B"/>
    <w:rsid w:val="00CB67F5"/>
    <w:rsid w:val="00CB68B5"/>
    <w:rsid w:val="00CB68F1"/>
    <w:rsid w:val="00CB691E"/>
    <w:rsid w:val="00CB694A"/>
    <w:rsid w:val="00CB6B33"/>
    <w:rsid w:val="00CB6C41"/>
    <w:rsid w:val="00CB6E46"/>
    <w:rsid w:val="00CB6F37"/>
    <w:rsid w:val="00CB6FC2"/>
    <w:rsid w:val="00CB727E"/>
    <w:rsid w:val="00CB7336"/>
    <w:rsid w:val="00CB735B"/>
    <w:rsid w:val="00CB7696"/>
    <w:rsid w:val="00CB7792"/>
    <w:rsid w:val="00CB7B99"/>
    <w:rsid w:val="00CB7D79"/>
    <w:rsid w:val="00CB7E10"/>
    <w:rsid w:val="00CB7EA2"/>
    <w:rsid w:val="00CC0090"/>
    <w:rsid w:val="00CC0311"/>
    <w:rsid w:val="00CC0390"/>
    <w:rsid w:val="00CC068A"/>
    <w:rsid w:val="00CC07EB"/>
    <w:rsid w:val="00CC0934"/>
    <w:rsid w:val="00CC0BFA"/>
    <w:rsid w:val="00CC0C5B"/>
    <w:rsid w:val="00CC0C67"/>
    <w:rsid w:val="00CC14F0"/>
    <w:rsid w:val="00CC15C1"/>
    <w:rsid w:val="00CC15EB"/>
    <w:rsid w:val="00CC1719"/>
    <w:rsid w:val="00CC175A"/>
    <w:rsid w:val="00CC1B47"/>
    <w:rsid w:val="00CC1E1A"/>
    <w:rsid w:val="00CC1E97"/>
    <w:rsid w:val="00CC2018"/>
    <w:rsid w:val="00CC207B"/>
    <w:rsid w:val="00CC21BB"/>
    <w:rsid w:val="00CC2211"/>
    <w:rsid w:val="00CC2277"/>
    <w:rsid w:val="00CC2499"/>
    <w:rsid w:val="00CC254F"/>
    <w:rsid w:val="00CC2612"/>
    <w:rsid w:val="00CC279A"/>
    <w:rsid w:val="00CC2889"/>
    <w:rsid w:val="00CC2ABB"/>
    <w:rsid w:val="00CC2B22"/>
    <w:rsid w:val="00CC2D3D"/>
    <w:rsid w:val="00CC2DDE"/>
    <w:rsid w:val="00CC2EC5"/>
    <w:rsid w:val="00CC2F5F"/>
    <w:rsid w:val="00CC2F71"/>
    <w:rsid w:val="00CC318C"/>
    <w:rsid w:val="00CC31E8"/>
    <w:rsid w:val="00CC3210"/>
    <w:rsid w:val="00CC322E"/>
    <w:rsid w:val="00CC32D3"/>
    <w:rsid w:val="00CC330A"/>
    <w:rsid w:val="00CC3458"/>
    <w:rsid w:val="00CC35AB"/>
    <w:rsid w:val="00CC35FE"/>
    <w:rsid w:val="00CC3705"/>
    <w:rsid w:val="00CC380D"/>
    <w:rsid w:val="00CC3A9D"/>
    <w:rsid w:val="00CC3C71"/>
    <w:rsid w:val="00CC3DA6"/>
    <w:rsid w:val="00CC40F5"/>
    <w:rsid w:val="00CC410F"/>
    <w:rsid w:val="00CC41A0"/>
    <w:rsid w:val="00CC41EB"/>
    <w:rsid w:val="00CC4427"/>
    <w:rsid w:val="00CC44A2"/>
    <w:rsid w:val="00CC44C6"/>
    <w:rsid w:val="00CC4607"/>
    <w:rsid w:val="00CC471F"/>
    <w:rsid w:val="00CC493B"/>
    <w:rsid w:val="00CC4B4E"/>
    <w:rsid w:val="00CC4D04"/>
    <w:rsid w:val="00CC4E63"/>
    <w:rsid w:val="00CC4ED9"/>
    <w:rsid w:val="00CC50A4"/>
    <w:rsid w:val="00CC51B4"/>
    <w:rsid w:val="00CC5255"/>
    <w:rsid w:val="00CC5278"/>
    <w:rsid w:val="00CC52C3"/>
    <w:rsid w:val="00CC53EC"/>
    <w:rsid w:val="00CC551F"/>
    <w:rsid w:val="00CC55A6"/>
    <w:rsid w:val="00CC5710"/>
    <w:rsid w:val="00CC5816"/>
    <w:rsid w:val="00CC5823"/>
    <w:rsid w:val="00CC58A8"/>
    <w:rsid w:val="00CC58BE"/>
    <w:rsid w:val="00CC5906"/>
    <w:rsid w:val="00CC59A1"/>
    <w:rsid w:val="00CC59E7"/>
    <w:rsid w:val="00CC5E37"/>
    <w:rsid w:val="00CC5E8F"/>
    <w:rsid w:val="00CC5F74"/>
    <w:rsid w:val="00CC5FC1"/>
    <w:rsid w:val="00CC6074"/>
    <w:rsid w:val="00CC6102"/>
    <w:rsid w:val="00CC643B"/>
    <w:rsid w:val="00CC653C"/>
    <w:rsid w:val="00CC6655"/>
    <w:rsid w:val="00CC66A1"/>
    <w:rsid w:val="00CC67C0"/>
    <w:rsid w:val="00CC68D8"/>
    <w:rsid w:val="00CC6A1E"/>
    <w:rsid w:val="00CC6B83"/>
    <w:rsid w:val="00CC6C83"/>
    <w:rsid w:val="00CC6F45"/>
    <w:rsid w:val="00CC7066"/>
    <w:rsid w:val="00CC7236"/>
    <w:rsid w:val="00CC7279"/>
    <w:rsid w:val="00CC7309"/>
    <w:rsid w:val="00CC74AE"/>
    <w:rsid w:val="00CC76D9"/>
    <w:rsid w:val="00CC770F"/>
    <w:rsid w:val="00CC7B51"/>
    <w:rsid w:val="00CC7C36"/>
    <w:rsid w:val="00CC7F74"/>
    <w:rsid w:val="00CD003A"/>
    <w:rsid w:val="00CD0112"/>
    <w:rsid w:val="00CD027E"/>
    <w:rsid w:val="00CD02F2"/>
    <w:rsid w:val="00CD0377"/>
    <w:rsid w:val="00CD0483"/>
    <w:rsid w:val="00CD05B0"/>
    <w:rsid w:val="00CD0742"/>
    <w:rsid w:val="00CD07F4"/>
    <w:rsid w:val="00CD0943"/>
    <w:rsid w:val="00CD0A82"/>
    <w:rsid w:val="00CD0B26"/>
    <w:rsid w:val="00CD0BC7"/>
    <w:rsid w:val="00CD0DA4"/>
    <w:rsid w:val="00CD0EEB"/>
    <w:rsid w:val="00CD1141"/>
    <w:rsid w:val="00CD15E8"/>
    <w:rsid w:val="00CD181C"/>
    <w:rsid w:val="00CD1A64"/>
    <w:rsid w:val="00CD1D2A"/>
    <w:rsid w:val="00CD1EBE"/>
    <w:rsid w:val="00CD1ED7"/>
    <w:rsid w:val="00CD2065"/>
    <w:rsid w:val="00CD21B8"/>
    <w:rsid w:val="00CD21F0"/>
    <w:rsid w:val="00CD2714"/>
    <w:rsid w:val="00CD27BC"/>
    <w:rsid w:val="00CD27E3"/>
    <w:rsid w:val="00CD2AE0"/>
    <w:rsid w:val="00CD2B6D"/>
    <w:rsid w:val="00CD2CA3"/>
    <w:rsid w:val="00CD2CBD"/>
    <w:rsid w:val="00CD2CC4"/>
    <w:rsid w:val="00CD2E4B"/>
    <w:rsid w:val="00CD2EE4"/>
    <w:rsid w:val="00CD301C"/>
    <w:rsid w:val="00CD30CD"/>
    <w:rsid w:val="00CD3141"/>
    <w:rsid w:val="00CD337E"/>
    <w:rsid w:val="00CD345D"/>
    <w:rsid w:val="00CD34A3"/>
    <w:rsid w:val="00CD3615"/>
    <w:rsid w:val="00CD369B"/>
    <w:rsid w:val="00CD36A3"/>
    <w:rsid w:val="00CD37C6"/>
    <w:rsid w:val="00CD37EA"/>
    <w:rsid w:val="00CD380D"/>
    <w:rsid w:val="00CD38A5"/>
    <w:rsid w:val="00CD3946"/>
    <w:rsid w:val="00CD3958"/>
    <w:rsid w:val="00CD3D0F"/>
    <w:rsid w:val="00CD3DA4"/>
    <w:rsid w:val="00CD3E28"/>
    <w:rsid w:val="00CD4060"/>
    <w:rsid w:val="00CD40EC"/>
    <w:rsid w:val="00CD419A"/>
    <w:rsid w:val="00CD41F0"/>
    <w:rsid w:val="00CD4608"/>
    <w:rsid w:val="00CD481B"/>
    <w:rsid w:val="00CD4BF8"/>
    <w:rsid w:val="00CD4C8D"/>
    <w:rsid w:val="00CD4CF4"/>
    <w:rsid w:val="00CD4F5A"/>
    <w:rsid w:val="00CD4FEA"/>
    <w:rsid w:val="00CD5044"/>
    <w:rsid w:val="00CD5106"/>
    <w:rsid w:val="00CD5277"/>
    <w:rsid w:val="00CD578A"/>
    <w:rsid w:val="00CD5C36"/>
    <w:rsid w:val="00CD5CDC"/>
    <w:rsid w:val="00CD5E33"/>
    <w:rsid w:val="00CD6024"/>
    <w:rsid w:val="00CD6059"/>
    <w:rsid w:val="00CD6069"/>
    <w:rsid w:val="00CD608B"/>
    <w:rsid w:val="00CD61C0"/>
    <w:rsid w:val="00CD61F4"/>
    <w:rsid w:val="00CD627C"/>
    <w:rsid w:val="00CD6295"/>
    <w:rsid w:val="00CD6395"/>
    <w:rsid w:val="00CD63B5"/>
    <w:rsid w:val="00CD6487"/>
    <w:rsid w:val="00CD6556"/>
    <w:rsid w:val="00CD659A"/>
    <w:rsid w:val="00CD6882"/>
    <w:rsid w:val="00CD69CD"/>
    <w:rsid w:val="00CD6BE6"/>
    <w:rsid w:val="00CD6C1B"/>
    <w:rsid w:val="00CD6CBF"/>
    <w:rsid w:val="00CD6DBA"/>
    <w:rsid w:val="00CD6DEB"/>
    <w:rsid w:val="00CD6F82"/>
    <w:rsid w:val="00CD7136"/>
    <w:rsid w:val="00CD7142"/>
    <w:rsid w:val="00CD74A5"/>
    <w:rsid w:val="00CD74FA"/>
    <w:rsid w:val="00CD76ED"/>
    <w:rsid w:val="00CD76F3"/>
    <w:rsid w:val="00CD7A25"/>
    <w:rsid w:val="00CD7A8C"/>
    <w:rsid w:val="00CD7C69"/>
    <w:rsid w:val="00CD7E7A"/>
    <w:rsid w:val="00CD7ECD"/>
    <w:rsid w:val="00CD7EED"/>
    <w:rsid w:val="00CD7FF4"/>
    <w:rsid w:val="00CE074A"/>
    <w:rsid w:val="00CE08D9"/>
    <w:rsid w:val="00CE0C1E"/>
    <w:rsid w:val="00CE0C6D"/>
    <w:rsid w:val="00CE0D6A"/>
    <w:rsid w:val="00CE0D7C"/>
    <w:rsid w:val="00CE0DF0"/>
    <w:rsid w:val="00CE0EF8"/>
    <w:rsid w:val="00CE108A"/>
    <w:rsid w:val="00CE1143"/>
    <w:rsid w:val="00CE1335"/>
    <w:rsid w:val="00CE140F"/>
    <w:rsid w:val="00CE14F2"/>
    <w:rsid w:val="00CE15A9"/>
    <w:rsid w:val="00CE1997"/>
    <w:rsid w:val="00CE1A33"/>
    <w:rsid w:val="00CE1C2A"/>
    <w:rsid w:val="00CE1F59"/>
    <w:rsid w:val="00CE205A"/>
    <w:rsid w:val="00CE21C8"/>
    <w:rsid w:val="00CE23CC"/>
    <w:rsid w:val="00CE23DC"/>
    <w:rsid w:val="00CE2638"/>
    <w:rsid w:val="00CE2650"/>
    <w:rsid w:val="00CE26D7"/>
    <w:rsid w:val="00CE277A"/>
    <w:rsid w:val="00CE294D"/>
    <w:rsid w:val="00CE2A04"/>
    <w:rsid w:val="00CE2BD3"/>
    <w:rsid w:val="00CE2C30"/>
    <w:rsid w:val="00CE2D45"/>
    <w:rsid w:val="00CE2FAE"/>
    <w:rsid w:val="00CE3001"/>
    <w:rsid w:val="00CE3029"/>
    <w:rsid w:val="00CE3052"/>
    <w:rsid w:val="00CE3054"/>
    <w:rsid w:val="00CE30B8"/>
    <w:rsid w:val="00CE3192"/>
    <w:rsid w:val="00CE32EA"/>
    <w:rsid w:val="00CE345F"/>
    <w:rsid w:val="00CE352D"/>
    <w:rsid w:val="00CE3593"/>
    <w:rsid w:val="00CE375E"/>
    <w:rsid w:val="00CE395E"/>
    <w:rsid w:val="00CE3AC3"/>
    <w:rsid w:val="00CE3AF2"/>
    <w:rsid w:val="00CE3CE4"/>
    <w:rsid w:val="00CE3D13"/>
    <w:rsid w:val="00CE3E7D"/>
    <w:rsid w:val="00CE4158"/>
    <w:rsid w:val="00CE42D2"/>
    <w:rsid w:val="00CE4359"/>
    <w:rsid w:val="00CE436D"/>
    <w:rsid w:val="00CE448F"/>
    <w:rsid w:val="00CE44B3"/>
    <w:rsid w:val="00CE4680"/>
    <w:rsid w:val="00CE4806"/>
    <w:rsid w:val="00CE4966"/>
    <w:rsid w:val="00CE4A10"/>
    <w:rsid w:val="00CE4D69"/>
    <w:rsid w:val="00CE4E3B"/>
    <w:rsid w:val="00CE5005"/>
    <w:rsid w:val="00CE5262"/>
    <w:rsid w:val="00CE53C5"/>
    <w:rsid w:val="00CE54B9"/>
    <w:rsid w:val="00CE54CF"/>
    <w:rsid w:val="00CE5686"/>
    <w:rsid w:val="00CE5713"/>
    <w:rsid w:val="00CE585F"/>
    <w:rsid w:val="00CE58D3"/>
    <w:rsid w:val="00CE58F6"/>
    <w:rsid w:val="00CE59AB"/>
    <w:rsid w:val="00CE5BDE"/>
    <w:rsid w:val="00CE5C36"/>
    <w:rsid w:val="00CE5F67"/>
    <w:rsid w:val="00CE63F4"/>
    <w:rsid w:val="00CE6516"/>
    <w:rsid w:val="00CE66A7"/>
    <w:rsid w:val="00CE6785"/>
    <w:rsid w:val="00CE687C"/>
    <w:rsid w:val="00CE6941"/>
    <w:rsid w:val="00CE6AC8"/>
    <w:rsid w:val="00CE6B1E"/>
    <w:rsid w:val="00CE6C9A"/>
    <w:rsid w:val="00CE6EA4"/>
    <w:rsid w:val="00CE6EFB"/>
    <w:rsid w:val="00CE6F7E"/>
    <w:rsid w:val="00CE744E"/>
    <w:rsid w:val="00CE762F"/>
    <w:rsid w:val="00CE77C8"/>
    <w:rsid w:val="00CE7917"/>
    <w:rsid w:val="00CE79F1"/>
    <w:rsid w:val="00CE7AE1"/>
    <w:rsid w:val="00CE7CDE"/>
    <w:rsid w:val="00CE7D02"/>
    <w:rsid w:val="00CE7D08"/>
    <w:rsid w:val="00CE7EFF"/>
    <w:rsid w:val="00CE7F32"/>
    <w:rsid w:val="00CE7F58"/>
    <w:rsid w:val="00CF007D"/>
    <w:rsid w:val="00CF012A"/>
    <w:rsid w:val="00CF0140"/>
    <w:rsid w:val="00CF01DD"/>
    <w:rsid w:val="00CF0313"/>
    <w:rsid w:val="00CF03BD"/>
    <w:rsid w:val="00CF061C"/>
    <w:rsid w:val="00CF063C"/>
    <w:rsid w:val="00CF06A8"/>
    <w:rsid w:val="00CF0740"/>
    <w:rsid w:val="00CF0763"/>
    <w:rsid w:val="00CF08A9"/>
    <w:rsid w:val="00CF091D"/>
    <w:rsid w:val="00CF0C5D"/>
    <w:rsid w:val="00CF0CD8"/>
    <w:rsid w:val="00CF0D97"/>
    <w:rsid w:val="00CF0EAC"/>
    <w:rsid w:val="00CF0EE2"/>
    <w:rsid w:val="00CF0F81"/>
    <w:rsid w:val="00CF0F9A"/>
    <w:rsid w:val="00CF0FDE"/>
    <w:rsid w:val="00CF0FF4"/>
    <w:rsid w:val="00CF10C6"/>
    <w:rsid w:val="00CF1324"/>
    <w:rsid w:val="00CF13C5"/>
    <w:rsid w:val="00CF1616"/>
    <w:rsid w:val="00CF16B4"/>
    <w:rsid w:val="00CF17BF"/>
    <w:rsid w:val="00CF19C7"/>
    <w:rsid w:val="00CF1B7A"/>
    <w:rsid w:val="00CF1DBA"/>
    <w:rsid w:val="00CF1F87"/>
    <w:rsid w:val="00CF1F90"/>
    <w:rsid w:val="00CF2084"/>
    <w:rsid w:val="00CF2174"/>
    <w:rsid w:val="00CF2302"/>
    <w:rsid w:val="00CF2448"/>
    <w:rsid w:val="00CF251A"/>
    <w:rsid w:val="00CF255D"/>
    <w:rsid w:val="00CF259F"/>
    <w:rsid w:val="00CF2690"/>
    <w:rsid w:val="00CF2A96"/>
    <w:rsid w:val="00CF2B9B"/>
    <w:rsid w:val="00CF2BFB"/>
    <w:rsid w:val="00CF2C35"/>
    <w:rsid w:val="00CF2C7B"/>
    <w:rsid w:val="00CF2DCA"/>
    <w:rsid w:val="00CF2DCE"/>
    <w:rsid w:val="00CF3000"/>
    <w:rsid w:val="00CF3031"/>
    <w:rsid w:val="00CF32DD"/>
    <w:rsid w:val="00CF35D7"/>
    <w:rsid w:val="00CF360C"/>
    <w:rsid w:val="00CF3778"/>
    <w:rsid w:val="00CF3793"/>
    <w:rsid w:val="00CF3A65"/>
    <w:rsid w:val="00CF3BCB"/>
    <w:rsid w:val="00CF3DC7"/>
    <w:rsid w:val="00CF3F85"/>
    <w:rsid w:val="00CF3FB0"/>
    <w:rsid w:val="00CF3FCD"/>
    <w:rsid w:val="00CF415F"/>
    <w:rsid w:val="00CF4291"/>
    <w:rsid w:val="00CF42E0"/>
    <w:rsid w:val="00CF4328"/>
    <w:rsid w:val="00CF43A1"/>
    <w:rsid w:val="00CF4B80"/>
    <w:rsid w:val="00CF4D05"/>
    <w:rsid w:val="00CF4D25"/>
    <w:rsid w:val="00CF4DB0"/>
    <w:rsid w:val="00CF4EFC"/>
    <w:rsid w:val="00CF4FFE"/>
    <w:rsid w:val="00CF525A"/>
    <w:rsid w:val="00CF537A"/>
    <w:rsid w:val="00CF54A1"/>
    <w:rsid w:val="00CF54A2"/>
    <w:rsid w:val="00CF551F"/>
    <w:rsid w:val="00CF58D7"/>
    <w:rsid w:val="00CF5C8F"/>
    <w:rsid w:val="00CF5E39"/>
    <w:rsid w:val="00CF5EEC"/>
    <w:rsid w:val="00CF5F9C"/>
    <w:rsid w:val="00CF5FA1"/>
    <w:rsid w:val="00CF6044"/>
    <w:rsid w:val="00CF612E"/>
    <w:rsid w:val="00CF61AF"/>
    <w:rsid w:val="00CF61F6"/>
    <w:rsid w:val="00CF6365"/>
    <w:rsid w:val="00CF64A4"/>
    <w:rsid w:val="00CF64A5"/>
    <w:rsid w:val="00CF6777"/>
    <w:rsid w:val="00CF6779"/>
    <w:rsid w:val="00CF67E1"/>
    <w:rsid w:val="00CF69A7"/>
    <w:rsid w:val="00CF6CDE"/>
    <w:rsid w:val="00CF6E5D"/>
    <w:rsid w:val="00CF6FD3"/>
    <w:rsid w:val="00CF724E"/>
    <w:rsid w:val="00CF734D"/>
    <w:rsid w:val="00CF7362"/>
    <w:rsid w:val="00CF73B7"/>
    <w:rsid w:val="00CF7464"/>
    <w:rsid w:val="00CF7514"/>
    <w:rsid w:val="00CF758B"/>
    <w:rsid w:val="00CF75CD"/>
    <w:rsid w:val="00CF7670"/>
    <w:rsid w:val="00CF76B2"/>
    <w:rsid w:val="00CF77DC"/>
    <w:rsid w:val="00CF79D1"/>
    <w:rsid w:val="00CF7C47"/>
    <w:rsid w:val="00CF7D5F"/>
    <w:rsid w:val="00CF7F16"/>
    <w:rsid w:val="00CF7F2A"/>
    <w:rsid w:val="00CF7F93"/>
    <w:rsid w:val="00D00089"/>
    <w:rsid w:val="00D001A0"/>
    <w:rsid w:val="00D001D2"/>
    <w:rsid w:val="00D001F0"/>
    <w:rsid w:val="00D00209"/>
    <w:rsid w:val="00D002C0"/>
    <w:rsid w:val="00D0032F"/>
    <w:rsid w:val="00D00353"/>
    <w:rsid w:val="00D003B2"/>
    <w:rsid w:val="00D006AB"/>
    <w:rsid w:val="00D0076A"/>
    <w:rsid w:val="00D008AF"/>
    <w:rsid w:val="00D00AF5"/>
    <w:rsid w:val="00D00D54"/>
    <w:rsid w:val="00D011EB"/>
    <w:rsid w:val="00D0133A"/>
    <w:rsid w:val="00D014A7"/>
    <w:rsid w:val="00D014C6"/>
    <w:rsid w:val="00D016E9"/>
    <w:rsid w:val="00D016FE"/>
    <w:rsid w:val="00D01956"/>
    <w:rsid w:val="00D01A8C"/>
    <w:rsid w:val="00D01CDE"/>
    <w:rsid w:val="00D01E09"/>
    <w:rsid w:val="00D01F88"/>
    <w:rsid w:val="00D0202E"/>
    <w:rsid w:val="00D021A8"/>
    <w:rsid w:val="00D02223"/>
    <w:rsid w:val="00D02851"/>
    <w:rsid w:val="00D02B0C"/>
    <w:rsid w:val="00D02B39"/>
    <w:rsid w:val="00D02C0F"/>
    <w:rsid w:val="00D02CC4"/>
    <w:rsid w:val="00D03067"/>
    <w:rsid w:val="00D030BC"/>
    <w:rsid w:val="00D0316F"/>
    <w:rsid w:val="00D031AB"/>
    <w:rsid w:val="00D034C7"/>
    <w:rsid w:val="00D03574"/>
    <w:rsid w:val="00D035AA"/>
    <w:rsid w:val="00D03809"/>
    <w:rsid w:val="00D03812"/>
    <w:rsid w:val="00D03977"/>
    <w:rsid w:val="00D0397B"/>
    <w:rsid w:val="00D03C6E"/>
    <w:rsid w:val="00D03D85"/>
    <w:rsid w:val="00D03EA4"/>
    <w:rsid w:val="00D0404A"/>
    <w:rsid w:val="00D040A9"/>
    <w:rsid w:val="00D0410F"/>
    <w:rsid w:val="00D041BA"/>
    <w:rsid w:val="00D044FF"/>
    <w:rsid w:val="00D0460A"/>
    <w:rsid w:val="00D0466B"/>
    <w:rsid w:val="00D0477E"/>
    <w:rsid w:val="00D04A40"/>
    <w:rsid w:val="00D04A81"/>
    <w:rsid w:val="00D04B85"/>
    <w:rsid w:val="00D04E20"/>
    <w:rsid w:val="00D04F32"/>
    <w:rsid w:val="00D0539C"/>
    <w:rsid w:val="00D05471"/>
    <w:rsid w:val="00D054DA"/>
    <w:rsid w:val="00D0550F"/>
    <w:rsid w:val="00D056DE"/>
    <w:rsid w:val="00D056F0"/>
    <w:rsid w:val="00D05985"/>
    <w:rsid w:val="00D059F7"/>
    <w:rsid w:val="00D05A0E"/>
    <w:rsid w:val="00D05AC1"/>
    <w:rsid w:val="00D05B9B"/>
    <w:rsid w:val="00D05BED"/>
    <w:rsid w:val="00D05C5B"/>
    <w:rsid w:val="00D05D26"/>
    <w:rsid w:val="00D06050"/>
    <w:rsid w:val="00D06192"/>
    <w:rsid w:val="00D062EB"/>
    <w:rsid w:val="00D06323"/>
    <w:rsid w:val="00D063F0"/>
    <w:rsid w:val="00D0640E"/>
    <w:rsid w:val="00D06429"/>
    <w:rsid w:val="00D06521"/>
    <w:rsid w:val="00D0673E"/>
    <w:rsid w:val="00D067F1"/>
    <w:rsid w:val="00D06887"/>
    <w:rsid w:val="00D068AA"/>
    <w:rsid w:val="00D06D96"/>
    <w:rsid w:val="00D06E53"/>
    <w:rsid w:val="00D06FEA"/>
    <w:rsid w:val="00D071DE"/>
    <w:rsid w:val="00D07264"/>
    <w:rsid w:val="00D072AC"/>
    <w:rsid w:val="00D073D4"/>
    <w:rsid w:val="00D0749A"/>
    <w:rsid w:val="00D0750D"/>
    <w:rsid w:val="00D07961"/>
    <w:rsid w:val="00D07B10"/>
    <w:rsid w:val="00D07BF4"/>
    <w:rsid w:val="00D07E6E"/>
    <w:rsid w:val="00D07F87"/>
    <w:rsid w:val="00D1004A"/>
    <w:rsid w:val="00D10136"/>
    <w:rsid w:val="00D10145"/>
    <w:rsid w:val="00D1015B"/>
    <w:rsid w:val="00D102DB"/>
    <w:rsid w:val="00D1036A"/>
    <w:rsid w:val="00D104B4"/>
    <w:rsid w:val="00D1054D"/>
    <w:rsid w:val="00D10573"/>
    <w:rsid w:val="00D105AC"/>
    <w:rsid w:val="00D10766"/>
    <w:rsid w:val="00D107FA"/>
    <w:rsid w:val="00D10B1F"/>
    <w:rsid w:val="00D10C71"/>
    <w:rsid w:val="00D10DAE"/>
    <w:rsid w:val="00D1127F"/>
    <w:rsid w:val="00D1128A"/>
    <w:rsid w:val="00D11527"/>
    <w:rsid w:val="00D11656"/>
    <w:rsid w:val="00D11682"/>
    <w:rsid w:val="00D117CA"/>
    <w:rsid w:val="00D1192B"/>
    <w:rsid w:val="00D1193A"/>
    <w:rsid w:val="00D11A2A"/>
    <w:rsid w:val="00D11A9E"/>
    <w:rsid w:val="00D11E73"/>
    <w:rsid w:val="00D11EAC"/>
    <w:rsid w:val="00D11EC9"/>
    <w:rsid w:val="00D11FCB"/>
    <w:rsid w:val="00D121BF"/>
    <w:rsid w:val="00D122DF"/>
    <w:rsid w:val="00D12329"/>
    <w:rsid w:val="00D124BF"/>
    <w:rsid w:val="00D12690"/>
    <w:rsid w:val="00D127F6"/>
    <w:rsid w:val="00D1280B"/>
    <w:rsid w:val="00D12811"/>
    <w:rsid w:val="00D1285A"/>
    <w:rsid w:val="00D12889"/>
    <w:rsid w:val="00D129C9"/>
    <w:rsid w:val="00D129E5"/>
    <w:rsid w:val="00D12DEA"/>
    <w:rsid w:val="00D12E06"/>
    <w:rsid w:val="00D12EEB"/>
    <w:rsid w:val="00D13182"/>
    <w:rsid w:val="00D132C4"/>
    <w:rsid w:val="00D134D8"/>
    <w:rsid w:val="00D13646"/>
    <w:rsid w:val="00D1365F"/>
    <w:rsid w:val="00D136D5"/>
    <w:rsid w:val="00D1378E"/>
    <w:rsid w:val="00D13932"/>
    <w:rsid w:val="00D13B2B"/>
    <w:rsid w:val="00D13B60"/>
    <w:rsid w:val="00D13E44"/>
    <w:rsid w:val="00D13F41"/>
    <w:rsid w:val="00D1404E"/>
    <w:rsid w:val="00D1427B"/>
    <w:rsid w:val="00D142EC"/>
    <w:rsid w:val="00D14440"/>
    <w:rsid w:val="00D1448F"/>
    <w:rsid w:val="00D1470F"/>
    <w:rsid w:val="00D149C5"/>
    <w:rsid w:val="00D14B1E"/>
    <w:rsid w:val="00D14B87"/>
    <w:rsid w:val="00D14B94"/>
    <w:rsid w:val="00D14C36"/>
    <w:rsid w:val="00D14C86"/>
    <w:rsid w:val="00D14D56"/>
    <w:rsid w:val="00D14DB3"/>
    <w:rsid w:val="00D15205"/>
    <w:rsid w:val="00D15490"/>
    <w:rsid w:val="00D155E1"/>
    <w:rsid w:val="00D158A0"/>
    <w:rsid w:val="00D159AF"/>
    <w:rsid w:val="00D159B9"/>
    <w:rsid w:val="00D15AF0"/>
    <w:rsid w:val="00D15C3A"/>
    <w:rsid w:val="00D15E2A"/>
    <w:rsid w:val="00D16035"/>
    <w:rsid w:val="00D16385"/>
    <w:rsid w:val="00D164CD"/>
    <w:rsid w:val="00D169E4"/>
    <w:rsid w:val="00D16A97"/>
    <w:rsid w:val="00D16CD6"/>
    <w:rsid w:val="00D16D6A"/>
    <w:rsid w:val="00D16F66"/>
    <w:rsid w:val="00D1720E"/>
    <w:rsid w:val="00D17337"/>
    <w:rsid w:val="00D17435"/>
    <w:rsid w:val="00D17475"/>
    <w:rsid w:val="00D17801"/>
    <w:rsid w:val="00D1784E"/>
    <w:rsid w:val="00D178BC"/>
    <w:rsid w:val="00D17935"/>
    <w:rsid w:val="00D17A81"/>
    <w:rsid w:val="00D17C86"/>
    <w:rsid w:val="00D17EFC"/>
    <w:rsid w:val="00D17F5F"/>
    <w:rsid w:val="00D17F8B"/>
    <w:rsid w:val="00D20124"/>
    <w:rsid w:val="00D20186"/>
    <w:rsid w:val="00D201D7"/>
    <w:rsid w:val="00D2024F"/>
    <w:rsid w:val="00D2047F"/>
    <w:rsid w:val="00D2054C"/>
    <w:rsid w:val="00D206E2"/>
    <w:rsid w:val="00D20766"/>
    <w:rsid w:val="00D20A03"/>
    <w:rsid w:val="00D20A12"/>
    <w:rsid w:val="00D20A7C"/>
    <w:rsid w:val="00D20B2F"/>
    <w:rsid w:val="00D20F96"/>
    <w:rsid w:val="00D20FC9"/>
    <w:rsid w:val="00D211B6"/>
    <w:rsid w:val="00D2126E"/>
    <w:rsid w:val="00D2146C"/>
    <w:rsid w:val="00D21B3B"/>
    <w:rsid w:val="00D21EB1"/>
    <w:rsid w:val="00D21EEA"/>
    <w:rsid w:val="00D22061"/>
    <w:rsid w:val="00D222AE"/>
    <w:rsid w:val="00D222D1"/>
    <w:rsid w:val="00D223E5"/>
    <w:rsid w:val="00D225CA"/>
    <w:rsid w:val="00D225D8"/>
    <w:rsid w:val="00D2260D"/>
    <w:rsid w:val="00D2276C"/>
    <w:rsid w:val="00D227F8"/>
    <w:rsid w:val="00D22A92"/>
    <w:rsid w:val="00D22CF1"/>
    <w:rsid w:val="00D22CF5"/>
    <w:rsid w:val="00D22D24"/>
    <w:rsid w:val="00D22F3F"/>
    <w:rsid w:val="00D22F94"/>
    <w:rsid w:val="00D22FC1"/>
    <w:rsid w:val="00D2304F"/>
    <w:rsid w:val="00D2327C"/>
    <w:rsid w:val="00D237AF"/>
    <w:rsid w:val="00D23860"/>
    <w:rsid w:val="00D23A50"/>
    <w:rsid w:val="00D2403C"/>
    <w:rsid w:val="00D24115"/>
    <w:rsid w:val="00D2428F"/>
    <w:rsid w:val="00D244C6"/>
    <w:rsid w:val="00D245B6"/>
    <w:rsid w:val="00D24767"/>
    <w:rsid w:val="00D24887"/>
    <w:rsid w:val="00D248AF"/>
    <w:rsid w:val="00D24944"/>
    <w:rsid w:val="00D24ACA"/>
    <w:rsid w:val="00D24B31"/>
    <w:rsid w:val="00D24B93"/>
    <w:rsid w:val="00D24EB9"/>
    <w:rsid w:val="00D24FCE"/>
    <w:rsid w:val="00D24FDA"/>
    <w:rsid w:val="00D254D1"/>
    <w:rsid w:val="00D2557A"/>
    <w:rsid w:val="00D255A8"/>
    <w:rsid w:val="00D2565C"/>
    <w:rsid w:val="00D257C3"/>
    <w:rsid w:val="00D2582C"/>
    <w:rsid w:val="00D2591F"/>
    <w:rsid w:val="00D2592D"/>
    <w:rsid w:val="00D259CC"/>
    <w:rsid w:val="00D25A51"/>
    <w:rsid w:val="00D25AA0"/>
    <w:rsid w:val="00D25EE0"/>
    <w:rsid w:val="00D261D5"/>
    <w:rsid w:val="00D26254"/>
    <w:rsid w:val="00D2651C"/>
    <w:rsid w:val="00D26619"/>
    <w:rsid w:val="00D26654"/>
    <w:rsid w:val="00D266C5"/>
    <w:rsid w:val="00D2678A"/>
    <w:rsid w:val="00D2690B"/>
    <w:rsid w:val="00D269D0"/>
    <w:rsid w:val="00D26CF1"/>
    <w:rsid w:val="00D26E29"/>
    <w:rsid w:val="00D26E4D"/>
    <w:rsid w:val="00D26EBE"/>
    <w:rsid w:val="00D26ECF"/>
    <w:rsid w:val="00D27099"/>
    <w:rsid w:val="00D270EF"/>
    <w:rsid w:val="00D271C6"/>
    <w:rsid w:val="00D2786A"/>
    <w:rsid w:val="00D279BB"/>
    <w:rsid w:val="00D27AF3"/>
    <w:rsid w:val="00D27C2C"/>
    <w:rsid w:val="00D27C3A"/>
    <w:rsid w:val="00D27D06"/>
    <w:rsid w:val="00D27D69"/>
    <w:rsid w:val="00D27ED6"/>
    <w:rsid w:val="00D30103"/>
    <w:rsid w:val="00D3019F"/>
    <w:rsid w:val="00D3037F"/>
    <w:rsid w:val="00D306A9"/>
    <w:rsid w:val="00D30911"/>
    <w:rsid w:val="00D30A2F"/>
    <w:rsid w:val="00D30C6A"/>
    <w:rsid w:val="00D30D0A"/>
    <w:rsid w:val="00D3105B"/>
    <w:rsid w:val="00D31067"/>
    <w:rsid w:val="00D31281"/>
    <w:rsid w:val="00D3131B"/>
    <w:rsid w:val="00D313BA"/>
    <w:rsid w:val="00D31577"/>
    <w:rsid w:val="00D3166D"/>
    <w:rsid w:val="00D316A9"/>
    <w:rsid w:val="00D3176F"/>
    <w:rsid w:val="00D318BD"/>
    <w:rsid w:val="00D3192C"/>
    <w:rsid w:val="00D3198C"/>
    <w:rsid w:val="00D31D6B"/>
    <w:rsid w:val="00D31DCA"/>
    <w:rsid w:val="00D31FC7"/>
    <w:rsid w:val="00D322B5"/>
    <w:rsid w:val="00D32415"/>
    <w:rsid w:val="00D3254B"/>
    <w:rsid w:val="00D3255E"/>
    <w:rsid w:val="00D326B4"/>
    <w:rsid w:val="00D3284F"/>
    <w:rsid w:val="00D328AD"/>
    <w:rsid w:val="00D32941"/>
    <w:rsid w:val="00D32A58"/>
    <w:rsid w:val="00D32AB0"/>
    <w:rsid w:val="00D32AF2"/>
    <w:rsid w:val="00D32C73"/>
    <w:rsid w:val="00D32D7D"/>
    <w:rsid w:val="00D32F2A"/>
    <w:rsid w:val="00D32FCD"/>
    <w:rsid w:val="00D3302D"/>
    <w:rsid w:val="00D33182"/>
    <w:rsid w:val="00D331F4"/>
    <w:rsid w:val="00D3337E"/>
    <w:rsid w:val="00D33403"/>
    <w:rsid w:val="00D336EB"/>
    <w:rsid w:val="00D33843"/>
    <w:rsid w:val="00D33A21"/>
    <w:rsid w:val="00D33B00"/>
    <w:rsid w:val="00D33B6C"/>
    <w:rsid w:val="00D33B7F"/>
    <w:rsid w:val="00D33D72"/>
    <w:rsid w:val="00D33EA1"/>
    <w:rsid w:val="00D33EE7"/>
    <w:rsid w:val="00D33FA9"/>
    <w:rsid w:val="00D34079"/>
    <w:rsid w:val="00D3420C"/>
    <w:rsid w:val="00D342E3"/>
    <w:rsid w:val="00D3430A"/>
    <w:rsid w:val="00D3468E"/>
    <w:rsid w:val="00D3478D"/>
    <w:rsid w:val="00D34814"/>
    <w:rsid w:val="00D3481B"/>
    <w:rsid w:val="00D3486B"/>
    <w:rsid w:val="00D34A83"/>
    <w:rsid w:val="00D34B10"/>
    <w:rsid w:val="00D34BA7"/>
    <w:rsid w:val="00D34BFA"/>
    <w:rsid w:val="00D34C76"/>
    <w:rsid w:val="00D34D99"/>
    <w:rsid w:val="00D34EBC"/>
    <w:rsid w:val="00D34EFD"/>
    <w:rsid w:val="00D35052"/>
    <w:rsid w:val="00D35365"/>
    <w:rsid w:val="00D357A4"/>
    <w:rsid w:val="00D35ACD"/>
    <w:rsid w:val="00D35E8E"/>
    <w:rsid w:val="00D36067"/>
    <w:rsid w:val="00D362BB"/>
    <w:rsid w:val="00D362CA"/>
    <w:rsid w:val="00D363E2"/>
    <w:rsid w:val="00D365A8"/>
    <w:rsid w:val="00D36A63"/>
    <w:rsid w:val="00D36AE2"/>
    <w:rsid w:val="00D36BD0"/>
    <w:rsid w:val="00D36DA2"/>
    <w:rsid w:val="00D36DC8"/>
    <w:rsid w:val="00D37026"/>
    <w:rsid w:val="00D37084"/>
    <w:rsid w:val="00D37245"/>
    <w:rsid w:val="00D373A8"/>
    <w:rsid w:val="00D373CE"/>
    <w:rsid w:val="00D374D0"/>
    <w:rsid w:val="00D374F2"/>
    <w:rsid w:val="00D3768D"/>
    <w:rsid w:val="00D376B3"/>
    <w:rsid w:val="00D3786B"/>
    <w:rsid w:val="00D379C8"/>
    <w:rsid w:val="00D37AE6"/>
    <w:rsid w:val="00D37F00"/>
    <w:rsid w:val="00D37FF6"/>
    <w:rsid w:val="00D401D5"/>
    <w:rsid w:val="00D4021E"/>
    <w:rsid w:val="00D40732"/>
    <w:rsid w:val="00D40741"/>
    <w:rsid w:val="00D407B2"/>
    <w:rsid w:val="00D40801"/>
    <w:rsid w:val="00D408AB"/>
    <w:rsid w:val="00D408C9"/>
    <w:rsid w:val="00D409E9"/>
    <w:rsid w:val="00D40D45"/>
    <w:rsid w:val="00D40E86"/>
    <w:rsid w:val="00D40E99"/>
    <w:rsid w:val="00D40F2D"/>
    <w:rsid w:val="00D40FE2"/>
    <w:rsid w:val="00D41091"/>
    <w:rsid w:val="00D4126C"/>
    <w:rsid w:val="00D4153A"/>
    <w:rsid w:val="00D41840"/>
    <w:rsid w:val="00D418EA"/>
    <w:rsid w:val="00D41917"/>
    <w:rsid w:val="00D41A28"/>
    <w:rsid w:val="00D41A5D"/>
    <w:rsid w:val="00D41AF6"/>
    <w:rsid w:val="00D41C3A"/>
    <w:rsid w:val="00D41CC0"/>
    <w:rsid w:val="00D41D6D"/>
    <w:rsid w:val="00D41E7B"/>
    <w:rsid w:val="00D422AB"/>
    <w:rsid w:val="00D4264F"/>
    <w:rsid w:val="00D42840"/>
    <w:rsid w:val="00D42984"/>
    <w:rsid w:val="00D42A67"/>
    <w:rsid w:val="00D42A90"/>
    <w:rsid w:val="00D42B5E"/>
    <w:rsid w:val="00D42BEC"/>
    <w:rsid w:val="00D42BFB"/>
    <w:rsid w:val="00D42CDD"/>
    <w:rsid w:val="00D42F66"/>
    <w:rsid w:val="00D42FE3"/>
    <w:rsid w:val="00D4310D"/>
    <w:rsid w:val="00D43183"/>
    <w:rsid w:val="00D431A9"/>
    <w:rsid w:val="00D4330E"/>
    <w:rsid w:val="00D4334F"/>
    <w:rsid w:val="00D4348D"/>
    <w:rsid w:val="00D436C1"/>
    <w:rsid w:val="00D439B4"/>
    <w:rsid w:val="00D43D6A"/>
    <w:rsid w:val="00D43DB1"/>
    <w:rsid w:val="00D44202"/>
    <w:rsid w:val="00D44212"/>
    <w:rsid w:val="00D44349"/>
    <w:rsid w:val="00D443B5"/>
    <w:rsid w:val="00D44699"/>
    <w:rsid w:val="00D446FA"/>
    <w:rsid w:val="00D44800"/>
    <w:rsid w:val="00D4483F"/>
    <w:rsid w:val="00D448F1"/>
    <w:rsid w:val="00D449BA"/>
    <w:rsid w:val="00D44C77"/>
    <w:rsid w:val="00D44C84"/>
    <w:rsid w:val="00D44EF7"/>
    <w:rsid w:val="00D44F64"/>
    <w:rsid w:val="00D4508B"/>
    <w:rsid w:val="00D4519D"/>
    <w:rsid w:val="00D451D0"/>
    <w:rsid w:val="00D4525D"/>
    <w:rsid w:val="00D4525F"/>
    <w:rsid w:val="00D45682"/>
    <w:rsid w:val="00D456D1"/>
    <w:rsid w:val="00D45711"/>
    <w:rsid w:val="00D4585B"/>
    <w:rsid w:val="00D4591B"/>
    <w:rsid w:val="00D45945"/>
    <w:rsid w:val="00D45B0F"/>
    <w:rsid w:val="00D45C8F"/>
    <w:rsid w:val="00D45CC6"/>
    <w:rsid w:val="00D45D2D"/>
    <w:rsid w:val="00D460A2"/>
    <w:rsid w:val="00D46118"/>
    <w:rsid w:val="00D46167"/>
    <w:rsid w:val="00D4628A"/>
    <w:rsid w:val="00D46378"/>
    <w:rsid w:val="00D46379"/>
    <w:rsid w:val="00D463B1"/>
    <w:rsid w:val="00D46428"/>
    <w:rsid w:val="00D4666C"/>
    <w:rsid w:val="00D466E4"/>
    <w:rsid w:val="00D468B9"/>
    <w:rsid w:val="00D4696C"/>
    <w:rsid w:val="00D46AF0"/>
    <w:rsid w:val="00D46BB0"/>
    <w:rsid w:val="00D46C53"/>
    <w:rsid w:val="00D46DB9"/>
    <w:rsid w:val="00D46FAB"/>
    <w:rsid w:val="00D46FD8"/>
    <w:rsid w:val="00D46FED"/>
    <w:rsid w:val="00D4735F"/>
    <w:rsid w:val="00D47456"/>
    <w:rsid w:val="00D47491"/>
    <w:rsid w:val="00D47536"/>
    <w:rsid w:val="00D4753C"/>
    <w:rsid w:val="00D47554"/>
    <w:rsid w:val="00D47575"/>
    <w:rsid w:val="00D47741"/>
    <w:rsid w:val="00D47765"/>
    <w:rsid w:val="00D47822"/>
    <w:rsid w:val="00D47915"/>
    <w:rsid w:val="00D4797F"/>
    <w:rsid w:val="00D479D5"/>
    <w:rsid w:val="00D479E0"/>
    <w:rsid w:val="00D47A1A"/>
    <w:rsid w:val="00D47A6C"/>
    <w:rsid w:val="00D47A87"/>
    <w:rsid w:val="00D47DB9"/>
    <w:rsid w:val="00D47E2B"/>
    <w:rsid w:val="00D47F9F"/>
    <w:rsid w:val="00D47FBC"/>
    <w:rsid w:val="00D50022"/>
    <w:rsid w:val="00D501D1"/>
    <w:rsid w:val="00D5024B"/>
    <w:rsid w:val="00D5025A"/>
    <w:rsid w:val="00D50270"/>
    <w:rsid w:val="00D502CB"/>
    <w:rsid w:val="00D503E1"/>
    <w:rsid w:val="00D50470"/>
    <w:rsid w:val="00D505B7"/>
    <w:rsid w:val="00D509B5"/>
    <w:rsid w:val="00D50A15"/>
    <w:rsid w:val="00D50A60"/>
    <w:rsid w:val="00D50AB1"/>
    <w:rsid w:val="00D50B90"/>
    <w:rsid w:val="00D50D31"/>
    <w:rsid w:val="00D50EEA"/>
    <w:rsid w:val="00D50F77"/>
    <w:rsid w:val="00D5108A"/>
    <w:rsid w:val="00D5118D"/>
    <w:rsid w:val="00D51249"/>
    <w:rsid w:val="00D512AC"/>
    <w:rsid w:val="00D5139E"/>
    <w:rsid w:val="00D516B4"/>
    <w:rsid w:val="00D519E5"/>
    <w:rsid w:val="00D51BCD"/>
    <w:rsid w:val="00D51CD2"/>
    <w:rsid w:val="00D51D7B"/>
    <w:rsid w:val="00D51E6F"/>
    <w:rsid w:val="00D51FF8"/>
    <w:rsid w:val="00D52054"/>
    <w:rsid w:val="00D52142"/>
    <w:rsid w:val="00D52290"/>
    <w:rsid w:val="00D523D4"/>
    <w:rsid w:val="00D525B6"/>
    <w:rsid w:val="00D5275E"/>
    <w:rsid w:val="00D52899"/>
    <w:rsid w:val="00D52952"/>
    <w:rsid w:val="00D52CFD"/>
    <w:rsid w:val="00D52EEC"/>
    <w:rsid w:val="00D52F7C"/>
    <w:rsid w:val="00D5335F"/>
    <w:rsid w:val="00D53446"/>
    <w:rsid w:val="00D5348A"/>
    <w:rsid w:val="00D534D4"/>
    <w:rsid w:val="00D53888"/>
    <w:rsid w:val="00D53C63"/>
    <w:rsid w:val="00D53D30"/>
    <w:rsid w:val="00D53EFE"/>
    <w:rsid w:val="00D53F43"/>
    <w:rsid w:val="00D5412A"/>
    <w:rsid w:val="00D54136"/>
    <w:rsid w:val="00D54198"/>
    <w:rsid w:val="00D5432E"/>
    <w:rsid w:val="00D54354"/>
    <w:rsid w:val="00D54667"/>
    <w:rsid w:val="00D548D6"/>
    <w:rsid w:val="00D5492B"/>
    <w:rsid w:val="00D54B0C"/>
    <w:rsid w:val="00D54B71"/>
    <w:rsid w:val="00D54FD7"/>
    <w:rsid w:val="00D55014"/>
    <w:rsid w:val="00D55086"/>
    <w:rsid w:val="00D55322"/>
    <w:rsid w:val="00D554F0"/>
    <w:rsid w:val="00D5555A"/>
    <w:rsid w:val="00D55769"/>
    <w:rsid w:val="00D558AF"/>
    <w:rsid w:val="00D55A4C"/>
    <w:rsid w:val="00D55B82"/>
    <w:rsid w:val="00D55C12"/>
    <w:rsid w:val="00D55DD6"/>
    <w:rsid w:val="00D55E13"/>
    <w:rsid w:val="00D55E9B"/>
    <w:rsid w:val="00D55EC7"/>
    <w:rsid w:val="00D55F05"/>
    <w:rsid w:val="00D55F97"/>
    <w:rsid w:val="00D56019"/>
    <w:rsid w:val="00D5610D"/>
    <w:rsid w:val="00D56239"/>
    <w:rsid w:val="00D562CD"/>
    <w:rsid w:val="00D562D4"/>
    <w:rsid w:val="00D56384"/>
    <w:rsid w:val="00D563D1"/>
    <w:rsid w:val="00D563F8"/>
    <w:rsid w:val="00D5641E"/>
    <w:rsid w:val="00D5647A"/>
    <w:rsid w:val="00D564D8"/>
    <w:rsid w:val="00D56528"/>
    <w:rsid w:val="00D56617"/>
    <w:rsid w:val="00D56690"/>
    <w:rsid w:val="00D566C5"/>
    <w:rsid w:val="00D568ED"/>
    <w:rsid w:val="00D56909"/>
    <w:rsid w:val="00D56ACA"/>
    <w:rsid w:val="00D56B33"/>
    <w:rsid w:val="00D56C9C"/>
    <w:rsid w:val="00D56D52"/>
    <w:rsid w:val="00D56FD6"/>
    <w:rsid w:val="00D5708E"/>
    <w:rsid w:val="00D570F7"/>
    <w:rsid w:val="00D571FF"/>
    <w:rsid w:val="00D5757B"/>
    <w:rsid w:val="00D57685"/>
    <w:rsid w:val="00D57722"/>
    <w:rsid w:val="00D57836"/>
    <w:rsid w:val="00D57967"/>
    <w:rsid w:val="00D5796D"/>
    <w:rsid w:val="00D57B10"/>
    <w:rsid w:val="00D57B54"/>
    <w:rsid w:val="00D57CE1"/>
    <w:rsid w:val="00D6008B"/>
    <w:rsid w:val="00D601DE"/>
    <w:rsid w:val="00D60222"/>
    <w:rsid w:val="00D602ED"/>
    <w:rsid w:val="00D60339"/>
    <w:rsid w:val="00D60375"/>
    <w:rsid w:val="00D609DB"/>
    <w:rsid w:val="00D60CC6"/>
    <w:rsid w:val="00D60D59"/>
    <w:rsid w:val="00D60D97"/>
    <w:rsid w:val="00D60E87"/>
    <w:rsid w:val="00D60F67"/>
    <w:rsid w:val="00D61024"/>
    <w:rsid w:val="00D61179"/>
    <w:rsid w:val="00D6128B"/>
    <w:rsid w:val="00D61454"/>
    <w:rsid w:val="00D61514"/>
    <w:rsid w:val="00D6169B"/>
    <w:rsid w:val="00D616CF"/>
    <w:rsid w:val="00D616D8"/>
    <w:rsid w:val="00D616DC"/>
    <w:rsid w:val="00D61750"/>
    <w:rsid w:val="00D617B2"/>
    <w:rsid w:val="00D617DE"/>
    <w:rsid w:val="00D61820"/>
    <w:rsid w:val="00D61844"/>
    <w:rsid w:val="00D618E3"/>
    <w:rsid w:val="00D61AFC"/>
    <w:rsid w:val="00D620FC"/>
    <w:rsid w:val="00D62162"/>
    <w:rsid w:val="00D6224A"/>
    <w:rsid w:val="00D623BA"/>
    <w:rsid w:val="00D62485"/>
    <w:rsid w:val="00D62509"/>
    <w:rsid w:val="00D62577"/>
    <w:rsid w:val="00D625C9"/>
    <w:rsid w:val="00D62602"/>
    <w:rsid w:val="00D6264D"/>
    <w:rsid w:val="00D62896"/>
    <w:rsid w:val="00D62A32"/>
    <w:rsid w:val="00D62B76"/>
    <w:rsid w:val="00D62B80"/>
    <w:rsid w:val="00D63028"/>
    <w:rsid w:val="00D63158"/>
    <w:rsid w:val="00D634F8"/>
    <w:rsid w:val="00D63559"/>
    <w:rsid w:val="00D63643"/>
    <w:rsid w:val="00D63665"/>
    <w:rsid w:val="00D63676"/>
    <w:rsid w:val="00D63706"/>
    <w:rsid w:val="00D6370B"/>
    <w:rsid w:val="00D63858"/>
    <w:rsid w:val="00D63BD3"/>
    <w:rsid w:val="00D63BDB"/>
    <w:rsid w:val="00D63D7D"/>
    <w:rsid w:val="00D63DEC"/>
    <w:rsid w:val="00D63F68"/>
    <w:rsid w:val="00D63FC9"/>
    <w:rsid w:val="00D63FFF"/>
    <w:rsid w:val="00D6408C"/>
    <w:rsid w:val="00D64108"/>
    <w:rsid w:val="00D642A2"/>
    <w:rsid w:val="00D64348"/>
    <w:rsid w:val="00D6438C"/>
    <w:rsid w:val="00D643F4"/>
    <w:rsid w:val="00D644BE"/>
    <w:rsid w:val="00D645F0"/>
    <w:rsid w:val="00D646D8"/>
    <w:rsid w:val="00D64788"/>
    <w:rsid w:val="00D648A5"/>
    <w:rsid w:val="00D64903"/>
    <w:rsid w:val="00D64A85"/>
    <w:rsid w:val="00D64AA9"/>
    <w:rsid w:val="00D64B97"/>
    <w:rsid w:val="00D64C51"/>
    <w:rsid w:val="00D64C6D"/>
    <w:rsid w:val="00D64D40"/>
    <w:rsid w:val="00D64DA9"/>
    <w:rsid w:val="00D64DBB"/>
    <w:rsid w:val="00D64E40"/>
    <w:rsid w:val="00D64F1F"/>
    <w:rsid w:val="00D64F28"/>
    <w:rsid w:val="00D65204"/>
    <w:rsid w:val="00D65214"/>
    <w:rsid w:val="00D65343"/>
    <w:rsid w:val="00D65556"/>
    <w:rsid w:val="00D65665"/>
    <w:rsid w:val="00D65A7C"/>
    <w:rsid w:val="00D65AD1"/>
    <w:rsid w:val="00D65B6D"/>
    <w:rsid w:val="00D65BEF"/>
    <w:rsid w:val="00D65F22"/>
    <w:rsid w:val="00D6613B"/>
    <w:rsid w:val="00D6635D"/>
    <w:rsid w:val="00D665D3"/>
    <w:rsid w:val="00D666D4"/>
    <w:rsid w:val="00D667E2"/>
    <w:rsid w:val="00D66817"/>
    <w:rsid w:val="00D668E5"/>
    <w:rsid w:val="00D66975"/>
    <w:rsid w:val="00D66AE0"/>
    <w:rsid w:val="00D66BD3"/>
    <w:rsid w:val="00D66C5D"/>
    <w:rsid w:val="00D66CA9"/>
    <w:rsid w:val="00D66DAC"/>
    <w:rsid w:val="00D66EA7"/>
    <w:rsid w:val="00D66FC0"/>
    <w:rsid w:val="00D67173"/>
    <w:rsid w:val="00D67493"/>
    <w:rsid w:val="00D674EC"/>
    <w:rsid w:val="00D6751D"/>
    <w:rsid w:val="00D675C5"/>
    <w:rsid w:val="00D6787F"/>
    <w:rsid w:val="00D678C6"/>
    <w:rsid w:val="00D67AEC"/>
    <w:rsid w:val="00D67BEB"/>
    <w:rsid w:val="00D67CAC"/>
    <w:rsid w:val="00D67DEE"/>
    <w:rsid w:val="00D67F3C"/>
    <w:rsid w:val="00D7001D"/>
    <w:rsid w:val="00D70342"/>
    <w:rsid w:val="00D70422"/>
    <w:rsid w:val="00D70493"/>
    <w:rsid w:val="00D706E5"/>
    <w:rsid w:val="00D70713"/>
    <w:rsid w:val="00D70766"/>
    <w:rsid w:val="00D70817"/>
    <w:rsid w:val="00D7084D"/>
    <w:rsid w:val="00D709E6"/>
    <w:rsid w:val="00D70BB4"/>
    <w:rsid w:val="00D70D2B"/>
    <w:rsid w:val="00D70D5E"/>
    <w:rsid w:val="00D70E6E"/>
    <w:rsid w:val="00D710CD"/>
    <w:rsid w:val="00D71293"/>
    <w:rsid w:val="00D712AC"/>
    <w:rsid w:val="00D71328"/>
    <w:rsid w:val="00D715C0"/>
    <w:rsid w:val="00D71805"/>
    <w:rsid w:val="00D7187C"/>
    <w:rsid w:val="00D71990"/>
    <w:rsid w:val="00D71C65"/>
    <w:rsid w:val="00D71D32"/>
    <w:rsid w:val="00D71D89"/>
    <w:rsid w:val="00D71D8E"/>
    <w:rsid w:val="00D71E3C"/>
    <w:rsid w:val="00D71E7C"/>
    <w:rsid w:val="00D71F4F"/>
    <w:rsid w:val="00D7212F"/>
    <w:rsid w:val="00D7224A"/>
    <w:rsid w:val="00D7252B"/>
    <w:rsid w:val="00D72575"/>
    <w:rsid w:val="00D725A1"/>
    <w:rsid w:val="00D7265A"/>
    <w:rsid w:val="00D72715"/>
    <w:rsid w:val="00D7274C"/>
    <w:rsid w:val="00D727F3"/>
    <w:rsid w:val="00D72839"/>
    <w:rsid w:val="00D729C4"/>
    <w:rsid w:val="00D72A71"/>
    <w:rsid w:val="00D72B84"/>
    <w:rsid w:val="00D72C40"/>
    <w:rsid w:val="00D72FC1"/>
    <w:rsid w:val="00D73109"/>
    <w:rsid w:val="00D73224"/>
    <w:rsid w:val="00D7330E"/>
    <w:rsid w:val="00D73361"/>
    <w:rsid w:val="00D7344E"/>
    <w:rsid w:val="00D735AC"/>
    <w:rsid w:val="00D7374D"/>
    <w:rsid w:val="00D73766"/>
    <w:rsid w:val="00D73894"/>
    <w:rsid w:val="00D73923"/>
    <w:rsid w:val="00D7394B"/>
    <w:rsid w:val="00D739AD"/>
    <w:rsid w:val="00D73A03"/>
    <w:rsid w:val="00D73B70"/>
    <w:rsid w:val="00D73BE1"/>
    <w:rsid w:val="00D73D20"/>
    <w:rsid w:val="00D73D43"/>
    <w:rsid w:val="00D73E22"/>
    <w:rsid w:val="00D73F10"/>
    <w:rsid w:val="00D7413E"/>
    <w:rsid w:val="00D74154"/>
    <w:rsid w:val="00D74196"/>
    <w:rsid w:val="00D7427F"/>
    <w:rsid w:val="00D743A3"/>
    <w:rsid w:val="00D744CD"/>
    <w:rsid w:val="00D746BD"/>
    <w:rsid w:val="00D7470C"/>
    <w:rsid w:val="00D7493C"/>
    <w:rsid w:val="00D74AC2"/>
    <w:rsid w:val="00D74B05"/>
    <w:rsid w:val="00D74BCA"/>
    <w:rsid w:val="00D74C2D"/>
    <w:rsid w:val="00D74C38"/>
    <w:rsid w:val="00D74C85"/>
    <w:rsid w:val="00D74EB4"/>
    <w:rsid w:val="00D74EB7"/>
    <w:rsid w:val="00D74F87"/>
    <w:rsid w:val="00D7511D"/>
    <w:rsid w:val="00D751C7"/>
    <w:rsid w:val="00D75307"/>
    <w:rsid w:val="00D753A4"/>
    <w:rsid w:val="00D75475"/>
    <w:rsid w:val="00D754BB"/>
    <w:rsid w:val="00D755B3"/>
    <w:rsid w:val="00D756BE"/>
    <w:rsid w:val="00D75A2A"/>
    <w:rsid w:val="00D75BD2"/>
    <w:rsid w:val="00D75E39"/>
    <w:rsid w:val="00D75F52"/>
    <w:rsid w:val="00D76143"/>
    <w:rsid w:val="00D76164"/>
    <w:rsid w:val="00D7618A"/>
    <w:rsid w:val="00D76192"/>
    <w:rsid w:val="00D76270"/>
    <w:rsid w:val="00D76439"/>
    <w:rsid w:val="00D764CD"/>
    <w:rsid w:val="00D764E3"/>
    <w:rsid w:val="00D764EB"/>
    <w:rsid w:val="00D764F9"/>
    <w:rsid w:val="00D764FC"/>
    <w:rsid w:val="00D7674A"/>
    <w:rsid w:val="00D76A01"/>
    <w:rsid w:val="00D76A30"/>
    <w:rsid w:val="00D76C31"/>
    <w:rsid w:val="00D76D5E"/>
    <w:rsid w:val="00D76E49"/>
    <w:rsid w:val="00D76E68"/>
    <w:rsid w:val="00D76ECE"/>
    <w:rsid w:val="00D770F9"/>
    <w:rsid w:val="00D7716E"/>
    <w:rsid w:val="00D772BB"/>
    <w:rsid w:val="00D77314"/>
    <w:rsid w:val="00D77335"/>
    <w:rsid w:val="00D774DA"/>
    <w:rsid w:val="00D774E9"/>
    <w:rsid w:val="00D77727"/>
    <w:rsid w:val="00D77730"/>
    <w:rsid w:val="00D779D5"/>
    <w:rsid w:val="00D77F31"/>
    <w:rsid w:val="00D80021"/>
    <w:rsid w:val="00D80105"/>
    <w:rsid w:val="00D80183"/>
    <w:rsid w:val="00D80289"/>
    <w:rsid w:val="00D803C1"/>
    <w:rsid w:val="00D8066C"/>
    <w:rsid w:val="00D8069A"/>
    <w:rsid w:val="00D808A5"/>
    <w:rsid w:val="00D80AB3"/>
    <w:rsid w:val="00D80AF3"/>
    <w:rsid w:val="00D80C5F"/>
    <w:rsid w:val="00D80F4B"/>
    <w:rsid w:val="00D813D9"/>
    <w:rsid w:val="00D814A9"/>
    <w:rsid w:val="00D81627"/>
    <w:rsid w:val="00D8175E"/>
    <w:rsid w:val="00D81786"/>
    <w:rsid w:val="00D81955"/>
    <w:rsid w:val="00D819C0"/>
    <w:rsid w:val="00D819ED"/>
    <w:rsid w:val="00D81BFE"/>
    <w:rsid w:val="00D81CEE"/>
    <w:rsid w:val="00D81D69"/>
    <w:rsid w:val="00D81EAD"/>
    <w:rsid w:val="00D81F7D"/>
    <w:rsid w:val="00D82048"/>
    <w:rsid w:val="00D82195"/>
    <w:rsid w:val="00D8241B"/>
    <w:rsid w:val="00D824B1"/>
    <w:rsid w:val="00D8251B"/>
    <w:rsid w:val="00D82562"/>
    <w:rsid w:val="00D8277C"/>
    <w:rsid w:val="00D82868"/>
    <w:rsid w:val="00D82BF9"/>
    <w:rsid w:val="00D82C0A"/>
    <w:rsid w:val="00D82C4E"/>
    <w:rsid w:val="00D82D8B"/>
    <w:rsid w:val="00D82E18"/>
    <w:rsid w:val="00D82F35"/>
    <w:rsid w:val="00D82FAC"/>
    <w:rsid w:val="00D83035"/>
    <w:rsid w:val="00D830F3"/>
    <w:rsid w:val="00D83112"/>
    <w:rsid w:val="00D83506"/>
    <w:rsid w:val="00D83650"/>
    <w:rsid w:val="00D837B5"/>
    <w:rsid w:val="00D83980"/>
    <w:rsid w:val="00D839F1"/>
    <w:rsid w:val="00D83C31"/>
    <w:rsid w:val="00D83DD5"/>
    <w:rsid w:val="00D83FAD"/>
    <w:rsid w:val="00D84049"/>
    <w:rsid w:val="00D8414E"/>
    <w:rsid w:val="00D84355"/>
    <w:rsid w:val="00D8435C"/>
    <w:rsid w:val="00D84512"/>
    <w:rsid w:val="00D84537"/>
    <w:rsid w:val="00D845BA"/>
    <w:rsid w:val="00D84670"/>
    <w:rsid w:val="00D847BC"/>
    <w:rsid w:val="00D84B0B"/>
    <w:rsid w:val="00D84B45"/>
    <w:rsid w:val="00D8527F"/>
    <w:rsid w:val="00D85297"/>
    <w:rsid w:val="00D8582F"/>
    <w:rsid w:val="00D85996"/>
    <w:rsid w:val="00D85D4B"/>
    <w:rsid w:val="00D85D73"/>
    <w:rsid w:val="00D85FF3"/>
    <w:rsid w:val="00D85FF9"/>
    <w:rsid w:val="00D86036"/>
    <w:rsid w:val="00D860E9"/>
    <w:rsid w:val="00D8611B"/>
    <w:rsid w:val="00D863D6"/>
    <w:rsid w:val="00D864EC"/>
    <w:rsid w:val="00D86625"/>
    <w:rsid w:val="00D86710"/>
    <w:rsid w:val="00D8685B"/>
    <w:rsid w:val="00D8687B"/>
    <w:rsid w:val="00D868BE"/>
    <w:rsid w:val="00D869CC"/>
    <w:rsid w:val="00D86B19"/>
    <w:rsid w:val="00D86B42"/>
    <w:rsid w:val="00D86EF0"/>
    <w:rsid w:val="00D86F91"/>
    <w:rsid w:val="00D86FA7"/>
    <w:rsid w:val="00D874BC"/>
    <w:rsid w:val="00D8763A"/>
    <w:rsid w:val="00D87B33"/>
    <w:rsid w:val="00D87B7E"/>
    <w:rsid w:val="00D87CAF"/>
    <w:rsid w:val="00D87DE4"/>
    <w:rsid w:val="00D87E85"/>
    <w:rsid w:val="00D87EED"/>
    <w:rsid w:val="00D87F55"/>
    <w:rsid w:val="00D90452"/>
    <w:rsid w:val="00D904B3"/>
    <w:rsid w:val="00D9067F"/>
    <w:rsid w:val="00D90991"/>
    <w:rsid w:val="00D909EE"/>
    <w:rsid w:val="00D90A0C"/>
    <w:rsid w:val="00D90A13"/>
    <w:rsid w:val="00D90BEC"/>
    <w:rsid w:val="00D90DF0"/>
    <w:rsid w:val="00D90E2F"/>
    <w:rsid w:val="00D90EC0"/>
    <w:rsid w:val="00D90EF6"/>
    <w:rsid w:val="00D9113D"/>
    <w:rsid w:val="00D91251"/>
    <w:rsid w:val="00D91289"/>
    <w:rsid w:val="00D9131C"/>
    <w:rsid w:val="00D9166C"/>
    <w:rsid w:val="00D91696"/>
    <w:rsid w:val="00D91993"/>
    <w:rsid w:val="00D91A1A"/>
    <w:rsid w:val="00D91A85"/>
    <w:rsid w:val="00D91D92"/>
    <w:rsid w:val="00D92041"/>
    <w:rsid w:val="00D922D1"/>
    <w:rsid w:val="00D92377"/>
    <w:rsid w:val="00D92949"/>
    <w:rsid w:val="00D92B76"/>
    <w:rsid w:val="00D92CE3"/>
    <w:rsid w:val="00D92E0C"/>
    <w:rsid w:val="00D92E7C"/>
    <w:rsid w:val="00D9300A"/>
    <w:rsid w:val="00D9315C"/>
    <w:rsid w:val="00D931CF"/>
    <w:rsid w:val="00D93230"/>
    <w:rsid w:val="00D9350E"/>
    <w:rsid w:val="00D93631"/>
    <w:rsid w:val="00D9365A"/>
    <w:rsid w:val="00D93687"/>
    <w:rsid w:val="00D93756"/>
    <w:rsid w:val="00D93B9F"/>
    <w:rsid w:val="00D93D06"/>
    <w:rsid w:val="00D93DA7"/>
    <w:rsid w:val="00D93E9F"/>
    <w:rsid w:val="00D94155"/>
    <w:rsid w:val="00D94283"/>
    <w:rsid w:val="00D94315"/>
    <w:rsid w:val="00D9443B"/>
    <w:rsid w:val="00D94687"/>
    <w:rsid w:val="00D946F0"/>
    <w:rsid w:val="00D94773"/>
    <w:rsid w:val="00D94794"/>
    <w:rsid w:val="00D948E4"/>
    <w:rsid w:val="00D949BD"/>
    <w:rsid w:val="00D94A5E"/>
    <w:rsid w:val="00D94BF1"/>
    <w:rsid w:val="00D94C01"/>
    <w:rsid w:val="00D94D34"/>
    <w:rsid w:val="00D95050"/>
    <w:rsid w:val="00D9509D"/>
    <w:rsid w:val="00D95101"/>
    <w:rsid w:val="00D952DD"/>
    <w:rsid w:val="00D95300"/>
    <w:rsid w:val="00D9545B"/>
    <w:rsid w:val="00D95B4A"/>
    <w:rsid w:val="00D95B6E"/>
    <w:rsid w:val="00D95F5D"/>
    <w:rsid w:val="00D95F68"/>
    <w:rsid w:val="00D960D6"/>
    <w:rsid w:val="00D963C2"/>
    <w:rsid w:val="00D96492"/>
    <w:rsid w:val="00D96546"/>
    <w:rsid w:val="00D9657D"/>
    <w:rsid w:val="00D96624"/>
    <w:rsid w:val="00D967CE"/>
    <w:rsid w:val="00D967D8"/>
    <w:rsid w:val="00D96958"/>
    <w:rsid w:val="00D96AD2"/>
    <w:rsid w:val="00D96BED"/>
    <w:rsid w:val="00D96C01"/>
    <w:rsid w:val="00D96EE0"/>
    <w:rsid w:val="00D96F9A"/>
    <w:rsid w:val="00D97044"/>
    <w:rsid w:val="00D97198"/>
    <w:rsid w:val="00D971B6"/>
    <w:rsid w:val="00D972DB"/>
    <w:rsid w:val="00D975AE"/>
    <w:rsid w:val="00D9772E"/>
    <w:rsid w:val="00D9776B"/>
    <w:rsid w:val="00D97A24"/>
    <w:rsid w:val="00D97A55"/>
    <w:rsid w:val="00D97BA8"/>
    <w:rsid w:val="00D97C37"/>
    <w:rsid w:val="00DA0024"/>
    <w:rsid w:val="00DA0060"/>
    <w:rsid w:val="00DA046E"/>
    <w:rsid w:val="00DA050C"/>
    <w:rsid w:val="00DA0568"/>
    <w:rsid w:val="00DA08F5"/>
    <w:rsid w:val="00DA0C5D"/>
    <w:rsid w:val="00DA0C78"/>
    <w:rsid w:val="00DA0D09"/>
    <w:rsid w:val="00DA0D58"/>
    <w:rsid w:val="00DA0D6C"/>
    <w:rsid w:val="00DA0DBF"/>
    <w:rsid w:val="00DA0E3C"/>
    <w:rsid w:val="00DA1140"/>
    <w:rsid w:val="00DA127C"/>
    <w:rsid w:val="00DA1314"/>
    <w:rsid w:val="00DA1345"/>
    <w:rsid w:val="00DA136E"/>
    <w:rsid w:val="00DA13FD"/>
    <w:rsid w:val="00DA1482"/>
    <w:rsid w:val="00DA14C9"/>
    <w:rsid w:val="00DA14FD"/>
    <w:rsid w:val="00DA158B"/>
    <w:rsid w:val="00DA15AF"/>
    <w:rsid w:val="00DA15E8"/>
    <w:rsid w:val="00DA1607"/>
    <w:rsid w:val="00DA1653"/>
    <w:rsid w:val="00DA172B"/>
    <w:rsid w:val="00DA179B"/>
    <w:rsid w:val="00DA189A"/>
    <w:rsid w:val="00DA18D6"/>
    <w:rsid w:val="00DA1956"/>
    <w:rsid w:val="00DA1B17"/>
    <w:rsid w:val="00DA1C0A"/>
    <w:rsid w:val="00DA1C8C"/>
    <w:rsid w:val="00DA1F75"/>
    <w:rsid w:val="00DA22EA"/>
    <w:rsid w:val="00DA2391"/>
    <w:rsid w:val="00DA23DD"/>
    <w:rsid w:val="00DA24B1"/>
    <w:rsid w:val="00DA25BE"/>
    <w:rsid w:val="00DA26A9"/>
    <w:rsid w:val="00DA278B"/>
    <w:rsid w:val="00DA2AEC"/>
    <w:rsid w:val="00DA2C46"/>
    <w:rsid w:val="00DA2D0B"/>
    <w:rsid w:val="00DA2E8D"/>
    <w:rsid w:val="00DA2ECA"/>
    <w:rsid w:val="00DA2F1C"/>
    <w:rsid w:val="00DA3021"/>
    <w:rsid w:val="00DA312C"/>
    <w:rsid w:val="00DA34C4"/>
    <w:rsid w:val="00DA365E"/>
    <w:rsid w:val="00DA36DC"/>
    <w:rsid w:val="00DA370D"/>
    <w:rsid w:val="00DA3903"/>
    <w:rsid w:val="00DA3AE0"/>
    <w:rsid w:val="00DA3B01"/>
    <w:rsid w:val="00DA3DD6"/>
    <w:rsid w:val="00DA3DEB"/>
    <w:rsid w:val="00DA3F41"/>
    <w:rsid w:val="00DA40B4"/>
    <w:rsid w:val="00DA4367"/>
    <w:rsid w:val="00DA43D6"/>
    <w:rsid w:val="00DA45D7"/>
    <w:rsid w:val="00DA464D"/>
    <w:rsid w:val="00DA466E"/>
    <w:rsid w:val="00DA46B3"/>
    <w:rsid w:val="00DA4825"/>
    <w:rsid w:val="00DA48FD"/>
    <w:rsid w:val="00DA49E8"/>
    <w:rsid w:val="00DA4A2D"/>
    <w:rsid w:val="00DA4A48"/>
    <w:rsid w:val="00DA4AC2"/>
    <w:rsid w:val="00DA4B7C"/>
    <w:rsid w:val="00DA4CD3"/>
    <w:rsid w:val="00DA4D5D"/>
    <w:rsid w:val="00DA4D85"/>
    <w:rsid w:val="00DA4E5E"/>
    <w:rsid w:val="00DA4ECF"/>
    <w:rsid w:val="00DA4F5F"/>
    <w:rsid w:val="00DA58AC"/>
    <w:rsid w:val="00DA5985"/>
    <w:rsid w:val="00DA59A5"/>
    <w:rsid w:val="00DA5A25"/>
    <w:rsid w:val="00DA5ADE"/>
    <w:rsid w:val="00DA5B93"/>
    <w:rsid w:val="00DA5CB2"/>
    <w:rsid w:val="00DA5D9A"/>
    <w:rsid w:val="00DA5E8B"/>
    <w:rsid w:val="00DA60CD"/>
    <w:rsid w:val="00DA61A8"/>
    <w:rsid w:val="00DA61CF"/>
    <w:rsid w:val="00DA6424"/>
    <w:rsid w:val="00DA65C4"/>
    <w:rsid w:val="00DA65EB"/>
    <w:rsid w:val="00DA660A"/>
    <w:rsid w:val="00DA667D"/>
    <w:rsid w:val="00DA66F6"/>
    <w:rsid w:val="00DA6857"/>
    <w:rsid w:val="00DA68FD"/>
    <w:rsid w:val="00DA692A"/>
    <w:rsid w:val="00DA6AEB"/>
    <w:rsid w:val="00DA6CA2"/>
    <w:rsid w:val="00DA6CF9"/>
    <w:rsid w:val="00DA6D1E"/>
    <w:rsid w:val="00DA7030"/>
    <w:rsid w:val="00DA7495"/>
    <w:rsid w:val="00DA759B"/>
    <w:rsid w:val="00DA7625"/>
    <w:rsid w:val="00DA76DA"/>
    <w:rsid w:val="00DA78E5"/>
    <w:rsid w:val="00DA7918"/>
    <w:rsid w:val="00DA7A04"/>
    <w:rsid w:val="00DA7A47"/>
    <w:rsid w:val="00DA7B1E"/>
    <w:rsid w:val="00DA7C45"/>
    <w:rsid w:val="00DA7CEE"/>
    <w:rsid w:val="00DA7D56"/>
    <w:rsid w:val="00DA7F6E"/>
    <w:rsid w:val="00DB0393"/>
    <w:rsid w:val="00DB03ED"/>
    <w:rsid w:val="00DB05AF"/>
    <w:rsid w:val="00DB060D"/>
    <w:rsid w:val="00DB0657"/>
    <w:rsid w:val="00DB067D"/>
    <w:rsid w:val="00DB07D2"/>
    <w:rsid w:val="00DB0A3D"/>
    <w:rsid w:val="00DB0A4B"/>
    <w:rsid w:val="00DB0C5C"/>
    <w:rsid w:val="00DB0C67"/>
    <w:rsid w:val="00DB0DB2"/>
    <w:rsid w:val="00DB0DDB"/>
    <w:rsid w:val="00DB0EBB"/>
    <w:rsid w:val="00DB0FB1"/>
    <w:rsid w:val="00DB103F"/>
    <w:rsid w:val="00DB1085"/>
    <w:rsid w:val="00DB11FA"/>
    <w:rsid w:val="00DB12C7"/>
    <w:rsid w:val="00DB15FD"/>
    <w:rsid w:val="00DB16A5"/>
    <w:rsid w:val="00DB16C8"/>
    <w:rsid w:val="00DB17B1"/>
    <w:rsid w:val="00DB17B5"/>
    <w:rsid w:val="00DB180C"/>
    <w:rsid w:val="00DB19A3"/>
    <w:rsid w:val="00DB1A47"/>
    <w:rsid w:val="00DB1A92"/>
    <w:rsid w:val="00DB1AB3"/>
    <w:rsid w:val="00DB1BAF"/>
    <w:rsid w:val="00DB1CE2"/>
    <w:rsid w:val="00DB1E51"/>
    <w:rsid w:val="00DB1F74"/>
    <w:rsid w:val="00DB1F98"/>
    <w:rsid w:val="00DB20ED"/>
    <w:rsid w:val="00DB2193"/>
    <w:rsid w:val="00DB219C"/>
    <w:rsid w:val="00DB222B"/>
    <w:rsid w:val="00DB2266"/>
    <w:rsid w:val="00DB246C"/>
    <w:rsid w:val="00DB2481"/>
    <w:rsid w:val="00DB24F9"/>
    <w:rsid w:val="00DB252F"/>
    <w:rsid w:val="00DB2862"/>
    <w:rsid w:val="00DB2B50"/>
    <w:rsid w:val="00DB2B75"/>
    <w:rsid w:val="00DB2CC6"/>
    <w:rsid w:val="00DB2DEF"/>
    <w:rsid w:val="00DB2E6F"/>
    <w:rsid w:val="00DB2FB0"/>
    <w:rsid w:val="00DB2FB2"/>
    <w:rsid w:val="00DB3175"/>
    <w:rsid w:val="00DB3459"/>
    <w:rsid w:val="00DB36B3"/>
    <w:rsid w:val="00DB38D4"/>
    <w:rsid w:val="00DB39E1"/>
    <w:rsid w:val="00DB3C35"/>
    <w:rsid w:val="00DB3FA2"/>
    <w:rsid w:val="00DB4083"/>
    <w:rsid w:val="00DB411D"/>
    <w:rsid w:val="00DB416A"/>
    <w:rsid w:val="00DB4447"/>
    <w:rsid w:val="00DB4639"/>
    <w:rsid w:val="00DB469B"/>
    <w:rsid w:val="00DB494F"/>
    <w:rsid w:val="00DB4976"/>
    <w:rsid w:val="00DB49DC"/>
    <w:rsid w:val="00DB4AB9"/>
    <w:rsid w:val="00DB4B29"/>
    <w:rsid w:val="00DB4BF5"/>
    <w:rsid w:val="00DB4D0F"/>
    <w:rsid w:val="00DB4E16"/>
    <w:rsid w:val="00DB4E17"/>
    <w:rsid w:val="00DB510C"/>
    <w:rsid w:val="00DB541D"/>
    <w:rsid w:val="00DB5820"/>
    <w:rsid w:val="00DB5B26"/>
    <w:rsid w:val="00DB5BBB"/>
    <w:rsid w:val="00DB5E18"/>
    <w:rsid w:val="00DB6108"/>
    <w:rsid w:val="00DB6168"/>
    <w:rsid w:val="00DB619A"/>
    <w:rsid w:val="00DB6269"/>
    <w:rsid w:val="00DB63D6"/>
    <w:rsid w:val="00DB640F"/>
    <w:rsid w:val="00DB6593"/>
    <w:rsid w:val="00DB670F"/>
    <w:rsid w:val="00DB6804"/>
    <w:rsid w:val="00DB69DD"/>
    <w:rsid w:val="00DB6A1A"/>
    <w:rsid w:val="00DB6AE0"/>
    <w:rsid w:val="00DB6E9B"/>
    <w:rsid w:val="00DB7060"/>
    <w:rsid w:val="00DB70A7"/>
    <w:rsid w:val="00DB724B"/>
    <w:rsid w:val="00DB72C2"/>
    <w:rsid w:val="00DB74AC"/>
    <w:rsid w:val="00DB7524"/>
    <w:rsid w:val="00DB755B"/>
    <w:rsid w:val="00DB78DC"/>
    <w:rsid w:val="00DB78E1"/>
    <w:rsid w:val="00DB7941"/>
    <w:rsid w:val="00DB7A8A"/>
    <w:rsid w:val="00DB7AFE"/>
    <w:rsid w:val="00DB7CB4"/>
    <w:rsid w:val="00DB7D42"/>
    <w:rsid w:val="00DC016F"/>
    <w:rsid w:val="00DC02DF"/>
    <w:rsid w:val="00DC048E"/>
    <w:rsid w:val="00DC06C9"/>
    <w:rsid w:val="00DC0859"/>
    <w:rsid w:val="00DC0A65"/>
    <w:rsid w:val="00DC0AE4"/>
    <w:rsid w:val="00DC0B0D"/>
    <w:rsid w:val="00DC0B66"/>
    <w:rsid w:val="00DC0CB3"/>
    <w:rsid w:val="00DC0D77"/>
    <w:rsid w:val="00DC0DAF"/>
    <w:rsid w:val="00DC0F83"/>
    <w:rsid w:val="00DC0FDC"/>
    <w:rsid w:val="00DC1160"/>
    <w:rsid w:val="00DC1243"/>
    <w:rsid w:val="00DC129E"/>
    <w:rsid w:val="00DC12EE"/>
    <w:rsid w:val="00DC137B"/>
    <w:rsid w:val="00DC13B4"/>
    <w:rsid w:val="00DC1412"/>
    <w:rsid w:val="00DC1480"/>
    <w:rsid w:val="00DC1529"/>
    <w:rsid w:val="00DC1774"/>
    <w:rsid w:val="00DC191E"/>
    <w:rsid w:val="00DC1B56"/>
    <w:rsid w:val="00DC1DB4"/>
    <w:rsid w:val="00DC1E6C"/>
    <w:rsid w:val="00DC1F12"/>
    <w:rsid w:val="00DC1F70"/>
    <w:rsid w:val="00DC1FA8"/>
    <w:rsid w:val="00DC2003"/>
    <w:rsid w:val="00DC200D"/>
    <w:rsid w:val="00DC20E4"/>
    <w:rsid w:val="00DC2189"/>
    <w:rsid w:val="00DC222F"/>
    <w:rsid w:val="00DC2428"/>
    <w:rsid w:val="00DC257F"/>
    <w:rsid w:val="00DC29E5"/>
    <w:rsid w:val="00DC2A5C"/>
    <w:rsid w:val="00DC2CA6"/>
    <w:rsid w:val="00DC2E94"/>
    <w:rsid w:val="00DC2F5E"/>
    <w:rsid w:val="00DC3086"/>
    <w:rsid w:val="00DC31D8"/>
    <w:rsid w:val="00DC35B2"/>
    <w:rsid w:val="00DC3605"/>
    <w:rsid w:val="00DC3845"/>
    <w:rsid w:val="00DC38CE"/>
    <w:rsid w:val="00DC38D9"/>
    <w:rsid w:val="00DC390F"/>
    <w:rsid w:val="00DC3932"/>
    <w:rsid w:val="00DC3A18"/>
    <w:rsid w:val="00DC3B2F"/>
    <w:rsid w:val="00DC3B3E"/>
    <w:rsid w:val="00DC3B43"/>
    <w:rsid w:val="00DC3DB5"/>
    <w:rsid w:val="00DC3E65"/>
    <w:rsid w:val="00DC3E99"/>
    <w:rsid w:val="00DC3FC2"/>
    <w:rsid w:val="00DC4035"/>
    <w:rsid w:val="00DC42DC"/>
    <w:rsid w:val="00DC4367"/>
    <w:rsid w:val="00DC444D"/>
    <w:rsid w:val="00DC44B4"/>
    <w:rsid w:val="00DC4594"/>
    <w:rsid w:val="00DC46BB"/>
    <w:rsid w:val="00DC4A71"/>
    <w:rsid w:val="00DC4AB5"/>
    <w:rsid w:val="00DC4AF8"/>
    <w:rsid w:val="00DC4B96"/>
    <w:rsid w:val="00DC4C7E"/>
    <w:rsid w:val="00DC4CDB"/>
    <w:rsid w:val="00DC4D75"/>
    <w:rsid w:val="00DC4FBD"/>
    <w:rsid w:val="00DC50D9"/>
    <w:rsid w:val="00DC52F8"/>
    <w:rsid w:val="00DC538E"/>
    <w:rsid w:val="00DC55E5"/>
    <w:rsid w:val="00DC5B0F"/>
    <w:rsid w:val="00DC5B80"/>
    <w:rsid w:val="00DC5BDA"/>
    <w:rsid w:val="00DC5C32"/>
    <w:rsid w:val="00DC5C73"/>
    <w:rsid w:val="00DC5DA0"/>
    <w:rsid w:val="00DC5F61"/>
    <w:rsid w:val="00DC631E"/>
    <w:rsid w:val="00DC635E"/>
    <w:rsid w:val="00DC6397"/>
    <w:rsid w:val="00DC6462"/>
    <w:rsid w:val="00DC662F"/>
    <w:rsid w:val="00DC67B4"/>
    <w:rsid w:val="00DC6808"/>
    <w:rsid w:val="00DC6C83"/>
    <w:rsid w:val="00DC6DA7"/>
    <w:rsid w:val="00DC6F00"/>
    <w:rsid w:val="00DC6F24"/>
    <w:rsid w:val="00DC6FAD"/>
    <w:rsid w:val="00DC6FED"/>
    <w:rsid w:val="00DC7096"/>
    <w:rsid w:val="00DC7269"/>
    <w:rsid w:val="00DC7449"/>
    <w:rsid w:val="00DC75A1"/>
    <w:rsid w:val="00DC76A1"/>
    <w:rsid w:val="00DC7832"/>
    <w:rsid w:val="00DC7845"/>
    <w:rsid w:val="00DC79C4"/>
    <w:rsid w:val="00DC7A56"/>
    <w:rsid w:val="00DC7AB5"/>
    <w:rsid w:val="00DC7BCB"/>
    <w:rsid w:val="00DC7BFA"/>
    <w:rsid w:val="00DC7CFD"/>
    <w:rsid w:val="00DC7EAE"/>
    <w:rsid w:val="00DC7F82"/>
    <w:rsid w:val="00DD0212"/>
    <w:rsid w:val="00DD03FB"/>
    <w:rsid w:val="00DD0485"/>
    <w:rsid w:val="00DD049B"/>
    <w:rsid w:val="00DD05F0"/>
    <w:rsid w:val="00DD07E9"/>
    <w:rsid w:val="00DD07F8"/>
    <w:rsid w:val="00DD081C"/>
    <w:rsid w:val="00DD09B2"/>
    <w:rsid w:val="00DD0AE1"/>
    <w:rsid w:val="00DD0B08"/>
    <w:rsid w:val="00DD0BAB"/>
    <w:rsid w:val="00DD0E52"/>
    <w:rsid w:val="00DD0ED0"/>
    <w:rsid w:val="00DD0EDB"/>
    <w:rsid w:val="00DD0F8F"/>
    <w:rsid w:val="00DD11BD"/>
    <w:rsid w:val="00DD1270"/>
    <w:rsid w:val="00DD1443"/>
    <w:rsid w:val="00DD1501"/>
    <w:rsid w:val="00DD153B"/>
    <w:rsid w:val="00DD1622"/>
    <w:rsid w:val="00DD167B"/>
    <w:rsid w:val="00DD172A"/>
    <w:rsid w:val="00DD17A1"/>
    <w:rsid w:val="00DD197B"/>
    <w:rsid w:val="00DD1AB8"/>
    <w:rsid w:val="00DD1ABB"/>
    <w:rsid w:val="00DD1B2F"/>
    <w:rsid w:val="00DD1C09"/>
    <w:rsid w:val="00DD1C30"/>
    <w:rsid w:val="00DD1D0F"/>
    <w:rsid w:val="00DD1D17"/>
    <w:rsid w:val="00DD1D36"/>
    <w:rsid w:val="00DD1D90"/>
    <w:rsid w:val="00DD1DB4"/>
    <w:rsid w:val="00DD1F1C"/>
    <w:rsid w:val="00DD203E"/>
    <w:rsid w:val="00DD24E0"/>
    <w:rsid w:val="00DD2510"/>
    <w:rsid w:val="00DD2619"/>
    <w:rsid w:val="00DD26CE"/>
    <w:rsid w:val="00DD26FF"/>
    <w:rsid w:val="00DD27AE"/>
    <w:rsid w:val="00DD2882"/>
    <w:rsid w:val="00DD2889"/>
    <w:rsid w:val="00DD2A54"/>
    <w:rsid w:val="00DD2B2C"/>
    <w:rsid w:val="00DD2D04"/>
    <w:rsid w:val="00DD2D89"/>
    <w:rsid w:val="00DD2F8E"/>
    <w:rsid w:val="00DD3020"/>
    <w:rsid w:val="00DD34CE"/>
    <w:rsid w:val="00DD3639"/>
    <w:rsid w:val="00DD3780"/>
    <w:rsid w:val="00DD3804"/>
    <w:rsid w:val="00DD390D"/>
    <w:rsid w:val="00DD39D8"/>
    <w:rsid w:val="00DD3A84"/>
    <w:rsid w:val="00DD3B5D"/>
    <w:rsid w:val="00DD3C76"/>
    <w:rsid w:val="00DD3DF3"/>
    <w:rsid w:val="00DD3F5F"/>
    <w:rsid w:val="00DD3F62"/>
    <w:rsid w:val="00DD4269"/>
    <w:rsid w:val="00DD42C6"/>
    <w:rsid w:val="00DD44E5"/>
    <w:rsid w:val="00DD4513"/>
    <w:rsid w:val="00DD4614"/>
    <w:rsid w:val="00DD463D"/>
    <w:rsid w:val="00DD486D"/>
    <w:rsid w:val="00DD4B6C"/>
    <w:rsid w:val="00DD4BA3"/>
    <w:rsid w:val="00DD50E5"/>
    <w:rsid w:val="00DD5194"/>
    <w:rsid w:val="00DD5738"/>
    <w:rsid w:val="00DD59AF"/>
    <w:rsid w:val="00DD5A9E"/>
    <w:rsid w:val="00DD5C4C"/>
    <w:rsid w:val="00DD5E19"/>
    <w:rsid w:val="00DD5FED"/>
    <w:rsid w:val="00DD601D"/>
    <w:rsid w:val="00DD6268"/>
    <w:rsid w:val="00DD631E"/>
    <w:rsid w:val="00DD64AB"/>
    <w:rsid w:val="00DD650D"/>
    <w:rsid w:val="00DD6669"/>
    <w:rsid w:val="00DD66BA"/>
    <w:rsid w:val="00DD6757"/>
    <w:rsid w:val="00DD67A0"/>
    <w:rsid w:val="00DD67CC"/>
    <w:rsid w:val="00DD6BE5"/>
    <w:rsid w:val="00DD6C18"/>
    <w:rsid w:val="00DD6D36"/>
    <w:rsid w:val="00DD6D9C"/>
    <w:rsid w:val="00DD6DCF"/>
    <w:rsid w:val="00DD6EAF"/>
    <w:rsid w:val="00DD6ECB"/>
    <w:rsid w:val="00DD6EE4"/>
    <w:rsid w:val="00DD7042"/>
    <w:rsid w:val="00DD70A0"/>
    <w:rsid w:val="00DD715F"/>
    <w:rsid w:val="00DD71FA"/>
    <w:rsid w:val="00DD7328"/>
    <w:rsid w:val="00DD7605"/>
    <w:rsid w:val="00DD774C"/>
    <w:rsid w:val="00DD779A"/>
    <w:rsid w:val="00DD7B2E"/>
    <w:rsid w:val="00DD7E80"/>
    <w:rsid w:val="00DE025E"/>
    <w:rsid w:val="00DE03F3"/>
    <w:rsid w:val="00DE0400"/>
    <w:rsid w:val="00DE0463"/>
    <w:rsid w:val="00DE069F"/>
    <w:rsid w:val="00DE073E"/>
    <w:rsid w:val="00DE0748"/>
    <w:rsid w:val="00DE086D"/>
    <w:rsid w:val="00DE08BA"/>
    <w:rsid w:val="00DE08BE"/>
    <w:rsid w:val="00DE09F5"/>
    <w:rsid w:val="00DE0A18"/>
    <w:rsid w:val="00DE0AB7"/>
    <w:rsid w:val="00DE0C26"/>
    <w:rsid w:val="00DE0CE3"/>
    <w:rsid w:val="00DE0E5C"/>
    <w:rsid w:val="00DE0F7C"/>
    <w:rsid w:val="00DE106D"/>
    <w:rsid w:val="00DE10D0"/>
    <w:rsid w:val="00DE10DB"/>
    <w:rsid w:val="00DE1663"/>
    <w:rsid w:val="00DE16CC"/>
    <w:rsid w:val="00DE181E"/>
    <w:rsid w:val="00DE1873"/>
    <w:rsid w:val="00DE1929"/>
    <w:rsid w:val="00DE19DC"/>
    <w:rsid w:val="00DE1A9A"/>
    <w:rsid w:val="00DE206C"/>
    <w:rsid w:val="00DE2119"/>
    <w:rsid w:val="00DE21DB"/>
    <w:rsid w:val="00DE22AE"/>
    <w:rsid w:val="00DE2371"/>
    <w:rsid w:val="00DE24B2"/>
    <w:rsid w:val="00DE24E3"/>
    <w:rsid w:val="00DE2729"/>
    <w:rsid w:val="00DE2794"/>
    <w:rsid w:val="00DE29D5"/>
    <w:rsid w:val="00DE2A0C"/>
    <w:rsid w:val="00DE2D15"/>
    <w:rsid w:val="00DE2D3A"/>
    <w:rsid w:val="00DE2DE6"/>
    <w:rsid w:val="00DE31D1"/>
    <w:rsid w:val="00DE36E0"/>
    <w:rsid w:val="00DE3720"/>
    <w:rsid w:val="00DE3832"/>
    <w:rsid w:val="00DE3AF9"/>
    <w:rsid w:val="00DE3C13"/>
    <w:rsid w:val="00DE3C2F"/>
    <w:rsid w:val="00DE3CB8"/>
    <w:rsid w:val="00DE3F07"/>
    <w:rsid w:val="00DE3F26"/>
    <w:rsid w:val="00DE41E0"/>
    <w:rsid w:val="00DE431C"/>
    <w:rsid w:val="00DE4346"/>
    <w:rsid w:val="00DE472B"/>
    <w:rsid w:val="00DE48AF"/>
    <w:rsid w:val="00DE4A5B"/>
    <w:rsid w:val="00DE4C1E"/>
    <w:rsid w:val="00DE4C36"/>
    <w:rsid w:val="00DE4DE0"/>
    <w:rsid w:val="00DE50CE"/>
    <w:rsid w:val="00DE5262"/>
    <w:rsid w:val="00DE5418"/>
    <w:rsid w:val="00DE55AA"/>
    <w:rsid w:val="00DE5729"/>
    <w:rsid w:val="00DE5789"/>
    <w:rsid w:val="00DE57F8"/>
    <w:rsid w:val="00DE5924"/>
    <w:rsid w:val="00DE597B"/>
    <w:rsid w:val="00DE5BB0"/>
    <w:rsid w:val="00DE5DB7"/>
    <w:rsid w:val="00DE5E7F"/>
    <w:rsid w:val="00DE6077"/>
    <w:rsid w:val="00DE6098"/>
    <w:rsid w:val="00DE62C8"/>
    <w:rsid w:val="00DE63A5"/>
    <w:rsid w:val="00DE640B"/>
    <w:rsid w:val="00DE64EB"/>
    <w:rsid w:val="00DE659C"/>
    <w:rsid w:val="00DE67B2"/>
    <w:rsid w:val="00DE6861"/>
    <w:rsid w:val="00DE695E"/>
    <w:rsid w:val="00DE6A1B"/>
    <w:rsid w:val="00DE6B0F"/>
    <w:rsid w:val="00DE6C93"/>
    <w:rsid w:val="00DE6CA0"/>
    <w:rsid w:val="00DE6D19"/>
    <w:rsid w:val="00DE6E3C"/>
    <w:rsid w:val="00DE6EDF"/>
    <w:rsid w:val="00DE7132"/>
    <w:rsid w:val="00DE7168"/>
    <w:rsid w:val="00DE7207"/>
    <w:rsid w:val="00DE728A"/>
    <w:rsid w:val="00DE734A"/>
    <w:rsid w:val="00DE74BD"/>
    <w:rsid w:val="00DE7547"/>
    <w:rsid w:val="00DE7602"/>
    <w:rsid w:val="00DE77EC"/>
    <w:rsid w:val="00DE79A0"/>
    <w:rsid w:val="00DE79F3"/>
    <w:rsid w:val="00DE7ECC"/>
    <w:rsid w:val="00DE7EFB"/>
    <w:rsid w:val="00DE7F12"/>
    <w:rsid w:val="00DE7F34"/>
    <w:rsid w:val="00DE7F3B"/>
    <w:rsid w:val="00DE7FD1"/>
    <w:rsid w:val="00DF0077"/>
    <w:rsid w:val="00DF0422"/>
    <w:rsid w:val="00DF05C2"/>
    <w:rsid w:val="00DF09D7"/>
    <w:rsid w:val="00DF0B23"/>
    <w:rsid w:val="00DF0CD3"/>
    <w:rsid w:val="00DF0CEA"/>
    <w:rsid w:val="00DF0F60"/>
    <w:rsid w:val="00DF0F62"/>
    <w:rsid w:val="00DF1010"/>
    <w:rsid w:val="00DF1272"/>
    <w:rsid w:val="00DF17F7"/>
    <w:rsid w:val="00DF182F"/>
    <w:rsid w:val="00DF18D8"/>
    <w:rsid w:val="00DF1967"/>
    <w:rsid w:val="00DF1C7E"/>
    <w:rsid w:val="00DF1C7F"/>
    <w:rsid w:val="00DF1D39"/>
    <w:rsid w:val="00DF1D80"/>
    <w:rsid w:val="00DF1FCA"/>
    <w:rsid w:val="00DF2060"/>
    <w:rsid w:val="00DF2343"/>
    <w:rsid w:val="00DF2367"/>
    <w:rsid w:val="00DF23E3"/>
    <w:rsid w:val="00DF2599"/>
    <w:rsid w:val="00DF25A8"/>
    <w:rsid w:val="00DF2692"/>
    <w:rsid w:val="00DF279A"/>
    <w:rsid w:val="00DF2A8D"/>
    <w:rsid w:val="00DF2ABD"/>
    <w:rsid w:val="00DF2B08"/>
    <w:rsid w:val="00DF2D20"/>
    <w:rsid w:val="00DF2D84"/>
    <w:rsid w:val="00DF3074"/>
    <w:rsid w:val="00DF31B0"/>
    <w:rsid w:val="00DF32DC"/>
    <w:rsid w:val="00DF32F0"/>
    <w:rsid w:val="00DF333F"/>
    <w:rsid w:val="00DF3591"/>
    <w:rsid w:val="00DF369E"/>
    <w:rsid w:val="00DF36FC"/>
    <w:rsid w:val="00DF3737"/>
    <w:rsid w:val="00DF3763"/>
    <w:rsid w:val="00DF381D"/>
    <w:rsid w:val="00DF3AAE"/>
    <w:rsid w:val="00DF3F55"/>
    <w:rsid w:val="00DF3F76"/>
    <w:rsid w:val="00DF4165"/>
    <w:rsid w:val="00DF4415"/>
    <w:rsid w:val="00DF4A25"/>
    <w:rsid w:val="00DF4A9D"/>
    <w:rsid w:val="00DF4AED"/>
    <w:rsid w:val="00DF4B85"/>
    <w:rsid w:val="00DF4C47"/>
    <w:rsid w:val="00DF4CF3"/>
    <w:rsid w:val="00DF4D45"/>
    <w:rsid w:val="00DF4EBA"/>
    <w:rsid w:val="00DF50E3"/>
    <w:rsid w:val="00DF535A"/>
    <w:rsid w:val="00DF54EA"/>
    <w:rsid w:val="00DF5506"/>
    <w:rsid w:val="00DF55B2"/>
    <w:rsid w:val="00DF5728"/>
    <w:rsid w:val="00DF590A"/>
    <w:rsid w:val="00DF5938"/>
    <w:rsid w:val="00DF59C9"/>
    <w:rsid w:val="00DF5BFD"/>
    <w:rsid w:val="00DF5CAE"/>
    <w:rsid w:val="00DF5D1F"/>
    <w:rsid w:val="00DF5D45"/>
    <w:rsid w:val="00DF6050"/>
    <w:rsid w:val="00DF60AA"/>
    <w:rsid w:val="00DF63C4"/>
    <w:rsid w:val="00DF6BCB"/>
    <w:rsid w:val="00DF70BC"/>
    <w:rsid w:val="00DF710B"/>
    <w:rsid w:val="00DF7286"/>
    <w:rsid w:val="00DF7350"/>
    <w:rsid w:val="00DF73B8"/>
    <w:rsid w:val="00DF7442"/>
    <w:rsid w:val="00DF7972"/>
    <w:rsid w:val="00DF7A84"/>
    <w:rsid w:val="00DF7B12"/>
    <w:rsid w:val="00DF7B77"/>
    <w:rsid w:val="00DF7B91"/>
    <w:rsid w:val="00DF7CC3"/>
    <w:rsid w:val="00E00204"/>
    <w:rsid w:val="00E003E0"/>
    <w:rsid w:val="00E003FA"/>
    <w:rsid w:val="00E0040A"/>
    <w:rsid w:val="00E004DB"/>
    <w:rsid w:val="00E00518"/>
    <w:rsid w:val="00E00743"/>
    <w:rsid w:val="00E00802"/>
    <w:rsid w:val="00E00874"/>
    <w:rsid w:val="00E0094F"/>
    <w:rsid w:val="00E009AC"/>
    <w:rsid w:val="00E009C6"/>
    <w:rsid w:val="00E00A91"/>
    <w:rsid w:val="00E00B35"/>
    <w:rsid w:val="00E00B62"/>
    <w:rsid w:val="00E00BEA"/>
    <w:rsid w:val="00E00C30"/>
    <w:rsid w:val="00E00E22"/>
    <w:rsid w:val="00E00F7F"/>
    <w:rsid w:val="00E010AF"/>
    <w:rsid w:val="00E010C1"/>
    <w:rsid w:val="00E010C7"/>
    <w:rsid w:val="00E010FE"/>
    <w:rsid w:val="00E0156D"/>
    <w:rsid w:val="00E0186C"/>
    <w:rsid w:val="00E01A7C"/>
    <w:rsid w:val="00E01D15"/>
    <w:rsid w:val="00E01D22"/>
    <w:rsid w:val="00E026C5"/>
    <w:rsid w:val="00E02709"/>
    <w:rsid w:val="00E028A7"/>
    <w:rsid w:val="00E0290C"/>
    <w:rsid w:val="00E029A1"/>
    <w:rsid w:val="00E029A6"/>
    <w:rsid w:val="00E02A51"/>
    <w:rsid w:val="00E02AB7"/>
    <w:rsid w:val="00E02B36"/>
    <w:rsid w:val="00E02D16"/>
    <w:rsid w:val="00E02D24"/>
    <w:rsid w:val="00E02D63"/>
    <w:rsid w:val="00E02E6D"/>
    <w:rsid w:val="00E02F12"/>
    <w:rsid w:val="00E03288"/>
    <w:rsid w:val="00E03394"/>
    <w:rsid w:val="00E033DA"/>
    <w:rsid w:val="00E035C9"/>
    <w:rsid w:val="00E0366E"/>
    <w:rsid w:val="00E036C6"/>
    <w:rsid w:val="00E03859"/>
    <w:rsid w:val="00E038D8"/>
    <w:rsid w:val="00E03936"/>
    <w:rsid w:val="00E03AF4"/>
    <w:rsid w:val="00E03E61"/>
    <w:rsid w:val="00E03E83"/>
    <w:rsid w:val="00E03F87"/>
    <w:rsid w:val="00E0413D"/>
    <w:rsid w:val="00E04189"/>
    <w:rsid w:val="00E042FE"/>
    <w:rsid w:val="00E0438A"/>
    <w:rsid w:val="00E04496"/>
    <w:rsid w:val="00E046C2"/>
    <w:rsid w:val="00E04711"/>
    <w:rsid w:val="00E04803"/>
    <w:rsid w:val="00E04838"/>
    <w:rsid w:val="00E048F9"/>
    <w:rsid w:val="00E04953"/>
    <w:rsid w:val="00E04CD4"/>
    <w:rsid w:val="00E04DF9"/>
    <w:rsid w:val="00E04E18"/>
    <w:rsid w:val="00E05030"/>
    <w:rsid w:val="00E05166"/>
    <w:rsid w:val="00E0546E"/>
    <w:rsid w:val="00E0576A"/>
    <w:rsid w:val="00E059DD"/>
    <w:rsid w:val="00E05A54"/>
    <w:rsid w:val="00E05BC4"/>
    <w:rsid w:val="00E05D35"/>
    <w:rsid w:val="00E05E58"/>
    <w:rsid w:val="00E05EFF"/>
    <w:rsid w:val="00E05FFA"/>
    <w:rsid w:val="00E060B5"/>
    <w:rsid w:val="00E06140"/>
    <w:rsid w:val="00E0618F"/>
    <w:rsid w:val="00E06313"/>
    <w:rsid w:val="00E0656B"/>
    <w:rsid w:val="00E065D6"/>
    <w:rsid w:val="00E06696"/>
    <w:rsid w:val="00E06725"/>
    <w:rsid w:val="00E06848"/>
    <w:rsid w:val="00E06B91"/>
    <w:rsid w:val="00E06D63"/>
    <w:rsid w:val="00E06D68"/>
    <w:rsid w:val="00E06F90"/>
    <w:rsid w:val="00E07335"/>
    <w:rsid w:val="00E0755C"/>
    <w:rsid w:val="00E0764D"/>
    <w:rsid w:val="00E076EE"/>
    <w:rsid w:val="00E079D9"/>
    <w:rsid w:val="00E07AED"/>
    <w:rsid w:val="00E07B02"/>
    <w:rsid w:val="00E07BA1"/>
    <w:rsid w:val="00E07CA1"/>
    <w:rsid w:val="00E10363"/>
    <w:rsid w:val="00E105BD"/>
    <w:rsid w:val="00E10AB4"/>
    <w:rsid w:val="00E10C6C"/>
    <w:rsid w:val="00E10D27"/>
    <w:rsid w:val="00E110C9"/>
    <w:rsid w:val="00E11227"/>
    <w:rsid w:val="00E1130E"/>
    <w:rsid w:val="00E1137D"/>
    <w:rsid w:val="00E11444"/>
    <w:rsid w:val="00E114B6"/>
    <w:rsid w:val="00E1157C"/>
    <w:rsid w:val="00E1159A"/>
    <w:rsid w:val="00E115D1"/>
    <w:rsid w:val="00E11771"/>
    <w:rsid w:val="00E117FB"/>
    <w:rsid w:val="00E11876"/>
    <w:rsid w:val="00E11883"/>
    <w:rsid w:val="00E11944"/>
    <w:rsid w:val="00E11B1A"/>
    <w:rsid w:val="00E11CC2"/>
    <w:rsid w:val="00E11E5D"/>
    <w:rsid w:val="00E11F00"/>
    <w:rsid w:val="00E11FCD"/>
    <w:rsid w:val="00E120FB"/>
    <w:rsid w:val="00E121A5"/>
    <w:rsid w:val="00E12772"/>
    <w:rsid w:val="00E1288B"/>
    <w:rsid w:val="00E12946"/>
    <w:rsid w:val="00E129AA"/>
    <w:rsid w:val="00E129AC"/>
    <w:rsid w:val="00E12A17"/>
    <w:rsid w:val="00E12AE4"/>
    <w:rsid w:val="00E12BA0"/>
    <w:rsid w:val="00E12DBF"/>
    <w:rsid w:val="00E12E1B"/>
    <w:rsid w:val="00E12E97"/>
    <w:rsid w:val="00E131A3"/>
    <w:rsid w:val="00E131CE"/>
    <w:rsid w:val="00E13562"/>
    <w:rsid w:val="00E13766"/>
    <w:rsid w:val="00E1399D"/>
    <w:rsid w:val="00E139AD"/>
    <w:rsid w:val="00E13B57"/>
    <w:rsid w:val="00E13B68"/>
    <w:rsid w:val="00E13BC2"/>
    <w:rsid w:val="00E13C31"/>
    <w:rsid w:val="00E13CDF"/>
    <w:rsid w:val="00E13FA8"/>
    <w:rsid w:val="00E14152"/>
    <w:rsid w:val="00E14169"/>
    <w:rsid w:val="00E14336"/>
    <w:rsid w:val="00E14389"/>
    <w:rsid w:val="00E144B4"/>
    <w:rsid w:val="00E144FB"/>
    <w:rsid w:val="00E1487A"/>
    <w:rsid w:val="00E1489F"/>
    <w:rsid w:val="00E148BF"/>
    <w:rsid w:val="00E148FF"/>
    <w:rsid w:val="00E14B31"/>
    <w:rsid w:val="00E14C98"/>
    <w:rsid w:val="00E14CD9"/>
    <w:rsid w:val="00E14FA8"/>
    <w:rsid w:val="00E15406"/>
    <w:rsid w:val="00E155C4"/>
    <w:rsid w:val="00E15676"/>
    <w:rsid w:val="00E15A32"/>
    <w:rsid w:val="00E15ACD"/>
    <w:rsid w:val="00E15BB3"/>
    <w:rsid w:val="00E15C88"/>
    <w:rsid w:val="00E15F13"/>
    <w:rsid w:val="00E16089"/>
    <w:rsid w:val="00E161F5"/>
    <w:rsid w:val="00E1661B"/>
    <w:rsid w:val="00E166F8"/>
    <w:rsid w:val="00E1670E"/>
    <w:rsid w:val="00E16717"/>
    <w:rsid w:val="00E16828"/>
    <w:rsid w:val="00E16A9B"/>
    <w:rsid w:val="00E16AFC"/>
    <w:rsid w:val="00E16B69"/>
    <w:rsid w:val="00E16E9B"/>
    <w:rsid w:val="00E17056"/>
    <w:rsid w:val="00E1717B"/>
    <w:rsid w:val="00E17253"/>
    <w:rsid w:val="00E17373"/>
    <w:rsid w:val="00E176C3"/>
    <w:rsid w:val="00E17717"/>
    <w:rsid w:val="00E1775B"/>
    <w:rsid w:val="00E177F0"/>
    <w:rsid w:val="00E17F6F"/>
    <w:rsid w:val="00E201AE"/>
    <w:rsid w:val="00E203ED"/>
    <w:rsid w:val="00E20530"/>
    <w:rsid w:val="00E20ABD"/>
    <w:rsid w:val="00E20DA8"/>
    <w:rsid w:val="00E20DE7"/>
    <w:rsid w:val="00E20F9C"/>
    <w:rsid w:val="00E21210"/>
    <w:rsid w:val="00E212BF"/>
    <w:rsid w:val="00E2138B"/>
    <w:rsid w:val="00E213E7"/>
    <w:rsid w:val="00E21453"/>
    <w:rsid w:val="00E21474"/>
    <w:rsid w:val="00E2159F"/>
    <w:rsid w:val="00E2173F"/>
    <w:rsid w:val="00E219F4"/>
    <w:rsid w:val="00E219FC"/>
    <w:rsid w:val="00E21B4D"/>
    <w:rsid w:val="00E21CF7"/>
    <w:rsid w:val="00E21EA4"/>
    <w:rsid w:val="00E21FDE"/>
    <w:rsid w:val="00E220BE"/>
    <w:rsid w:val="00E2213E"/>
    <w:rsid w:val="00E221AA"/>
    <w:rsid w:val="00E221DE"/>
    <w:rsid w:val="00E226C8"/>
    <w:rsid w:val="00E22731"/>
    <w:rsid w:val="00E22778"/>
    <w:rsid w:val="00E229EF"/>
    <w:rsid w:val="00E22A17"/>
    <w:rsid w:val="00E22A63"/>
    <w:rsid w:val="00E22E04"/>
    <w:rsid w:val="00E23083"/>
    <w:rsid w:val="00E232BE"/>
    <w:rsid w:val="00E23518"/>
    <w:rsid w:val="00E23A66"/>
    <w:rsid w:val="00E23AAB"/>
    <w:rsid w:val="00E23D1B"/>
    <w:rsid w:val="00E23DC5"/>
    <w:rsid w:val="00E23EA3"/>
    <w:rsid w:val="00E2416D"/>
    <w:rsid w:val="00E241F8"/>
    <w:rsid w:val="00E24263"/>
    <w:rsid w:val="00E2463E"/>
    <w:rsid w:val="00E24778"/>
    <w:rsid w:val="00E24A7B"/>
    <w:rsid w:val="00E24A87"/>
    <w:rsid w:val="00E24AF5"/>
    <w:rsid w:val="00E24BA3"/>
    <w:rsid w:val="00E24C92"/>
    <w:rsid w:val="00E24DBF"/>
    <w:rsid w:val="00E24F42"/>
    <w:rsid w:val="00E2513D"/>
    <w:rsid w:val="00E253A5"/>
    <w:rsid w:val="00E254D5"/>
    <w:rsid w:val="00E25545"/>
    <w:rsid w:val="00E255A9"/>
    <w:rsid w:val="00E25794"/>
    <w:rsid w:val="00E257FD"/>
    <w:rsid w:val="00E25AC6"/>
    <w:rsid w:val="00E25AF1"/>
    <w:rsid w:val="00E25D00"/>
    <w:rsid w:val="00E25EB3"/>
    <w:rsid w:val="00E25EE0"/>
    <w:rsid w:val="00E261CD"/>
    <w:rsid w:val="00E262C9"/>
    <w:rsid w:val="00E26303"/>
    <w:rsid w:val="00E264A5"/>
    <w:rsid w:val="00E265A5"/>
    <w:rsid w:val="00E265D0"/>
    <w:rsid w:val="00E266A1"/>
    <w:rsid w:val="00E26720"/>
    <w:rsid w:val="00E267D6"/>
    <w:rsid w:val="00E2694D"/>
    <w:rsid w:val="00E26A7E"/>
    <w:rsid w:val="00E26C0B"/>
    <w:rsid w:val="00E26CB6"/>
    <w:rsid w:val="00E26D55"/>
    <w:rsid w:val="00E26DC1"/>
    <w:rsid w:val="00E26E71"/>
    <w:rsid w:val="00E26EBE"/>
    <w:rsid w:val="00E26ED0"/>
    <w:rsid w:val="00E270C9"/>
    <w:rsid w:val="00E27487"/>
    <w:rsid w:val="00E2770C"/>
    <w:rsid w:val="00E27988"/>
    <w:rsid w:val="00E27BA5"/>
    <w:rsid w:val="00E27BF0"/>
    <w:rsid w:val="00E27D17"/>
    <w:rsid w:val="00E30135"/>
    <w:rsid w:val="00E30297"/>
    <w:rsid w:val="00E304D5"/>
    <w:rsid w:val="00E3055B"/>
    <w:rsid w:val="00E30653"/>
    <w:rsid w:val="00E308BA"/>
    <w:rsid w:val="00E308C3"/>
    <w:rsid w:val="00E30963"/>
    <w:rsid w:val="00E30A99"/>
    <w:rsid w:val="00E30C9F"/>
    <w:rsid w:val="00E30D38"/>
    <w:rsid w:val="00E30D55"/>
    <w:rsid w:val="00E30DCF"/>
    <w:rsid w:val="00E30F61"/>
    <w:rsid w:val="00E3103E"/>
    <w:rsid w:val="00E31099"/>
    <w:rsid w:val="00E3126F"/>
    <w:rsid w:val="00E312F1"/>
    <w:rsid w:val="00E31689"/>
    <w:rsid w:val="00E3171E"/>
    <w:rsid w:val="00E31724"/>
    <w:rsid w:val="00E31861"/>
    <w:rsid w:val="00E319A4"/>
    <w:rsid w:val="00E31C30"/>
    <w:rsid w:val="00E31C46"/>
    <w:rsid w:val="00E31E2C"/>
    <w:rsid w:val="00E32038"/>
    <w:rsid w:val="00E32151"/>
    <w:rsid w:val="00E3238F"/>
    <w:rsid w:val="00E3242A"/>
    <w:rsid w:val="00E32465"/>
    <w:rsid w:val="00E32479"/>
    <w:rsid w:val="00E326A4"/>
    <w:rsid w:val="00E32847"/>
    <w:rsid w:val="00E32C60"/>
    <w:rsid w:val="00E32C6D"/>
    <w:rsid w:val="00E32C81"/>
    <w:rsid w:val="00E32D63"/>
    <w:rsid w:val="00E32F1C"/>
    <w:rsid w:val="00E32F1F"/>
    <w:rsid w:val="00E32F7E"/>
    <w:rsid w:val="00E33161"/>
    <w:rsid w:val="00E331ED"/>
    <w:rsid w:val="00E332E0"/>
    <w:rsid w:val="00E335E3"/>
    <w:rsid w:val="00E33662"/>
    <w:rsid w:val="00E33664"/>
    <w:rsid w:val="00E339C6"/>
    <w:rsid w:val="00E33BC8"/>
    <w:rsid w:val="00E33C4E"/>
    <w:rsid w:val="00E33D78"/>
    <w:rsid w:val="00E33D7E"/>
    <w:rsid w:val="00E33DFA"/>
    <w:rsid w:val="00E33E02"/>
    <w:rsid w:val="00E340B5"/>
    <w:rsid w:val="00E34410"/>
    <w:rsid w:val="00E344EE"/>
    <w:rsid w:val="00E346AB"/>
    <w:rsid w:val="00E348A3"/>
    <w:rsid w:val="00E34917"/>
    <w:rsid w:val="00E34AB0"/>
    <w:rsid w:val="00E34C98"/>
    <w:rsid w:val="00E34E3F"/>
    <w:rsid w:val="00E34E74"/>
    <w:rsid w:val="00E34E9A"/>
    <w:rsid w:val="00E34F78"/>
    <w:rsid w:val="00E34FFC"/>
    <w:rsid w:val="00E351AD"/>
    <w:rsid w:val="00E352EF"/>
    <w:rsid w:val="00E35361"/>
    <w:rsid w:val="00E353F2"/>
    <w:rsid w:val="00E35456"/>
    <w:rsid w:val="00E3548A"/>
    <w:rsid w:val="00E356EB"/>
    <w:rsid w:val="00E35754"/>
    <w:rsid w:val="00E3584F"/>
    <w:rsid w:val="00E35850"/>
    <w:rsid w:val="00E358BE"/>
    <w:rsid w:val="00E35901"/>
    <w:rsid w:val="00E35ACA"/>
    <w:rsid w:val="00E35AF9"/>
    <w:rsid w:val="00E35CCE"/>
    <w:rsid w:val="00E35CF6"/>
    <w:rsid w:val="00E35F20"/>
    <w:rsid w:val="00E35F32"/>
    <w:rsid w:val="00E35F9C"/>
    <w:rsid w:val="00E360B8"/>
    <w:rsid w:val="00E363AB"/>
    <w:rsid w:val="00E36546"/>
    <w:rsid w:val="00E3678C"/>
    <w:rsid w:val="00E368C4"/>
    <w:rsid w:val="00E368D8"/>
    <w:rsid w:val="00E36B44"/>
    <w:rsid w:val="00E36C4E"/>
    <w:rsid w:val="00E36C77"/>
    <w:rsid w:val="00E36D35"/>
    <w:rsid w:val="00E3712B"/>
    <w:rsid w:val="00E3713E"/>
    <w:rsid w:val="00E3719E"/>
    <w:rsid w:val="00E371D4"/>
    <w:rsid w:val="00E3749A"/>
    <w:rsid w:val="00E37575"/>
    <w:rsid w:val="00E375D5"/>
    <w:rsid w:val="00E3774A"/>
    <w:rsid w:val="00E377A5"/>
    <w:rsid w:val="00E379CD"/>
    <w:rsid w:val="00E37AD7"/>
    <w:rsid w:val="00E37ADC"/>
    <w:rsid w:val="00E37B27"/>
    <w:rsid w:val="00E37C48"/>
    <w:rsid w:val="00E37D65"/>
    <w:rsid w:val="00E37E51"/>
    <w:rsid w:val="00E37E85"/>
    <w:rsid w:val="00E37EC8"/>
    <w:rsid w:val="00E37F64"/>
    <w:rsid w:val="00E40084"/>
    <w:rsid w:val="00E40096"/>
    <w:rsid w:val="00E4012E"/>
    <w:rsid w:val="00E401B2"/>
    <w:rsid w:val="00E401F4"/>
    <w:rsid w:val="00E40298"/>
    <w:rsid w:val="00E4047B"/>
    <w:rsid w:val="00E40749"/>
    <w:rsid w:val="00E4078B"/>
    <w:rsid w:val="00E4099C"/>
    <w:rsid w:val="00E40B0D"/>
    <w:rsid w:val="00E40B2A"/>
    <w:rsid w:val="00E40D9B"/>
    <w:rsid w:val="00E41002"/>
    <w:rsid w:val="00E4101F"/>
    <w:rsid w:val="00E41132"/>
    <w:rsid w:val="00E411A4"/>
    <w:rsid w:val="00E41635"/>
    <w:rsid w:val="00E417B2"/>
    <w:rsid w:val="00E41897"/>
    <w:rsid w:val="00E418A7"/>
    <w:rsid w:val="00E41BE0"/>
    <w:rsid w:val="00E41C26"/>
    <w:rsid w:val="00E41C7C"/>
    <w:rsid w:val="00E41DA3"/>
    <w:rsid w:val="00E41DBE"/>
    <w:rsid w:val="00E41E24"/>
    <w:rsid w:val="00E41FA8"/>
    <w:rsid w:val="00E42040"/>
    <w:rsid w:val="00E42186"/>
    <w:rsid w:val="00E4223C"/>
    <w:rsid w:val="00E422A3"/>
    <w:rsid w:val="00E42458"/>
    <w:rsid w:val="00E42520"/>
    <w:rsid w:val="00E42549"/>
    <w:rsid w:val="00E42582"/>
    <w:rsid w:val="00E425DC"/>
    <w:rsid w:val="00E427AF"/>
    <w:rsid w:val="00E42879"/>
    <w:rsid w:val="00E42936"/>
    <w:rsid w:val="00E42A5F"/>
    <w:rsid w:val="00E42AC0"/>
    <w:rsid w:val="00E42BAE"/>
    <w:rsid w:val="00E42BED"/>
    <w:rsid w:val="00E42DDC"/>
    <w:rsid w:val="00E42DDF"/>
    <w:rsid w:val="00E42F5D"/>
    <w:rsid w:val="00E4343B"/>
    <w:rsid w:val="00E438CE"/>
    <w:rsid w:val="00E438FE"/>
    <w:rsid w:val="00E43A87"/>
    <w:rsid w:val="00E43C19"/>
    <w:rsid w:val="00E43C73"/>
    <w:rsid w:val="00E43C97"/>
    <w:rsid w:val="00E43CAA"/>
    <w:rsid w:val="00E43F2B"/>
    <w:rsid w:val="00E44023"/>
    <w:rsid w:val="00E440CE"/>
    <w:rsid w:val="00E441C6"/>
    <w:rsid w:val="00E44365"/>
    <w:rsid w:val="00E44534"/>
    <w:rsid w:val="00E44540"/>
    <w:rsid w:val="00E446EE"/>
    <w:rsid w:val="00E44815"/>
    <w:rsid w:val="00E4486A"/>
    <w:rsid w:val="00E4489F"/>
    <w:rsid w:val="00E448EE"/>
    <w:rsid w:val="00E44A4B"/>
    <w:rsid w:val="00E44A7E"/>
    <w:rsid w:val="00E44AB5"/>
    <w:rsid w:val="00E44AD7"/>
    <w:rsid w:val="00E44AFE"/>
    <w:rsid w:val="00E44C85"/>
    <w:rsid w:val="00E44DE1"/>
    <w:rsid w:val="00E44F53"/>
    <w:rsid w:val="00E4507E"/>
    <w:rsid w:val="00E45151"/>
    <w:rsid w:val="00E45259"/>
    <w:rsid w:val="00E452BA"/>
    <w:rsid w:val="00E453C5"/>
    <w:rsid w:val="00E45458"/>
    <w:rsid w:val="00E454FD"/>
    <w:rsid w:val="00E4551D"/>
    <w:rsid w:val="00E455F0"/>
    <w:rsid w:val="00E45618"/>
    <w:rsid w:val="00E45671"/>
    <w:rsid w:val="00E456B3"/>
    <w:rsid w:val="00E459E7"/>
    <w:rsid w:val="00E45A0E"/>
    <w:rsid w:val="00E45A50"/>
    <w:rsid w:val="00E4603A"/>
    <w:rsid w:val="00E4610C"/>
    <w:rsid w:val="00E4620C"/>
    <w:rsid w:val="00E4632F"/>
    <w:rsid w:val="00E46395"/>
    <w:rsid w:val="00E4642E"/>
    <w:rsid w:val="00E46809"/>
    <w:rsid w:val="00E46871"/>
    <w:rsid w:val="00E46906"/>
    <w:rsid w:val="00E46A07"/>
    <w:rsid w:val="00E46A1B"/>
    <w:rsid w:val="00E46B39"/>
    <w:rsid w:val="00E46B67"/>
    <w:rsid w:val="00E46E4F"/>
    <w:rsid w:val="00E47048"/>
    <w:rsid w:val="00E47146"/>
    <w:rsid w:val="00E4724A"/>
    <w:rsid w:val="00E47280"/>
    <w:rsid w:val="00E47514"/>
    <w:rsid w:val="00E4760F"/>
    <w:rsid w:val="00E476FA"/>
    <w:rsid w:val="00E478A8"/>
    <w:rsid w:val="00E478E8"/>
    <w:rsid w:val="00E479AA"/>
    <w:rsid w:val="00E479DA"/>
    <w:rsid w:val="00E47A1E"/>
    <w:rsid w:val="00E47A55"/>
    <w:rsid w:val="00E47BD8"/>
    <w:rsid w:val="00E47D40"/>
    <w:rsid w:val="00E47E4E"/>
    <w:rsid w:val="00E47F5F"/>
    <w:rsid w:val="00E47F72"/>
    <w:rsid w:val="00E47FB9"/>
    <w:rsid w:val="00E5016B"/>
    <w:rsid w:val="00E5020C"/>
    <w:rsid w:val="00E50385"/>
    <w:rsid w:val="00E50394"/>
    <w:rsid w:val="00E503F7"/>
    <w:rsid w:val="00E50452"/>
    <w:rsid w:val="00E506FA"/>
    <w:rsid w:val="00E50731"/>
    <w:rsid w:val="00E509B5"/>
    <w:rsid w:val="00E50A14"/>
    <w:rsid w:val="00E50C72"/>
    <w:rsid w:val="00E5104E"/>
    <w:rsid w:val="00E51232"/>
    <w:rsid w:val="00E51397"/>
    <w:rsid w:val="00E51434"/>
    <w:rsid w:val="00E51445"/>
    <w:rsid w:val="00E51481"/>
    <w:rsid w:val="00E515DE"/>
    <w:rsid w:val="00E51700"/>
    <w:rsid w:val="00E51C29"/>
    <w:rsid w:val="00E5208D"/>
    <w:rsid w:val="00E520EF"/>
    <w:rsid w:val="00E520FC"/>
    <w:rsid w:val="00E521DE"/>
    <w:rsid w:val="00E52456"/>
    <w:rsid w:val="00E52492"/>
    <w:rsid w:val="00E524E7"/>
    <w:rsid w:val="00E526D1"/>
    <w:rsid w:val="00E526FD"/>
    <w:rsid w:val="00E52926"/>
    <w:rsid w:val="00E52D07"/>
    <w:rsid w:val="00E52DA0"/>
    <w:rsid w:val="00E52E13"/>
    <w:rsid w:val="00E52EF1"/>
    <w:rsid w:val="00E52F03"/>
    <w:rsid w:val="00E52F0F"/>
    <w:rsid w:val="00E53012"/>
    <w:rsid w:val="00E53640"/>
    <w:rsid w:val="00E53685"/>
    <w:rsid w:val="00E53870"/>
    <w:rsid w:val="00E53877"/>
    <w:rsid w:val="00E53878"/>
    <w:rsid w:val="00E5387B"/>
    <w:rsid w:val="00E538E3"/>
    <w:rsid w:val="00E53AA3"/>
    <w:rsid w:val="00E53ACD"/>
    <w:rsid w:val="00E53CD0"/>
    <w:rsid w:val="00E5403F"/>
    <w:rsid w:val="00E5409B"/>
    <w:rsid w:val="00E541B5"/>
    <w:rsid w:val="00E54413"/>
    <w:rsid w:val="00E5451D"/>
    <w:rsid w:val="00E546E9"/>
    <w:rsid w:val="00E54945"/>
    <w:rsid w:val="00E54A0E"/>
    <w:rsid w:val="00E54F40"/>
    <w:rsid w:val="00E550A5"/>
    <w:rsid w:val="00E55257"/>
    <w:rsid w:val="00E55268"/>
    <w:rsid w:val="00E554BE"/>
    <w:rsid w:val="00E557D9"/>
    <w:rsid w:val="00E559F6"/>
    <w:rsid w:val="00E55A7D"/>
    <w:rsid w:val="00E561D4"/>
    <w:rsid w:val="00E5645F"/>
    <w:rsid w:val="00E564D1"/>
    <w:rsid w:val="00E564E3"/>
    <w:rsid w:val="00E567BE"/>
    <w:rsid w:val="00E5687C"/>
    <w:rsid w:val="00E56AD9"/>
    <w:rsid w:val="00E56BD0"/>
    <w:rsid w:val="00E56DEE"/>
    <w:rsid w:val="00E56E7B"/>
    <w:rsid w:val="00E56EE2"/>
    <w:rsid w:val="00E570DD"/>
    <w:rsid w:val="00E57163"/>
    <w:rsid w:val="00E5729D"/>
    <w:rsid w:val="00E57334"/>
    <w:rsid w:val="00E573C7"/>
    <w:rsid w:val="00E5745E"/>
    <w:rsid w:val="00E57639"/>
    <w:rsid w:val="00E57685"/>
    <w:rsid w:val="00E57690"/>
    <w:rsid w:val="00E576C8"/>
    <w:rsid w:val="00E57B5D"/>
    <w:rsid w:val="00E57C5D"/>
    <w:rsid w:val="00E57DBD"/>
    <w:rsid w:val="00E57DD8"/>
    <w:rsid w:val="00E60243"/>
    <w:rsid w:val="00E6029E"/>
    <w:rsid w:val="00E60325"/>
    <w:rsid w:val="00E605E6"/>
    <w:rsid w:val="00E60611"/>
    <w:rsid w:val="00E60647"/>
    <w:rsid w:val="00E60693"/>
    <w:rsid w:val="00E606E9"/>
    <w:rsid w:val="00E60727"/>
    <w:rsid w:val="00E6072C"/>
    <w:rsid w:val="00E60749"/>
    <w:rsid w:val="00E6081C"/>
    <w:rsid w:val="00E60897"/>
    <w:rsid w:val="00E608D9"/>
    <w:rsid w:val="00E60EE9"/>
    <w:rsid w:val="00E60FC4"/>
    <w:rsid w:val="00E6122C"/>
    <w:rsid w:val="00E61285"/>
    <w:rsid w:val="00E612FB"/>
    <w:rsid w:val="00E61343"/>
    <w:rsid w:val="00E613A1"/>
    <w:rsid w:val="00E61431"/>
    <w:rsid w:val="00E6176A"/>
    <w:rsid w:val="00E6183C"/>
    <w:rsid w:val="00E61B67"/>
    <w:rsid w:val="00E61B92"/>
    <w:rsid w:val="00E61BB3"/>
    <w:rsid w:val="00E61C46"/>
    <w:rsid w:val="00E61CDF"/>
    <w:rsid w:val="00E61D05"/>
    <w:rsid w:val="00E61DB0"/>
    <w:rsid w:val="00E61E89"/>
    <w:rsid w:val="00E62045"/>
    <w:rsid w:val="00E620E8"/>
    <w:rsid w:val="00E6214D"/>
    <w:rsid w:val="00E62315"/>
    <w:rsid w:val="00E62337"/>
    <w:rsid w:val="00E62367"/>
    <w:rsid w:val="00E6263C"/>
    <w:rsid w:val="00E627EB"/>
    <w:rsid w:val="00E629A7"/>
    <w:rsid w:val="00E62A28"/>
    <w:rsid w:val="00E62BB4"/>
    <w:rsid w:val="00E62C10"/>
    <w:rsid w:val="00E62C38"/>
    <w:rsid w:val="00E62DA9"/>
    <w:rsid w:val="00E62E4A"/>
    <w:rsid w:val="00E62EA6"/>
    <w:rsid w:val="00E62EB7"/>
    <w:rsid w:val="00E62F25"/>
    <w:rsid w:val="00E62F5D"/>
    <w:rsid w:val="00E63153"/>
    <w:rsid w:val="00E631B4"/>
    <w:rsid w:val="00E63307"/>
    <w:rsid w:val="00E63344"/>
    <w:rsid w:val="00E63378"/>
    <w:rsid w:val="00E6350A"/>
    <w:rsid w:val="00E63573"/>
    <w:rsid w:val="00E63624"/>
    <w:rsid w:val="00E636F4"/>
    <w:rsid w:val="00E636F6"/>
    <w:rsid w:val="00E637FD"/>
    <w:rsid w:val="00E63921"/>
    <w:rsid w:val="00E63A09"/>
    <w:rsid w:val="00E63CBB"/>
    <w:rsid w:val="00E63CC3"/>
    <w:rsid w:val="00E63DEB"/>
    <w:rsid w:val="00E63E10"/>
    <w:rsid w:val="00E63E1F"/>
    <w:rsid w:val="00E640FA"/>
    <w:rsid w:val="00E64199"/>
    <w:rsid w:val="00E6421E"/>
    <w:rsid w:val="00E6429B"/>
    <w:rsid w:val="00E64368"/>
    <w:rsid w:val="00E64441"/>
    <w:rsid w:val="00E644CE"/>
    <w:rsid w:val="00E6454A"/>
    <w:rsid w:val="00E6454D"/>
    <w:rsid w:val="00E64684"/>
    <w:rsid w:val="00E647EF"/>
    <w:rsid w:val="00E6487F"/>
    <w:rsid w:val="00E649CA"/>
    <w:rsid w:val="00E64A3B"/>
    <w:rsid w:val="00E64A96"/>
    <w:rsid w:val="00E64B91"/>
    <w:rsid w:val="00E64BE4"/>
    <w:rsid w:val="00E64C96"/>
    <w:rsid w:val="00E64D6C"/>
    <w:rsid w:val="00E64FB3"/>
    <w:rsid w:val="00E650D5"/>
    <w:rsid w:val="00E651BB"/>
    <w:rsid w:val="00E653CB"/>
    <w:rsid w:val="00E653EA"/>
    <w:rsid w:val="00E654E1"/>
    <w:rsid w:val="00E65565"/>
    <w:rsid w:val="00E655D4"/>
    <w:rsid w:val="00E6593B"/>
    <w:rsid w:val="00E65971"/>
    <w:rsid w:val="00E65994"/>
    <w:rsid w:val="00E659CE"/>
    <w:rsid w:val="00E659EA"/>
    <w:rsid w:val="00E65BF5"/>
    <w:rsid w:val="00E65C2F"/>
    <w:rsid w:val="00E65D56"/>
    <w:rsid w:val="00E65FC9"/>
    <w:rsid w:val="00E661FE"/>
    <w:rsid w:val="00E6625D"/>
    <w:rsid w:val="00E6627D"/>
    <w:rsid w:val="00E663BB"/>
    <w:rsid w:val="00E66527"/>
    <w:rsid w:val="00E6656A"/>
    <w:rsid w:val="00E665C0"/>
    <w:rsid w:val="00E6677B"/>
    <w:rsid w:val="00E667AF"/>
    <w:rsid w:val="00E668AB"/>
    <w:rsid w:val="00E66A82"/>
    <w:rsid w:val="00E66B50"/>
    <w:rsid w:val="00E66C74"/>
    <w:rsid w:val="00E66D36"/>
    <w:rsid w:val="00E66D3A"/>
    <w:rsid w:val="00E66D59"/>
    <w:rsid w:val="00E66D8D"/>
    <w:rsid w:val="00E66E16"/>
    <w:rsid w:val="00E67120"/>
    <w:rsid w:val="00E6713E"/>
    <w:rsid w:val="00E67194"/>
    <w:rsid w:val="00E673DA"/>
    <w:rsid w:val="00E67576"/>
    <w:rsid w:val="00E6765F"/>
    <w:rsid w:val="00E679A6"/>
    <w:rsid w:val="00E67A87"/>
    <w:rsid w:val="00E67AA8"/>
    <w:rsid w:val="00E67CE4"/>
    <w:rsid w:val="00E67D02"/>
    <w:rsid w:val="00E67EC8"/>
    <w:rsid w:val="00E70098"/>
    <w:rsid w:val="00E70123"/>
    <w:rsid w:val="00E70204"/>
    <w:rsid w:val="00E7025A"/>
    <w:rsid w:val="00E702E8"/>
    <w:rsid w:val="00E703E6"/>
    <w:rsid w:val="00E7040E"/>
    <w:rsid w:val="00E70465"/>
    <w:rsid w:val="00E708B9"/>
    <w:rsid w:val="00E70941"/>
    <w:rsid w:val="00E70AC7"/>
    <w:rsid w:val="00E70B06"/>
    <w:rsid w:val="00E70FA8"/>
    <w:rsid w:val="00E7101C"/>
    <w:rsid w:val="00E712BB"/>
    <w:rsid w:val="00E717BE"/>
    <w:rsid w:val="00E717EA"/>
    <w:rsid w:val="00E718FF"/>
    <w:rsid w:val="00E7197B"/>
    <w:rsid w:val="00E71A20"/>
    <w:rsid w:val="00E71A9F"/>
    <w:rsid w:val="00E71ADD"/>
    <w:rsid w:val="00E71AE8"/>
    <w:rsid w:val="00E71D1C"/>
    <w:rsid w:val="00E71D2C"/>
    <w:rsid w:val="00E71D66"/>
    <w:rsid w:val="00E71D7D"/>
    <w:rsid w:val="00E71DEE"/>
    <w:rsid w:val="00E71F24"/>
    <w:rsid w:val="00E71F71"/>
    <w:rsid w:val="00E71FE9"/>
    <w:rsid w:val="00E72017"/>
    <w:rsid w:val="00E722CA"/>
    <w:rsid w:val="00E722E7"/>
    <w:rsid w:val="00E725AC"/>
    <w:rsid w:val="00E72643"/>
    <w:rsid w:val="00E726AC"/>
    <w:rsid w:val="00E72755"/>
    <w:rsid w:val="00E72842"/>
    <w:rsid w:val="00E729FA"/>
    <w:rsid w:val="00E72A4D"/>
    <w:rsid w:val="00E72B5B"/>
    <w:rsid w:val="00E72BC8"/>
    <w:rsid w:val="00E72E6D"/>
    <w:rsid w:val="00E72FEF"/>
    <w:rsid w:val="00E73117"/>
    <w:rsid w:val="00E7334B"/>
    <w:rsid w:val="00E7345F"/>
    <w:rsid w:val="00E73624"/>
    <w:rsid w:val="00E73650"/>
    <w:rsid w:val="00E73901"/>
    <w:rsid w:val="00E73D9A"/>
    <w:rsid w:val="00E73E76"/>
    <w:rsid w:val="00E740F1"/>
    <w:rsid w:val="00E742A3"/>
    <w:rsid w:val="00E74490"/>
    <w:rsid w:val="00E745D0"/>
    <w:rsid w:val="00E746A1"/>
    <w:rsid w:val="00E74835"/>
    <w:rsid w:val="00E74A50"/>
    <w:rsid w:val="00E74AAC"/>
    <w:rsid w:val="00E74B48"/>
    <w:rsid w:val="00E74BE7"/>
    <w:rsid w:val="00E74D8F"/>
    <w:rsid w:val="00E74ED8"/>
    <w:rsid w:val="00E7505B"/>
    <w:rsid w:val="00E7505F"/>
    <w:rsid w:val="00E75187"/>
    <w:rsid w:val="00E75257"/>
    <w:rsid w:val="00E75258"/>
    <w:rsid w:val="00E75293"/>
    <w:rsid w:val="00E752A9"/>
    <w:rsid w:val="00E7530D"/>
    <w:rsid w:val="00E75374"/>
    <w:rsid w:val="00E7549D"/>
    <w:rsid w:val="00E75684"/>
    <w:rsid w:val="00E756C4"/>
    <w:rsid w:val="00E7583C"/>
    <w:rsid w:val="00E75AB7"/>
    <w:rsid w:val="00E75F34"/>
    <w:rsid w:val="00E760A8"/>
    <w:rsid w:val="00E761F7"/>
    <w:rsid w:val="00E764E5"/>
    <w:rsid w:val="00E7677C"/>
    <w:rsid w:val="00E769C3"/>
    <w:rsid w:val="00E76AA4"/>
    <w:rsid w:val="00E76AE6"/>
    <w:rsid w:val="00E76B92"/>
    <w:rsid w:val="00E76C5B"/>
    <w:rsid w:val="00E76C8C"/>
    <w:rsid w:val="00E77046"/>
    <w:rsid w:val="00E77180"/>
    <w:rsid w:val="00E774DD"/>
    <w:rsid w:val="00E7768D"/>
    <w:rsid w:val="00E776FB"/>
    <w:rsid w:val="00E7775D"/>
    <w:rsid w:val="00E779CD"/>
    <w:rsid w:val="00E77B7A"/>
    <w:rsid w:val="00E77BFF"/>
    <w:rsid w:val="00E80068"/>
    <w:rsid w:val="00E802FE"/>
    <w:rsid w:val="00E806D0"/>
    <w:rsid w:val="00E808E7"/>
    <w:rsid w:val="00E8097D"/>
    <w:rsid w:val="00E80BE9"/>
    <w:rsid w:val="00E80D1F"/>
    <w:rsid w:val="00E80D54"/>
    <w:rsid w:val="00E80E81"/>
    <w:rsid w:val="00E80F3E"/>
    <w:rsid w:val="00E81097"/>
    <w:rsid w:val="00E810DC"/>
    <w:rsid w:val="00E811F2"/>
    <w:rsid w:val="00E8147E"/>
    <w:rsid w:val="00E81567"/>
    <w:rsid w:val="00E8162B"/>
    <w:rsid w:val="00E81680"/>
    <w:rsid w:val="00E81755"/>
    <w:rsid w:val="00E817C6"/>
    <w:rsid w:val="00E817F1"/>
    <w:rsid w:val="00E81975"/>
    <w:rsid w:val="00E819B1"/>
    <w:rsid w:val="00E81A40"/>
    <w:rsid w:val="00E81AC5"/>
    <w:rsid w:val="00E81BD4"/>
    <w:rsid w:val="00E81C0E"/>
    <w:rsid w:val="00E81C24"/>
    <w:rsid w:val="00E81CC1"/>
    <w:rsid w:val="00E81ECF"/>
    <w:rsid w:val="00E81EF4"/>
    <w:rsid w:val="00E81F28"/>
    <w:rsid w:val="00E821FB"/>
    <w:rsid w:val="00E8255F"/>
    <w:rsid w:val="00E827BA"/>
    <w:rsid w:val="00E82962"/>
    <w:rsid w:val="00E82AD0"/>
    <w:rsid w:val="00E82AE6"/>
    <w:rsid w:val="00E830FA"/>
    <w:rsid w:val="00E8312C"/>
    <w:rsid w:val="00E83173"/>
    <w:rsid w:val="00E832E7"/>
    <w:rsid w:val="00E832FB"/>
    <w:rsid w:val="00E8334B"/>
    <w:rsid w:val="00E83649"/>
    <w:rsid w:val="00E837F8"/>
    <w:rsid w:val="00E83AE5"/>
    <w:rsid w:val="00E83B1B"/>
    <w:rsid w:val="00E83B28"/>
    <w:rsid w:val="00E83CE7"/>
    <w:rsid w:val="00E83D90"/>
    <w:rsid w:val="00E83DC4"/>
    <w:rsid w:val="00E84021"/>
    <w:rsid w:val="00E8445E"/>
    <w:rsid w:val="00E84466"/>
    <w:rsid w:val="00E84636"/>
    <w:rsid w:val="00E847C5"/>
    <w:rsid w:val="00E8481F"/>
    <w:rsid w:val="00E848E9"/>
    <w:rsid w:val="00E84958"/>
    <w:rsid w:val="00E84A3A"/>
    <w:rsid w:val="00E84A6B"/>
    <w:rsid w:val="00E84C8F"/>
    <w:rsid w:val="00E84C9F"/>
    <w:rsid w:val="00E84DEB"/>
    <w:rsid w:val="00E84E88"/>
    <w:rsid w:val="00E84F9D"/>
    <w:rsid w:val="00E85115"/>
    <w:rsid w:val="00E85274"/>
    <w:rsid w:val="00E852C5"/>
    <w:rsid w:val="00E85362"/>
    <w:rsid w:val="00E85447"/>
    <w:rsid w:val="00E8551C"/>
    <w:rsid w:val="00E85551"/>
    <w:rsid w:val="00E85751"/>
    <w:rsid w:val="00E857F6"/>
    <w:rsid w:val="00E858BD"/>
    <w:rsid w:val="00E858CA"/>
    <w:rsid w:val="00E85BD3"/>
    <w:rsid w:val="00E85CAF"/>
    <w:rsid w:val="00E85D4A"/>
    <w:rsid w:val="00E85F56"/>
    <w:rsid w:val="00E85FBB"/>
    <w:rsid w:val="00E85FEB"/>
    <w:rsid w:val="00E86149"/>
    <w:rsid w:val="00E86230"/>
    <w:rsid w:val="00E86577"/>
    <w:rsid w:val="00E866E6"/>
    <w:rsid w:val="00E8674E"/>
    <w:rsid w:val="00E867F5"/>
    <w:rsid w:val="00E86A2B"/>
    <w:rsid w:val="00E86BF7"/>
    <w:rsid w:val="00E86D40"/>
    <w:rsid w:val="00E86F13"/>
    <w:rsid w:val="00E87004"/>
    <w:rsid w:val="00E8706D"/>
    <w:rsid w:val="00E87096"/>
    <w:rsid w:val="00E871F5"/>
    <w:rsid w:val="00E87242"/>
    <w:rsid w:val="00E87358"/>
    <w:rsid w:val="00E873B1"/>
    <w:rsid w:val="00E875CC"/>
    <w:rsid w:val="00E8778E"/>
    <w:rsid w:val="00E878B7"/>
    <w:rsid w:val="00E87909"/>
    <w:rsid w:val="00E87918"/>
    <w:rsid w:val="00E87939"/>
    <w:rsid w:val="00E87A2F"/>
    <w:rsid w:val="00E87B4E"/>
    <w:rsid w:val="00E87B6D"/>
    <w:rsid w:val="00E87DA8"/>
    <w:rsid w:val="00E9016B"/>
    <w:rsid w:val="00E9046F"/>
    <w:rsid w:val="00E907C5"/>
    <w:rsid w:val="00E907E8"/>
    <w:rsid w:val="00E907FE"/>
    <w:rsid w:val="00E90AA1"/>
    <w:rsid w:val="00E90B2C"/>
    <w:rsid w:val="00E90B4A"/>
    <w:rsid w:val="00E90BCB"/>
    <w:rsid w:val="00E90D96"/>
    <w:rsid w:val="00E90DA9"/>
    <w:rsid w:val="00E90F99"/>
    <w:rsid w:val="00E9118D"/>
    <w:rsid w:val="00E91379"/>
    <w:rsid w:val="00E91636"/>
    <w:rsid w:val="00E916DD"/>
    <w:rsid w:val="00E916DF"/>
    <w:rsid w:val="00E9186F"/>
    <w:rsid w:val="00E91881"/>
    <w:rsid w:val="00E9192F"/>
    <w:rsid w:val="00E91AE7"/>
    <w:rsid w:val="00E91B34"/>
    <w:rsid w:val="00E91C07"/>
    <w:rsid w:val="00E91D61"/>
    <w:rsid w:val="00E91EAA"/>
    <w:rsid w:val="00E92145"/>
    <w:rsid w:val="00E92190"/>
    <w:rsid w:val="00E9250B"/>
    <w:rsid w:val="00E92559"/>
    <w:rsid w:val="00E927D0"/>
    <w:rsid w:val="00E92830"/>
    <w:rsid w:val="00E92878"/>
    <w:rsid w:val="00E9296F"/>
    <w:rsid w:val="00E92A12"/>
    <w:rsid w:val="00E92A1B"/>
    <w:rsid w:val="00E92B70"/>
    <w:rsid w:val="00E92BD9"/>
    <w:rsid w:val="00E93017"/>
    <w:rsid w:val="00E930CE"/>
    <w:rsid w:val="00E930E9"/>
    <w:rsid w:val="00E930F0"/>
    <w:rsid w:val="00E93263"/>
    <w:rsid w:val="00E93271"/>
    <w:rsid w:val="00E93297"/>
    <w:rsid w:val="00E93325"/>
    <w:rsid w:val="00E93705"/>
    <w:rsid w:val="00E937A2"/>
    <w:rsid w:val="00E93938"/>
    <w:rsid w:val="00E93977"/>
    <w:rsid w:val="00E93B0B"/>
    <w:rsid w:val="00E9418A"/>
    <w:rsid w:val="00E9424C"/>
    <w:rsid w:val="00E943A6"/>
    <w:rsid w:val="00E943C7"/>
    <w:rsid w:val="00E94471"/>
    <w:rsid w:val="00E945CF"/>
    <w:rsid w:val="00E94623"/>
    <w:rsid w:val="00E946DA"/>
    <w:rsid w:val="00E948C9"/>
    <w:rsid w:val="00E94C21"/>
    <w:rsid w:val="00E95171"/>
    <w:rsid w:val="00E95239"/>
    <w:rsid w:val="00E95413"/>
    <w:rsid w:val="00E95435"/>
    <w:rsid w:val="00E95832"/>
    <w:rsid w:val="00E95A4B"/>
    <w:rsid w:val="00E95AA8"/>
    <w:rsid w:val="00E95BD8"/>
    <w:rsid w:val="00E95E0F"/>
    <w:rsid w:val="00E95EB6"/>
    <w:rsid w:val="00E9608E"/>
    <w:rsid w:val="00E961E8"/>
    <w:rsid w:val="00E962AB"/>
    <w:rsid w:val="00E962FF"/>
    <w:rsid w:val="00E96490"/>
    <w:rsid w:val="00E9651D"/>
    <w:rsid w:val="00E96547"/>
    <w:rsid w:val="00E965D1"/>
    <w:rsid w:val="00E96689"/>
    <w:rsid w:val="00E96921"/>
    <w:rsid w:val="00E96925"/>
    <w:rsid w:val="00E96C4B"/>
    <w:rsid w:val="00E96C6B"/>
    <w:rsid w:val="00E96C6E"/>
    <w:rsid w:val="00E96F79"/>
    <w:rsid w:val="00E97100"/>
    <w:rsid w:val="00E971EF"/>
    <w:rsid w:val="00E97399"/>
    <w:rsid w:val="00E97421"/>
    <w:rsid w:val="00E974C3"/>
    <w:rsid w:val="00E974F3"/>
    <w:rsid w:val="00E9763C"/>
    <w:rsid w:val="00E9783B"/>
    <w:rsid w:val="00E97A4E"/>
    <w:rsid w:val="00E97A5F"/>
    <w:rsid w:val="00E97D6A"/>
    <w:rsid w:val="00E97FEA"/>
    <w:rsid w:val="00EA00DE"/>
    <w:rsid w:val="00EA01CE"/>
    <w:rsid w:val="00EA01F9"/>
    <w:rsid w:val="00EA030E"/>
    <w:rsid w:val="00EA0402"/>
    <w:rsid w:val="00EA0560"/>
    <w:rsid w:val="00EA061D"/>
    <w:rsid w:val="00EA0821"/>
    <w:rsid w:val="00EA08A9"/>
    <w:rsid w:val="00EA08E5"/>
    <w:rsid w:val="00EA0A23"/>
    <w:rsid w:val="00EA0A83"/>
    <w:rsid w:val="00EA0BCB"/>
    <w:rsid w:val="00EA0C17"/>
    <w:rsid w:val="00EA0CB0"/>
    <w:rsid w:val="00EA0D5D"/>
    <w:rsid w:val="00EA0ED3"/>
    <w:rsid w:val="00EA0F0F"/>
    <w:rsid w:val="00EA1040"/>
    <w:rsid w:val="00EA11F1"/>
    <w:rsid w:val="00EA1629"/>
    <w:rsid w:val="00EA1632"/>
    <w:rsid w:val="00EA17B8"/>
    <w:rsid w:val="00EA18C3"/>
    <w:rsid w:val="00EA1A88"/>
    <w:rsid w:val="00EA1AA9"/>
    <w:rsid w:val="00EA1B05"/>
    <w:rsid w:val="00EA1B23"/>
    <w:rsid w:val="00EA1E93"/>
    <w:rsid w:val="00EA23CA"/>
    <w:rsid w:val="00EA24BE"/>
    <w:rsid w:val="00EA24DB"/>
    <w:rsid w:val="00EA26EF"/>
    <w:rsid w:val="00EA27A4"/>
    <w:rsid w:val="00EA280B"/>
    <w:rsid w:val="00EA28CC"/>
    <w:rsid w:val="00EA297A"/>
    <w:rsid w:val="00EA297C"/>
    <w:rsid w:val="00EA2A60"/>
    <w:rsid w:val="00EA2D6D"/>
    <w:rsid w:val="00EA2D74"/>
    <w:rsid w:val="00EA2E35"/>
    <w:rsid w:val="00EA2E55"/>
    <w:rsid w:val="00EA302E"/>
    <w:rsid w:val="00EA3162"/>
    <w:rsid w:val="00EA3242"/>
    <w:rsid w:val="00EA33F9"/>
    <w:rsid w:val="00EA3520"/>
    <w:rsid w:val="00EA3781"/>
    <w:rsid w:val="00EA3929"/>
    <w:rsid w:val="00EA39E5"/>
    <w:rsid w:val="00EA3A09"/>
    <w:rsid w:val="00EA3A0E"/>
    <w:rsid w:val="00EA3CB4"/>
    <w:rsid w:val="00EA3CF8"/>
    <w:rsid w:val="00EA3E16"/>
    <w:rsid w:val="00EA3EB6"/>
    <w:rsid w:val="00EA3EE0"/>
    <w:rsid w:val="00EA464A"/>
    <w:rsid w:val="00EA46FD"/>
    <w:rsid w:val="00EA4845"/>
    <w:rsid w:val="00EA4A4B"/>
    <w:rsid w:val="00EA4BFF"/>
    <w:rsid w:val="00EA4E78"/>
    <w:rsid w:val="00EA4FCF"/>
    <w:rsid w:val="00EA515C"/>
    <w:rsid w:val="00EA597D"/>
    <w:rsid w:val="00EA5C56"/>
    <w:rsid w:val="00EA5CF5"/>
    <w:rsid w:val="00EA5DAF"/>
    <w:rsid w:val="00EA5F2E"/>
    <w:rsid w:val="00EA5F9C"/>
    <w:rsid w:val="00EA5FAF"/>
    <w:rsid w:val="00EA5FCF"/>
    <w:rsid w:val="00EA6054"/>
    <w:rsid w:val="00EA62F7"/>
    <w:rsid w:val="00EA62FF"/>
    <w:rsid w:val="00EA6426"/>
    <w:rsid w:val="00EA680B"/>
    <w:rsid w:val="00EA6921"/>
    <w:rsid w:val="00EA6979"/>
    <w:rsid w:val="00EA6AAA"/>
    <w:rsid w:val="00EA6AC6"/>
    <w:rsid w:val="00EA6BB7"/>
    <w:rsid w:val="00EA6DA2"/>
    <w:rsid w:val="00EA6E14"/>
    <w:rsid w:val="00EA6E2A"/>
    <w:rsid w:val="00EA6EAD"/>
    <w:rsid w:val="00EA70B7"/>
    <w:rsid w:val="00EA71F2"/>
    <w:rsid w:val="00EA73A4"/>
    <w:rsid w:val="00EA74C8"/>
    <w:rsid w:val="00EA7770"/>
    <w:rsid w:val="00EA778A"/>
    <w:rsid w:val="00EA7864"/>
    <w:rsid w:val="00EA79EB"/>
    <w:rsid w:val="00EA7C5F"/>
    <w:rsid w:val="00EA7DB7"/>
    <w:rsid w:val="00EA7E57"/>
    <w:rsid w:val="00EA7E87"/>
    <w:rsid w:val="00EB0045"/>
    <w:rsid w:val="00EB0046"/>
    <w:rsid w:val="00EB00F7"/>
    <w:rsid w:val="00EB025C"/>
    <w:rsid w:val="00EB04CF"/>
    <w:rsid w:val="00EB07D8"/>
    <w:rsid w:val="00EB0A25"/>
    <w:rsid w:val="00EB0A87"/>
    <w:rsid w:val="00EB0BB9"/>
    <w:rsid w:val="00EB0D02"/>
    <w:rsid w:val="00EB0D48"/>
    <w:rsid w:val="00EB0E0B"/>
    <w:rsid w:val="00EB0E3F"/>
    <w:rsid w:val="00EB0ECD"/>
    <w:rsid w:val="00EB1108"/>
    <w:rsid w:val="00EB11B7"/>
    <w:rsid w:val="00EB12BB"/>
    <w:rsid w:val="00EB132B"/>
    <w:rsid w:val="00EB151F"/>
    <w:rsid w:val="00EB17FF"/>
    <w:rsid w:val="00EB1BDF"/>
    <w:rsid w:val="00EB1CA6"/>
    <w:rsid w:val="00EB211A"/>
    <w:rsid w:val="00EB21AB"/>
    <w:rsid w:val="00EB2234"/>
    <w:rsid w:val="00EB2438"/>
    <w:rsid w:val="00EB25EA"/>
    <w:rsid w:val="00EB27D3"/>
    <w:rsid w:val="00EB2936"/>
    <w:rsid w:val="00EB2944"/>
    <w:rsid w:val="00EB2988"/>
    <w:rsid w:val="00EB2AC1"/>
    <w:rsid w:val="00EB2AE0"/>
    <w:rsid w:val="00EB2B87"/>
    <w:rsid w:val="00EB2B9A"/>
    <w:rsid w:val="00EB2C19"/>
    <w:rsid w:val="00EB2C96"/>
    <w:rsid w:val="00EB2D3E"/>
    <w:rsid w:val="00EB2E78"/>
    <w:rsid w:val="00EB2FA8"/>
    <w:rsid w:val="00EB304F"/>
    <w:rsid w:val="00EB30BC"/>
    <w:rsid w:val="00EB3174"/>
    <w:rsid w:val="00EB31FF"/>
    <w:rsid w:val="00EB32C2"/>
    <w:rsid w:val="00EB3461"/>
    <w:rsid w:val="00EB3486"/>
    <w:rsid w:val="00EB358D"/>
    <w:rsid w:val="00EB365F"/>
    <w:rsid w:val="00EB39EB"/>
    <w:rsid w:val="00EB3AC6"/>
    <w:rsid w:val="00EB3AE6"/>
    <w:rsid w:val="00EB3B79"/>
    <w:rsid w:val="00EB3BE1"/>
    <w:rsid w:val="00EB3CE1"/>
    <w:rsid w:val="00EB3CFA"/>
    <w:rsid w:val="00EB3E5C"/>
    <w:rsid w:val="00EB41C4"/>
    <w:rsid w:val="00EB4661"/>
    <w:rsid w:val="00EB48E7"/>
    <w:rsid w:val="00EB4BAF"/>
    <w:rsid w:val="00EB4C35"/>
    <w:rsid w:val="00EB4C4F"/>
    <w:rsid w:val="00EB4CF2"/>
    <w:rsid w:val="00EB4D43"/>
    <w:rsid w:val="00EB4D58"/>
    <w:rsid w:val="00EB4DBE"/>
    <w:rsid w:val="00EB4ED9"/>
    <w:rsid w:val="00EB4F97"/>
    <w:rsid w:val="00EB5089"/>
    <w:rsid w:val="00EB52D2"/>
    <w:rsid w:val="00EB532E"/>
    <w:rsid w:val="00EB53C3"/>
    <w:rsid w:val="00EB5531"/>
    <w:rsid w:val="00EB57AC"/>
    <w:rsid w:val="00EB58A8"/>
    <w:rsid w:val="00EB5950"/>
    <w:rsid w:val="00EB598B"/>
    <w:rsid w:val="00EB59A1"/>
    <w:rsid w:val="00EB59B1"/>
    <w:rsid w:val="00EB59F0"/>
    <w:rsid w:val="00EB5B0E"/>
    <w:rsid w:val="00EB5DB6"/>
    <w:rsid w:val="00EB5E3E"/>
    <w:rsid w:val="00EB5FE2"/>
    <w:rsid w:val="00EB62CB"/>
    <w:rsid w:val="00EB6576"/>
    <w:rsid w:val="00EB68A2"/>
    <w:rsid w:val="00EB6B39"/>
    <w:rsid w:val="00EB6B4D"/>
    <w:rsid w:val="00EB6E69"/>
    <w:rsid w:val="00EB6E9C"/>
    <w:rsid w:val="00EB6EF1"/>
    <w:rsid w:val="00EB6F5E"/>
    <w:rsid w:val="00EB6F62"/>
    <w:rsid w:val="00EB6FE5"/>
    <w:rsid w:val="00EB703E"/>
    <w:rsid w:val="00EB70BB"/>
    <w:rsid w:val="00EB7122"/>
    <w:rsid w:val="00EB7145"/>
    <w:rsid w:val="00EB738D"/>
    <w:rsid w:val="00EB762E"/>
    <w:rsid w:val="00EB7641"/>
    <w:rsid w:val="00EB767D"/>
    <w:rsid w:val="00EB7689"/>
    <w:rsid w:val="00EB7715"/>
    <w:rsid w:val="00EB7846"/>
    <w:rsid w:val="00EB79E9"/>
    <w:rsid w:val="00EB7A4E"/>
    <w:rsid w:val="00EB7A6C"/>
    <w:rsid w:val="00EB7AB5"/>
    <w:rsid w:val="00EB7B55"/>
    <w:rsid w:val="00EB7BBA"/>
    <w:rsid w:val="00EB7C80"/>
    <w:rsid w:val="00EB7EC2"/>
    <w:rsid w:val="00EB7FB4"/>
    <w:rsid w:val="00EC043B"/>
    <w:rsid w:val="00EC0474"/>
    <w:rsid w:val="00EC0508"/>
    <w:rsid w:val="00EC0518"/>
    <w:rsid w:val="00EC06BE"/>
    <w:rsid w:val="00EC0781"/>
    <w:rsid w:val="00EC08E4"/>
    <w:rsid w:val="00EC08EC"/>
    <w:rsid w:val="00EC094E"/>
    <w:rsid w:val="00EC0B1E"/>
    <w:rsid w:val="00EC0BFB"/>
    <w:rsid w:val="00EC0CB0"/>
    <w:rsid w:val="00EC0D9F"/>
    <w:rsid w:val="00EC0EC2"/>
    <w:rsid w:val="00EC0EED"/>
    <w:rsid w:val="00EC11BA"/>
    <w:rsid w:val="00EC1261"/>
    <w:rsid w:val="00EC1557"/>
    <w:rsid w:val="00EC1628"/>
    <w:rsid w:val="00EC1677"/>
    <w:rsid w:val="00EC16B0"/>
    <w:rsid w:val="00EC17BE"/>
    <w:rsid w:val="00EC184E"/>
    <w:rsid w:val="00EC1929"/>
    <w:rsid w:val="00EC192D"/>
    <w:rsid w:val="00EC1AB8"/>
    <w:rsid w:val="00EC1C57"/>
    <w:rsid w:val="00EC21AD"/>
    <w:rsid w:val="00EC22B0"/>
    <w:rsid w:val="00EC234A"/>
    <w:rsid w:val="00EC2456"/>
    <w:rsid w:val="00EC24DE"/>
    <w:rsid w:val="00EC2501"/>
    <w:rsid w:val="00EC25FF"/>
    <w:rsid w:val="00EC26E4"/>
    <w:rsid w:val="00EC2944"/>
    <w:rsid w:val="00EC2E74"/>
    <w:rsid w:val="00EC30CC"/>
    <w:rsid w:val="00EC314C"/>
    <w:rsid w:val="00EC3182"/>
    <w:rsid w:val="00EC31B4"/>
    <w:rsid w:val="00EC3363"/>
    <w:rsid w:val="00EC36D4"/>
    <w:rsid w:val="00EC3930"/>
    <w:rsid w:val="00EC3A0A"/>
    <w:rsid w:val="00EC3A96"/>
    <w:rsid w:val="00EC3B04"/>
    <w:rsid w:val="00EC3B06"/>
    <w:rsid w:val="00EC3DAA"/>
    <w:rsid w:val="00EC3DCF"/>
    <w:rsid w:val="00EC3F1B"/>
    <w:rsid w:val="00EC3F33"/>
    <w:rsid w:val="00EC402A"/>
    <w:rsid w:val="00EC402C"/>
    <w:rsid w:val="00EC4231"/>
    <w:rsid w:val="00EC4232"/>
    <w:rsid w:val="00EC4282"/>
    <w:rsid w:val="00EC436C"/>
    <w:rsid w:val="00EC4494"/>
    <w:rsid w:val="00EC44A3"/>
    <w:rsid w:val="00EC44AB"/>
    <w:rsid w:val="00EC45DB"/>
    <w:rsid w:val="00EC4694"/>
    <w:rsid w:val="00EC4707"/>
    <w:rsid w:val="00EC48E4"/>
    <w:rsid w:val="00EC4B0D"/>
    <w:rsid w:val="00EC4B71"/>
    <w:rsid w:val="00EC51D3"/>
    <w:rsid w:val="00EC52F3"/>
    <w:rsid w:val="00EC54D5"/>
    <w:rsid w:val="00EC54DC"/>
    <w:rsid w:val="00EC54ED"/>
    <w:rsid w:val="00EC5551"/>
    <w:rsid w:val="00EC56B1"/>
    <w:rsid w:val="00EC56F7"/>
    <w:rsid w:val="00EC5A9D"/>
    <w:rsid w:val="00EC5D40"/>
    <w:rsid w:val="00EC5D6B"/>
    <w:rsid w:val="00EC5DC0"/>
    <w:rsid w:val="00EC6008"/>
    <w:rsid w:val="00EC6099"/>
    <w:rsid w:val="00EC60BE"/>
    <w:rsid w:val="00EC6332"/>
    <w:rsid w:val="00EC6489"/>
    <w:rsid w:val="00EC6491"/>
    <w:rsid w:val="00EC6507"/>
    <w:rsid w:val="00EC6530"/>
    <w:rsid w:val="00EC6787"/>
    <w:rsid w:val="00EC688B"/>
    <w:rsid w:val="00EC6983"/>
    <w:rsid w:val="00EC69BA"/>
    <w:rsid w:val="00EC69ED"/>
    <w:rsid w:val="00EC6BD1"/>
    <w:rsid w:val="00EC6CB7"/>
    <w:rsid w:val="00EC6CE4"/>
    <w:rsid w:val="00EC6D33"/>
    <w:rsid w:val="00EC6EC6"/>
    <w:rsid w:val="00EC6F96"/>
    <w:rsid w:val="00EC7050"/>
    <w:rsid w:val="00EC7198"/>
    <w:rsid w:val="00EC7297"/>
    <w:rsid w:val="00EC7307"/>
    <w:rsid w:val="00EC7361"/>
    <w:rsid w:val="00EC7464"/>
    <w:rsid w:val="00EC753F"/>
    <w:rsid w:val="00EC7942"/>
    <w:rsid w:val="00EC7D7B"/>
    <w:rsid w:val="00ED018E"/>
    <w:rsid w:val="00ED0231"/>
    <w:rsid w:val="00ED0414"/>
    <w:rsid w:val="00ED0586"/>
    <w:rsid w:val="00ED0775"/>
    <w:rsid w:val="00ED0802"/>
    <w:rsid w:val="00ED0A4B"/>
    <w:rsid w:val="00ED0C8C"/>
    <w:rsid w:val="00ED0DEC"/>
    <w:rsid w:val="00ED0EA9"/>
    <w:rsid w:val="00ED0F04"/>
    <w:rsid w:val="00ED0F54"/>
    <w:rsid w:val="00ED1102"/>
    <w:rsid w:val="00ED114D"/>
    <w:rsid w:val="00ED125A"/>
    <w:rsid w:val="00ED1277"/>
    <w:rsid w:val="00ED12C3"/>
    <w:rsid w:val="00ED12D4"/>
    <w:rsid w:val="00ED13E1"/>
    <w:rsid w:val="00ED1582"/>
    <w:rsid w:val="00ED1661"/>
    <w:rsid w:val="00ED166F"/>
    <w:rsid w:val="00ED1877"/>
    <w:rsid w:val="00ED19E6"/>
    <w:rsid w:val="00ED1F01"/>
    <w:rsid w:val="00ED1FD2"/>
    <w:rsid w:val="00ED2059"/>
    <w:rsid w:val="00ED2140"/>
    <w:rsid w:val="00ED2141"/>
    <w:rsid w:val="00ED21C1"/>
    <w:rsid w:val="00ED23AE"/>
    <w:rsid w:val="00ED23F1"/>
    <w:rsid w:val="00ED242F"/>
    <w:rsid w:val="00ED2646"/>
    <w:rsid w:val="00ED2723"/>
    <w:rsid w:val="00ED2809"/>
    <w:rsid w:val="00ED28C7"/>
    <w:rsid w:val="00ED2912"/>
    <w:rsid w:val="00ED29D5"/>
    <w:rsid w:val="00ED2A41"/>
    <w:rsid w:val="00ED2A78"/>
    <w:rsid w:val="00ED2ADC"/>
    <w:rsid w:val="00ED2C13"/>
    <w:rsid w:val="00ED2CE6"/>
    <w:rsid w:val="00ED2F0A"/>
    <w:rsid w:val="00ED31A1"/>
    <w:rsid w:val="00ED35BF"/>
    <w:rsid w:val="00ED3728"/>
    <w:rsid w:val="00ED3761"/>
    <w:rsid w:val="00ED38DF"/>
    <w:rsid w:val="00ED3A2B"/>
    <w:rsid w:val="00ED3A9E"/>
    <w:rsid w:val="00ED3AAD"/>
    <w:rsid w:val="00ED3B33"/>
    <w:rsid w:val="00ED3BA0"/>
    <w:rsid w:val="00ED3BE9"/>
    <w:rsid w:val="00ED3C01"/>
    <w:rsid w:val="00ED3CB8"/>
    <w:rsid w:val="00ED3CCD"/>
    <w:rsid w:val="00ED3E29"/>
    <w:rsid w:val="00ED3E41"/>
    <w:rsid w:val="00ED400C"/>
    <w:rsid w:val="00ED4033"/>
    <w:rsid w:val="00ED40E0"/>
    <w:rsid w:val="00ED4100"/>
    <w:rsid w:val="00ED4112"/>
    <w:rsid w:val="00ED42D9"/>
    <w:rsid w:val="00ED4609"/>
    <w:rsid w:val="00ED460A"/>
    <w:rsid w:val="00ED4660"/>
    <w:rsid w:val="00ED4888"/>
    <w:rsid w:val="00ED4971"/>
    <w:rsid w:val="00ED49B8"/>
    <w:rsid w:val="00ED49D0"/>
    <w:rsid w:val="00ED4AA4"/>
    <w:rsid w:val="00ED4BAF"/>
    <w:rsid w:val="00ED4D5E"/>
    <w:rsid w:val="00ED5039"/>
    <w:rsid w:val="00ED5134"/>
    <w:rsid w:val="00ED5390"/>
    <w:rsid w:val="00ED53E7"/>
    <w:rsid w:val="00ED5630"/>
    <w:rsid w:val="00ED5656"/>
    <w:rsid w:val="00ED56BF"/>
    <w:rsid w:val="00ED5773"/>
    <w:rsid w:val="00ED58F6"/>
    <w:rsid w:val="00ED593B"/>
    <w:rsid w:val="00ED5987"/>
    <w:rsid w:val="00ED5AC4"/>
    <w:rsid w:val="00ED5AE8"/>
    <w:rsid w:val="00ED5B71"/>
    <w:rsid w:val="00ED5EF2"/>
    <w:rsid w:val="00ED61EB"/>
    <w:rsid w:val="00ED6386"/>
    <w:rsid w:val="00ED63EA"/>
    <w:rsid w:val="00ED6470"/>
    <w:rsid w:val="00ED65A9"/>
    <w:rsid w:val="00ED6669"/>
    <w:rsid w:val="00ED6676"/>
    <w:rsid w:val="00ED6840"/>
    <w:rsid w:val="00ED6A7C"/>
    <w:rsid w:val="00ED6B4F"/>
    <w:rsid w:val="00ED6CEB"/>
    <w:rsid w:val="00ED6D1F"/>
    <w:rsid w:val="00ED6F65"/>
    <w:rsid w:val="00ED6F9A"/>
    <w:rsid w:val="00ED720A"/>
    <w:rsid w:val="00ED73A1"/>
    <w:rsid w:val="00ED7610"/>
    <w:rsid w:val="00ED764F"/>
    <w:rsid w:val="00ED7685"/>
    <w:rsid w:val="00ED76EF"/>
    <w:rsid w:val="00ED78DC"/>
    <w:rsid w:val="00ED7909"/>
    <w:rsid w:val="00ED7A1C"/>
    <w:rsid w:val="00ED7F7F"/>
    <w:rsid w:val="00EE00C7"/>
    <w:rsid w:val="00EE0245"/>
    <w:rsid w:val="00EE0351"/>
    <w:rsid w:val="00EE040C"/>
    <w:rsid w:val="00EE05ED"/>
    <w:rsid w:val="00EE068E"/>
    <w:rsid w:val="00EE0695"/>
    <w:rsid w:val="00EE0732"/>
    <w:rsid w:val="00EE074E"/>
    <w:rsid w:val="00EE0803"/>
    <w:rsid w:val="00EE08C8"/>
    <w:rsid w:val="00EE08EC"/>
    <w:rsid w:val="00EE0BDF"/>
    <w:rsid w:val="00EE0C5B"/>
    <w:rsid w:val="00EE0CA9"/>
    <w:rsid w:val="00EE0DD6"/>
    <w:rsid w:val="00EE10D6"/>
    <w:rsid w:val="00EE11FA"/>
    <w:rsid w:val="00EE1351"/>
    <w:rsid w:val="00EE13BE"/>
    <w:rsid w:val="00EE13EB"/>
    <w:rsid w:val="00EE1602"/>
    <w:rsid w:val="00EE1682"/>
    <w:rsid w:val="00EE176A"/>
    <w:rsid w:val="00EE18B4"/>
    <w:rsid w:val="00EE19BD"/>
    <w:rsid w:val="00EE1A91"/>
    <w:rsid w:val="00EE1B5F"/>
    <w:rsid w:val="00EE1BC9"/>
    <w:rsid w:val="00EE1BFF"/>
    <w:rsid w:val="00EE1D7C"/>
    <w:rsid w:val="00EE1E3D"/>
    <w:rsid w:val="00EE1E62"/>
    <w:rsid w:val="00EE1F41"/>
    <w:rsid w:val="00EE209E"/>
    <w:rsid w:val="00EE2143"/>
    <w:rsid w:val="00EE214B"/>
    <w:rsid w:val="00EE2192"/>
    <w:rsid w:val="00EE2409"/>
    <w:rsid w:val="00EE250E"/>
    <w:rsid w:val="00EE253C"/>
    <w:rsid w:val="00EE2557"/>
    <w:rsid w:val="00EE2569"/>
    <w:rsid w:val="00EE25A8"/>
    <w:rsid w:val="00EE2631"/>
    <w:rsid w:val="00EE293C"/>
    <w:rsid w:val="00EE2A5D"/>
    <w:rsid w:val="00EE2B73"/>
    <w:rsid w:val="00EE2C1C"/>
    <w:rsid w:val="00EE2E07"/>
    <w:rsid w:val="00EE31D9"/>
    <w:rsid w:val="00EE356B"/>
    <w:rsid w:val="00EE35E8"/>
    <w:rsid w:val="00EE3655"/>
    <w:rsid w:val="00EE369F"/>
    <w:rsid w:val="00EE36F1"/>
    <w:rsid w:val="00EE37D6"/>
    <w:rsid w:val="00EE3875"/>
    <w:rsid w:val="00EE3905"/>
    <w:rsid w:val="00EE3AB2"/>
    <w:rsid w:val="00EE3AB5"/>
    <w:rsid w:val="00EE3B37"/>
    <w:rsid w:val="00EE3B69"/>
    <w:rsid w:val="00EE3B6B"/>
    <w:rsid w:val="00EE3BB7"/>
    <w:rsid w:val="00EE3CCE"/>
    <w:rsid w:val="00EE3D0B"/>
    <w:rsid w:val="00EE3D65"/>
    <w:rsid w:val="00EE3DB9"/>
    <w:rsid w:val="00EE3EEC"/>
    <w:rsid w:val="00EE3EF1"/>
    <w:rsid w:val="00EE3F81"/>
    <w:rsid w:val="00EE3F9C"/>
    <w:rsid w:val="00EE4128"/>
    <w:rsid w:val="00EE4130"/>
    <w:rsid w:val="00EE4271"/>
    <w:rsid w:val="00EE46F9"/>
    <w:rsid w:val="00EE4713"/>
    <w:rsid w:val="00EE477C"/>
    <w:rsid w:val="00EE47E9"/>
    <w:rsid w:val="00EE487D"/>
    <w:rsid w:val="00EE488D"/>
    <w:rsid w:val="00EE49BB"/>
    <w:rsid w:val="00EE4CA8"/>
    <w:rsid w:val="00EE4D02"/>
    <w:rsid w:val="00EE4D1D"/>
    <w:rsid w:val="00EE4ED5"/>
    <w:rsid w:val="00EE502E"/>
    <w:rsid w:val="00EE51B8"/>
    <w:rsid w:val="00EE5335"/>
    <w:rsid w:val="00EE568F"/>
    <w:rsid w:val="00EE56EA"/>
    <w:rsid w:val="00EE5729"/>
    <w:rsid w:val="00EE58F3"/>
    <w:rsid w:val="00EE596B"/>
    <w:rsid w:val="00EE5A13"/>
    <w:rsid w:val="00EE5B52"/>
    <w:rsid w:val="00EE5E0F"/>
    <w:rsid w:val="00EE609B"/>
    <w:rsid w:val="00EE61A0"/>
    <w:rsid w:val="00EE6495"/>
    <w:rsid w:val="00EE6807"/>
    <w:rsid w:val="00EE68CA"/>
    <w:rsid w:val="00EE68F7"/>
    <w:rsid w:val="00EE69BA"/>
    <w:rsid w:val="00EE6AB6"/>
    <w:rsid w:val="00EE6CC3"/>
    <w:rsid w:val="00EE6DD0"/>
    <w:rsid w:val="00EE6FA8"/>
    <w:rsid w:val="00EE6FB5"/>
    <w:rsid w:val="00EE704E"/>
    <w:rsid w:val="00EE7316"/>
    <w:rsid w:val="00EE7593"/>
    <w:rsid w:val="00EE763B"/>
    <w:rsid w:val="00EE768A"/>
    <w:rsid w:val="00EE769F"/>
    <w:rsid w:val="00EE77A4"/>
    <w:rsid w:val="00EE7826"/>
    <w:rsid w:val="00EE7844"/>
    <w:rsid w:val="00EE7B5E"/>
    <w:rsid w:val="00EE7C2B"/>
    <w:rsid w:val="00EE7DB3"/>
    <w:rsid w:val="00EEBE84"/>
    <w:rsid w:val="00EF0245"/>
    <w:rsid w:val="00EF03E8"/>
    <w:rsid w:val="00EF04EC"/>
    <w:rsid w:val="00EF0559"/>
    <w:rsid w:val="00EF058C"/>
    <w:rsid w:val="00EF05D5"/>
    <w:rsid w:val="00EF0606"/>
    <w:rsid w:val="00EF075F"/>
    <w:rsid w:val="00EF077C"/>
    <w:rsid w:val="00EF07BF"/>
    <w:rsid w:val="00EF09F2"/>
    <w:rsid w:val="00EF0D09"/>
    <w:rsid w:val="00EF0D4A"/>
    <w:rsid w:val="00EF11F8"/>
    <w:rsid w:val="00EF1489"/>
    <w:rsid w:val="00EF1509"/>
    <w:rsid w:val="00EF156D"/>
    <w:rsid w:val="00EF1607"/>
    <w:rsid w:val="00EF172B"/>
    <w:rsid w:val="00EF1773"/>
    <w:rsid w:val="00EF17C7"/>
    <w:rsid w:val="00EF1862"/>
    <w:rsid w:val="00EF192C"/>
    <w:rsid w:val="00EF1A72"/>
    <w:rsid w:val="00EF1AA5"/>
    <w:rsid w:val="00EF1FDA"/>
    <w:rsid w:val="00EF21D7"/>
    <w:rsid w:val="00EF22F3"/>
    <w:rsid w:val="00EF265D"/>
    <w:rsid w:val="00EF2692"/>
    <w:rsid w:val="00EF2920"/>
    <w:rsid w:val="00EF2B20"/>
    <w:rsid w:val="00EF2C76"/>
    <w:rsid w:val="00EF2D82"/>
    <w:rsid w:val="00EF2DE9"/>
    <w:rsid w:val="00EF300C"/>
    <w:rsid w:val="00EF32EA"/>
    <w:rsid w:val="00EF33EE"/>
    <w:rsid w:val="00EF372C"/>
    <w:rsid w:val="00EF3776"/>
    <w:rsid w:val="00EF3A21"/>
    <w:rsid w:val="00EF3CD5"/>
    <w:rsid w:val="00EF3D05"/>
    <w:rsid w:val="00EF3EE8"/>
    <w:rsid w:val="00EF4056"/>
    <w:rsid w:val="00EF40BD"/>
    <w:rsid w:val="00EF4267"/>
    <w:rsid w:val="00EF42F0"/>
    <w:rsid w:val="00EF498E"/>
    <w:rsid w:val="00EF49F7"/>
    <w:rsid w:val="00EF4B4E"/>
    <w:rsid w:val="00EF4C57"/>
    <w:rsid w:val="00EF4CB8"/>
    <w:rsid w:val="00EF4CC7"/>
    <w:rsid w:val="00EF4D54"/>
    <w:rsid w:val="00EF4DEC"/>
    <w:rsid w:val="00EF4FC1"/>
    <w:rsid w:val="00EF501F"/>
    <w:rsid w:val="00EF53DD"/>
    <w:rsid w:val="00EF548F"/>
    <w:rsid w:val="00EF54BA"/>
    <w:rsid w:val="00EF54BD"/>
    <w:rsid w:val="00EF5780"/>
    <w:rsid w:val="00EF59E4"/>
    <w:rsid w:val="00EF5C50"/>
    <w:rsid w:val="00EF5CD9"/>
    <w:rsid w:val="00EF5D69"/>
    <w:rsid w:val="00EF5F2F"/>
    <w:rsid w:val="00EF5FB9"/>
    <w:rsid w:val="00EF60B9"/>
    <w:rsid w:val="00EF60F5"/>
    <w:rsid w:val="00EF6437"/>
    <w:rsid w:val="00EF6474"/>
    <w:rsid w:val="00EF6475"/>
    <w:rsid w:val="00EF65B6"/>
    <w:rsid w:val="00EF6625"/>
    <w:rsid w:val="00EF6667"/>
    <w:rsid w:val="00EF6770"/>
    <w:rsid w:val="00EF686E"/>
    <w:rsid w:val="00EF6893"/>
    <w:rsid w:val="00EF689B"/>
    <w:rsid w:val="00EF68CF"/>
    <w:rsid w:val="00EF68EE"/>
    <w:rsid w:val="00EF6977"/>
    <w:rsid w:val="00EF6B20"/>
    <w:rsid w:val="00EF6C2B"/>
    <w:rsid w:val="00EF6CC8"/>
    <w:rsid w:val="00EF6DBD"/>
    <w:rsid w:val="00EF6E57"/>
    <w:rsid w:val="00EF6EC6"/>
    <w:rsid w:val="00EF7375"/>
    <w:rsid w:val="00EF7445"/>
    <w:rsid w:val="00EF7462"/>
    <w:rsid w:val="00EF7512"/>
    <w:rsid w:val="00EF762B"/>
    <w:rsid w:val="00EF763F"/>
    <w:rsid w:val="00EF7830"/>
    <w:rsid w:val="00EF7AEE"/>
    <w:rsid w:val="00EF7BE3"/>
    <w:rsid w:val="00EF7BE8"/>
    <w:rsid w:val="00EF7BEF"/>
    <w:rsid w:val="00EF7D4A"/>
    <w:rsid w:val="00F00093"/>
    <w:rsid w:val="00F0009A"/>
    <w:rsid w:val="00F0017D"/>
    <w:rsid w:val="00F001B3"/>
    <w:rsid w:val="00F001E6"/>
    <w:rsid w:val="00F0042E"/>
    <w:rsid w:val="00F005D5"/>
    <w:rsid w:val="00F00672"/>
    <w:rsid w:val="00F0077C"/>
    <w:rsid w:val="00F00858"/>
    <w:rsid w:val="00F009BC"/>
    <w:rsid w:val="00F00B49"/>
    <w:rsid w:val="00F00BF0"/>
    <w:rsid w:val="00F00CEE"/>
    <w:rsid w:val="00F00D35"/>
    <w:rsid w:val="00F00D3C"/>
    <w:rsid w:val="00F0111A"/>
    <w:rsid w:val="00F01188"/>
    <w:rsid w:val="00F011AC"/>
    <w:rsid w:val="00F01317"/>
    <w:rsid w:val="00F01322"/>
    <w:rsid w:val="00F01431"/>
    <w:rsid w:val="00F01472"/>
    <w:rsid w:val="00F014D7"/>
    <w:rsid w:val="00F0158A"/>
    <w:rsid w:val="00F016B4"/>
    <w:rsid w:val="00F01945"/>
    <w:rsid w:val="00F019F1"/>
    <w:rsid w:val="00F01B92"/>
    <w:rsid w:val="00F01E99"/>
    <w:rsid w:val="00F01EC9"/>
    <w:rsid w:val="00F01F21"/>
    <w:rsid w:val="00F0204F"/>
    <w:rsid w:val="00F02140"/>
    <w:rsid w:val="00F02219"/>
    <w:rsid w:val="00F02220"/>
    <w:rsid w:val="00F022F9"/>
    <w:rsid w:val="00F02335"/>
    <w:rsid w:val="00F02594"/>
    <w:rsid w:val="00F025B2"/>
    <w:rsid w:val="00F025B5"/>
    <w:rsid w:val="00F025FE"/>
    <w:rsid w:val="00F026ED"/>
    <w:rsid w:val="00F02732"/>
    <w:rsid w:val="00F0274B"/>
    <w:rsid w:val="00F0281A"/>
    <w:rsid w:val="00F02824"/>
    <w:rsid w:val="00F028BD"/>
    <w:rsid w:val="00F02B2D"/>
    <w:rsid w:val="00F02C71"/>
    <w:rsid w:val="00F02D7C"/>
    <w:rsid w:val="00F02D9D"/>
    <w:rsid w:val="00F03029"/>
    <w:rsid w:val="00F031A0"/>
    <w:rsid w:val="00F032DE"/>
    <w:rsid w:val="00F03587"/>
    <w:rsid w:val="00F035F1"/>
    <w:rsid w:val="00F03650"/>
    <w:rsid w:val="00F03813"/>
    <w:rsid w:val="00F03A24"/>
    <w:rsid w:val="00F03F48"/>
    <w:rsid w:val="00F04005"/>
    <w:rsid w:val="00F04073"/>
    <w:rsid w:val="00F040E2"/>
    <w:rsid w:val="00F041D7"/>
    <w:rsid w:val="00F04307"/>
    <w:rsid w:val="00F04597"/>
    <w:rsid w:val="00F04638"/>
    <w:rsid w:val="00F046D3"/>
    <w:rsid w:val="00F046ED"/>
    <w:rsid w:val="00F04732"/>
    <w:rsid w:val="00F0482D"/>
    <w:rsid w:val="00F04907"/>
    <w:rsid w:val="00F04B2D"/>
    <w:rsid w:val="00F04C07"/>
    <w:rsid w:val="00F04C0C"/>
    <w:rsid w:val="00F04D67"/>
    <w:rsid w:val="00F05316"/>
    <w:rsid w:val="00F053F8"/>
    <w:rsid w:val="00F054B2"/>
    <w:rsid w:val="00F054DD"/>
    <w:rsid w:val="00F054EC"/>
    <w:rsid w:val="00F05557"/>
    <w:rsid w:val="00F05727"/>
    <w:rsid w:val="00F0579C"/>
    <w:rsid w:val="00F05A70"/>
    <w:rsid w:val="00F05A9E"/>
    <w:rsid w:val="00F05B85"/>
    <w:rsid w:val="00F05C9A"/>
    <w:rsid w:val="00F05D96"/>
    <w:rsid w:val="00F05DD3"/>
    <w:rsid w:val="00F05EA6"/>
    <w:rsid w:val="00F05F37"/>
    <w:rsid w:val="00F05F46"/>
    <w:rsid w:val="00F05F7E"/>
    <w:rsid w:val="00F061EB"/>
    <w:rsid w:val="00F0632F"/>
    <w:rsid w:val="00F06447"/>
    <w:rsid w:val="00F06782"/>
    <w:rsid w:val="00F069BA"/>
    <w:rsid w:val="00F069E6"/>
    <w:rsid w:val="00F06E50"/>
    <w:rsid w:val="00F06E53"/>
    <w:rsid w:val="00F06E59"/>
    <w:rsid w:val="00F06E88"/>
    <w:rsid w:val="00F07034"/>
    <w:rsid w:val="00F07327"/>
    <w:rsid w:val="00F07659"/>
    <w:rsid w:val="00F077D6"/>
    <w:rsid w:val="00F07C8F"/>
    <w:rsid w:val="00F07D5D"/>
    <w:rsid w:val="00F07EB9"/>
    <w:rsid w:val="00F100A3"/>
    <w:rsid w:val="00F100E4"/>
    <w:rsid w:val="00F10183"/>
    <w:rsid w:val="00F10324"/>
    <w:rsid w:val="00F104CF"/>
    <w:rsid w:val="00F1052C"/>
    <w:rsid w:val="00F1068B"/>
    <w:rsid w:val="00F106FB"/>
    <w:rsid w:val="00F106FD"/>
    <w:rsid w:val="00F10956"/>
    <w:rsid w:val="00F10BAF"/>
    <w:rsid w:val="00F10D9B"/>
    <w:rsid w:val="00F10F4E"/>
    <w:rsid w:val="00F10F96"/>
    <w:rsid w:val="00F11049"/>
    <w:rsid w:val="00F110AC"/>
    <w:rsid w:val="00F110AF"/>
    <w:rsid w:val="00F110D6"/>
    <w:rsid w:val="00F11132"/>
    <w:rsid w:val="00F11166"/>
    <w:rsid w:val="00F1120D"/>
    <w:rsid w:val="00F11331"/>
    <w:rsid w:val="00F11384"/>
    <w:rsid w:val="00F11795"/>
    <w:rsid w:val="00F118AD"/>
    <w:rsid w:val="00F119C4"/>
    <w:rsid w:val="00F11BB0"/>
    <w:rsid w:val="00F11BB2"/>
    <w:rsid w:val="00F11BEE"/>
    <w:rsid w:val="00F11CAD"/>
    <w:rsid w:val="00F11D7B"/>
    <w:rsid w:val="00F11FEE"/>
    <w:rsid w:val="00F12031"/>
    <w:rsid w:val="00F12173"/>
    <w:rsid w:val="00F122E5"/>
    <w:rsid w:val="00F1238D"/>
    <w:rsid w:val="00F124B4"/>
    <w:rsid w:val="00F125B7"/>
    <w:rsid w:val="00F128DD"/>
    <w:rsid w:val="00F12968"/>
    <w:rsid w:val="00F12D5F"/>
    <w:rsid w:val="00F12E2D"/>
    <w:rsid w:val="00F12F2D"/>
    <w:rsid w:val="00F1339C"/>
    <w:rsid w:val="00F133EF"/>
    <w:rsid w:val="00F135B1"/>
    <w:rsid w:val="00F136C4"/>
    <w:rsid w:val="00F137BE"/>
    <w:rsid w:val="00F1382B"/>
    <w:rsid w:val="00F1396B"/>
    <w:rsid w:val="00F13A42"/>
    <w:rsid w:val="00F13AB9"/>
    <w:rsid w:val="00F13AD8"/>
    <w:rsid w:val="00F13B6E"/>
    <w:rsid w:val="00F13C06"/>
    <w:rsid w:val="00F13C81"/>
    <w:rsid w:val="00F13CDA"/>
    <w:rsid w:val="00F13D37"/>
    <w:rsid w:val="00F13E70"/>
    <w:rsid w:val="00F13F0F"/>
    <w:rsid w:val="00F14026"/>
    <w:rsid w:val="00F1408B"/>
    <w:rsid w:val="00F140AF"/>
    <w:rsid w:val="00F1424A"/>
    <w:rsid w:val="00F1449A"/>
    <w:rsid w:val="00F144B2"/>
    <w:rsid w:val="00F1453B"/>
    <w:rsid w:val="00F145F5"/>
    <w:rsid w:val="00F1460F"/>
    <w:rsid w:val="00F14694"/>
    <w:rsid w:val="00F146E3"/>
    <w:rsid w:val="00F14A2E"/>
    <w:rsid w:val="00F14CBA"/>
    <w:rsid w:val="00F14F87"/>
    <w:rsid w:val="00F14FDB"/>
    <w:rsid w:val="00F1512B"/>
    <w:rsid w:val="00F1520A"/>
    <w:rsid w:val="00F15262"/>
    <w:rsid w:val="00F153E4"/>
    <w:rsid w:val="00F154D0"/>
    <w:rsid w:val="00F154E9"/>
    <w:rsid w:val="00F155A2"/>
    <w:rsid w:val="00F1562B"/>
    <w:rsid w:val="00F15722"/>
    <w:rsid w:val="00F1585F"/>
    <w:rsid w:val="00F15863"/>
    <w:rsid w:val="00F1596A"/>
    <w:rsid w:val="00F15A07"/>
    <w:rsid w:val="00F15B22"/>
    <w:rsid w:val="00F15CAC"/>
    <w:rsid w:val="00F15D4B"/>
    <w:rsid w:val="00F15D5E"/>
    <w:rsid w:val="00F15D6F"/>
    <w:rsid w:val="00F15DE3"/>
    <w:rsid w:val="00F15E0F"/>
    <w:rsid w:val="00F1614F"/>
    <w:rsid w:val="00F16184"/>
    <w:rsid w:val="00F16233"/>
    <w:rsid w:val="00F1633A"/>
    <w:rsid w:val="00F1649F"/>
    <w:rsid w:val="00F164E4"/>
    <w:rsid w:val="00F1652B"/>
    <w:rsid w:val="00F165CE"/>
    <w:rsid w:val="00F16687"/>
    <w:rsid w:val="00F166DF"/>
    <w:rsid w:val="00F16721"/>
    <w:rsid w:val="00F1676C"/>
    <w:rsid w:val="00F16CEB"/>
    <w:rsid w:val="00F16D55"/>
    <w:rsid w:val="00F16E13"/>
    <w:rsid w:val="00F16E85"/>
    <w:rsid w:val="00F16E86"/>
    <w:rsid w:val="00F17173"/>
    <w:rsid w:val="00F17227"/>
    <w:rsid w:val="00F17280"/>
    <w:rsid w:val="00F172F4"/>
    <w:rsid w:val="00F173C4"/>
    <w:rsid w:val="00F1758C"/>
    <w:rsid w:val="00F176F2"/>
    <w:rsid w:val="00F17850"/>
    <w:rsid w:val="00F179F1"/>
    <w:rsid w:val="00F17BBE"/>
    <w:rsid w:val="00F17C55"/>
    <w:rsid w:val="00F17DAE"/>
    <w:rsid w:val="00F17E25"/>
    <w:rsid w:val="00F20144"/>
    <w:rsid w:val="00F20170"/>
    <w:rsid w:val="00F202C8"/>
    <w:rsid w:val="00F2035B"/>
    <w:rsid w:val="00F203D3"/>
    <w:rsid w:val="00F203EE"/>
    <w:rsid w:val="00F2050B"/>
    <w:rsid w:val="00F2063F"/>
    <w:rsid w:val="00F206BB"/>
    <w:rsid w:val="00F206C4"/>
    <w:rsid w:val="00F20820"/>
    <w:rsid w:val="00F208C1"/>
    <w:rsid w:val="00F20912"/>
    <w:rsid w:val="00F209C0"/>
    <w:rsid w:val="00F20BDE"/>
    <w:rsid w:val="00F20C04"/>
    <w:rsid w:val="00F20C36"/>
    <w:rsid w:val="00F20D6F"/>
    <w:rsid w:val="00F20E71"/>
    <w:rsid w:val="00F20E8A"/>
    <w:rsid w:val="00F21288"/>
    <w:rsid w:val="00F2157E"/>
    <w:rsid w:val="00F215BC"/>
    <w:rsid w:val="00F21903"/>
    <w:rsid w:val="00F21A32"/>
    <w:rsid w:val="00F21A44"/>
    <w:rsid w:val="00F21CD8"/>
    <w:rsid w:val="00F21D98"/>
    <w:rsid w:val="00F21F81"/>
    <w:rsid w:val="00F21FBB"/>
    <w:rsid w:val="00F21FF8"/>
    <w:rsid w:val="00F2225A"/>
    <w:rsid w:val="00F222D6"/>
    <w:rsid w:val="00F22388"/>
    <w:rsid w:val="00F2241D"/>
    <w:rsid w:val="00F227BC"/>
    <w:rsid w:val="00F22CE4"/>
    <w:rsid w:val="00F22DCA"/>
    <w:rsid w:val="00F22DE4"/>
    <w:rsid w:val="00F22DEF"/>
    <w:rsid w:val="00F22ED5"/>
    <w:rsid w:val="00F22F7D"/>
    <w:rsid w:val="00F23117"/>
    <w:rsid w:val="00F231D3"/>
    <w:rsid w:val="00F232C8"/>
    <w:rsid w:val="00F23329"/>
    <w:rsid w:val="00F23471"/>
    <w:rsid w:val="00F23716"/>
    <w:rsid w:val="00F2382E"/>
    <w:rsid w:val="00F23A81"/>
    <w:rsid w:val="00F23A84"/>
    <w:rsid w:val="00F23D1E"/>
    <w:rsid w:val="00F23E61"/>
    <w:rsid w:val="00F23EFC"/>
    <w:rsid w:val="00F240CA"/>
    <w:rsid w:val="00F244E1"/>
    <w:rsid w:val="00F245EC"/>
    <w:rsid w:val="00F24707"/>
    <w:rsid w:val="00F2477D"/>
    <w:rsid w:val="00F248C3"/>
    <w:rsid w:val="00F24901"/>
    <w:rsid w:val="00F24986"/>
    <w:rsid w:val="00F24A37"/>
    <w:rsid w:val="00F24B47"/>
    <w:rsid w:val="00F24B92"/>
    <w:rsid w:val="00F24D17"/>
    <w:rsid w:val="00F24EE1"/>
    <w:rsid w:val="00F2500A"/>
    <w:rsid w:val="00F2546A"/>
    <w:rsid w:val="00F25559"/>
    <w:rsid w:val="00F255C5"/>
    <w:rsid w:val="00F25768"/>
    <w:rsid w:val="00F257C4"/>
    <w:rsid w:val="00F258A4"/>
    <w:rsid w:val="00F2590C"/>
    <w:rsid w:val="00F2599D"/>
    <w:rsid w:val="00F259DA"/>
    <w:rsid w:val="00F25A22"/>
    <w:rsid w:val="00F25AB9"/>
    <w:rsid w:val="00F25BFC"/>
    <w:rsid w:val="00F25C48"/>
    <w:rsid w:val="00F25DB1"/>
    <w:rsid w:val="00F25FBD"/>
    <w:rsid w:val="00F26105"/>
    <w:rsid w:val="00F26204"/>
    <w:rsid w:val="00F264DC"/>
    <w:rsid w:val="00F26724"/>
    <w:rsid w:val="00F26793"/>
    <w:rsid w:val="00F26A4B"/>
    <w:rsid w:val="00F26A56"/>
    <w:rsid w:val="00F26B83"/>
    <w:rsid w:val="00F26C47"/>
    <w:rsid w:val="00F26C5B"/>
    <w:rsid w:val="00F26DD3"/>
    <w:rsid w:val="00F26E56"/>
    <w:rsid w:val="00F2700C"/>
    <w:rsid w:val="00F27078"/>
    <w:rsid w:val="00F2707F"/>
    <w:rsid w:val="00F2725B"/>
    <w:rsid w:val="00F273FC"/>
    <w:rsid w:val="00F2760D"/>
    <w:rsid w:val="00F27A32"/>
    <w:rsid w:val="00F27A91"/>
    <w:rsid w:val="00F27B4D"/>
    <w:rsid w:val="00F27BC4"/>
    <w:rsid w:val="00F27C21"/>
    <w:rsid w:val="00F27CE9"/>
    <w:rsid w:val="00F27E7E"/>
    <w:rsid w:val="00F27F2E"/>
    <w:rsid w:val="00F27F3D"/>
    <w:rsid w:val="00F3011A"/>
    <w:rsid w:val="00F3018A"/>
    <w:rsid w:val="00F303BB"/>
    <w:rsid w:val="00F30AF1"/>
    <w:rsid w:val="00F30BEA"/>
    <w:rsid w:val="00F30C52"/>
    <w:rsid w:val="00F30D4B"/>
    <w:rsid w:val="00F30D61"/>
    <w:rsid w:val="00F30E0C"/>
    <w:rsid w:val="00F30F03"/>
    <w:rsid w:val="00F30F52"/>
    <w:rsid w:val="00F3113E"/>
    <w:rsid w:val="00F31492"/>
    <w:rsid w:val="00F315B5"/>
    <w:rsid w:val="00F31639"/>
    <w:rsid w:val="00F31A50"/>
    <w:rsid w:val="00F31A60"/>
    <w:rsid w:val="00F31B63"/>
    <w:rsid w:val="00F31C31"/>
    <w:rsid w:val="00F31CC1"/>
    <w:rsid w:val="00F31EF9"/>
    <w:rsid w:val="00F31FB9"/>
    <w:rsid w:val="00F31FEE"/>
    <w:rsid w:val="00F321E7"/>
    <w:rsid w:val="00F3235D"/>
    <w:rsid w:val="00F32378"/>
    <w:rsid w:val="00F324ED"/>
    <w:rsid w:val="00F325C6"/>
    <w:rsid w:val="00F328C0"/>
    <w:rsid w:val="00F32970"/>
    <w:rsid w:val="00F32A23"/>
    <w:rsid w:val="00F32AFB"/>
    <w:rsid w:val="00F32B54"/>
    <w:rsid w:val="00F32C64"/>
    <w:rsid w:val="00F32C87"/>
    <w:rsid w:val="00F32D32"/>
    <w:rsid w:val="00F32E69"/>
    <w:rsid w:val="00F32E92"/>
    <w:rsid w:val="00F32EDD"/>
    <w:rsid w:val="00F32F05"/>
    <w:rsid w:val="00F32FCC"/>
    <w:rsid w:val="00F32FE0"/>
    <w:rsid w:val="00F3318C"/>
    <w:rsid w:val="00F33233"/>
    <w:rsid w:val="00F3335C"/>
    <w:rsid w:val="00F33589"/>
    <w:rsid w:val="00F338BD"/>
    <w:rsid w:val="00F33A4F"/>
    <w:rsid w:val="00F33AF6"/>
    <w:rsid w:val="00F33B08"/>
    <w:rsid w:val="00F33C9B"/>
    <w:rsid w:val="00F33D95"/>
    <w:rsid w:val="00F3428B"/>
    <w:rsid w:val="00F34421"/>
    <w:rsid w:val="00F3443A"/>
    <w:rsid w:val="00F344A7"/>
    <w:rsid w:val="00F34774"/>
    <w:rsid w:val="00F3481C"/>
    <w:rsid w:val="00F34950"/>
    <w:rsid w:val="00F34982"/>
    <w:rsid w:val="00F34C09"/>
    <w:rsid w:val="00F34D08"/>
    <w:rsid w:val="00F34D32"/>
    <w:rsid w:val="00F34EAE"/>
    <w:rsid w:val="00F350A5"/>
    <w:rsid w:val="00F3514F"/>
    <w:rsid w:val="00F35191"/>
    <w:rsid w:val="00F35376"/>
    <w:rsid w:val="00F353DC"/>
    <w:rsid w:val="00F35444"/>
    <w:rsid w:val="00F3557A"/>
    <w:rsid w:val="00F355D3"/>
    <w:rsid w:val="00F3581D"/>
    <w:rsid w:val="00F3582A"/>
    <w:rsid w:val="00F35905"/>
    <w:rsid w:val="00F35978"/>
    <w:rsid w:val="00F3597A"/>
    <w:rsid w:val="00F359E0"/>
    <w:rsid w:val="00F35B07"/>
    <w:rsid w:val="00F35DB5"/>
    <w:rsid w:val="00F35E64"/>
    <w:rsid w:val="00F363B3"/>
    <w:rsid w:val="00F36472"/>
    <w:rsid w:val="00F36473"/>
    <w:rsid w:val="00F364E3"/>
    <w:rsid w:val="00F36831"/>
    <w:rsid w:val="00F36898"/>
    <w:rsid w:val="00F368BC"/>
    <w:rsid w:val="00F36A39"/>
    <w:rsid w:val="00F36A8A"/>
    <w:rsid w:val="00F36A9E"/>
    <w:rsid w:val="00F36B23"/>
    <w:rsid w:val="00F36D06"/>
    <w:rsid w:val="00F36DDD"/>
    <w:rsid w:val="00F36E38"/>
    <w:rsid w:val="00F370E6"/>
    <w:rsid w:val="00F3726B"/>
    <w:rsid w:val="00F372D2"/>
    <w:rsid w:val="00F37376"/>
    <w:rsid w:val="00F37408"/>
    <w:rsid w:val="00F37481"/>
    <w:rsid w:val="00F374B4"/>
    <w:rsid w:val="00F374FD"/>
    <w:rsid w:val="00F37545"/>
    <w:rsid w:val="00F375A0"/>
    <w:rsid w:val="00F376F7"/>
    <w:rsid w:val="00F3772A"/>
    <w:rsid w:val="00F37891"/>
    <w:rsid w:val="00F37911"/>
    <w:rsid w:val="00F37AB5"/>
    <w:rsid w:val="00F37AE9"/>
    <w:rsid w:val="00F37B22"/>
    <w:rsid w:val="00F37DC0"/>
    <w:rsid w:val="00F37DE6"/>
    <w:rsid w:val="00F40172"/>
    <w:rsid w:val="00F401B2"/>
    <w:rsid w:val="00F402B4"/>
    <w:rsid w:val="00F40417"/>
    <w:rsid w:val="00F405D1"/>
    <w:rsid w:val="00F4071E"/>
    <w:rsid w:val="00F40836"/>
    <w:rsid w:val="00F40853"/>
    <w:rsid w:val="00F40A59"/>
    <w:rsid w:val="00F40B2E"/>
    <w:rsid w:val="00F40CDD"/>
    <w:rsid w:val="00F40DDA"/>
    <w:rsid w:val="00F40DF9"/>
    <w:rsid w:val="00F40F05"/>
    <w:rsid w:val="00F40FE4"/>
    <w:rsid w:val="00F4106F"/>
    <w:rsid w:val="00F410F7"/>
    <w:rsid w:val="00F41247"/>
    <w:rsid w:val="00F4125C"/>
    <w:rsid w:val="00F412E6"/>
    <w:rsid w:val="00F41301"/>
    <w:rsid w:val="00F41340"/>
    <w:rsid w:val="00F41371"/>
    <w:rsid w:val="00F41431"/>
    <w:rsid w:val="00F414E1"/>
    <w:rsid w:val="00F414E6"/>
    <w:rsid w:val="00F414EE"/>
    <w:rsid w:val="00F415BF"/>
    <w:rsid w:val="00F41788"/>
    <w:rsid w:val="00F41789"/>
    <w:rsid w:val="00F4189C"/>
    <w:rsid w:val="00F41985"/>
    <w:rsid w:val="00F41AE6"/>
    <w:rsid w:val="00F41AFD"/>
    <w:rsid w:val="00F41B60"/>
    <w:rsid w:val="00F41BBE"/>
    <w:rsid w:val="00F41C55"/>
    <w:rsid w:val="00F41CAA"/>
    <w:rsid w:val="00F41CEB"/>
    <w:rsid w:val="00F4215B"/>
    <w:rsid w:val="00F4229E"/>
    <w:rsid w:val="00F422ED"/>
    <w:rsid w:val="00F422FA"/>
    <w:rsid w:val="00F42391"/>
    <w:rsid w:val="00F42550"/>
    <w:rsid w:val="00F425B6"/>
    <w:rsid w:val="00F42616"/>
    <w:rsid w:val="00F426A7"/>
    <w:rsid w:val="00F426D0"/>
    <w:rsid w:val="00F427FD"/>
    <w:rsid w:val="00F4295D"/>
    <w:rsid w:val="00F42A76"/>
    <w:rsid w:val="00F42CAE"/>
    <w:rsid w:val="00F42D1C"/>
    <w:rsid w:val="00F42D1F"/>
    <w:rsid w:val="00F42DAE"/>
    <w:rsid w:val="00F42FEC"/>
    <w:rsid w:val="00F43089"/>
    <w:rsid w:val="00F4310D"/>
    <w:rsid w:val="00F433C8"/>
    <w:rsid w:val="00F4340A"/>
    <w:rsid w:val="00F434A8"/>
    <w:rsid w:val="00F434E2"/>
    <w:rsid w:val="00F4359B"/>
    <w:rsid w:val="00F435BD"/>
    <w:rsid w:val="00F436E6"/>
    <w:rsid w:val="00F436EC"/>
    <w:rsid w:val="00F43903"/>
    <w:rsid w:val="00F43A53"/>
    <w:rsid w:val="00F43B5C"/>
    <w:rsid w:val="00F43C6A"/>
    <w:rsid w:val="00F43F6B"/>
    <w:rsid w:val="00F44017"/>
    <w:rsid w:val="00F44240"/>
    <w:rsid w:val="00F442B2"/>
    <w:rsid w:val="00F44306"/>
    <w:rsid w:val="00F44424"/>
    <w:rsid w:val="00F444A5"/>
    <w:rsid w:val="00F44571"/>
    <w:rsid w:val="00F44698"/>
    <w:rsid w:val="00F4484B"/>
    <w:rsid w:val="00F44A3D"/>
    <w:rsid w:val="00F44AEC"/>
    <w:rsid w:val="00F44B32"/>
    <w:rsid w:val="00F44C3F"/>
    <w:rsid w:val="00F44CCA"/>
    <w:rsid w:val="00F44DAF"/>
    <w:rsid w:val="00F44E64"/>
    <w:rsid w:val="00F44EC3"/>
    <w:rsid w:val="00F45027"/>
    <w:rsid w:val="00F45141"/>
    <w:rsid w:val="00F45191"/>
    <w:rsid w:val="00F4523B"/>
    <w:rsid w:val="00F452B9"/>
    <w:rsid w:val="00F452C5"/>
    <w:rsid w:val="00F4541D"/>
    <w:rsid w:val="00F45625"/>
    <w:rsid w:val="00F45877"/>
    <w:rsid w:val="00F4591B"/>
    <w:rsid w:val="00F4593C"/>
    <w:rsid w:val="00F4595D"/>
    <w:rsid w:val="00F45AAD"/>
    <w:rsid w:val="00F45BB3"/>
    <w:rsid w:val="00F45BED"/>
    <w:rsid w:val="00F45CB5"/>
    <w:rsid w:val="00F45D05"/>
    <w:rsid w:val="00F45F83"/>
    <w:rsid w:val="00F45FB8"/>
    <w:rsid w:val="00F46057"/>
    <w:rsid w:val="00F462EA"/>
    <w:rsid w:val="00F464E4"/>
    <w:rsid w:val="00F469BC"/>
    <w:rsid w:val="00F46A67"/>
    <w:rsid w:val="00F46B86"/>
    <w:rsid w:val="00F46CE6"/>
    <w:rsid w:val="00F46DAE"/>
    <w:rsid w:val="00F46FCB"/>
    <w:rsid w:val="00F47087"/>
    <w:rsid w:val="00F47118"/>
    <w:rsid w:val="00F47202"/>
    <w:rsid w:val="00F47243"/>
    <w:rsid w:val="00F4729C"/>
    <w:rsid w:val="00F472AF"/>
    <w:rsid w:val="00F472F1"/>
    <w:rsid w:val="00F47402"/>
    <w:rsid w:val="00F47529"/>
    <w:rsid w:val="00F47586"/>
    <w:rsid w:val="00F4761B"/>
    <w:rsid w:val="00F476F7"/>
    <w:rsid w:val="00F4782F"/>
    <w:rsid w:val="00F47BA5"/>
    <w:rsid w:val="00F47C1F"/>
    <w:rsid w:val="00F47CC3"/>
    <w:rsid w:val="00F47DFB"/>
    <w:rsid w:val="00F50010"/>
    <w:rsid w:val="00F50091"/>
    <w:rsid w:val="00F504C4"/>
    <w:rsid w:val="00F504E6"/>
    <w:rsid w:val="00F50779"/>
    <w:rsid w:val="00F5077F"/>
    <w:rsid w:val="00F507C3"/>
    <w:rsid w:val="00F50876"/>
    <w:rsid w:val="00F50888"/>
    <w:rsid w:val="00F50C38"/>
    <w:rsid w:val="00F50C6C"/>
    <w:rsid w:val="00F50D85"/>
    <w:rsid w:val="00F50EA9"/>
    <w:rsid w:val="00F50EE7"/>
    <w:rsid w:val="00F51185"/>
    <w:rsid w:val="00F5125C"/>
    <w:rsid w:val="00F51303"/>
    <w:rsid w:val="00F5130B"/>
    <w:rsid w:val="00F51311"/>
    <w:rsid w:val="00F5132B"/>
    <w:rsid w:val="00F51617"/>
    <w:rsid w:val="00F517F2"/>
    <w:rsid w:val="00F51809"/>
    <w:rsid w:val="00F51827"/>
    <w:rsid w:val="00F51E08"/>
    <w:rsid w:val="00F51E85"/>
    <w:rsid w:val="00F51F11"/>
    <w:rsid w:val="00F52201"/>
    <w:rsid w:val="00F5236F"/>
    <w:rsid w:val="00F524D4"/>
    <w:rsid w:val="00F52580"/>
    <w:rsid w:val="00F525E8"/>
    <w:rsid w:val="00F526EC"/>
    <w:rsid w:val="00F52707"/>
    <w:rsid w:val="00F52732"/>
    <w:rsid w:val="00F5280A"/>
    <w:rsid w:val="00F528A8"/>
    <w:rsid w:val="00F529CA"/>
    <w:rsid w:val="00F529F5"/>
    <w:rsid w:val="00F52AD6"/>
    <w:rsid w:val="00F52AE0"/>
    <w:rsid w:val="00F52B97"/>
    <w:rsid w:val="00F52BA8"/>
    <w:rsid w:val="00F52BB9"/>
    <w:rsid w:val="00F52BE0"/>
    <w:rsid w:val="00F52C45"/>
    <w:rsid w:val="00F52CFD"/>
    <w:rsid w:val="00F52FC4"/>
    <w:rsid w:val="00F532A8"/>
    <w:rsid w:val="00F53371"/>
    <w:rsid w:val="00F533D9"/>
    <w:rsid w:val="00F536D3"/>
    <w:rsid w:val="00F53759"/>
    <w:rsid w:val="00F53812"/>
    <w:rsid w:val="00F5391A"/>
    <w:rsid w:val="00F5397B"/>
    <w:rsid w:val="00F539CA"/>
    <w:rsid w:val="00F53DB1"/>
    <w:rsid w:val="00F53F56"/>
    <w:rsid w:val="00F541F7"/>
    <w:rsid w:val="00F542AA"/>
    <w:rsid w:val="00F54324"/>
    <w:rsid w:val="00F5434E"/>
    <w:rsid w:val="00F544DB"/>
    <w:rsid w:val="00F54597"/>
    <w:rsid w:val="00F5463C"/>
    <w:rsid w:val="00F54641"/>
    <w:rsid w:val="00F5469F"/>
    <w:rsid w:val="00F5497A"/>
    <w:rsid w:val="00F54A83"/>
    <w:rsid w:val="00F54C5E"/>
    <w:rsid w:val="00F54C85"/>
    <w:rsid w:val="00F54CA9"/>
    <w:rsid w:val="00F54EFC"/>
    <w:rsid w:val="00F55169"/>
    <w:rsid w:val="00F5518A"/>
    <w:rsid w:val="00F55197"/>
    <w:rsid w:val="00F5534B"/>
    <w:rsid w:val="00F554A8"/>
    <w:rsid w:val="00F5579F"/>
    <w:rsid w:val="00F559E7"/>
    <w:rsid w:val="00F55C74"/>
    <w:rsid w:val="00F55D0F"/>
    <w:rsid w:val="00F55D82"/>
    <w:rsid w:val="00F55DC2"/>
    <w:rsid w:val="00F55E75"/>
    <w:rsid w:val="00F55FAA"/>
    <w:rsid w:val="00F55FBF"/>
    <w:rsid w:val="00F55FCF"/>
    <w:rsid w:val="00F561CA"/>
    <w:rsid w:val="00F56435"/>
    <w:rsid w:val="00F564D5"/>
    <w:rsid w:val="00F56543"/>
    <w:rsid w:val="00F565F1"/>
    <w:rsid w:val="00F5662F"/>
    <w:rsid w:val="00F566F1"/>
    <w:rsid w:val="00F5677C"/>
    <w:rsid w:val="00F567D6"/>
    <w:rsid w:val="00F568AD"/>
    <w:rsid w:val="00F568CF"/>
    <w:rsid w:val="00F56955"/>
    <w:rsid w:val="00F569AC"/>
    <w:rsid w:val="00F56BCA"/>
    <w:rsid w:val="00F56CBD"/>
    <w:rsid w:val="00F56D11"/>
    <w:rsid w:val="00F56D75"/>
    <w:rsid w:val="00F56E67"/>
    <w:rsid w:val="00F56EA7"/>
    <w:rsid w:val="00F56F42"/>
    <w:rsid w:val="00F56F6E"/>
    <w:rsid w:val="00F56FCD"/>
    <w:rsid w:val="00F57187"/>
    <w:rsid w:val="00F5722B"/>
    <w:rsid w:val="00F5756A"/>
    <w:rsid w:val="00F575AD"/>
    <w:rsid w:val="00F578B2"/>
    <w:rsid w:val="00F57969"/>
    <w:rsid w:val="00F579DF"/>
    <w:rsid w:val="00F57A74"/>
    <w:rsid w:val="00F57B1E"/>
    <w:rsid w:val="00F57D6B"/>
    <w:rsid w:val="00F57DF1"/>
    <w:rsid w:val="00F57EA2"/>
    <w:rsid w:val="00F57EF8"/>
    <w:rsid w:val="00F57FE3"/>
    <w:rsid w:val="00F60429"/>
    <w:rsid w:val="00F60554"/>
    <w:rsid w:val="00F605B9"/>
    <w:rsid w:val="00F6070A"/>
    <w:rsid w:val="00F60894"/>
    <w:rsid w:val="00F60AB5"/>
    <w:rsid w:val="00F60B4F"/>
    <w:rsid w:val="00F60BA6"/>
    <w:rsid w:val="00F60CA8"/>
    <w:rsid w:val="00F60D43"/>
    <w:rsid w:val="00F60F07"/>
    <w:rsid w:val="00F61074"/>
    <w:rsid w:val="00F6114D"/>
    <w:rsid w:val="00F61283"/>
    <w:rsid w:val="00F61296"/>
    <w:rsid w:val="00F612BF"/>
    <w:rsid w:val="00F612C8"/>
    <w:rsid w:val="00F6132F"/>
    <w:rsid w:val="00F6133C"/>
    <w:rsid w:val="00F613CE"/>
    <w:rsid w:val="00F6141C"/>
    <w:rsid w:val="00F6168F"/>
    <w:rsid w:val="00F61DAD"/>
    <w:rsid w:val="00F61DE8"/>
    <w:rsid w:val="00F61EFD"/>
    <w:rsid w:val="00F61F90"/>
    <w:rsid w:val="00F620C9"/>
    <w:rsid w:val="00F621DE"/>
    <w:rsid w:val="00F62251"/>
    <w:rsid w:val="00F622DD"/>
    <w:rsid w:val="00F62463"/>
    <w:rsid w:val="00F625FB"/>
    <w:rsid w:val="00F62A8A"/>
    <w:rsid w:val="00F62AE3"/>
    <w:rsid w:val="00F62CE0"/>
    <w:rsid w:val="00F62CFB"/>
    <w:rsid w:val="00F62F46"/>
    <w:rsid w:val="00F63093"/>
    <w:rsid w:val="00F63148"/>
    <w:rsid w:val="00F633AB"/>
    <w:rsid w:val="00F634E4"/>
    <w:rsid w:val="00F635B9"/>
    <w:rsid w:val="00F6360D"/>
    <w:rsid w:val="00F637B0"/>
    <w:rsid w:val="00F637F1"/>
    <w:rsid w:val="00F6392E"/>
    <w:rsid w:val="00F6393B"/>
    <w:rsid w:val="00F63A7C"/>
    <w:rsid w:val="00F63BA4"/>
    <w:rsid w:val="00F63FB6"/>
    <w:rsid w:val="00F641AD"/>
    <w:rsid w:val="00F64307"/>
    <w:rsid w:val="00F64387"/>
    <w:rsid w:val="00F64481"/>
    <w:rsid w:val="00F64565"/>
    <w:rsid w:val="00F64577"/>
    <w:rsid w:val="00F645C2"/>
    <w:rsid w:val="00F646F5"/>
    <w:rsid w:val="00F64932"/>
    <w:rsid w:val="00F64ADB"/>
    <w:rsid w:val="00F64B2E"/>
    <w:rsid w:val="00F64B9F"/>
    <w:rsid w:val="00F64C04"/>
    <w:rsid w:val="00F64C8C"/>
    <w:rsid w:val="00F64FEE"/>
    <w:rsid w:val="00F650A7"/>
    <w:rsid w:val="00F65154"/>
    <w:rsid w:val="00F65224"/>
    <w:rsid w:val="00F6537C"/>
    <w:rsid w:val="00F653F3"/>
    <w:rsid w:val="00F65660"/>
    <w:rsid w:val="00F65780"/>
    <w:rsid w:val="00F65988"/>
    <w:rsid w:val="00F65C5C"/>
    <w:rsid w:val="00F65F61"/>
    <w:rsid w:val="00F6603C"/>
    <w:rsid w:val="00F662CD"/>
    <w:rsid w:val="00F66344"/>
    <w:rsid w:val="00F66522"/>
    <w:rsid w:val="00F66531"/>
    <w:rsid w:val="00F66690"/>
    <w:rsid w:val="00F667CA"/>
    <w:rsid w:val="00F66CE9"/>
    <w:rsid w:val="00F66D0F"/>
    <w:rsid w:val="00F66D16"/>
    <w:rsid w:val="00F66DBA"/>
    <w:rsid w:val="00F66DFB"/>
    <w:rsid w:val="00F66E5F"/>
    <w:rsid w:val="00F66EE2"/>
    <w:rsid w:val="00F66F15"/>
    <w:rsid w:val="00F67067"/>
    <w:rsid w:val="00F67089"/>
    <w:rsid w:val="00F6708C"/>
    <w:rsid w:val="00F67167"/>
    <w:rsid w:val="00F671B2"/>
    <w:rsid w:val="00F671C3"/>
    <w:rsid w:val="00F67259"/>
    <w:rsid w:val="00F6728A"/>
    <w:rsid w:val="00F673FE"/>
    <w:rsid w:val="00F67400"/>
    <w:rsid w:val="00F674A8"/>
    <w:rsid w:val="00F6770D"/>
    <w:rsid w:val="00F6795B"/>
    <w:rsid w:val="00F67A14"/>
    <w:rsid w:val="00F67AFA"/>
    <w:rsid w:val="00F67B62"/>
    <w:rsid w:val="00F70073"/>
    <w:rsid w:val="00F7009B"/>
    <w:rsid w:val="00F700CB"/>
    <w:rsid w:val="00F7022A"/>
    <w:rsid w:val="00F7027B"/>
    <w:rsid w:val="00F704C4"/>
    <w:rsid w:val="00F704ED"/>
    <w:rsid w:val="00F704F8"/>
    <w:rsid w:val="00F70769"/>
    <w:rsid w:val="00F7077F"/>
    <w:rsid w:val="00F707FF"/>
    <w:rsid w:val="00F708FA"/>
    <w:rsid w:val="00F70B18"/>
    <w:rsid w:val="00F70B8E"/>
    <w:rsid w:val="00F70CE4"/>
    <w:rsid w:val="00F70CFF"/>
    <w:rsid w:val="00F70D97"/>
    <w:rsid w:val="00F70EAC"/>
    <w:rsid w:val="00F70F37"/>
    <w:rsid w:val="00F71146"/>
    <w:rsid w:val="00F7114F"/>
    <w:rsid w:val="00F711B2"/>
    <w:rsid w:val="00F7135D"/>
    <w:rsid w:val="00F71456"/>
    <w:rsid w:val="00F7159A"/>
    <w:rsid w:val="00F716AD"/>
    <w:rsid w:val="00F7172F"/>
    <w:rsid w:val="00F71843"/>
    <w:rsid w:val="00F7199F"/>
    <w:rsid w:val="00F71C17"/>
    <w:rsid w:val="00F71DF7"/>
    <w:rsid w:val="00F71E04"/>
    <w:rsid w:val="00F71E89"/>
    <w:rsid w:val="00F71EDB"/>
    <w:rsid w:val="00F72410"/>
    <w:rsid w:val="00F724ED"/>
    <w:rsid w:val="00F72661"/>
    <w:rsid w:val="00F72778"/>
    <w:rsid w:val="00F72792"/>
    <w:rsid w:val="00F727E7"/>
    <w:rsid w:val="00F7293D"/>
    <w:rsid w:val="00F72B0B"/>
    <w:rsid w:val="00F72C03"/>
    <w:rsid w:val="00F72DB5"/>
    <w:rsid w:val="00F72F83"/>
    <w:rsid w:val="00F73002"/>
    <w:rsid w:val="00F73047"/>
    <w:rsid w:val="00F73134"/>
    <w:rsid w:val="00F73553"/>
    <w:rsid w:val="00F7355F"/>
    <w:rsid w:val="00F73616"/>
    <w:rsid w:val="00F736AA"/>
    <w:rsid w:val="00F7373C"/>
    <w:rsid w:val="00F73CC5"/>
    <w:rsid w:val="00F73CDA"/>
    <w:rsid w:val="00F73D4C"/>
    <w:rsid w:val="00F73E5C"/>
    <w:rsid w:val="00F73F41"/>
    <w:rsid w:val="00F740DD"/>
    <w:rsid w:val="00F74242"/>
    <w:rsid w:val="00F74283"/>
    <w:rsid w:val="00F7440C"/>
    <w:rsid w:val="00F74549"/>
    <w:rsid w:val="00F74788"/>
    <w:rsid w:val="00F74912"/>
    <w:rsid w:val="00F74980"/>
    <w:rsid w:val="00F74AAA"/>
    <w:rsid w:val="00F74C30"/>
    <w:rsid w:val="00F74CD1"/>
    <w:rsid w:val="00F74E04"/>
    <w:rsid w:val="00F74E53"/>
    <w:rsid w:val="00F74F12"/>
    <w:rsid w:val="00F74F71"/>
    <w:rsid w:val="00F74FA5"/>
    <w:rsid w:val="00F7521D"/>
    <w:rsid w:val="00F756DA"/>
    <w:rsid w:val="00F758DD"/>
    <w:rsid w:val="00F75B29"/>
    <w:rsid w:val="00F75B86"/>
    <w:rsid w:val="00F75BA1"/>
    <w:rsid w:val="00F75EA5"/>
    <w:rsid w:val="00F75F95"/>
    <w:rsid w:val="00F760F9"/>
    <w:rsid w:val="00F7638C"/>
    <w:rsid w:val="00F764E7"/>
    <w:rsid w:val="00F76609"/>
    <w:rsid w:val="00F769C1"/>
    <w:rsid w:val="00F76C34"/>
    <w:rsid w:val="00F76D54"/>
    <w:rsid w:val="00F76D56"/>
    <w:rsid w:val="00F76EF1"/>
    <w:rsid w:val="00F770CA"/>
    <w:rsid w:val="00F7725C"/>
    <w:rsid w:val="00F77276"/>
    <w:rsid w:val="00F772FD"/>
    <w:rsid w:val="00F77321"/>
    <w:rsid w:val="00F77360"/>
    <w:rsid w:val="00F773F2"/>
    <w:rsid w:val="00F7759E"/>
    <w:rsid w:val="00F77918"/>
    <w:rsid w:val="00F77A68"/>
    <w:rsid w:val="00F77D12"/>
    <w:rsid w:val="00F80150"/>
    <w:rsid w:val="00F80264"/>
    <w:rsid w:val="00F80274"/>
    <w:rsid w:val="00F805E2"/>
    <w:rsid w:val="00F80687"/>
    <w:rsid w:val="00F806AC"/>
    <w:rsid w:val="00F80758"/>
    <w:rsid w:val="00F80B78"/>
    <w:rsid w:val="00F80C08"/>
    <w:rsid w:val="00F80E51"/>
    <w:rsid w:val="00F80E7F"/>
    <w:rsid w:val="00F80ED6"/>
    <w:rsid w:val="00F81010"/>
    <w:rsid w:val="00F81198"/>
    <w:rsid w:val="00F811D9"/>
    <w:rsid w:val="00F8133F"/>
    <w:rsid w:val="00F8141D"/>
    <w:rsid w:val="00F816DD"/>
    <w:rsid w:val="00F8197D"/>
    <w:rsid w:val="00F819FA"/>
    <w:rsid w:val="00F81B6E"/>
    <w:rsid w:val="00F81BCF"/>
    <w:rsid w:val="00F81CE4"/>
    <w:rsid w:val="00F81E22"/>
    <w:rsid w:val="00F81E46"/>
    <w:rsid w:val="00F81F3F"/>
    <w:rsid w:val="00F826BD"/>
    <w:rsid w:val="00F8292C"/>
    <w:rsid w:val="00F82A6A"/>
    <w:rsid w:val="00F82F57"/>
    <w:rsid w:val="00F82F7C"/>
    <w:rsid w:val="00F8308C"/>
    <w:rsid w:val="00F83211"/>
    <w:rsid w:val="00F83269"/>
    <w:rsid w:val="00F83398"/>
    <w:rsid w:val="00F833F3"/>
    <w:rsid w:val="00F836CD"/>
    <w:rsid w:val="00F836EB"/>
    <w:rsid w:val="00F83868"/>
    <w:rsid w:val="00F838D6"/>
    <w:rsid w:val="00F839C9"/>
    <w:rsid w:val="00F83A7A"/>
    <w:rsid w:val="00F83DF7"/>
    <w:rsid w:val="00F83E0B"/>
    <w:rsid w:val="00F83F06"/>
    <w:rsid w:val="00F83F65"/>
    <w:rsid w:val="00F84051"/>
    <w:rsid w:val="00F8437E"/>
    <w:rsid w:val="00F84393"/>
    <w:rsid w:val="00F843E9"/>
    <w:rsid w:val="00F8444C"/>
    <w:rsid w:val="00F8454A"/>
    <w:rsid w:val="00F84937"/>
    <w:rsid w:val="00F84ADE"/>
    <w:rsid w:val="00F84B31"/>
    <w:rsid w:val="00F84C66"/>
    <w:rsid w:val="00F84E07"/>
    <w:rsid w:val="00F84F01"/>
    <w:rsid w:val="00F84F5E"/>
    <w:rsid w:val="00F84FA4"/>
    <w:rsid w:val="00F850F0"/>
    <w:rsid w:val="00F8542C"/>
    <w:rsid w:val="00F854F3"/>
    <w:rsid w:val="00F85674"/>
    <w:rsid w:val="00F85690"/>
    <w:rsid w:val="00F8569A"/>
    <w:rsid w:val="00F856FC"/>
    <w:rsid w:val="00F85820"/>
    <w:rsid w:val="00F8582D"/>
    <w:rsid w:val="00F8583E"/>
    <w:rsid w:val="00F8589A"/>
    <w:rsid w:val="00F85997"/>
    <w:rsid w:val="00F859A4"/>
    <w:rsid w:val="00F85A56"/>
    <w:rsid w:val="00F85AA8"/>
    <w:rsid w:val="00F85D1C"/>
    <w:rsid w:val="00F85F6D"/>
    <w:rsid w:val="00F85FC2"/>
    <w:rsid w:val="00F862C2"/>
    <w:rsid w:val="00F862CA"/>
    <w:rsid w:val="00F8647D"/>
    <w:rsid w:val="00F864C3"/>
    <w:rsid w:val="00F8653E"/>
    <w:rsid w:val="00F8683F"/>
    <w:rsid w:val="00F86902"/>
    <w:rsid w:val="00F86A1C"/>
    <w:rsid w:val="00F86AEB"/>
    <w:rsid w:val="00F86B72"/>
    <w:rsid w:val="00F86CE9"/>
    <w:rsid w:val="00F86D16"/>
    <w:rsid w:val="00F8701C"/>
    <w:rsid w:val="00F87025"/>
    <w:rsid w:val="00F87189"/>
    <w:rsid w:val="00F873E2"/>
    <w:rsid w:val="00F875FF"/>
    <w:rsid w:val="00F876BA"/>
    <w:rsid w:val="00F876F6"/>
    <w:rsid w:val="00F87754"/>
    <w:rsid w:val="00F87770"/>
    <w:rsid w:val="00F8780E"/>
    <w:rsid w:val="00F87AC0"/>
    <w:rsid w:val="00F87B2A"/>
    <w:rsid w:val="00F87B2B"/>
    <w:rsid w:val="00F87B3F"/>
    <w:rsid w:val="00F87B7C"/>
    <w:rsid w:val="00F87D2F"/>
    <w:rsid w:val="00F87DF5"/>
    <w:rsid w:val="00F87E13"/>
    <w:rsid w:val="00F87F5D"/>
    <w:rsid w:val="00F90109"/>
    <w:rsid w:val="00F901DE"/>
    <w:rsid w:val="00F9047A"/>
    <w:rsid w:val="00F904C4"/>
    <w:rsid w:val="00F90511"/>
    <w:rsid w:val="00F90737"/>
    <w:rsid w:val="00F907D7"/>
    <w:rsid w:val="00F908BD"/>
    <w:rsid w:val="00F90A5B"/>
    <w:rsid w:val="00F90D92"/>
    <w:rsid w:val="00F90E7D"/>
    <w:rsid w:val="00F90EAE"/>
    <w:rsid w:val="00F910F2"/>
    <w:rsid w:val="00F9111E"/>
    <w:rsid w:val="00F9117C"/>
    <w:rsid w:val="00F91221"/>
    <w:rsid w:val="00F91470"/>
    <w:rsid w:val="00F91486"/>
    <w:rsid w:val="00F915D2"/>
    <w:rsid w:val="00F91679"/>
    <w:rsid w:val="00F916DE"/>
    <w:rsid w:val="00F917ED"/>
    <w:rsid w:val="00F91807"/>
    <w:rsid w:val="00F9183F"/>
    <w:rsid w:val="00F91879"/>
    <w:rsid w:val="00F918B1"/>
    <w:rsid w:val="00F91923"/>
    <w:rsid w:val="00F91974"/>
    <w:rsid w:val="00F91993"/>
    <w:rsid w:val="00F91C71"/>
    <w:rsid w:val="00F91EE1"/>
    <w:rsid w:val="00F91EFC"/>
    <w:rsid w:val="00F91FCA"/>
    <w:rsid w:val="00F91FCE"/>
    <w:rsid w:val="00F92099"/>
    <w:rsid w:val="00F92234"/>
    <w:rsid w:val="00F92542"/>
    <w:rsid w:val="00F925FD"/>
    <w:rsid w:val="00F9261E"/>
    <w:rsid w:val="00F92668"/>
    <w:rsid w:val="00F9283D"/>
    <w:rsid w:val="00F92906"/>
    <w:rsid w:val="00F929B0"/>
    <w:rsid w:val="00F929E3"/>
    <w:rsid w:val="00F92A50"/>
    <w:rsid w:val="00F92A74"/>
    <w:rsid w:val="00F92CA4"/>
    <w:rsid w:val="00F92E18"/>
    <w:rsid w:val="00F92EC8"/>
    <w:rsid w:val="00F93082"/>
    <w:rsid w:val="00F9308A"/>
    <w:rsid w:val="00F93110"/>
    <w:rsid w:val="00F9328B"/>
    <w:rsid w:val="00F934E5"/>
    <w:rsid w:val="00F93741"/>
    <w:rsid w:val="00F937D5"/>
    <w:rsid w:val="00F939FB"/>
    <w:rsid w:val="00F93B74"/>
    <w:rsid w:val="00F93C11"/>
    <w:rsid w:val="00F93E61"/>
    <w:rsid w:val="00F93E98"/>
    <w:rsid w:val="00F94074"/>
    <w:rsid w:val="00F941A5"/>
    <w:rsid w:val="00F9420D"/>
    <w:rsid w:val="00F94345"/>
    <w:rsid w:val="00F94381"/>
    <w:rsid w:val="00F9445C"/>
    <w:rsid w:val="00F94AFE"/>
    <w:rsid w:val="00F94B42"/>
    <w:rsid w:val="00F94CEB"/>
    <w:rsid w:val="00F94E36"/>
    <w:rsid w:val="00F94F2C"/>
    <w:rsid w:val="00F94FDE"/>
    <w:rsid w:val="00F95158"/>
    <w:rsid w:val="00F952CB"/>
    <w:rsid w:val="00F954A1"/>
    <w:rsid w:val="00F9565B"/>
    <w:rsid w:val="00F956C8"/>
    <w:rsid w:val="00F957CC"/>
    <w:rsid w:val="00F957F1"/>
    <w:rsid w:val="00F95C6F"/>
    <w:rsid w:val="00F95CFA"/>
    <w:rsid w:val="00F96457"/>
    <w:rsid w:val="00F965AC"/>
    <w:rsid w:val="00F9674F"/>
    <w:rsid w:val="00F969C3"/>
    <w:rsid w:val="00F969E4"/>
    <w:rsid w:val="00F96E41"/>
    <w:rsid w:val="00F96EDE"/>
    <w:rsid w:val="00F96F7E"/>
    <w:rsid w:val="00F96FE2"/>
    <w:rsid w:val="00F96FE8"/>
    <w:rsid w:val="00F970ED"/>
    <w:rsid w:val="00F970FB"/>
    <w:rsid w:val="00F97160"/>
    <w:rsid w:val="00F97343"/>
    <w:rsid w:val="00F976ED"/>
    <w:rsid w:val="00F978AB"/>
    <w:rsid w:val="00F97975"/>
    <w:rsid w:val="00F979D7"/>
    <w:rsid w:val="00F97A83"/>
    <w:rsid w:val="00F97AC3"/>
    <w:rsid w:val="00F97C48"/>
    <w:rsid w:val="00F97DC5"/>
    <w:rsid w:val="00F97E6D"/>
    <w:rsid w:val="00F97F89"/>
    <w:rsid w:val="00FA004C"/>
    <w:rsid w:val="00FA016A"/>
    <w:rsid w:val="00FA02FD"/>
    <w:rsid w:val="00FA06BE"/>
    <w:rsid w:val="00FA070D"/>
    <w:rsid w:val="00FA078E"/>
    <w:rsid w:val="00FA087A"/>
    <w:rsid w:val="00FA0A35"/>
    <w:rsid w:val="00FA0B5D"/>
    <w:rsid w:val="00FA0BC5"/>
    <w:rsid w:val="00FA0F52"/>
    <w:rsid w:val="00FA0F72"/>
    <w:rsid w:val="00FA1039"/>
    <w:rsid w:val="00FA13F8"/>
    <w:rsid w:val="00FA17E7"/>
    <w:rsid w:val="00FA1801"/>
    <w:rsid w:val="00FA1A89"/>
    <w:rsid w:val="00FA1C67"/>
    <w:rsid w:val="00FA20F4"/>
    <w:rsid w:val="00FA2659"/>
    <w:rsid w:val="00FA293A"/>
    <w:rsid w:val="00FA29B1"/>
    <w:rsid w:val="00FA2B55"/>
    <w:rsid w:val="00FA2C27"/>
    <w:rsid w:val="00FA2DB9"/>
    <w:rsid w:val="00FA2FF9"/>
    <w:rsid w:val="00FA3054"/>
    <w:rsid w:val="00FA30E0"/>
    <w:rsid w:val="00FA324F"/>
    <w:rsid w:val="00FA32F1"/>
    <w:rsid w:val="00FA33FF"/>
    <w:rsid w:val="00FA3412"/>
    <w:rsid w:val="00FA36EB"/>
    <w:rsid w:val="00FA372F"/>
    <w:rsid w:val="00FA37CE"/>
    <w:rsid w:val="00FA3A9B"/>
    <w:rsid w:val="00FA3B5C"/>
    <w:rsid w:val="00FA3EAF"/>
    <w:rsid w:val="00FA406C"/>
    <w:rsid w:val="00FA4183"/>
    <w:rsid w:val="00FA42D1"/>
    <w:rsid w:val="00FA4367"/>
    <w:rsid w:val="00FA43D8"/>
    <w:rsid w:val="00FA4406"/>
    <w:rsid w:val="00FA4427"/>
    <w:rsid w:val="00FA447F"/>
    <w:rsid w:val="00FA457C"/>
    <w:rsid w:val="00FA4771"/>
    <w:rsid w:val="00FA47EE"/>
    <w:rsid w:val="00FA480E"/>
    <w:rsid w:val="00FA491D"/>
    <w:rsid w:val="00FA49FE"/>
    <w:rsid w:val="00FA4D01"/>
    <w:rsid w:val="00FA4D4A"/>
    <w:rsid w:val="00FA4F11"/>
    <w:rsid w:val="00FA51A9"/>
    <w:rsid w:val="00FA569A"/>
    <w:rsid w:val="00FA5938"/>
    <w:rsid w:val="00FA595B"/>
    <w:rsid w:val="00FA5AEC"/>
    <w:rsid w:val="00FA5B6D"/>
    <w:rsid w:val="00FA5C3B"/>
    <w:rsid w:val="00FA5D0C"/>
    <w:rsid w:val="00FA5DF4"/>
    <w:rsid w:val="00FA5EF7"/>
    <w:rsid w:val="00FA5F37"/>
    <w:rsid w:val="00FA6000"/>
    <w:rsid w:val="00FA61DE"/>
    <w:rsid w:val="00FA62A8"/>
    <w:rsid w:val="00FA6465"/>
    <w:rsid w:val="00FA64A7"/>
    <w:rsid w:val="00FA64FB"/>
    <w:rsid w:val="00FA6537"/>
    <w:rsid w:val="00FA66A2"/>
    <w:rsid w:val="00FA672E"/>
    <w:rsid w:val="00FA683E"/>
    <w:rsid w:val="00FA6980"/>
    <w:rsid w:val="00FA69A9"/>
    <w:rsid w:val="00FA6A1E"/>
    <w:rsid w:val="00FA6ACD"/>
    <w:rsid w:val="00FA6B3B"/>
    <w:rsid w:val="00FA6DD2"/>
    <w:rsid w:val="00FA6ECD"/>
    <w:rsid w:val="00FA6FED"/>
    <w:rsid w:val="00FA712F"/>
    <w:rsid w:val="00FA7233"/>
    <w:rsid w:val="00FA723F"/>
    <w:rsid w:val="00FA7451"/>
    <w:rsid w:val="00FA7571"/>
    <w:rsid w:val="00FA7613"/>
    <w:rsid w:val="00FA77B3"/>
    <w:rsid w:val="00FA7821"/>
    <w:rsid w:val="00FA7A41"/>
    <w:rsid w:val="00FA7ACA"/>
    <w:rsid w:val="00FA7AFE"/>
    <w:rsid w:val="00FA7B31"/>
    <w:rsid w:val="00FA7D39"/>
    <w:rsid w:val="00FA7DE3"/>
    <w:rsid w:val="00FA7DFA"/>
    <w:rsid w:val="00FA7E0B"/>
    <w:rsid w:val="00FA7E9F"/>
    <w:rsid w:val="00FB0002"/>
    <w:rsid w:val="00FB0091"/>
    <w:rsid w:val="00FB0184"/>
    <w:rsid w:val="00FB0436"/>
    <w:rsid w:val="00FB04AA"/>
    <w:rsid w:val="00FB075D"/>
    <w:rsid w:val="00FB07BE"/>
    <w:rsid w:val="00FB07F8"/>
    <w:rsid w:val="00FB08A7"/>
    <w:rsid w:val="00FB0B26"/>
    <w:rsid w:val="00FB0B2D"/>
    <w:rsid w:val="00FB0C05"/>
    <w:rsid w:val="00FB0C74"/>
    <w:rsid w:val="00FB1194"/>
    <w:rsid w:val="00FB1331"/>
    <w:rsid w:val="00FB135C"/>
    <w:rsid w:val="00FB14BB"/>
    <w:rsid w:val="00FB16E2"/>
    <w:rsid w:val="00FB1921"/>
    <w:rsid w:val="00FB193F"/>
    <w:rsid w:val="00FB198A"/>
    <w:rsid w:val="00FB198D"/>
    <w:rsid w:val="00FB1998"/>
    <w:rsid w:val="00FB19D2"/>
    <w:rsid w:val="00FB1A31"/>
    <w:rsid w:val="00FB1CFE"/>
    <w:rsid w:val="00FB1D70"/>
    <w:rsid w:val="00FB1F9D"/>
    <w:rsid w:val="00FB2359"/>
    <w:rsid w:val="00FB2692"/>
    <w:rsid w:val="00FB27BC"/>
    <w:rsid w:val="00FB27C9"/>
    <w:rsid w:val="00FB2907"/>
    <w:rsid w:val="00FB2A07"/>
    <w:rsid w:val="00FB2A31"/>
    <w:rsid w:val="00FB2B11"/>
    <w:rsid w:val="00FB2CA2"/>
    <w:rsid w:val="00FB2DA2"/>
    <w:rsid w:val="00FB2F26"/>
    <w:rsid w:val="00FB2F7A"/>
    <w:rsid w:val="00FB2F82"/>
    <w:rsid w:val="00FB310C"/>
    <w:rsid w:val="00FB3178"/>
    <w:rsid w:val="00FB31A7"/>
    <w:rsid w:val="00FB329B"/>
    <w:rsid w:val="00FB32E9"/>
    <w:rsid w:val="00FB3300"/>
    <w:rsid w:val="00FB33F9"/>
    <w:rsid w:val="00FB341C"/>
    <w:rsid w:val="00FB35DE"/>
    <w:rsid w:val="00FB37B2"/>
    <w:rsid w:val="00FB3B3A"/>
    <w:rsid w:val="00FB3CF9"/>
    <w:rsid w:val="00FB3EB3"/>
    <w:rsid w:val="00FB3EEF"/>
    <w:rsid w:val="00FB4045"/>
    <w:rsid w:val="00FB40ED"/>
    <w:rsid w:val="00FB42C4"/>
    <w:rsid w:val="00FB441E"/>
    <w:rsid w:val="00FB456C"/>
    <w:rsid w:val="00FB45D1"/>
    <w:rsid w:val="00FB46B0"/>
    <w:rsid w:val="00FB47A1"/>
    <w:rsid w:val="00FB47DF"/>
    <w:rsid w:val="00FB47EE"/>
    <w:rsid w:val="00FB49BD"/>
    <w:rsid w:val="00FB4A88"/>
    <w:rsid w:val="00FB4B17"/>
    <w:rsid w:val="00FB4B3A"/>
    <w:rsid w:val="00FB4B74"/>
    <w:rsid w:val="00FB4BCE"/>
    <w:rsid w:val="00FB4CAE"/>
    <w:rsid w:val="00FB4FEA"/>
    <w:rsid w:val="00FB5277"/>
    <w:rsid w:val="00FB54F5"/>
    <w:rsid w:val="00FB5596"/>
    <w:rsid w:val="00FB5644"/>
    <w:rsid w:val="00FB56A1"/>
    <w:rsid w:val="00FB56D6"/>
    <w:rsid w:val="00FB5706"/>
    <w:rsid w:val="00FB5783"/>
    <w:rsid w:val="00FB57AA"/>
    <w:rsid w:val="00FB58E8"/>
    <w:rsid w:val="00FB59ED"/>
    <w:rsid w:val="00FB5BBD"/>
    <w:rsid w:val="00FB5C7A"/>
    <w:rsid w:val="00FB5DF5"/>
    <w:rsid w:val="00FB5E0A"/>
    <w:rsid w:val="00FB5E4F"/>
    <w:rsid w:val="00FB5EB3"/>
    <w:rsid w:val="00FB600C"/>
    <w:rsid w:val="00FB6031"/>
    <w:rsid w:val="00FB6280"/>
    <w:rsid w:val="00FB6298"/>
    <w:rsid w:val="00FB6369"/>
    <w:rsid w:val="00FB66FC"/>
    <w:rsid w:val="00FB6750"/>
    <w:rsid w:val="00FB6822"/>
    <w:rsid w:val="00FB6A1F"/>
    <w:rsid w:val="00FB6A80"/>
    <w:rsid w:val="00FB6A84"/>
    <w:rsid w:val="00FB6AC0"/>
    <w:rsid w:val="00FB6AFC"/>
    <w:rsid w:val="00FB6C7F"/>
    <w:rsid w:val="00FB6D0C"/>
    <w:rsid w:val="00FB6DA3"/>
    <w:rsid w:val="00FB6E3B"/>
    <w:rsid w:val="00FB70B7"/>
    <w:rsid w:val="00FB7144"/>
    <w:rsid w:val="00FB71AD"/>
    <w:rsid w:val="00FB7236"/>
    <w:rsid w:val="00FB735A"/>
    <w:rsid w:val="00FB7408"/>
    <w:rsid w:val="00FB742A"/>
    <w:rsid w:val="00FB74E5"/>
    <w:rsid w:val="00FB757D"/>
    <w:rsid w:val="00FB793B"/>
    <w:rsid w:val="00FB7941"/>
    <w:rsid w:val="00FB7A1C"/>
    <w:rsid w:val="00FB7C4B"/>
    <w:rsid w:val="00FB7CE4"/>
    <w:rsid w:val="00FC0302"/>
    <w:rsid w:val="00FC036F"/>
    <w:rsid w:val="00FC0440"/>
    <w:rsid w:val="00FC04A1"/>
    <w:rsid w:val="00FC04FB"/>
    <w:rsid w:val="00FC052E"/>
    <w:rsid w:val="00FC08AB"/>
    <w:rsid w:val="00FC09FF"/>
    <w:rsid w:val="00FC0AAB"/>
    <w:rsid w:val="00FC0C0E"/>
    <w:rsid w:val="00FC0C4E"/>
    <w:rsid w:val="00FC0C5A"/>
    <w:rsid w:val="00FC0F3A"/>
    <w:rsid w:val="00FC1004"/>
    <w:rsid w:val="00FC10F6"/>
    <w:rsid w:val="00FC1178"/>
    <w:rsid w:val="00FC11AA"/>
    <w:rsid w:val="00FC1264"/>
    <w:rsid w:val="00FC13E2"/>
    <w:rsid w:val="00FC13F1"/>
    <w:rsid w:val="00FC152D"/>
    <w:rsid w:val="00FC1652"/>
    <w:rsid w:val="00FC16B4"/>
    <w:rsid w:val="00FC17D0"/>
    <w:rsid w:val="00FC1A36"/>
    <w:rsid w:val="00FC1B06"/>
    <w:rsid w:val="00FC1B15"/>
    <w:rsid w:val="00FC1C1B"/>
    <w:rsid w:val="00FC1CE9"/>
    <w:rsid w:val="00FC1D9D"/>
    <w:rsid w:val="00FC1E0D"/>
    <w:rsid w:val="00FC1EFF"/>
    <w:rsid w:val="00FC1FA9"/>
    <w:rsid w:val="00FC20B0"/>
    <w:rsid w:val="00FC212D"/>
    <w:rsid w:val="00FC2328"/>
    <w:rsid w:val="00FC247C"/>
    <w:rsid w:val="00FC24C7"/>
    <w:rsid w:val="00FC285D"/>
    <w:rsid w:val="00FC2864"/>
    <w:rsid w:val="00FC2923"/>
    <w:rsid w:val="00FC2A14"/>
    <w:rsid w:val="00FC2B23"/>
    <w:rsid w:val="00FC2DDE"/>
    <w:rsid w:val="00FC2E6C"/>
    <w:rsid w:val="00FC2E7D"/>
    <w:rsid w:val="00FC2F4F"/>
    <w:rsid w:val="00FC3151"/>
    <w:rsid w:val="00FC3189"/>
    <w:rsid w:val="00FC3287"/>
    <w:rsid w:val="00FC32F7"/>
    <w:rsid w:val="00FC3558"/>
    <w:rsid w:val="00FC3641"/>
    <w:rsid w:val="00FC36D0"/>
    <w:rsid w:val="00FC3941"/>
    <w:rsid w:val="00FC39C6"/>
    <w:rsid w:val="00FC3C6C"/>
    <w:rsid w:val="00FC3D0C"/>
    <w:rsid w:val="00FC3DC9"/>
    <w:rsid w:val="00FC3E33"/>
    <w:rsid w:val="00FC3E45"/>
    <w:rsid w:val="00FC4020"/>
    <w:rsid w:val="00FC417A"/>
    <w:rsid w:val="00FC4521"/>
    <w:rsid w:val="00FC4618"/>
    <w:rsid w:val="00FC4630"/>
    <w:rsid w:val="00FC46A1"/>
    <w:rsid w:val="00FC49AD"/>
    <w:rsid w:val="00FC4A66"/>
    <w:rsid w:val="00FC4B9D"/>
    <w:rsid w:val="00FC4E27"/>
    <w:rsid w:val="00FC4FBE"/>
    <w:rsid w:val="00FC5097"/>
    <w:rsid w:val="00FC50C8"/>
    <w:rsid w:val="00FC558B"/>
    <w:rsid w:val="00FC5623"/>
    <w:rsid w:val="00FC5C70"/>
    <w:rsid w:val="00FC5F71"/>
    <w:rsid w:val="00FC6123"/>
    <w:rsid w:val="00FC63AA"/>
    <w:rsid w:val="00FC652A"/>
    <w:rsid w:val="00FC6900"/>
    <w:rsid w:val="00FC69A1"/>
    <w:rsid w:val="00FC6A36"/>
    <w:rsid w:val="00FC6D69"/>
    <w:rsid w:val="00FC6E59"/>
    <w:rsid w:val="00FC6E9A"/>
    <w:rsid w:val="00FC70FC"/>
    <w:rsid w:val="00FC73EC"/>
    <w:rsid w:val="00FC74B1"/>
    <w:rsid w:val="00FC74C9"/>
    <w:rsid w:val="00FC76E2"/>
    <w:rsid w:val="00FC77A2"/>
    <w:rsid w:val="00FC77F7"/>
    <w:rsid w:val="00FC78C6"/>
    <w:rsid w:val="00FC7B37"/>
    <w:rsid w:val="00FC7BE4"/>
    <w:rsid w:val="00FC7C3C"/>
    <w:rsid w:val="00FC7D27"/>
    <w:rsid w:val="00FC7F08"/>
    <w:rsid w:val="00FD01A5"/>
    <w:rsid w:val="00FD045F"/>
    <w:rsid w:val="00FD0603"/>
    <w:rsid w:val="00FD07EC"/>
    <w:rsid w:val="00FD0938"/>
    <w:rsid w:val="00FD097D"/>
    <w:rsid w:val="00FD09C6"/>
    <w:rsid w:val="00FD0C92"/>
    <w:rsid w:val="00FD0C9E"/>
    <w:rsid w:val="00FD0CA3"/>
    <w:rsid w:val="00FD0CA8"/>
    <w:rsid w:val="00FD0CAF"/>
    <w:rsid w:val="00FD0CCE"/>
    <w:rsid w:val="00FD1006"/>
    <w:rsid w:val="00FD101B"/>
    <w:rsid w:val="00FD1093"/>
    <w:rsid w:val="00FD117E"/>
    <w:rsid w:val="00FD12D8"/>
    <w:rsid w:val="00FD1423"/>
    <w:rsid w:val="00FD1633"/>
    <w:rsid w:val="00FD18D2"/>
    <w:rsid w:val="00FD18FF"/>
    <w:rsid w:val="00FD1967"/>
    <w:rsid w:val="00FD19B4"/>
    <w:rsid w:val="00FD1BD7"/>
    <w:rsid w:val="00FD1CB7"/>
    <w:rsid w:val="00FD1DEB"/>
    <w:rsid w:val="00FD2167"/>
    <w:rsid w:val="00FD2238"/>
    <w:rsid w:val="00FD22EC"/>
    <w:rsid w:val="00FD2690"/>
    <w:rsid w:val="00FD2898"/>
    <w:rsid w:val="00FD2A55"/>
    <w:rsid w:val="00FD2BB3"/>
    <w:rsid w:val="00FD2EAF"/>
    <w:rsid w:val="00FD2EF6"/>
    <w:rsid w:val="00FD3012"/>
    <w:rsid w:val="00FD323A"/>
    <w:rsid w:val="00FD36C4"/>
    <w:rsid w:val="00FD376A"/>
    <w:rsid w:val="00FD3A19"/>
    <w:rsid w:val="00FD3B34"/>
    <w:rsid w:val="00FD3B8B"/>
    <w:rsid w:val="00FD3C9A"/>
    <w:rsid w:val="00FD3D84"/>
    <w:rsid w:val="00FD3DA4"/>
    <w:rsid w:val="00FD3E3E"/>
    <w:rsid w:val="00FD3E4E"/>
    <w:rsid w:val="00FD4082"/>
    <w:rsid w:val="00FD45FA"/>
    <w:rsid w:val="00FD46E0"/>
    <w:rsid w:val="00FD4733"/>
    <w:rsid w:val="00FD47C7"/>
    <w:rsid w:val="00FD47EF"/>
    <w:rsid w:val="00FD483E"/>
    <w:rsid w:val="00FD485C"/>
    <w:rsid w:val="00FD4B9F"/>
    <w:rsid w:val="00FD4CA3"/>
    <w:rsid w:val="00FD4D58"/>
    <w:rsid w:val="00FD4F28"/>
    <w:rsid w:val="00FD51B4"/>
    <w:rsid w:val="00FD52C0"/>
    <w:rsid w:val="00FD576F"/>
    <w:rsid w:val="00FD58F3"/>
    <w:rsid w:val="00FD5954"/>
    <w:rsid w:val="00FD5978"/>
    <w:rsid w:val="00FD5A9F"/>
    <w:rsid w:val="00FD5B5E"/>
    <w:rsid w:val="00FD5C43"/>
    <w:rsid w:val="00FD5C62"/>
    <w:rsid w:val="00FD5CF3"/>
    <w:rsid w:val="00FD5DFD"/>
    <w:rsid w:val="00FD5F4A"/>
    <w:rsid w:val="00FD61AD"/>
    <w:rsid w:val="00FD6705"/>
    <w:rsid w:val="00FD6761"/>
    <w:rsid w:val="00FD6828"/>
    <w:rsid w:val="00FD684C"/>
    <w:rsid w:val="00FD68E0"/>
    <w:rsid w:val="00FD6A33"/>
    <w:rsid w:val="00FD6F79"/>
    <w:rsid w:val="00FD7183"/>
    <w:rsid w:val="00FD7297"/>
    <w:rsid w:val="00FD72A8"/>
    <w:rsid w:val="00FD74EF"/>
    <w:rsid w:val="00FD7519"/>
    <w:rsid w:val="00FD76E6"/>
    <w:rsid w:val="00FD7861"/>
    <w:rsid w:val="00FD7B78"/>
    <w:rsid w:val="00FD7F0B"/>
    <w:rsid w:val="00FE0143"/>
    <w:rsid w:val="00FE0144"/>
    <w:rsid w:val="00FE01C7"/>
    <w:rsid w:val="00FE01DF"/>
    <w:rsid w:val="00FE027B"/>
    <w:rsid w:val="00FE040C"/>
    <w:rsid w:val="00FE0600"/>
    <w:rsid w:val="00FE063E"/>
    <w:rsid w:val="00FE06CA"/>
    <w:rsid w:val="00FE07C0"/>
    <w:rsid w:val="00FE085F"/>
    <w:rsid w:val="00FE088D"/>
    <w:rsid w:val="00FE0AA2"/>
    <w:rsid w:val="00FE0C65"/>
    <w:rsid w:val="00FE0D45"/>
    <w:rsid w:val="00FE0DB3"/>
    <w:rsid w:val="00FE0EE4"/>
    <w:rsid w:val="00FE0F0F"/>
    <w:rsid w:val="00FE0FB6"/>
    <w:rsid w:val="00FE10D6"/>
    <w:rsid w:val="00FE139E"/>
    <w:rsid w:val="00FE1447"/>
    <w:rsid w:val="00FE189A"/>
    <w:rsid w:val="00FE18F2"/>
    <w:rsid w:val="00FE1A48"/>
    <w:rsid w:val="00FE1B67"/>
    <w:rsid w:val="00FE1CAE"/>
    <w:rsid w:val="00FE1DEC"/>
    <w:rsid w:val="00FE1DFF"/>
    <w:rsid w:val="00FE1F4A"/>
    <w:rsid w:val="00FE246F"/>
    <w:rsid w:val="00FE24D9"/>
    <w:rsid w:val="00FE27BB"/>
    <w:rsid w:val="00FE2801"/>
    <w:rsid w:val="00FE287C"/>
    <w:rsid w:val="00FE28D7"/>
    <w:rsid w:val="00FE2942"/>
    <w:rsid w:val="00FE296C"/>
    <w:rsid w:val="00FE2A45"/>
    <w:rsid w:val="00FE2BE9"/>
    <w:rsid w:val="00FE2C0D"/>
    <w:rsid w:val="00FE2E3B"/>
    <w:rsid w:val="00FE2FDB"/>
    <w:rsid w:val="00FE308A"/>
    <w:rsid w:val="00FE312C"/>
    <w:rsid w:val="00FE31F9"/>
    <w:rsid w:val="00FE3252"/>
    <w:rsid w:val="00FE32C0"/>
    <w:rsid w:val="00FE3393"/>
    <w:rsid w:val="00FE3491"/>
    <w:rsid w:val="00FE3544"/>
    <w:rsid w:val="00FE35A9"/>
    <w:rsid w:val="00FE364A"/>
    <w:rsid w:val="00FE36C3"/>
    <w:rsid w:val="00FE36E3"/>
    <w:rsid w:val="00FE39B8"/>
    <w:rsid w:val="00FE3AAF"/>
    <w:rsid w:val="00FE3CAC"/>
    <w:rsid w:val="00FE3D06"/>
    <w:rsid w:val="00FE3EA8"/>
    <w:rsid w:val="00FE403B"/>
    <w:rsid w:val="00FE40EF"/>
    <w:rsid w:val="00FE4122"/>
    <w:rsid w:val="00FE45DC"/>
    <w:rsid w:val="00FE4664"/>
    <w:rsid w:val="00FE4859"/>
    <w:rsid w:val="00FE49B3"/>
    <w:rsid w:val="00FE4B78"/>
    <w:rsid w:val="00FE4BE5"/>
    <w:rsid w:val="00FE4CF3"/>
    <w:rsid w:val="00FE4DCF"/>
    <w:rsid w:val="00FE4E9C"/>
    <w:rsid w:val="00FE5018"/>
    <w:rsid w:val="00FE514A"/>
    <w:rsid w:val="00FE5286"/>
    <w:rsid w:val="00FE52F7"/>
    <w:rsid w:val="00FE535C"/>
    <w:rsid w:val="00FE5560"/>
    <w:rsid w:val="00FE55DC"/>
    <w:rsid w:val="00FE58AB"/>
    <w:rsid w:val="00FE5B7E"/>
    <w:rsid w:val="00FE5D23"/>
    <w:rsid w:val="00FE5F16"/>
    <w:rsid w:val="00FE60A2"/>
    <w:rsid w:val="00FE6272"/>
    <w:rsid w:val="00FE6324"/>
    <w:rsid w:val="00FE642E"/>
    <w:rsid w:val="00FE65FB"/>
    <w:rsid w:val="00FE661D"/>
    <w:rsid w:val="00FE6788"/>
    <w:rsid w:val="00FE6B5B"/>
    <w:rsid w:val="00FE6B60"/>
    <w:rsid w:val="00FE71B9"/>
    <w:rsid w:val="00FE71DC"/>
    <w:rsid w:val="00FE7296"/>
    <w:rsid w:val="00FE7341"/>
    <w:rsid w:val="00FE73A3"/>
    <w:rsid w:val="00FE7522"/>
    <w:rsid w:val="00FE755E"/>
    <w:rsid w:val="00FE7953"/>
    <w:rsid w:val="00FE7ACC"/>
    <w:rsid w:val="00FE7BDF"/>
    <w:rsid w:val="00FE7D8E"/>
    <w:rsid w:val="00FE7DED"/>
    <w:rsid w:val="00FE7EC6"/>
    <w:rsid w:val="00FE7EF3"/>
    <w:rsid w:val="00FE7F4F"/>
    <w:rsid w:val="00FE7FAE"/>
    <w:rsid w:val="00FF00E8"/>
    <w:rsid w:val="00FF0184"/>
    <w:rsid w:val="00FF0677"/>
    <w:rsid w:val="00FF093F"/>
    <w:rsid w:val="00FF09E4"/>
    <w:rsid w:val="00FF0A3D"/>
    <w:rsid w:val="00FF0A6D"/>
    <w:rsid w:val="00FF0B62"/>
    <w:rsid w:val="00FF0BA7"/>
    <w:rsid w:val="00FF0F21"/>
    <w:rsid w:val="00FF0F2F"/>
    <w:rsid w:val="00FF0F85"/>
    <w:rsid w:val="00FF0F94"/>
    <w:rsid w:val="00FF103B"/>
    <w:rsid w:val="00FF1168"/>
    <w:rsid w:val="00FF1222"/>
    <w:rsid w:val="00FF139C"/>
    <w:rsid w:val="00FF1481"/>
    <w:rsid w:val="00FF148A"/>
    <w:rsid w:val="00FF1727"/>
    <w:rsid w:val="00FF175F"/>
    <w:rsid w:val="00FF1F16"/>
    <w:rsid w:val="00FF2034"/>
    <w:rsid w:val="00FF22B3"/>
    <w:rsid w:val="00FF2339"/>
    <w:rsid w:val="00FF243A"/>
    <w:rsid w:val="00FF262C"/>
    <w:rsid w:val="00FF2732"/>
    <w:rsid w:val="00FF27B2"/>
    <w:rsid w:val="00FF2A0E"/>
    <w:rsid w:val="00FF2A71"/>
    <w:rsid w:val="00FF2B80"/>
    <w:rsid w:val="00FF2D5B"/>
    <w:rsid w:val="00FF2DC6"/>
    <w:rsid w:val="00FF2E1A"/>
    <w:rsid w:val="00FF2F3D"/>
    <w:rsid w:val="00FF2FF8"/>
    <w:rsid w:val="00FF3034"/>
    <w:rsid w:val="00FF313B"/>
    <w:rsid w:val="00FF3179"/>
    <w:rsid w:val="00FF344E"/>
    <w:rsid w:val="00FF3479"/>
    <w:rsid w:val="00FF3639"/>
    <w:rsid w:val="00FF381F"/>
    <w:rsid w:val="00FF39CD"/>
    <w:rsid w:val="00FF3AF9"/>
    <w:rsid w:val="00FF3AFB"/>
    <w:rsid w:val="00FF3D40"/>
    <w:rsid w:val="00FF3D84"/>
    <w:rsid w:val="00FF3FF1"/>
    <w:rsid w:val="00FF4052"/>
    <w:rsid w:val="00FF4114"/>
    <w:rsid w:val="00FF4145"/>
    <w:rsid w:val="00FF41B2"/>
    <w:rsid w:val="00FF4240"/>
    <w:rsid w:val="00FF428E"/>
    <w:rsid w:val="00FF43FB"/>
    <w:rsid w:val="00FF4671"/>
    <w:rsid w:val="00FF46C9"/>
    <w:rsid w:val="00FF4905"/>
    <w:rsid w:val="00FF4AC4"/>
    <w:rsid w:val="00FF4C34"/>
    <w:rsid w:val="00FF50C8"/>
    <w:rsid w:val="00FF50CF"/>
    <w:rsid w:val="00FF519B"/>
    <w:rsid w:val="00FF5257"/>
    <w:rsid w:val="00FF546C"/>
    <w:rsid w:val="00FF558F"/>
    <w:rsid w:val="00FF559C"/>
    <w:rsid w:val="00FF5731"/>
    <w:rsid w:val="00FF59B6"/>
    <w:rsid w:val="00FF5A64"/>
    <w:rsid w:val="00FF5C2B"/>
    <w:rsid w:val="00FF5C38"/>
    <w:rsid w:val="00FF5E0F"/>
    <w:rsid w:val="00FF5F37"/>
    <w:rsid w:val="00FF63FF"/>
    <w:rsid w:val="00FF640F"/>
    <w:rsid w:val="00FF6421"/>
    <w:rsid w:val="00FF6508"/>
    <w:rsid w:val="00FF6609"/>
    <w:rsid w:val="00FF6661"/>
    <w:rsid w:val="00FF66AB"/>
    <w:rsid w:val="00FF695C"/>
    <w:rsid w:val="00FF699A"/>
    <w:rsid w:val="00FF6BC1"/>
    <w:rsid w:val="00FF6CAD"/>
    <w:rsid w:val="00FF6CD1"/>
    <w:rsid w:val="00FF7091"/>
    <w:rsid w:val="00FF7409"/>
    <w:rsid w:val="00FF7441"/>
    <w:rsid w:val="00FF7449"/>
    <w:rsid w:val="00FF77FD"/>
    <w:rsid w:val="00FF7895"/>
    <w:rsid w:val="00FF78F1"/>
    <w:rsid w:val="00FF7A8B"/>
    <w:rsid w:val="00FF7D17"/>
    <w:rsid w:val="00FF7F3B"/>
    <w:rsid w:val="00FF7FC8"/>
    <w:rsid w:val="010135AA"/>
    <w:rsid w:val="01063453"/>
    <w:rsid w:val="0107E6AB"/>
    <w:rsid w:val="01212795"/>
    <w:rsid w:val="012E1067"/>
    <w:rsid w:val="01303F50"/>
    <w:rsid w:val="0146F5EA"/>
    <w:rsid w:val="016F9BB8"/>
    <w:rsid w:val="017A2A68"/>
    <w:rsid w:val="017CC93E"/>
    <w:rsid w:val="018066E1"/>
    <w:rsid w:val="01869398"/>
    <w:rsid w:val="0190D86A"/>
    <w:rsid w:val="01AAA24B"/>
    <w:rsid w:val="01B4A102"/>
    <w:rsid w:val="01DED030"/>
    <w:rsid w:val="01E1D152"/>
    <w:rsid w:val="01E1E83E"/>
    <w:rsid w:val="01E72396"/>
    <w:rsid w:val="01E7796F"/>
    <w:rsid w:val="020E250D"/>
    <w:rsid w:val="020FBC9B"/>
    <w:rsid w:val="0215459A"/>
    <w:rsid w:val="021E74D4"/>
    <w:rsid w:val="024500B7"/>
    <w:rsid w:val="025CAC71"/>
    <w:rsid w:val="027E9EFE"/>
    <w:rsid w:val="027FBB24"/>
    <w:rsid w:val="0287DBF1"/>
    <w:rsid w:val="0287F461"/>
    <w:rsid w:val="028C5180"/>
    <w:rsid w:val="02928641"/>
    <w:rsid w:val="029A0419"/>
    <w:rsid w:val="02C4BA31"/>
    <w:rsid w:val="02D281F7"/>
    <w:rsid w:val="02E19AB1"/>
    <w:rsid w:val="02F2DB34"/>
    <w:rsid w:val="02F30BA7"/>
    <w:rsid w:val="02FED5AD"/>
    <w:rsid w:val="03004F5B"/>
    <w:rsid w:val="032458A0"/>
    <w:rsid w:val="0331AFC7"/>
    <w:rsid w:val="0331CA95"/>
    <w:rsid w:val="034B965D"/>
    <w:rsid w:val="036794BA"/>
    <w:rsid w:val="03801364"/>
    <w:rsid w:val="0382A7A7"/>
    <w:rsid w:val="0384ACFE"/>
    <w:rsid w:val="03857678"/>
    <w:rsid w:val="03857C39"/>
    <w:rsid w:val="038A3D39"/>
    <w:rsid w:val="038AFADD"/>
    <w:rsid w:val="038D3323"/>
    <w:rsid w:val="03956E4C"/>
    <w:rsid w:val="03A176B7"/>
    <w:rsid w:val="03AE894E"/>
    <w:rsid w:val="03B4A877"/>
    <w:rsid w:val="03C107A0"/>
    <w:rsid w:val="03C5A623"/>
    <w:rsid w:val="03D75D32"/>
    <w:rsid w:val="03E3DB6F"/>
    <w:rsid w:val="040267D9"/>
    <w:rsid w:val="04056DC4"/>
    <w:rsid w:val="0417C9D4"/>
    <w:rsid w:val="042342E9"/>
    <w:rsid w:val="04377CEA"/>
    <w:rsid w:val="04437D44"/>
    <w:rsid w:val="0452075F"/>
    <w:rsid w:val="0453DA61"/>
    <w:rsid w:val="04598F83"/>
    <w:rsid w:val="045D5A83"/>
    <w:rsid w:val="04624791"/>
    <w:rsid w:val="0478E9A9"/>
    <w:rsid w:val="0488C877"/>
    <w:rsid w:val="0494BCFB"/>
    <w:rsid w:val="049E8D1A"/>
    <w:rsid w:val="04C499C3"/>
    <w:rsid w:val="04CC4FFF"/>
    <w:rsid w:val="04D3BF9D"/>
    <w:rsid w:val="04D4072B"/>
    <w:rsid w:val="04DBB2BC"/>
    <w:rsid w:val="04DFF6CC"/>
    <w:rsid w:val="050827EA"/>
    <w:rsid w:val="051034A4"/>
    <w:rsid w:val="0513231A"/>
    <w:rsid w:val="0528CD24"/>
    <w:rsid w:val="0532FAA3"/>
    <w:rsid w:val="055602E0"/>
    <w:rsid w:val="056F053B"/>
    <w:rsid w:val="0571316C"/>
    <w:rsid w:val="057BE2C3"/>
    <w:rsid w:val="058AAAFD"/>
    <w:rsid w:val="058CBB81"/>
    <w:rsid w:val="05A548DD"/>
    <w:rsid w:val="05A5659F"/>
    <w:rsid w:val="05AE3510"/>
    <w:rsid w:val="05B0DAF1"/>
    <w:rsid w:val="05B6BCAA"/>
    <w:rsid w:val="05BBADA4"/>
    <w:rsid w:val="05D52876"/>
    <w:rsid w:val="05D9BF91"/>
    <w:rsid w:val="05DB0F2B"/>
    <w:rsid w:val="05DD9F83"/>
    <w:rsid w:val="05E2177A"/>
    <w:rsid w:val="05FA48EB"/>
    <w:rsid w:val="061A366F"/>
    <w:rsid w:val="063DCBFA"/>
    <w:rsid w:val="0640A94F"/>
    <w:rsid w:val="0657E1B6"/>
    <w:rsid w:val="0665BD97"/>
    <w:rsid w:val="068FC246"/>
    <w:rsid w:val="0691B33D"/>
    <w:rsid w:val="06992876"/>
    <w:rsid w:val="06A10A10"/>
    <w:rsid w:val="06A89237"/>
    <w:rsid w:val="06AA7C06"/>
    <w:rsid w:val="06AB9D61"/>
    <w:rsid w:val="06BAFCA0"/>
    <w:rsid w:val="06C3D437"/>
    <w:rsid w:val="06D435B4"/>
    <w:rsid w:val="06DD3D62"/>
    <w:rsid w:val="06DD967B"/>
    <w:rsid w:val="06E7EEA8"/>
    <w:rsid w:val="06F69F0B"/>
    <w:rsid w:val="06F7AE58"/>
    <w:rsid w:val="0704D69E"/>
    <w:rsid w:val="072B8F7C"/>
    <w:rsid w:val="073E168F"/>
    <w:rsid w:val="07482257"/>
    <w:rsid w:val="075233F4"/>
    <w:rsid w:val="0755F54F"/>
    <w:rsid w:val="076F1DAC"/>
    <w:rsid w:val="0776D959"/>
    <w:rsid w:val="0777338B"/>
    <w:rsid w:val="07BC671F"/>
    <w:rsid w:val="07D2C9E4"/>
    <w:rsid w:val="07DF3236"/>
    <w:rsid w:val="07EE41FE"/>
    <w:rsid w:val="07F12220"/>
    <w:rsid w:val="07FBC3D0"/>
    <w:rsid w:val="0808948A"/>
    <w:rsid w:val="08098845"/>
    <w:rsid w:val="0827CFCB"/>
    <w:rsid w:val="0828DD6C"/>
    <w:rsid w:val="0839F026"/>
    <w:rsid w:val="0852D711"/>
    <w:rsid w:val="085D1942"/>
    <w:rsid w:val="088697F3"/>
    <w:rsid w:val="08936510"/>
    <w:rsid w:val="089DE925"/>
    <w:rsid w:val="08BA05D2"/>
    <w:rsid w:val="08C479E4"/>
    <w:rsid w:val="08CCB60B"/>
    <w:rsid w:val="08CDD4F4"/>
    <w:rsid w:val="08F5BDAB"/>
    <w:rsid w:val="08FF0D40"/>
    <w:rsid w:val="0900AF51"/>
    <w:rsid w:val="0913C1DE"/>
    <w:rsid w:val="0914A6DC"/>
    <w:rsid w:val="0930EDD1"/>
    <w:rsid w:val="094BA7A7"/>
    <w:rsid w:val="09504AAF"/>
    <w:rsid w:val="0962E0D1"/>
    <w:rsid w:val="09644354"/>
    <w:rsid w:val="09658F70"/>
    <w:rsid w:val="0981D84E"/>
    <w:rsid w:val="09A58868"/>
    <w:rsid w:val="09AF6161"/>
    <w:rsid w:val="09D5E26F"/>
    <w:rsid w:val="09D8D0DA"/>
    <w:rsid w:val="0A0D9CDF"/>
    <w:rsid w:val="0A216622"/>
    <w:rsid w:val="0A299BCA"/>
    <w:rsid w:val="0A2EE7B5"/>
    <w:rsid w:val="0A36F999"/>
    <w:rsid w:val="0A3B2C4D"/>
    <w:rsid w:val="0A449941"/>
    <w:rsid w:val="0A4CC476"/>
    <w:rsid w:val="0A52AE3E"/>
    <w:rsid w:val="0A52C973"/>
    <w:rsid w:val="0A5906D9"/>
    <w:rsid w:val="0A872025"/>
    <w:rsid w:val="0AA42DFA"/>
    <w:rsid w:val="0AA6BE6E"/>
    <w:rsid w:val="0AABA748"/>
    <w:rsid w:val="0AAE80F0"/>
    <w:rsid w:val="0ABF1400"/>
    <w:rsid w:val="0AD8F793"/>
    <w:rsid w:val="0AE36684"/>
    <w:rsid w:val="0AE62A44"/>
    <w:rsid w:val="0AE6E434"/>
    <w:rsid w:val="0AF2A91D"/>
    <w:rsid w:val="0AFE47B4"/>
    <w:rsid w:val="0B0478DE"/>
    <w:rsid w:val="0B155A8A"/>
    <w:rsid w:val="0B1EDA54"/>
    <w:rsid w:val="0B285D73"/>
    <w:rsid w:val="0B30C949"/>
    <w:rsid w:val="0B364858"/>
    <w:rsid w:val="0B493CFC"/>
    <w:rsid w:val="0B56AEA5"/>
    <w:rsid w:val="0B7E5CFC"/>
    <w:rsid w:val="0B7FBB9B"/>
    <w:rsid w:val="0B892E83"/>
    <w:rsid w:val="0B9EA101"/>
    <w:rsid w:val="0BA9AF21"/>
    <w:rsid w:val="0BBB9C25"/>
    <w:rsid w:val="0BCC2DCD"/>
    <w:rsid w:val="0BD068DF"/>
    <w:rsid w:val="0BD750B5"/>
    <w:rsid w:val="0BD87FA5"/>
    <w:rsid w:val="0BECD3D2"/>
    <w:rsid w:val="0BEEC8D5"/>
    <w:rsid w:val="0BF0B903"/>
    <w:rsid w:val="0BF320FE"/>
    <w:rsid w:val="0BFB2ED0"/>
    <w:rsid w:val="0C1C47A4"/>
    <w:rsid w:val="0C249C2F"/>
    <w:rsid w:val="0C2F44C6"/>
    <w:rsid w:val="0C38A842"/>
    <w:rsid w:val="0C396D73"/>
    <w:rsid w:val="0C3D6023"/>
    <w:rsid w:val="0C696D00"/>
    <w:rsid w:val="0C76E47A"/>
    <w:rsid w:val="0C85AE2A"/>
    <w:rsid w:val="0C885DF3"/>
    <w:rsid w:val="0CA3236F"/>
    <w:rsid w:val="0CB4B030"/>
    <w:rsid w:val="0CE4D714"/>
    <w:rsid w:val="0CEC5988"/>
    <w:rsid w:val="0CEF419D"/>
    <w:rsid w:val="0CF8F4D9"/>
    <w:rsid w:val="0D012CA5"/>
    <w:rsid w:val="0D1020CD"/>
    <w:rsid w:val="0D376ADE"/>
    <w:rsid w:val="0D378784"/>
    <w:rsid w:val="0D3FF545"/>
    <w:rsid w:val="0D43011F"/>
    <w:rsid w:val="0D5922D1"/>
    <w:rsid w:val="0D5D6B84"/>
    <w:rsid w:val="0D5E5A6A"/>
    <w:rsid w:val="0D615542"/>
    <w:rsid w:val="0D7CD86E"/>
    <w:rsid w:val="0D815D65"/>
    <w:rsid w:val="0D836C68"/>
    <w:rsid w:val="0D8AF345"/>
    <w:rsid w:val="0D908031"/>
    <w:rsid w:val="0DBF1107"/>
    <w:rsid w:val="0DC0BEB0"/>
    <w:rsid w:val="0DC4F2CC"/>
    <w:rsid w:val="0DD5F82A"/>
    <w:rsid w:val="0DE01AE1"/>
    <w:rsid w:val="0DEBEA48"/>
    <w:rsid w:val="0DEE26F1"/>
    <w:rsid w:val="0DEF2B1F"/>
    <w:rsid w:val="0DF205D3"/>
    <w:rsid w:val="0E047DC2"/>
    <w:rsid w:val="0E0A23F0"/>
    <w:rsid w:val="0E0F43E8"/>
    <w:rsid w:val="0E129DE7"/>
    <w:rsid w:val="0E171CA5"/>
    <w:rsid w:val="0E197E42"/>
    <w:rsid w:val="0E345A78"/>
    <w:rsid w:val="0E60AEF9"/>
    <w:rsid w:val="0E69A8EE"/>
    <w:rsid w:val="0E778CBE"/>
    <w:rsid w:val="0E925177"/>
    <w:rsid w:val="0E9F069F"/>
    <w:rsid w:val="0EC4A756"/>
    <w:rsid w:val="0EDA3CC3"/>
    <w:rsid w:val="0EF93BE5"/>
    <w:rsid w:val="0EFAE77F"/>
    <w:rsid w:val="0EFD99FA"/>
    <w:rsid w:val="0F0DC70B"/>
    <w:rsid w:val="0F180A64"/>
    <w:rsid w:val="0F2AB198"/>
    <w:rsid w:val="0F3B1384"/>
    <w:rsid w:val="0F3C88CF"/>
    <w:rsid w:val="0F46B585"/>
    <w:rsid w:val="0F4C3DBD"/>
    <w:rsid w:val="0F4C949B"/>
    <w:rsid w:val="0F4D34CB"/>
    <w:rsid w:val="0F56CDD2"/>
    <w:rsid w:val="0F63160C"/>
    <w:rsid w:val="0F688507"/>
    <w:rsid w:val="0F70E499"/>
    <w:rsid w:val="0F7E7D70"/>
    <w:rsid w:val="0F93450E"/>
    <w:rsid w:val="0FB7D3C6"/>
    <w:rsid w:val="0FBB3AF7"/>
    <w:rsid w:val="0FCAF54A"/>
    <w:rsid w:val="0FCD7E16"/>
    <w:rsid w:val="0FCE60DA"/>
    <w:rsid w:val="0FD08151"/>
    <w:rsid w:val="0FDC6F07"/>
    <w:rsid w:val="0FEC83C3"/>
    <w:rsid w:val="0FF7AB49"/>
    <w:rsid w:val="10044FDD"/>
    <w:rsid w:val="1008BAA4"/>
    <w:rsid w:val="100B2880"/>
    <w:rsid w:val="10165911"/>
    <w:rsid w:val="102A58AE"/>
    <w:rsid w:val="102A86A3"/>
    <w:rsid w:val="102A87E8"/>
    <w:rsid w:val="10481397"/>
    <w:rsid w:val="104AADD1"/>
    <w:rsid w:val="105779D7"/>
    <w:rsid w:val="1058733F"/>
    <w:rsid w:val="105DE59C"/>
    <w:rsid w:val="106232B6"/>
    <w:rsid w:val="10747E49"/>
    <w:rsid w:val="1077CF13"/>
    <w:rsid w:val="1083203F"/>
    <w:rsid w:val="108C765D"/>
    <w:rsid w:val="109163E4"/>
    <w:rsid w:val="109664B9"/>
    <w:rsid w:val="10A2A403"/>
    <w:rsid w:val="10AC8938"/>
    <w:rsid w:val="10C3E738"/>
    <w:rsid w:val="10CF9C58"/>
    <w:rsid w:val="10D75405"/>
    <w:rsid w:val="10D9C32B"/>
    <w:rsid w:val="10E26C6A"/>
    <w:rsid w:val="10E27675"/>
    <w:rsid w:val="1100D91F"/>
    <w:rsid w:val="1110ED9C"/>
    <w:rsid w:val="113AE16C"/>
    <w:rsid w:val="114225BE"/>
    <w:rsid w:val="1149A362"/>
    <w:rsid w:val="114CA626"/>
    <w:rsid w:val="1150C3B1"/>
    <w:rsid w:val="115BAB56"/>
    <w:rsid w:val="116A7A37"/>
    <w:rsid w:val="11731AE0"/>
    <w:rsid w:val="11885FC5"/>
    <w:rsid w:val="118A182E"/>
    <w:rsid w:val="11945399"/>
    <w:rsid w:val="119A5A7D"/>
    <w:rsid w:val="11A5CB21"/>
    <w:rsid w:val="11AA2362"/>
    <w:rsid w:val="11B0B08A"/>
    <w:rsid w:val="11D6ACCD"/>
    <w:rsid w:val="11D703B2"/>
    <w:rsid w:val="11E0A6F8"/>
    <w:rsid w:val="1228805B"/>
    <w:rsid w:val="123731E2"/>
    <w:rsid w:val="1275EA75"/>
    <w:rsid w:val="1297525B"/>
    <w:rsid w:val="129F96FF"/>
    <w:rsid w:val="12AEAA31"/>
    <w:rsid w:val="12B5C657"/>
    <w:rsid w:val="12BEBF07"/>
    <w:rsid w:val="12C1DD8C"/>
    <w:rsid w:val="12CBC441"/>
    <w:rsid w:val="12D09642"/>
    <w:rsid w:val="12DF9EF0"/>
    <w:rsid w:val="12F2106D"/>
    <w:rsid w:val="12F218DD"/>
    <w:rsid w:val="131D553F"/>
    <w:rsid w:val="1320B5ED"/>
    <w:rsid w:val="133ED787"/>
    <w:rsid w:val="134E9E94"/>
    <w:rsid w:val="13564F8E"/>
    <w:rsid w:val="135F28BA"/>
    <w:rsid w:val="1376371B"/>
    <w:rsid w:val="13804BD1"/>
    <w:rsid w:val="1382B98B"/>
    <w:rsid w:val="138C6AE9"/>
    <w:rsid w:val="13948073"/>
    <w:rsid w:val="1399CA8F"/>
    <w:rsid w:val="139FB77D"/>
    <w:rsid w:val="13A303E7"/>
    <w:rsid w:val="13B1ACED"/>
    <w:rsid w:val="13BAB3DA"/>
    <w:rsid w:val="13D17BDA"/>
    <w:rsid w:val="13E070D7"/>
    <w:rsid w:val="13E08AF2"/>
    <w:rsid w:val="13E7D7E8"/>
    <w:rsid w:val="13F9A7BC"/>
    <w:rsid w:val="14089459"/>
    <w:rsid w:val="1418BDA1"/>
    <w:rsid w:val="1418D90D"/>
    <w:rsid w:val="1420F6A4"/>
    <w:rsid w:val="1425165A"/>
    <w:rsid w:val="1433A7C5"/>
    <w:rsid w:val="144B8E2E"/>
    <w:rsid w:val="14571278"/>
    <w:rsid w:val="145C9A6A"/>
    <w:rsid w:val="1494998C"/>
    <w:rsid w:val="14957D8B"/>
    <w:rsid w:val="1496ECE4"/>
    <w:rsid w:val="14A21F2F"/>
    <w:rsid w:val="14A590A3"/>
    <w:rsid w:val="14A60596"/>
    <w:rsid w:val="14B13BBD"/>
    <w:rsid w:val="14C776B9"/>
    <w:rsid w:val="14CDB7B5"/>
    <w:rsid w:val="14E00B51"/>
    <w:rsid w:val="14EB729E"/>
    <w:rsid w:val="14EEBF08"/>
    <w:rsid w:val="14F5DE2E"/>
    <w:rsid w:val="14FF6F16"/>
    <w:rsid w:val="15002FFA"/>
    <w:rsid w:val="1502A329"/>
    <w:rsid w:val="150781C3"/>
    <w:rsid w:val="151E81CD"/>
    <w:rsid w:val="1527129E"/>
    <w:rsid w:val="152B969B"/>
    <w:rsid w:val="1541C368"/>
    <w:rsid w:val="15535C6B"/>
    <w:rsid w:val="1553ED68"/>
    <w:rsid w:val="156D6265"/>
    <w:rsid w:val="157F922E"/>
    <w:rsid w:val="15BD9553"/>
    <w:rsid w:val="15CFDA3F"/>
    <w:rsid w:val="15D30DDB"/>
    <w:rsid w:val="15D7BE66"/>
    <w:rsid w:val="15E35624"/>
    <w:rsid w:val="15E9A6B7"/>
    <w:rsid w:val="15F277B7"/>
    <w:rsid w:val="15FCCBAE"/>
    <w:rsid w:val="161571AF"/>
    <w:rsid w:val="1631E998"/>
    <w:rsid w:val="1634A4F5"/>
    <w:rsid w:val="164AFBE3"/>
    <w:rsid w:val="165E94EE"/>
    <w:rsid w:val="1661D9DE"/>
    <w:rsid w:val="166DAFFF"/>
    <w:rsid w:val="1678C9B4"/>
    <w:rsid w:val="1692E398"/>
    <w:rsid w:val="1695AE6F"/>
    <w:rsid w:val="16A6CA10"/>
    <w:rsid w:val="16C4F5EE"/>
    <w:rsid w:val="16DC44DF"/>
    <w:rsid w:val="16E07E97"/>
    <w:rsid w:val="170E0BD4"/>
    <w:rsid w:val="17195AA4"/>
    <w:rsid w:val="1721F932"/>
    <w:rsid w:val="1722885A"/>
    <w:rsid w:val="1723496E"/>
    <w:rsid w:val="172D05D4"/>
    <w:rsid w:val="17320405"/>
    <w:rsid w:val="174A05B4"/>
    <w:rsid w:val="176E788E"/>
    <w:rsid w:val="1783928B"/>
    <w:rsid w:val="1790241F"/>
    <w:rsid w:val="17903145"/>
    <w:rsid w:val="1796F3C8"/>
    <w:rsid w:val="179C26EB"/>
    <w:rsid w:val="179E0583"/>
    <w:rsid w:val="17BA3A6A"/>
    <w:rsid w:val="17C02EB7"/>
    <w:rsid w:val="17EE1305"/>
    <w:rsid w:val="17F02191"/>
    <w:rsid w:val="17F4049F"/>
    <w:rsid w:val="17FEFD92"/>
    <w:rsid w:val="182A3052"/>
    <w:rsid w:val="1835F0DF"/>
    <w:rsid w:val="184D9F0B"/>
    <w:rsid w:val="1853257C"/>
    <w:rsid w:val="1853DE99"/>
    <w:rsid w:val="185E83DC"/>
    <w:rsid w:val="186BF033"/>
    <w:rsid w:val="18711336"/>
    <w:rsid w:val="187B2BA0"/>
    <w:rsid w:val="188ACB2E"/>
    <w:rsid w:val="189BFB82"/>
    <w:rsid w:val="18B5F447"/>
    <w:rsid w:val="18B86E34"/>
    <w:rsid w:val="18C8B7A3"/>
    <w:rsid w:val="18D2AD6B"/>
    <w:rsid w:val="18DF5EA3"/>
    <w:rsid w:val="18DF8CED"/>
    <w:rsid w:val="18F67F7B"/>
    <w:rsid w:val="18FB94F5"/>
    <w:rsid w:val="1914E3F1"/>
    <w:rsid w:val="191AE70C"/>
    <w:rsid w:val="191EE85D"/>
    <w:rsid w:val="19333A58"/>
    <w:rsid w:val="193E9509"/>
    <w:rsid w:val="19488BE0"/>
    <w:rsid w:val="19492076"/>
    <w:rsid w:val="19543096"/>
    <w:rsid w:val="19603361"/>
    <w:rsid w:val="1964F7CE"/>
    <w:rsid w:val="1966CC38"/>
    <w:rsid w:val="196B7482"/>
    <w:rsid w:val="1990FDBB"/>
    <w:rsid w:val="19A3C79F"/>
    <w:rsid w:val="19A57DFB"/>
    <w:rsid w:val="19C30FD9"/>
    <w:rsid w:val="1A09E510"/>
    <w:rsid w:val="1A0E4770"/>
    <w:rsid w:val="1A1039C8"/>
    <w:rsid w:val="1A1823A6"/>
    <w:rsid w:val="1A25B0D6"/>
    <w:rsid w:val="1A302FB0"/>
    <w:rsid w:val="1A333BEE"/>
    <w:rsid w:val="1A67603B"/>
    <w:rsid w:val="1A6A7EE7"/>
    <w:rsid w:val="1A813CE9"/>
    <w:rsid w:val="1A8A8434"/>
    <w:rsid w:val="1A913688"/>
    <w:rsid w:val="1A98A357"/>
    <w:rsid w:val="1A9C64C8"/>
    <w:rsid w:val="1A9D6EA6"/>
    <w:rsid w:val="1AA6058B"/>
    <w:rsid w:val="1AAD8E9E"/>
    <w:rsid w:val="1AC78709"/>
    <w:rsid w:val="1AD048E4"/>
    <w:rsid w:val="1AD1B523"/>
    <w:rsid w:val="1AEAFF3A"/>
    <w:rsid w:val="1AEFD43C"/>
    <w:rsid w:val="1AF1F7D2"/>
    <w:rsid w:val="1AFADBC3"/>
    <w:rsid w:val="1B05124A"/>
    <w:rsid w:val="1B0E020E"/>
    <w:rsid w:val="1B139B4B"/>
    <w:rsid w:val="1B2B45CC"/>
    <w:rsid w:val="1B338597"/>
    <w:rsid w:val="1B3A0AB8"/>
    <w:rsid w:val="1B3AF320"/>
    <w:rsid w:val="1B470E3B"/>
    <w:rsid w:val="1B66ED6C"/>
    <w:rsid w:val="1B6DE7D3"/>
    <w:rsid w:val="1B70ECAC"/>
    <w:rsid w:val="1B71DAAC"/>
    <w:rsid w:val="1B77B0DB"/>
    <w:rsid w:val="1B787E35"/>
    <w:rsid w:val="1B78F8EE"/>
    <w:rsid w:val="1B7FD62C"/>
    <w:rsid w:val="1B83A5D1"/>
    <w:rsid w:val="1B8D604E"/>
    <w:rsid w:val="1B9519DE"/>
    <w:rsid w:val="1B97CC9C"/>
    <w:rsid w:val="1BC14BDE"/>
    <w:rsid w:val="1BC6A079"/>
    <w:rsid w:val="1BD71107"/>
    <w:rsid w:val="1BE3A8EF"/>
    <w:rsid w:val="1BFA8EF2"/>
    <w:rsid w:val="1C018808"/>
    <w:rsid w:val="1C0E808E"/>
    <w:rsid w:val="1C1FC23C"/>
    <w:rsid w:val="1C2160DA"/>
    <w:rsid w:val="1C2ED204"/>
    <w:rsid w:val="1C35B8BA"/>
    <w:rsid w:val="1C3D3AE6"/>
    <w:rsid w:val="1C557477"/>
    <w:rsid w:val="1C5E1277"/>
    <w:rsid w:val="1C67D30B"/>
    <w:rsid w:val="1C6DBCA6"/>
    <w:rsid w:val="1C6F356C"/>
    <w:rsid w:val="1C793DF5"/>
    <w:rsid w:val="1C91C2B5"/>
    <w:rsid w:val="1C95DBFC"/>
    <w:rsid w:val="1C981415"/>
    <w:rsid w:val="1C9E0A82"/>
    <w:rsid w:val="1CA05C5F"/>
    <w:rsid w:val="1CA398EF"/>
    <w:rsid w:val="1CAB6057"/>
    <w:rsid w:val="1CAF4401"/>
    <w:rsid w:val="1CB4501B"/>
    <w:rsid w:val="1CC180C2"/>
    <w:rsid w:val="1CC3CB61"/>
    <w:rsid w:val="1CCAF0AC"/>
    <w:rsid w:val="1CCBCBB4"/>
    <w:rsid w:val="1CCD13FF"/>
    <w:rsid w:val="1CEC8AC8"/>
    <w:rsid w:val="1CF1C4F7"/>
    <w:rsid w:val="1CF4A6E3"/>
    <w:rsid w:val="1D15749A"/>
    <w:rsid w:val="1D1D94AB"/>
    <w:rsid w:val="1D2020AC"/>
    <w:rsid w:val="1D2FDF52"/>
    <w:rsid w:val="1D336B27"/>
    <w:rsid w:val="1D37929A"/>
    <w:rsid w:val="1D3CD51E"/>
    <w:rsid w:val="1D4444DD"/>
    <w:rsid w:val="1D462E71"/>
    <w:rsid w:val="1D53737E"/>
    <w:rsid w:val="1D624ABC"/>
    <w:rsid w:val="1D6BDE56"/>
    <w:rsid w:val="1D7645FF"/>
    <w:rsid w:val="1D77AFFA"/>
    <w:rsid w:val="1D7DF1BC"/>
    <w:rsid w:val="1D832254"/>
    <w:rsid w:val="1D832A8E"/>
    <w:rsid w:val="1D84820B"/>
    <w:rsid w:val="1D88DA9A"/>
    <w:rsid w:val="1D8E08AA"/>
    <w:rsid w:val="1D8FA93A"/>
    <w:rsid w:val="1D9E21B7"/>
    <w:rsid w:val="1DAD51F3"/>
    <w:rsid w:val="1DAD61D9"/>
    <w:rsid w:val="1DAFF608"/>
    <w:rsid w:val="1DBB062C"/>
    <w:rsid w:val="1DC45F56"/>
    <w:rsid w:val="1DD02773"/>
    <w:rsid w:val="1DD56E1D"/>
    <w:rsid w:val="1DDA17CF"/>
    <w:rsid w:val="1DE223EA"/>
    <w:rsid w:val="1DE96525"/>
    <w:rsid w:val="1DF21DD6"/>
    <w:rsid w:val="1DFA9CC6"/>
    <w:rsid w:val="1E0B86D3"/>
    <w:rsid w:val="1E22E294"/>
    <w:rsid w:val="1E2696A2"/>
    <w:rsid w:val="1E33BDAD"/>
    <w:rsid w:val="1E532885"/>
    <w:rsid w:val="1E5354B7"/>
    <w:rsid w:val="1E56176A"/>
    <w:rsid w:val="1E61BE3B"/>
    <w:rsid w:val="1E9A5080"/>
    <w:rsid w:val="1E9DF280"/>
    <w:rsid w:val="1EA3DDDE"/>
    <w:rsid w:val="1EB6972C"/>
    <w:rsid w:val="1EBE0B03"/>
    <w:rsid w:val="1EBEA235"/>
    <w:rsid w:val="1EF3F1E4"/>
    <w:rsid w:val="1EFF1878"/>
    <w:rsid w:val="1F0069EC"/>
    <w:rsid w:val="1F01AE0C"/>
    <w:rsid w:val="1F20DAA9"/>
    <w:rsid w:val="1F2A2E05"/>
    <w:rsid w:val="1F3831AA"/>
    <w:rsid w:val="1F3B311A"/>
    <w:rsid w:val="1F3C5A63"/>
    <w:rsid w:val="1F45E942"/>
    <w:rsid w:val="1F55E1E2"/>
    <w:rsid w:val="1F6675C3"/>
    <w:rsid w:val="1F71F49E"/>
    <w:rsid w:val="1F74096E"/>
    <w:rsid w:val="1F810152"/>
    <w:rsid w:val="1F8A31C5"/>
    <w:rsid w:val="1FA0225B"/>
    <w:rsid w:val="1FA8E8CD"/>
    <w:rsid w:val="1FBEACBD"/>
    <w:rsid w:val="1FE6E082"/>
    <w:rsid w:val="1FEA6322"/>
    <w:rsid w:val="1FFEB5EC"/>
    <w:rsid w:val="201D26AF"/>
    <w:rsid w:val="202E89EC"/>
    <w:rsid w:val="20303A29"/>
    <w:rsid w:val="2044F3AF"/>
    <w:rsid w:val="20685DD0"/>
    <w:rsid w:val="206C6EE4"/>
    <w:rsid w:val="207E27DD"/>
    <w:rsid w:val="208AF85C"/>
    <w:rsid w:val="209725FD"/>
    <w:rsid w:val="209D92D9"/>
    <w:rsid w:val="20B8F396"/>
    <w:rsid w:val="20C82840"/>
    <w:rsid w:val="20EB217A"/>
    <w:rsid w:val="20EC8FF2"/>
    <w:rsid w:val="20F932B3"/>
    <w:rsid w:val="2105B909"/>
    <w:rsid w:val="21418534"/>
    <w:rsid w:val="2147E9BB"/>
    <w:rsid w:val="214877FE"/>
    <w:rsid w:val="217DC7AD"/>
    <w:rsid w:val="21805763"/>
    <w:rsid w:val="2184D71A"/>
    <w:rsid w:val="218DB82C"/>
    <w:rsid w:val="21978D2E"/>
    <w:rsid w:val="21BAD211"/>
    <w:rsid w:val="21C224C6"/>
    <w:rsid w:val="21DB8A8C"/>
    <w:rsid w:val="21EA8AA4"/>
    <w:rsid w:val="220C6981"/>
    <w:rsid w:val="221EA2E6"/>
    <w:rsid w:val="2239633A"/>
    <w:rsid w:val="22416E2A"/>
    <w:rsid w:val="2255AFC8"/>
    <w:rsid w:val="2256718C"/>
    <w:rsid w:val="2261F72D"/>
    <w:rsid w:val="22624B2E"/>
    <w:rsid w:val="22662037"/>
    <w:rsid w:val="227E5C6E"/>
    <w:rsid w:val="22A718A0"/>
    <w:rsid w:val="22A780D5"/>
    <w:rsid w:val="22ADABE9"/>
    <w:rsid w:val="22ADC04D"/>
    <w:rsid w:val="22D99923"/>
    <w:rsid w:val="22E2F0A4"/>
    <w:rsid w:val="22E967A1"/>
    <w:rsid w:val="22F0510E"/>
    <w:rsid w:val="22FF5E62"/>
    <w:rsid w:val="23010D0A"/>
    <w:rsid w:val="23156FD5"/>
    <w:rsid w:val="231661E8"/>
    <w:rsid w:val="23235D6A"/>
    <w:rsid w:val="23350F04"/>
    <w:rsid w:val="23355021"/>
    <w:rsid w:val="2348D46C"/>
    <w:rsid w:val="23524F28"/>
    <w:rsid w:val="23583502"/>
    <w:rsid w:val="235BFA5B"/>
    <w:rsid w:val="237C9471"/>
    <w:rsid w:val="23889336"/>
    <w:rsid w:val="23B23947"/>
    <w:rsid w:val="23B242FF"/>
    <w:rsid w:val="23BA1D98"/>
    <w:rsid w:val="23CAC1F2"/>
    <w:rsid w:val="23E5788B"/>
    <w:rsid w:val="24102258"/>
    <w:rsid w:val="24154B0F"/>
    <w:rsid w:val="243CC9A4"/>
    <w:rsid w:val="24604BAD"/>
    <w:rsid w:val="246B5BFD"/>
    <w:rsid w:val="246C19FF"/>
    <w:rsid w:val="247B1C32"/>
    <w:rsid w:val="248018B5"/>
    <w:rsid w:val="24834D9C"/>
    <w:rsid w:val="2498D71B"/>
    <w:rsid w:val="249A551A"/>
    <w:rsid w:val="249ACB25"/>
    <w:rsid w:val="249CCA94"/>
    <w:rsid w:val="24A30103"/>
    <w:rsid w:val="24A726D9"/>
    <w:rsid w:val="24BEBC67"/>
    <w:rsid w:val="24C0ED87"/>
    <w:rsid w:val="24C1AD4C"/>
    <w:rsid w:val="24C9C1F7"/>
    <w:rsid w:val="24CD75A9"/>
    <w:rsid w:val="24CE274C"/>
    <w:rsid w:val="24FD6E5F"/>
    <w:rsid w:val="25001876"/>
    <w:rsid w:val="250D022E"/>
    <w:rsid w:val="253A93ED"/>
    <w:rsid w:val="254E9C37"/>
    <w:rsid w:val="25595032"/>
    <w:rsid w:val="256136B7"/>
    <w:rsid w:val="258DA83B"/>
    <w:rsid w:val="25A740A8"/>
    <w:rsid w:val="25B61950"/>
    <w:rsid w:val="25B92FD8"/>
    <w:rsid w:val="25C88DAF"/>
    <w:rsid w:val="25C93438"/>
    <w:rsid w:val="25DD7A06"/>
    <w:rsid w:val="25E5A688"/>
    <w:rsid w:val="25FA6F68"/>
    <w:rsid w:val="25FAE2B0"/>
    <w:rsid w:val="26022A1D"/>
    <w:rsid w:val="2614DE24"/>
    <w:rsid w:val="26189857"/>
    <w:rsid w:val="261B6248"/>
    <w:rsid w:val="26291B23"/>
    <w:rsid w:val="262C68C9"/>
    <w:rsid w:val="2637D04D"/>
    <w:rsid w:val="263F5FA9"/>
    <w:rsid w:val="264A6B29"/>
    <w:rsid w:val="26577E26"/>
    <w:rsid w:val="265D94DC"/>
    <w:rsid w:val="2661294F"/>
    <w:rsid w:val="26696869"/>
    <w:rsid w:val="2673BC99"/>
    <w:rsid w:val="26869CF7"/>
    <w:rsid w:val="268717C7"/>
    <w:rsid w:val="268EC56A"/>
    <w:rsid w:val="26940DE5"/>
    <w:rsid w:val="2698934B"/>
    <w:rsid w:val="26A5E3C0"/>
    <w:rsid w:val="26AC85A2"/>
    <w:rsid w:val="26C58A17"/>
    <w:rsid w:val="26CD470F"/>
    <w:rsid w:val="26E97135"/>
    <w:rsid w:val="26EEAAF9"/>
    <w:rsid w:val="26F39C7C"/>
    <w:rsid w:val="26F98BFD"/>
    <w:rsid w:val="26FA11C0"/>
    <w:rsid w:val="26FA5DF6"/>
    <w:rsid w:val="26FCA972"/>
    <w:rsid w:val="270B21C2"/>
    <w:rsid w:val="2728053C"/>
    <w:rsid w:val="273ED247"/>
    <w:rsid w:val="273F60E6"/>
    <w:rsid w:val="27433C48"/>
    <w:rsid w:val="27462855"/>
    <w:rsid w:val="2749429E"/>
    <w:rsid w:val="2751E617"/>
    <w:rsid w:val="27621A48"/>
    <w:rsid w:val="277ED269"/>
    <w:rsid w:val="279105FC"/>
    <w:rsid w:val="279A4890"/>
    <w:rsid w:val="279ACF1A"/>
    <w:rsid w:val="27A16683"/>
    <w:rsid w:val="27A22F57"/>
    <w:rsid w:val="27BD2796"/>
    <w:rsid w:val="27C046BA"/>
    <w:rsid w:val="27C46779"/>
    <w:rsid w:val="27D7A6F0"/>
    <w:rsid w:val="27DE45E3"/>
    <w:rsid w:val="27E4CAD1"/>
    <w:rsid w:val="27E64B96"/>
    <w:rsid w:val="28013405"/>
    <w:rsid w:val="281185B3"/>
    <w:rsid w:val="28167AB4"/>
    <w:rsid w:val="282F46CE"/>
    <w:rsid w:val="28396A3C"/>
    <w:rsid w:val="283BBD81"/>
    <w:rsid w:val="2848F52C"/>
    <w:rsid w:val="285464FE"/>
    <w:rsid w:val="28568D6C"/>
    <w:rsid w:val="28713F06"/>
    <w:rsid w:val="2883F593"/>
    <w:rsid w:val="28937410"/>
    <w:rsid w:val="28B5A878"/>
    <w:rsid w:val="28B696D5"/>
    <w:rsid w:val="28BE7954"/>
    <w:rsid w:val="28C016F7"/>
    <w:rsid w:val="28C2E743"/>
    <w:rsid w:val="28C3D59D"/>
    <w:rsid w:val="28CA144C"/>
    <w:rsid w:val="28CB7D12"/>
    <w:rsid w:val="28E0714A"/>
    <w:rsid w:val="28EF6752"/>
    <w:rsid w:val="28FD0743"/>
    <w:rsid w:val="29074715"/>
    <w:rsid w:val="29126E5B"/>
    <w:rsid w:val="291DB8FD"/>
    <w:rsid w:val="2925FACA"/>
    <w:rsid w:val="292757E3"/>
    <w:rsid w:val="29374095"/>
    <w:rsid w:val="29388B06"/>
    <w:rsid w:val="293AF18D"/>
    <w:rsid w:val="295689A9"/>
    <w:rsid w:val="29642DFC"/>
    <w:rsid w:val="29668C2B"/>
    <w:rsid w:val="298A27CB"/>
    <w:rsid w:val="29A5A217"/>
    <w:rsid w:val="29A6CA9D"/>
    <w:rsid w:val="29C8968A"/>
    <w:rsid w:val="29CA7196"/>
    <w:rsid w:val="29CA9960"/>
    <w:rsid w:val="29DEDF2E"/>
    <w:rsid w:val="29E3D70E"/>
    <w:rsid w:val="2A266D1A"/>
    <w:rsid w:val="2A44BCF6"/>
    <w:rsid w:val="2A7AF01B"/>
    <w:rsid w:val="2A7D89A9"/>
    <w:rsid w:val="2A7E3F31"/>
    <w:rsid w:val="2A9C1F0F"/>
    <w:rsid w:val="2AA8A94E"/>
    <w:rsid w:val="2AB1E748"/>
    <w:rsid w:val="2AB4D180"/>
    <w:rsid w:val="2AC0998D"/>
    <w:rsid w:val="2AC5598A"/>
    <w:rsid w:val="2AD2751C"/>
    <w:rsid w:val="2AF8579A"/>
    <w:rsid w:val="2B01AE02"/>
    <w:rsid w:val="2B08A5CB"/>
    <w:rsid w:val="2B10403A"/>
    <w:rsid w:val="2B107035"/>
    <w:rsid w:val="2B165468"/>
    <w:rsid w:val="2B1A887B"/>
    <w:rsid w:val="2B1B7215"/>
    <w:rsid w:val="2B217747"/>
    <w:rsid w:val="2B2CACEC"/>
    <w:rsid w:val="2B37B6EF"/>
    <w:rsid w:val="2B4770D7"/>
    <w:rsid w:val="2B54F0FC"/>
    <w:rsid w:val="2B5EA017"/>
    <w:rsid w:val="2B61FE5F"/>
    <w:rsid w:val="2B6470F7"/>
    <w:rsid w:val="2B84BAF0"/>
    <w:rsid w:val="2B86828A"/>
    <w:rsid w:val="2BAF5227"/>
    <w:rsid w:val="2BB8D434"/>
    <w:rsid w:val="2BC4CC0F"/>
    <w:rsid w:val="2BC651A4"/>
    <w:rsid w:val="2BD1A097"/>
    <w:rsid w:val="2BD87BA1"/>
    <w:rsid w:val="2BFC8518"/>
    <w:rsid w:val="2C09C2FE"/>
    <w:rsid w:val="2C0A331F"/>
    <w:rsid w:val="2C16D0E3"/>
    <w:rsid w:val="2C1D9DD7"/>
    <w:rsid w:val="2C222112"/>
    <w:rsid w:val="2C39410A"/>
    <w:rsid w:val="2C394858"/>
    <w:rsid w:val="2C39983C"/>
    <w:rsid w:val="2C485A65"/>
    <w:rsid w:val="2C57131B"/>
    <w:rsid w:val="2C65199E"/>
    <w:rsid w:val="2C7DF959"/>
    <w:rsid w:val="2C880ADD"/>
    <w:rsid w:val="2C8E9815"/>
    <w:rsid w:val="2C9AC6EC"/>
    <w:rsid w:val="2CA5598F"/>
    <w:rsid w:val="2CAB018C"/>
    <w:rsid w:val="2CAC0EF0"/>
    <w:rsid w:val="2CB7893E"/>
    <w:rsid w:val="2CBB5D03"/>
    <w:rsid w:val="2CC5036D"/>
    <w:rsid w:val="2CCA82DD"/>
    <w:rsid w:val="2CDD4CEB"/>
    <w:rsid w:val="2CF16F85"/>
    <w:rsid w:val="2CF43C5E"/>
    <w:rsid w:val="2D08D64B"/>
    <w:rsid w:val="2D0D9D52"/>
    <w:rsid w:val="2D144CD7"/>
    <w:rsid w:val="2D157CF7"/>
    <w:rsid w:val="2D16FF73"/>
    <w:rsid w:val="2D173178"/>
    <w:rsid w:val="2D21899D"/>
    <w:rsid w:val="2D2D2303"/>
    <w:rsid w:val="2D3441E0"/>
    <w:rsid w:val="2D39F44B"/>
    <w:rsid w:val="2D46F0B6"/>
    <w:rsid w:val="2D554FC1"/>
    <w:rsid w:val="2D59E3D4"/>
    <w:rsid w:val="2D610913"/>
    <w:rsid w:val="2D613051"/>
    <w:rsid w:val="2D61FA9A"/>
    <w:rsid w:val="2D75F055"/>
    <w:rsid w:val="2D7766ED"/>
    <w:rsid w:val="2D78A157"/>
    <w:rsid w:val="2D834962"/>
    <w:rsid w:val="2D8610D5"/>
    <w:rsid w:val="2D90E88D"/>
    <w:rsid w:val="2D983E3C"/>
    <w:rsid w:val="2D9D856F"/>
    <w:rsid w:val="2DF25D73"/>
    <w:rsid w:val="2DF4B518"/>
    <w:rsid w:val="2DF89CBE"/>
    <w:rsid w:val="2E05C397"/>
    <w:rsid w:val="2E0A4702"/>
    <w:rsid w:val="2E18424A"/>
    <w:rsid w:val="2E29D1F6"/>
    <w:rsid w:val="2E3D1D6D"/>
    <w:rsid w:val="2E4A737A"/>
    <w:rsid w:val="2E4B1BDC"/>
    <w:rsid w:val="2E526AAA"/>
    <w:rsid w:val="2E6005B6"/>
    <w:rsid w:val="2E68703B"/>
    <w:rsid w:val="2E6C66CE"/>
    <w:rsid w:val="2E6CBE78"/>
    <w:rsid w:val="2E720D89"/>
    <w:rsid w:val="2E726094"/>
    <w:rsid w:val="2EA1E5CF"/>
    <w:rsid w:val="2EAC83CE"/>
    <w:rsid w:val="2EBCFD54"/>
    <w:rsid w:val="2ECDFD5D"/>
    <w:rsid w:val="2EE35BF1"/>
    <w:rsid w:val="2EF0C8A1"/>
    <w:rsid w:val="2EF34A43"/>
    <w:rsid w:val="2F1796A1"/>
    <w:rsid w:val="2F17977A"/>
    <w:rsid w:val="2F23F455"/>
    <w:rsid w:val="2F3F04A7"/>
    <w:rsid w:val="2F4457ED"/>
    <w:rsid w:val="2F45BE51"/>
    <w:rsid w:val="2F488DFE"/>
    <w:rsid w:val="2F498E96"/>
    <w:rsid w:val="2F4DD0A1"/>
    <w:rsid w:val="2F51A777"/>
    <w:rsid w:val="2F7D1162"/>
    <w:rsid w:val="2F8885BE"/>
    <w:rsid w:val="2F88AF0B"/>
    <w:rsid w:val="2F8C182F"/>
    <w:rsid w:val="2F9628FD"/>
    <w:rsid w:val="2F97F494"/>
    <w:rsid w:val="2F9B4E93"/>
    <w:rsid w:val="2FA036B5"/>
    <w:rsid w:val="2FA716A8"/>
    <w:rsid w:val="2FA9C23D"/>
    <w:rsid w:val="2FB45450"/>
    <w:rsid w:val="2FBFDBF0"/>
    <w:rsid w:val="2FF0564C"/>
    <w:rsid w:val="300F7A12"/>
    <w:rsid w:val="300F82B7"/>
    <w:rsid w:val="3012236D"/>
    <w:rsid w:val="3012C868"/>
    <w:rsid w:val="306DFA83"/>
    <w:rsid w:val="307A0F02"/>
    <w:rsid w:val="307EC9F8"/>
    <w:rsid w:val="3082409C"/>
    <w:rsid w:val="308CFB61"/>
    <w:rsid w:val="30A0BBB5"/>
    <w:rsid w:val="30C2CCA3"/>
    <w:rsid w:val="30C6323F"/>
    <w:rsid w:val="30CCF96F"/>
    <w:rsid w:val="30F08B39"/>
    <w:rsid w:val="30FEF35E"/>
    <w:rsid w:val="31028363"/>
    <w:rsid w:val="310790C1"/>
    <w:rsid w:val="310B00A5"/>
    <w:rsid w:val="312D5D5A"/>
    <w:rsid w:val="31329902"/>
    <w:rsid w:val="31439F9D"/>
    <w:rsid w:val="314A8E90"/>
    <w:rsid w:val="3163F4AC"/>
    <w:rsid w:val="3171F514"/>
    <w:rsid w:val="31892C72"/>
    <w:rsid w:val="319AC7A8"/>
    <w:rsid w:val="319C2DB1"/>
    <w:rsid w:val="31EB3D46"/>
    <w:rsid w:val="320AA708"/>
    <w:rsid w:val="321F9D5F"/>
    <w:rsid w:val="3221B660"/>
    <w:rsid w:val="323409FC"/>
    <w:rsid w:val="32417297"/>
    <w:rsid w:val="3246C0CB"/>
    <w:rsid w:val="3254602E"/>
    <w:rsid w:val="3262D5F0"/>
    <w:rsid w:val="3271E941"/>
    <w:rsid w:val="3297CDCC"/>
    <w:rsid w:val="32A72EF8"/>
    <w:rsid w:val="32BFCDC0"/>
    <w:rsid w:val="32C706A2"/>
    <w:rsid w:val="32CC37F8"/>
    <w:rsid w:val="32D9DC08"/>
    <w:rsid w:val="32DA1C9E"/>
    <w:rsid w:val="32EA617B"/>
    <w:rsid w:val="32EAAACD"/>
    <w:rsid w:val="330EC9CE"/>
    <w:rsid w:val="3342205D"/>
    <w:rsid w:val="33498E7F"/>
    <w:rsid w:val="334BFB00"/>
    <w:rsid w:val="334D5E71"/>
    <w:rsid w:val="3358F5C8"/>
    <w:rsid w:val="335EA809"/>
    <w:rsid w:val="335F8219"/>
    <w:rsid w:val="33696C13"/>
    <w:rsid w:val="3375A9A4"/>
    <w:rsid w:val="337CD35C"/>
    <w:rsid w:val="338AF999"/>
    <w:rsid w:val="33ABD092"/>
    <w:rsid w:val="33BC7D32"/>
    <w:rsid w:val="33C4E16D"/>
    <w:rsid w:val="33C9B9C1"/>
    <w:rsid w:val="33DBC3EF"/>
    <w:rsid w:val="33EA2ABA"/>
    <w:rsid w:val="33EF35A9"/>
    <w:rsid w:val="33EFB3A2"/>
    <w:rsid w:val="33F216FC"/>
    <w:rsid w:val="33F63361"/>
    <w:rsid w:val="33F90C2C"/>
    <w:rsid w:val="3408BDEB"/>
    <w:rsid w:val="34151BAD"/>
    <w:rsid w:val="34172F2C"/>
    <w:rsid w:val="341D1B4D"/>
    <w:rsid w:val="3420C7A8"/>
    <w:rsid w:val="342F954A"/>
    <w:rsid w:val="343E5CBD"/>
    <w:rsid w:val="3469DFB5"/>
    <w:rsid w:val="346A1D2B"/>
    <w:rsid w:val="346E0074"/>
    <w:rsid w:val="347A7C13"/>
    <w:rsid w:val="34912DF0"/>
    <w:rsid w:val="349836FC"/>
    <w:rsid w:val="34A3901A"/>
    <w:rsid w:val="34A62E55"/>
    <w:rsid w:val="34AF0179"/>
    <w:rsid w:val="34B72E36"/>
    <w:rsid w:val="34B86FFF"/>
    <w:rsid w:val="34C2545B"/>
    <w:rsid w:val="34C6A7D8"/>
    <w:rsid w:val="34D4E4F3"/>
    <w:rsid w:val="34D4FD4A"/>
    <w:rsid w:val="34EF0F8B"/>
    <w:rsid w:val="34F1324A"/>
    <w:rsid w:val="350EDCA3"/>
    <w:rsid w:val="3510C2AC"/>
    <w:rsid w:val="3523FA93"/>
    <w:rsid w:val="352F411D"/>
    <w:rsid w:val="353652D5"/>
    <w:rsid w:val="35434DCC"/>
    <w:rsid w:val="354837A4"/>
    <w:rsid w:val="35612E7D"/>
    <w:rsid w:val="356A7BCE"/>
    <w:rsid w:val="3571121B"/>
    <w:rsid w:val="359E54F3"/>
    <w:rsid w:val="35AA6855"/>
    <w:rsid w:val="35B522F9"/>
    <w:rsid w:val="35C139D5"/>
    <w:rsid w:val="35E027B4"/>
    <w:rsid w:val="35EA2522"/>
    <w:rsid w:val="35F5BDF7"/>
    <w:rsid w:val="35F6D70A"/>
    <w:rsid w:val="35F75295"/>
    <w:rsid w:val="361CC70D"/>
    <w:rsid w:val="36224B8F"/>
    <w:rsid w:val="36262EBF"/>
    <w:rsid w:val="364B5CE2"/>
    <w:rsid w:val="364F6A1A"/>
    <w:rsid w:val="3653B211"/>
    <w:rsid w:val="365BB29D"/>
    <w:rsid w:val="365ED897"/>
    <w:rsid w:val="36630190"/>
    <w:rsid w:val="36797138"/>
    <w:rsid w:val="367DE54E"/>
    <w:rsid w:val="369A3381"/>
    <w:rsid w:val="369E3CDA"/>
    <w:rsid w:val="36A82049"/>
    <w:rsid w:val="36B5D116"/>
    <w:rsid w:val="36B97EE0"/>
    <w:rsid w:val="36D4CF92"/>
    <w:rsid w:val="36F010BA"/>
    <w:rsid w:val="3702F09D"/>
    <w:rsid w:val="37105716"/>
    <w:rsid w:val="371A43F4"/>
    <w:rsid w:val="371F68EA"/>
    <w:rsid w:val="37296C2C"/>
    <w:rsid w:val="37342581"/>
    <w:rsid w:val="374C553B"/>
    <w:rsid w:val="3783172E"/>
    <w:rsid w:val="378319AA"/>
    <w:rsid w:val="378A2EEA"/>
    <w:rsid w:val="37986F94"/>
    <w:rsid w:val="3799C84A"/>
    <w:rsid w:val="37C72C64"/>
    <w:rsid w:val="37D42A45"/>
    <w:rsid w:val="37E78FA1"/>
    <w:rsid w:val="37F23C4C"/>
    <w:rsid w:val="37F38EF0"/>
    <w:rsid w:val="3828B666"/>
    <w:rsid w:val="3828CA9D"/>
    <w:rsid w:val="382C9B04"/>
    <w:rsid w:val="382CC19F"/>
    <w:rsid w:val="384F2823"/>
    <w:rsid w:val="3855DB26"/>
    <w:rsid w:val="38670CCD"/>
    <w:rsid w:val="38772115"/>
    <w:rsid w:val="387D5158"/>
    <w:rsid w:val="387E10BD"/>
    <w:rsid w:val="3886D9F9"/>
    <w:rsid w:val="389528C3"/>
    <w:rsid w:val="38B35BF9"/>
    <w:rsid w:val="38B871D6"/>
    <w:rsid w:val="38D1A297"/>
    <w:rsid w:val="38F2F4E8"/>
    <w:rsid w:val="38FECE1B"/>
    <w:rsid w:val="391EEA0B"/>
    <w:rsid w:val="39246004"/>
    <w:rsid w:val="393CA133"/>
    <w:rsid w:val="39676F00"/>
    <w:rsid w:val="39892A9E"/>
    <w:rsid w:val="3998E1FB"/>
    <w:rsid w:val="39994218"/>
    <w:rsid w:val="399F4D5B"/>
    <w:rsid w:val="39A12EA3"/>
    <w:rsid w:val="39A1C37E"/>
    <w:rsid w:val="39A97A98"/>
    <w:rsid w:val="39ADAEB5"/>
    <w:rsid w:val="39B493FD"/>
    <w:rsid w:val="39BEB52C"/>
    <w:rsid w:val="39E71EE5"/>
    <w:rsid w:val="39EA93DD"/>
    <w:rsid w:val="39EF1FDA"/>
    <w:rsid w:val="39F852F0"/>
    <w:rsid w:val="39FB86B3"/>
    <w:rsid w:val="39FFF042"/>
    <w:rsid w:val="3A1E6C3F"/>
    <w:rsid w:val="3A3ADBEE"/>
    <w:rsid w:val="3A430D58"/>
    <w:rsid w:val="3A508D20"/>
    <w:rsid w:val="3A5FA84B"/>
    <w:rsid w:val="3A6036D6"/>
    <w:rsid w:val="3A610CEE"/>
    <w:rsid w:val="3A7E832A"/>
    <w:rsid w:val="3A842ED7"/>
    <w:rsid w:val="3A96953F"/>
    <w:rsid w:val="3AA2C503"/>
    <w:rsid w:val="3AB564A7"/>
    <w:rsid w:val="3AEE2687"/>
    <w:rsid w:val="3B505675"/>
    <w:rsid w:val="3B78F705"/>
    <w:rsid w:val="3B89A515"/>
    <w:rsid w:val="3B97E0F7"/>
    <w:rsid w:val="3B9C4CB4"/>
    <w:rsid w:val="3BC8012E"/>
    <w:rsid w:val="3BD0EAD3"/>
    <w:rsid w:val="3BEE2503"/>
    <w:rsid w:val="3BEE5A32"/>
    <w:rsid w:val="3BFAD6CC"/>
    <w:rsid w:val="3C0FE31B"/>
    <w:rsid w:val="3C30FFA3"/>
    <w:rsid w:val="3C32D60F"/>
    <w:rsid w:val="3C383EB7"/>
    <w:rsid w:val="3C61BD8A"/>
    <w:rsid w:val="3C640795"/>
    <w:rsid w:val="3C67A269"/>
    <w:rsid w:val="3C7644CB"/>
    <w:rsid w:val="3C833E25"/>
    <w:rsid w:val="3C9661CA"/>
    <w:rsid w:val="3C9BF661"/>
    <w:rsid w:val="3CB5149C"/>
    <w:rsid w:val="3CB7457F"/>
    <w:rsid w:val="3CCC9390"/>
    <w:rsid w:val="3CD03B87"/>
    <w:rsid w:val="3CE5E0B7"/>
    <w:rsid w:val="3CEA01A6"/>
    <w:rsid w:val="3CEB933B"/>
    <w:rsid w:val="3CF70C96"/>
    <w:rsid w:val="3D004AD6"/>
    <w:rsid w:val="3D0097BF"/>
    <w:rsid w:val="3D03715E"/>
    <w:rsid w:val="3D04638B"/>
    <w:rsid w:val="3D1EBA1D"/>
    <w:rsid w:val="3D4F0C41"/>
    <w:rsid w:val="3D87B315"/>
    <w:rsid w:val="3D936ED3"/>
    <w:rsid w:val="3DA63D41"/>
    <w:rsid w:val="3DA7419E"/>
    <w:rsid w:val="3DC12933"/>
    <w:rsid w:val="3DC59454"/>
    <w:rsid w:val="3DD99635"/>
    <w:rsid w:val="3DDA6002"/>
    <w:rsid w:val="3DEA369B"/>
    <w:rsid w:val="3DEADE81"/>
    <w:rsid w:val="3DF2C8AE"/>
    <w:rsid w:val="3DF34D65"/>
    <w:rsid w:val="3DFCAC70"/>
    <w:rsid w:val="3DFDB086"/>
    <w:rsid w:val="3DFFB6F8"/>
    <w:rsid w:val="3E03A9F5"/>
    <w:rsid w:val="3E03E973"/>
    <w:rsid w:val="3E0E4113"/>
    <w:rsid w:val="3E123BFA"/>
    <w:rsid w:val="3E193EFD"/>
    <w:rsid w:val="3E20E95A"/>
    <w:rsid w:val="3E31F1AE"/>
    <w:rsid w:val="3E3D8472"/>
    <w:rsid w:val="3E3F2ED6"/>
    <w:rsid w:val="3E519C1F"/>
    <w:rsid w:val="3E5B3AFB"/>
    <w:rsid w:val="3E6936A1"/>
    <w:rsid w:val="3E6F86D5"/>
    <w:rsid w:val="3E72BE39"/>
    <w:rsid w:val="3E7B859A"/>
    <w:rsid w:val="3EA9259B"/>
    <w:rsid w:val="3EAB7D6D"/>
    <w:rsid w:val="3ECCD75F"/>
    <w:rsid w:val="3ECD14C8"/>
    <w:rsid w:val="3ED68351"/>
    <w:rsid w:val="3EEA2A4D"/>
    <w:rsid w:val="3F1C3FF7"/>
    <w:rsid w:val="3F20C5E9"/>
    <w:rsid w:val="3F487622"/>
    <w:rsid w:val="3F4C5A2C"/>
    <w:rsid w:val="3F578C89"/>
    <w:rsid w:val="3F5D9397"/>
    <w:rsid w:val="3F6A5C52"/>
    <w:rsid w:val="3F6C6C5D"/>
    <w:rsid w:val="3F71AA87"/>
    <w:rsid w:val="3F75D9EB"/>
    <w:rsid w:val="3F981D93"/>
    <w:rsid w:val="3F987E5A"/>
    <w:rsid w:val="3F9A82A4"/>
    <w:rsid w:val="3F9BBA92"/>
    <w:rsid w:val="3F9D543C"/>
    <w:rsid w:val="3FB943D8"/>
    <w:rsid w:val="3FC87EA3"/>
    <w:rsid w:val="3FC9D071"/>
    <w:rsid w:val="3FD4E2B2"/>
    <w:rsid w:val="3FEA5F0D"/>
    <w:rsid w:val="4003C4FA"/>
    <w:rsid w:val="400A1FB0"/>
    <w:rsid w:val="400F14CA"/>
    <w:rsid w:val="4022CAB0"/>
    <w:rsid w:val="402E2078"/>
    <w:rsid w:val="402F722D"/>
    <w:rsid w:val="4040CC4C"/>
    <w:rsid w:val="4051AF87"/>
    <w:rsid w:val="4061D1DF"/>
    <w:rsid w:val="4072B503"/>
    <w:rsid w:val="40816879"/>
    <w:rsid w:val="408E46FA"/>
    <w:rsid w:val="40A36EE8"/>
    <w:rsid w:val="40A77503"/>
    <w:rsid w:val="40AAD355"/>
    <w:rsid w:val="40AEA42A"/>
    <w:rsid w:val="40B6E548"/>
    <w:rsid w:val="40B78308"/>
    <w:rsid w:val="40C9C2AD"/>
    <w:rsid w:val="40CCECA9"/>
    <w:rsid w:val="40E3FE31"/>
    <w:rsid w:val="40ECF8D2"/>
    <w:rsid w:val="40F1AF22"/>
    <w:rsid w:val="40F5503B"/>
    <w:rsid w:val="40F8C9F5"/>
    <w:rsid w:val="40F98121"/>
    <w:rsid w:val="41027D55"/>
    <w:rsid w:val="411D3C14"/>
    <w:rsid w:val="4151BBA1"/>
    <w:rsid w:val="4152681C"/>
    <w:rsid w:val="416DBDB9"/>
    <w:rsid w:val="417DA48C"/>
    <w:rsid w:val="41837CD2"/>
    <w:rsid w:val="419D3645"/>
    <w:rsid w:val="41A3C6F0"/>
    <w:rsid w:val="41B48FD2"/>
    <w:rsid w:val="41B5BFC9"/>
    <w:rsid w:val="41C67821"/>
    <w:rsid w:val="41CDF148"/>
    <w:rsid w:val="41E49F62"/>
    <w:rsid w:val="41F43969"/>
    <w:rsid w:val="41F75996"/>
    <w:rsid w:val="4203E1DA"/>
    <w:rsid w:val="42096D3C"/>
    <w:rsid w:val="420CF996"/>
    <w:rsid w:val="421906E9"/>
    <w:rsid w:val="42199E61"/>
    <w:rsid w:val="4219AAEA"/>
    <w:rsid w:val="421A6F52"/>
    <w:rsid w:val="4229C681"/>
    <w:rsid w:val="42310EB4"/>
    <w:rsid w:val="424E179A"/>
    <w:rsid w:val="4271C37A"/>
    <w:rsid w:val="42720C7B"/>
    <w:rsid w:val="428F2713"/>
    <w:rsid w:val="42973BA3"/>
    <w:rsid w:val="42A68F40"/>
    <w:rsid w:val="42B22B33"/>
    <w:rsid w:val="42C92140"/>
    <w:rsid w:val="42E89237"/>
    <w:rsid w:val="42FF62CA"/>
    <w:rsid w:val="43508A54"/>
    <w:rsid w:val="435752F6"/>
    <w:rsid w:val="435FCC9D"/>
    <w:rsid w:val="438425A9"/>
    <w:rsid w:val="438B31A9"/>
    <w:rsid w:val="438BF7E8"/>
    <w:rsid w:val="438F2A51"/>
    <w:rsid w:val="438F5A25"/>
    <w:rsid w:val="43B8323F"/>
    <w:rsid w:val="43C1F254"/>
    <w:rsid w:val="43D069ED"/>
    <w:rsid w:val="43DA905F"/>
    <w:rsid w:val="43DC4B47"/>
    <w:rsid w:val="43DE3463"/>
    <w:rsid w:val="43DF3757"/>
    <w:rsid w:val="43E393AD"/>
    <w:rsid w:val="43E6F629"/>
    <w:rsid w:val="43ECAF28"/>
    <w:rsid w:val="440005FD"/>
    <w:rsid w:val="4405636E"/>
    <w:rsid w:val="440FB765"/>
    <w:rsid w:val="4412D46B"/>
    <w:rsid w:val="4419BC9D"/>
    <w:rsid w:val="4420B2FB"/>
    <w:rsid w:val="442473E9"/>
    <w:rsid w:val="442A3660"/>
    <w:rsid w:val="4434517D"/>
    <w:rsid w:val="44451CF9"/>
    <w:rsid w:val="44459DA4"/>
    <w:rsid w:val="444A5696"/>
    <w:rsid w:val="444D33AC"/>
    <w:rsid w:val="4456B3B4"/>
    <w:rsid w:val="44680311"/>
    <w:rsid w:val="44965B34"/>
    <w:rsid w:val="449888D1"/>
    <w:rsid w:val="449CC001"/>
    <w:rsid w:val="44BE4670"/>
    <w:rsid w:val="44C3AF56"/>
    <w:rsid w:val="44CDE9E3"/>
    <w:rsid w:val="44E4E9E4"/>
    <w:rsid w:val="44E80C6E"/>
    <w:rsid w:val="44EA0868"/>
    <w:rsid w:val="44EACC06"/>
    <w:rsid w:val="4500A6CE"/>
    <w:rsid w:val="4505920A"/>
    <w:rsid w:val="450CB6E8"/>
    <w:rsid w:val="450F589D"/>
    <w:rsid w:val="4510E1C9"/>
    <w:rsid w:val="454960F6"/>
    <w:rsid w:val="454D512C"/>
    <w:rsid w:val="454DD001"/>
    <w:rsid w:val="4553209C"/>
    <w:rsid w:val="455C07B4"/>
    <w:rsid w:val="456F5827"/>
    <w:rsid w:val="457005C4"/>
    <w:rsid w:val="4574ABB7"/>
    <w:rsid w:val="45764A95"/>
    <w:rsid w:val="4586783A"/>
    <w:rsid w:val="458763DD"/>
    <w:rsid w:val="45B22E13"/>
    <w:rsid w:val="45BB1FFD"/>
    <w:rsid w:val="45BB4184"/>
    <w:rsid w:val="45C6769C"/>
    <w:rsid w:val="45CC6501"/>
    <w:rsid w:val="45CEAAD1"/>
    <w:rsid w:val="45DFC30D"/>
    <w:rsid w:val="45E05F47"/>
    <w:rsid w:val="45FBD434"/>
    <w:rsid w:val="4608D09F"/>
    <w:rsid w:val="4611DB58"/>
    <w:rsid w:val="4614E965"/>
    <w:rsid w:val="462A7406"/>
    <w:rsid w:val="463A4248"/>
    <w:rsid w:val="46522CBB"/>
    <w:rsid w:val="466710BF"/>
    <w:rsid w:val="467A9441"/>
    <w:rsid w:val="46828467"/>
    <w:rsid w:val="4688B28F"/>
    <w:rsid w:val="46971974"/>
    <w:rsid w:val="46A4EF89"/>
    <w:rsid w:val="46A88B9A"/>
    <w:rsid w:val="46BA8AC8"/>
    <w:rsid w:val="46D81918"/>
    <w:rsid w:val="46E1F444"/>
    <w:rsid w:val="46F2FC4A"/>
    <w:rsid w:val="46FC509B"/>
    <w:rsid w:val="46FCF7F3"/>
    <w:rsid w:val="47045906"/>
    <w:rsid w:val="4715C63F"/>
    <w:rsid w:val="4723DE28"/>
    <w:rsid w:val="475F2333"/>
    <w:rsid w:val="476D7FC5"/>
    <w:rsid w:val="476FAACE"/>
    <w:rsid w:val="47815A7C"/>
    <w:rsid w:val="4788D5BF"/>
    <w:rsid w:val="47A4CC15"/>
    <w:rsid w:val="47DB378C"/>
    <w:rsid w:val="47E835E8"/>
    <w:rsid w:val="47EA887B"/>
    <w:rsid w:val="47ED0196"/>
    <w:rsid w:val="47EF8AEA"/>
    <w:rsid w:val="47F76821"/>
    <w:rsid w:val="480AA5A4"/>
    <w:rsid w:val="48383423"/>
    <w:rsid w:val="483BB2DE"/>
    <w:rsid w:val="4848C4F0"/>
    <w:rsid w:val="485143F7"/>
    <w:rsid w:val="485494C1"/>
    <w:rsid w:val="4859D44F"/>
    <w:rsid w:val="485A0371"/>
    <w:rsid w:val="485A30AA"/>
    <w:rsid w:val="485CBD52"/>
    <w:rsid w:val="485D4B55"/>
    <w:rsid w:val="485EBA09"/>
    <w:rsid w:val="4861DA30"/>
    <w:rsid w:val="486B9A49"/>
    <w:rsid w:val="487F10F9"/>
    <w:rsid w:val="488093EC"/>
    <w:rsid w:val="4883BE8B"/>
    <w:rsid w:val="48866B6D"/>
    <w:rsid w:val="48A2FCC1"/>
    <w:rsid w:val="48B7DBB3"/>
    <w:rsid w:val="48C738AD"/>
    <w:rsid w:val="48E63B02"/>
    <w:rsid w:val="48EE92D2"/>
    <w:rsid w:val="48FB5345"/>
    <w:rsid w:val="49060A88"/>
    <w:rsid w:val="49077D87"/>
    <w:rsid w:val="4915FA19"/>
    <w:rsid w:val="492C4AAE"/>
    <w:rsid w:val="49357154"/>
    <w:rsid w:val="493E6884"/>
    <w:rsid w:val="497D0251"/>
    <w:rsid w:val="4988E892"/>
    <w:rsid w:val="49994A83"/>
    <w:rsid w:val="49A9942D"/>
    <w:rsid w:val="49CDDF81"/>
    <w:rsid w:val="49F54552"/>
    <w:rsid w:val="49FBB158"/>
    <w:rsid w:val="4A266016"/>
    <w:rsid w:val="4A33468E"/>
    <w:rsid w:val="4A36C84C"/>
    <w:rsid w:val="4A556F7F"/>
    <w:rsid w:val="4A65C0B2"/>
    <w:rsid w:val="4A6741CE"/>
    <w:rsid w:val="4A734268"/>
    <w:rsid w:val="4A74379F"/>
    <w:rsid w:val="4A79A071"/>
    <w:rsid w:val="4A7AC86B"/>
    <w:rsid w:val="4A89FB79"/>
    <w:rsid w:val="4A9CC7B4"/>
    <w:rsid w:val="4A9E0236"/>
    <w:rsid w:val="4A9FAC3B"/>
    <w:rsid w:val="4ABF2E0C"/>
    <w:rsid w:val="4AC8C396"/>
    <w:rsid w:val="4AE20123"/>
    <w:rsid w:val="4AE8DE7A"/>
    <w:rsid w:val="4AF6C4BB"/>
    <w:rsid w:val="4B1226AA"/>
    <w:rsid w:val="4B16E6A4"/>
    <w:rsid w:val="4B1B56EF"/>
    <w:rsid w:val="4B1FEEF0"/>
    <w:rsid w:val="4B2A70B9"/>
    <w:rsid w:val="4B33F183"/>
    <w:rsid w:val="4B3665F9"/>
    <w:rsid w:val="4B4B0B55"/>
    <w:rsid w:val="4B5F280E"/>
    <w:rsid w:val="4B67EC77"/>
    <w:rsid w:val="4B6DC328"/>
    <w:rsid w:val="4B6E9B73"/>
    <w:rsid w:val="4B70E1ED"/>
    <w:rsid w:val="4B8A5112"/>
    <w:rsid w:val="4B8E2961"/>
    <w:rsid w:val="4BAB78CC"/>
    <w:rsid w:val="4BAFC1BD"/>
    <w:rsid w:val="4BBF6E46"/>
    <w:rsid w:val="4BDA9D83"/>
    <w:rsid w:val="4BEDA4CD"/>
    <w:rsid w:val="4BFA3C00"/>
    <w:rsid w:val="4C094454"/>
    <w:rsid w:val="4C1DB7F8"/>
    <w:rsid w:val="4C3A679C"/>
    <w:rsid w:val="4C47BCA4"/>
    <w:rsid w:val="4C4B548B"/>
    <w:rsid w:val="4C63D25D"/>
    <w:rsid w:val="4C68CBC7"/>
    <w:rsid w:val="4C7231CD"/>
    <w:rsid w:val="4C72E225"/>
    <w:rsid w:val="4C737378"/>
    <w:rsid w:val="4C82D751"/>
    <w:rsid w:val="4C841370"/>
    <w:rsid w:val="4C859C10"/>
    <w:rsid w:val="4C8B496E"/>
    <w:rsid w:val="4C906289"/>
    <w:rsid w:val="4C96B5B3"/>
    <w:rsid w:val="4CAACC0E"/>
    <w:rsid w:val="4CB114E5"/>
    <w:rsid w:val="4CB62513"/>
    <w:rsid w:val="4CB83C82"/>
    <w:rsid w:val="4CC3677C"/>
    <w:rsid w:val="4CD4A72E"/>
    <w:rsid w:val="4CD7B3D2"/>
    <w:rsid w:val="4CDA3559"/>
    <w:rsid w:val="4CE2C0B4"/>
    <w:rsid w:val="4CE81058"/>
    <w:rsid w:val="4CEE83F0"/>
    <w:rsid w:val="4D161732"/>
    <w:rsid w:val="4D179B48"/>
    <w:rsid w:val="4D291698"/>
    <w:rsid w:val="4D319074"/>
    <w:rsid w:val="4D3CBB72"/>
    <w:rsid w:val="4D763008"/>
    <w:rsid w:val="4D82C996"/>
    <w:rsid w:val="4D8DE591"/>
    <w:rsid w:val="4D944C47"/>
    <w:rsid w:val="4DBA1EBF"/>
    <w:rsid w:val="4DBD534E"/>
    <w:rsid w:val="4DC0D74F"/>
    <w:rsid w:val="4DC52CDC"/>
    <w:rsid w:val="4DCB21CB"/>
    <w:rsid w:val="4DE025E0"/>
    <w:rsid w:val="4DFCE24F"/>
    <w:rsid w:val="4DFF4518"/>
    <w:rsid w:val="4E01568F"/>
    <w:rsid w:val="4E062AEC"/>
    <w:rsid w:val="4E20E5E5"/>
    <w:rsid w:val="4E426D65"/>
    <w:rsid w:val="4E66724A"/>
    <w:rsid w:val="4E74BADD"/>
    <w:rsid w:val="4E8747F1"/>
    <w:rsid w:val="4E891D9B"/>
    <w:rsid w:val="4E8E8D83"/>
    <w:rsid w:val="4E936FCC"/>
    <w:rsid w:val="4E997C46"/>
    <w:rsid w:val="4EA8B580"/>
    <w:rsid w:val="4EB62977"/>
    <w:rsid w:val="4EB75C6B"/>
    <w:rsid w:val="4EBDF900"/>
    <w:rsid w:val="4EC6DE6F"/>
    <w:rsid w:val="4EDCCD0A"/>
    <w:rsid w:val="4EE3198E"/>
    <w:rsid w:val="4EF84CB3"/>
    <w:rsid w:val="4EFA8B06"/>
    <w:rsid w:val="4F2366E1"/>
    <w:rsid w:val="4F295661"/>
    <w:rsid w:val="4F422BC4"/>
    <w:rsid w:val="4F68EA6A"/>
    <w:rsid w:val="4F6ABDF8"/>
    <w:rsid w:val="4F76BAFE"/>
    <w:rsid w:val="4F8096EE"/>
    <w:rsid w:val="4F83898C"/>
    <w:rsid w:val="4F9B7B59"/>
    <w:rsid w:val="4F9FB32A"/>
    <w:rsid w:val="4FA37DBC"/>
    <w:rsid w:val="4FB04E36"/>
    <w:rsid w:val="4FE52E32"/>
    <w:rsid w:val="4FF05F33"/>
    <w:rsid w:val="5006830B"/>
    <w:rsid w:val="5012F5CC"/>
    <w:rsid w:val="50152A7F"/>
    <w:rsid w:val="501B7B39"/>
    <w:rsid w:val="501C168F"/>
    <w:rsid w:val="501D0E4D"/>
    <w:rsid w:val="501E777E"/>
    <w:rsid w:val="50393622"/>
    <w:rsid w:val="50503237"/>
    <w:rsid w:val="50655484"/>
    <w:rsid w:val="506EEE25"/>
    <w:rsid w:val="508EE89A"/>
    <w:rsid w:val="50B50C6C"/>
    <w:rsid w:val="50B731A9"/>
    <w:rsid w:val="50CCD0CE"/>
    <w:rsid w:val="50CFEBBC"/>
    <w:rsid w:val="50D0E49B"/>
    <w:rsid w:val="50D7AADA"/>
    <w:rsid w:val="50DE2B21"/>
    <w:rsid w:val="50F0521F"/>
    <w:rsid w:val="50F5C562"/>
    <w:rsid w:val="51025CEB"/>
    <w:rsid w:val="510AB529"/>
    <w:rsid w:val="511655C5"/>
    <w:rsid w:val="512E59DB"/>
    <w:rsid w:val="513CEF03"/>
    <w:rsid w:val="513EF930"/>
    <w:rsid w:val="51480AE2"/>
    <w:rsid w:val="515AF9B0"/>
    <w:rsid w:val="51625DFF"/>
    <w:rsid w:val="51904330"/>
    <w:rsid w:val="519FBB9C"/>
    <w:rsid w:val="51DD7A55"/>
    <w:rsid w:val="51EDCA39"/>
    <w:rsid w:val="51F71898"/>
    <w:rsid w:val="520044E6"/>
    <w:rsid w:val="520768D6"/>
    <w:rsid w:val="5214CEF6"/>
    <w:rsid w:val="522EFDF0"/>
    <w:rsid w:val="52313492"/>
    <w:rsid w:val="523D1D2C"/>
    <w:rsid w:val="524D3011"/>
    <w:rsid w:val="52654D55"/>
    <w:rsid w:val="526A14FC"/>
    <w:rsid w:val="52963DF9"/>
    <w:rsid w:val="52984CE6"/>
    <w:rsid w:val="529B97EA"/>
    <w:rsid w:val="52CB1E88"/>
    <w:rsid w:val="52D41BBA"/>
    <w:rsid w:val="52F99C1F"/>
    <w:rsid w:val="52FBD844"/>
    <w:rsid w:val="530694DF"/>
    <w:rsid w:val="532A790A"/>
    <w:rsid w:val="53405246"/>
    <w:rsid w:val="535545D1"/>
    <w:rsid w:val="537FBEB8"/>
    <w:rsid w:val="53898D2F"/>
    <w:rsid w:val="538F587F"/>
    <w:rsid w:val="53911152"/>
    <w:rsid w:val="5396E3CB"/>
    <w:rsid w:val="539A7442"/>
    <w:rsid w:val="539C0CC5"/>
    <w:rsid w:val="53A91557"/>
    <w:rsid w:val="53B19B5C"/>
    <w:rsid w:val="53B25850"/>
    <w:rsid w:val="53C10BFE"/>
    <w:rsid w:val="53C452A1"/>
    <w:rsid w:val="53D406CE"/>
    <w:rsid w:val="53DD949F"/>
    <w:rsid w:val="53EDCFA3"/>
    <w:rsid w:val="53F5EA8B"/>
    <w:rsid w:val="53F8093C"/>
    <w:rsid w:val="54078F34"/>
    <w:rsid w:val="541CB58C"/>
    <w:rsid w:val="54258072"/>
    <w:rsid w:val="54330DCD"/>
    <w:rsid w:val="543AD925"/>
    <w:rsid w:val="544C0DF1"/>
    <w:rsid w:val="54507916"/>
    <w:rsid w:val="54644AAC"/>
    <w:rsid w:val="54676845"/>
    <w:rsid w:val="54997B21"/>
    <w:rsid w:val="54AE9C75"/>
    <w:rsid w:val="54CA6EC0"/>
    <w:rsid w:val="54CD6998"/>
    <w:rsid w:val="54DCD610"/>
    <w:rsid w:val="54E8BAB2"/>
    <w:rsid w:val="54E94711"/>
    <w:rsid w:val="54EE841E"/>
    <w:rsid w:val="54FBB0D8"/>
    <w:rsid w:val="551E2B6E"/>
    <w:rsid w:val="5521B09C"/>
    <w:rsid w:val="552549C3"/>
    <w:rsid w:val="552830FA"/>
    <w:rsid w:val="553796B7"/>
    <w:rsid w:val="55401039"/>
    <w:rsid w:val="55445947"/>
    <w:rsid w:val="5544BE7A"/>
    <w:rsid w:val="554A88A8"/>
    <w:rsid w:val="554C9F8B"/>
    <w:rsid w:val="554CDD13"/>
    <w:rsid w:val="55638466"/>
    <w:rsid w:val="556E63FF"/>
    <w:rsid w:val="5580F302"/>
    <w:rsid w:val="55864297"/>
    <w:rsid w:val="5587C066"/>
    <w:rsid w:val="558A2462"/>
    <w:rsid w:val="5596C3C3"/>
    <w:rsid w:val="559E2F9B"/>
    <w:rsid w:val="55B51E88"/>
    <w:rsid w:val="55B8FB72"/>
    <w:rsid w:val="55E1504A"/>
    <w:rsid w:val="560CE425"/>
    <w:rsid w:val="562056B6"/>
    <w:rsid w:val="562CE2D6"/>
    <w:rsid w:val="563901D5"/>
    <w:rsid w:val="564228CD"/>
    <w:rsid w:val="565565CF"/>
    <w:rsid w:val="566D7262"/>
    <w:rsid w:val="567456E7"/>
    <w:rsid w:val="5677EF71"/>
    <w:rsid w:val="567AF888"/>
    <w:rsid w:val="5683B03E"/>
    <w:rsid w:val="569B92ED"/>
    <w:rsid w:val="56B20AF8"/>
    <w:rsid w:val="56B7935A"/>
    <w:rsid w:val="56CEF15F"/>
    <w:rsid w:val="56D433EC"/>
    <w:rsid w:val="57099AE6"/>
    <w:rsid w:val="57126E60"/>
    <w:rsid w:val="5716DA1D"/>
    <w:rsid w:val="571FB8BB"/>
    <w:rsid w:val="573B454D"/>
    <w:rsid w:val="5746EB8C"/>
    <w:rsid w:val="57471786"/>
    <w:rsid w:val="576155AB"/>
    <w:rsid w:val="5781F340"/>
    <w:rsid w:val="579ECE93"/>
    <w:rsid w:val="57B303DD"/>
    <w:rsid w:val="57BE16D2"/>
    <w:rsid w:val="57BEE0BA"/>
    <w:rsid w:val="57C60DC9"/>
    <w:rsid w:val="57D72506"/>
    <w:rsid w:val="57E19FA4"/>
    <w:rsid w:val="57E34A00"/>
    <w:rsid w:val="57E392E0"/>
    <w:rsid w:val="57F15729"/>
    <w:rsid w:val="58008726"/>
    <w:rsid w:val="58214E7B"/>
    <w:rsid w:val="582570C2"/>
    <w:rsid w:val="5895543C"/>
    <w:rsid w:val="58ADDDB2"/>
    <w:rsid w:val="58C60E4F"/>
    <w:rsid w:val="58D4E710"/>
    <w:rsid w:val="58DF0164"/>
    <w:rsid w:val="58E9D853"/>
    <w:rsid w:val="5901A325"/>
    <w:rsid w:val="59073DA6"/>
    <w:rsid w:val="590DA22D"/>
    <w:rsid w:val="5912A7F0"/>
    <w:rsid w:val="591ADB00"/>
    <w:rsid w:val="591BEBE2"/>
    <w:rsid w:val="5924DEC1"/>
    <w:rsid w:val="592B4E40"/>
    <w:rsid w:val="592C6C0C"/>
    <w:rsid w:val="5932E46E"/>
    <w:rsid w:val="5933DD15"/>
    <w:rsid w:val="5935F88F"/>
    <w:rsid w:val="594B1B8A"/>
    <w:rsid w:val="594C3495"/>
    <w:rsid w:val="594D03B8"/>
    <w:rsid w:val="595E3080"/>
    <w:rsid w:val="597F1EBF"/>
    <w:rsid w:val="5980A3D0"/>
    <w:rsid w:val="59956FD7"/>
    <w:rsid w:val="59A57668"/>
    <w:rsid w:val="59B498D8"/>
    <w:rsid w:val="59B577B7"/>
    <w:rsid w:val="59C980BC"/>
    <w:rsid w:val="59D7E10B"/>
    <w:rsid w:val="59D8BAA6"/>
    <w:rsid w:val="59EB2D1C"/>
    <w:rsid w:val="59EF7FCC"/>
    <w:rsid w:val="59F849B0"/>
    <w:rsid w:val="59F9DCB0"/>
    <w:rsid w:val="5A0E77AB"/>
    <w:rsid w:val="5A115B7A"/>
    <w:rsid w:val="5A15199C"/>
    <w:rsid w:val="5A265FD3"/>
    <w:rsid w:val="5A3F878E"/>
    <w:rsid w:val="5A3FD4EC"/>
    <w:rsid w:val="5A4C6EDB"/>
    <w:rsid w:val="5A56C540"/>
    <w:rsid w:val="5A8B4DFF"/>
    <w:rsid w:val="5A95BDA7"/>
    <w:rsid w:val="5A986589"/>
    <w:rsid w:val="5A9CA7A8"/>
    <w:rsid w:val="5AB65A44"/>
    <w:rsid w:val="5AD7D3D3"/>
    <w:rsid w:val="5AE04D81"/>
    <w:rsid w:val="5B19E937"/>
    <w:rsid w:val="5B1A98B2"/>
    <w:rsid w:val="5B1E0AD0"/>
    <w:rsid w:val="5B24F4B6"/>
    <w:rsid w:val="5B2F338E"/>
    <w:rsid w:val="5B3E1C18"/>
    <w:rsid w:val="5B437706"/>
    <w:rsid w:val="5B604A21"/>
    <w:rsid w:val="5B6C1063"/>
    <w:rsid w:val="5B726FA8"/>
    <w:rsid w:val="5B849978"/>
    <w:rsid w:val="5B86536E"/>
    <w:rsid w:val="5B889518"/>
    <w:rsid w:val="5B9801EC"/>
    <w:rsid w:val="5B9E666E"/>
    <w:rsid w:val="5BA6B7A5"/>
    <w:rsid w:val="5BAC9033"/>
    <w:rsid w:val="5BB0D913"/>
    <w:rsid w:val="5BC837DE"/>
    <w:rsid w:val="5BCC109D"/>
    <w:rsid w:val="5BD3AA8F"/>
    <w:rsid w:val="5BD8E6DF"/>
    <w:rsid w:val="5BDC87E0"/>
    <w:rsid w:val="5BDF0476"/>
    <w:rsid w:val="5BE093DA"/>
    <w:rsid w:val="5BE3767F"/>
    <w:rsid w:val="5BF4E307"/>
    <w:rsid w:val="5BF794A0"/>
    <w:rsid w:val="5C0318D9"/>
    <w:rsid w:val="5C06C815"/>
    <w:rsid w:val="5C07F5B3"/>
    <w:rsid w:val="5C3329FE"/>
    <w:rsid w:val="5C387809"/>
    <w:rsid w:val="5C3D60B6"/>
    <w:rsid w:val="5C43AECC"/>
    <w:rsid w:val="5C4B8C1C"/>
    <w:rsid w:val="5C58E13F"/>
    <w:rsid w:val="5C713F53"/>
    <w:rsid w:val="5C85BE84"/>
    <w:rsid w:val="5CA62A5B"/>
    <w:rsid w:val="5CA9B99C"/>
    <w:rsid w:val="5CB63642"/>
    <w:rsid w:val="5CBAD0CA"/>
    <w:rsid w:val="5CBF2B7D"/>
    <w:rsid w:val="5CC34A72"/>
    <w:rsid w:val="5CC3BDED"/>
    <w:rsid w:val="5CC98D5D"/>
    <w:rsid w:val="5CCFF185"/>
    <w:rsid w:val="5CD1CD1D"/>
    <w:rsid w:val="5CF477D0"/>
    <w:rsid w:val="5D02E152"/>
    <w:rsid w:val="5D0A462E"/>
    <w:rsid w:val="5D109F22"/>
    <w:rsid w:val="5D1E2764"/>
    <w:rsid w:val="5D3E4A5B"/>
    <w:rsid w:val="5D3F9078"/>
    <w:rsid w:val="5D4A72FE"/>
    <w:rsid w:val="5D9BE9FF"/>
    <w:rsid w:val="5DAC656B"/>
    <w:rsid w:val="5DB7F058"/>
    <w:rsid w:val="5DC0B26D"/>
    <w:rsid w:val="5DD4486A"/>
    <w:rsid w:val="5DD77F5B"/>
    <w:rsid w:val="5DD9CAD7"/>
    <w:rsid w:val="5E0B0A13"/>
    <w:rsid w:val="5E142CCC"/>
    <w:rsid w:val="5E16CE61"/>
    <w:rsid w:val="5E338802"/>
    <w:rsid w:val="5E584224"/>
    <w:rsid w:val="5E66A82F"/>
    <w:rsid w:val="5E68D61F"/>
    <w:rsid w:val="5E73AFD9"/>
    <w:rsid w:val="5E7D4937"/>
    <w:rsid w:val="5E82A28E"/>
    <w:rsid w:val="5E90413D"/>
    <w:rsid w:val="5E97693A"/>
    <w:rsid w:val="5E97746E"/>
    <w:rsid w:val="5EBB196B"/>
    <w:rsid w:val="5EC15581"/>
    <w:rsid w:val="5EDDD71A"/>
    <w:rsid w:val="5EEA2C28"/>
    <w:rsid w:val="5EEE589B"/>
    <w:rsid w:val="5EF64A48"/>
    <w:rsid w:val="5EFE966C"/>
    <w:rsid w:val="5F0BA7C9"/>
    <w:rsid w:val="5F14A435"/>
    <w:rsid w:val="5F1B603D"/>
    <w:rsid w:val="5F20EFE3"/>
    <w:rsid w:val="5F2CB3CD"/>
    <w:rsid w:val="5F2E06FE"/>
    <w:rsid w:val="5F36C0CF"/>
    <w:rsid w:val="5F3DD2C7"/>
    <w:rsid w:val="5F5312F6"/>
    <w:rsid w:val="5F56B15F"/>
    <w:rsid w:val="5F611A22"/>
    <w:rsid w:val="5F767A84"/>
    <w:rsid w:val="5F98ABC5"/>
    <w:rsid w:val="5F9C3D7E"/>
    <w:rsid w:val="5F9D5EBF"/>
    <w:rsid w:val="5FCA540B"/>
    <w:rsid w:val="5FD309E4"/>
    <w:rsid w:val="5FF8F9FD"/>
    <w:rsid w:val="5FF943BD"/>
    <w:rsid w:val="6025B315"/>
    <w:rsid w:val="605EC8C2"/>
    <w:rsid w:val="606642C2"/>
    <w:rsid w:val="6068620C"/>
    <w:rsid w:val="6068F025"/>
    <w:rsid w:val="606C036E"/>
    <w:rsid w:val="6075A54D"/>
    <w:rsid w:val="6080CAB8"/>
    <w:rsid w:val="60834443"/>
    <w:rsid w:val="60886811"/>
    <w:rsid w:val="6089F544"/>
    <w:rsid w:val="608B7F10"/>
    <w:rsid w:val="60B5807C"/>
    <w:rsid w:val="60B98734"/>
    <w:rsid w:val="60D05626"/>
    <w:rsid w:val="60D66A07"/>
    <w:rsid w:val="60F17EC7"/>
    <w:rsid w:val="60F95F05"/>
    <w:rsid w:val="60FD6E3B"/>
    <w:rsid w:val="60FE0E23"/>
    <w:rsid w:val="61028081"/>
    <w:rsid w:val="6112B4BA"/>
    <w:rsid w:val="6146B84B"/>
    <w:rsid w:val="614BCD8E"/>
    <w:rsid w:val="61520C3D"/>
    <w:rsid w:val="61757111"/>
    <w:rsid w:val="618EDF88"/>
    <w:rsid w:val="61A0D697"/>
    <w:rsid w:val="61B0F504"/>
    <w:rsid w:val="61C35104"/>
    <w:rsid w:val="61C96B90"/>
    <w:rsid w:val="61CDAA6F"/>
    <w:rsid w:val="61D49ADB"/>
    <w:rsid w:val="61E10187"/>
    <w:rsid w:val="61E92E78"/>
    <w:rsid w:val="61EB2EC0"/>
    <w:rsid w:val="620BF6B3"/>
    <w:rsid w:val="621F1866"/>
    <w:rsid w:val="622C4F7C"/>
    <w:rsid w:val="6232C0CC"/>
    <w:rsid w:val="6238CBA0"/>
    <w:rsid w:val="6245CF30"/>
    <w:rsid w:val="62472813"/>
    <w:rsid w:val="624855B4"/>
    <w:rsid w:val="6251AA62"/>
    <w:rsid w:val="62576CD0"/>
    <w:rsid w:val="625C69D2"/>
    <w:rsid w:val="625DF008"/>
    <w:rsid w:val="625FF096"/>
    <w:rsid w:val="6288993B"/>
    <w:rsid w:val="6298427D"/>
    <w:rsid w:val="629F74CB"/>
    <w:rsid w:val="62A23752"/>
    <w:rsid w:val="62A5E33C"/>
    <w:rsid w:val="62BC4606"/>
    <w:rsid w:val="62D5CA36"/>
    <w:rsid w:val="630CC060"/>
    <w:rsid w:val="63270023"/>
    <w:rsid w:val="6334B9AB"/>
    <w:rsid w:val="6346E02F"/>
    <w:rsid w:val="6352D23B"/>
    <w:rsid w:val="63567513"/>
    <w:rsid w:val="6359BD94"/>
    <w:rsid w:val="636B019B"/>
    <w:rsid w:val="6374CAB9"/>
    <w:rsid w:val="6379A009"/>
    <w:rsid w:val="637F078F"/>
    <w:rsid w:val="638D500B"/>
    <w:rsid w:val="6391D1CF"/>
    <w:rsid w:val="639ABAFC"/>
    <w:rsid w:val="63A91EB3"/>
    <w:rsid w:val="63C7FEED"/>
    <w:rsid w:val="63ED142D"/>
    <w:rsid w:val="63EF49F1"/>
    <w:rsid w:val="640B5D59"/>
    <w:rsid w:val="64102B0C"/>
    <w:rsid w:val="641EA8A0"/>
    <w:rsid w:val="641EC0F6"/>
    <w:rsid w:val="6422FBF1"/>
    <w:rsid w:val="64258463"/>
    <w:rsid w:val="64258EFB"/>
    <w:rsid w:val="6437C974"/>
    <w:rsid w:val="643D75A4"/>
    <w:rsid w:val="64463A59"/>
    <w:rsid w:val="644B7774"/>
    <w:rsid w:val="6451E757"/>
    <w:rsid w:val="6460ED9B"/>
    <w:rsid w:val="6463937C"/>
    <w:rsid w:val="64860FE5"/>
    <w:rsid w:val="648CDCA7"/>
    <w:rsid w:val="6495311F"/>
    <w:rsid w:val="64CDEBE0"/>
    <w:rsid w:val="64E30FC2"/>
    <w:rsid w:val="64F5E37F"/>
    <w:rsid w:val="650F70A3"/>
    <w:rsid w:val="65128C57"/>
    <w:rsid w:val="651ACF5A"/>
    <w:rsid w:val="651DF00D"/>
    <w:rsid w:val="6521AB85"/>
    <w:rsid w:val="652F39F5"/>
    <w:rsid w:val="65334197"/>
    <w:rsid w:val="65352254"/>
    <w:rsid w:val="654F2DBA"/>
    <w:rsid w:val="6559AE55"/>
    <w:rsid w:val="6574F02F"/>
    <w:rsid w:val="657D6FF2"/>
    <w:rsid w:val="657EC3BF"/>
    <w:rsid w:val="658D4776"/>
    <w:rsid w:val="659F7704"/>
    <w:rsid w:val="65AA6C86"/>
    <w:rsid w:val="65B11DBA"/>
    <w:rsid w:val="65BE4EB5"/>
    <w:rsid w:val="65C9E15D"/>
    <w:rsid w:val="65CB21CF"/>
    <w:rsid w:val="65CDC29B"/>
    <w:rsid w:val="65E013E5"/>
    <w:rsid w:val="65EEE96C"/>
    <w:rsid w:val="65F24BC7"/>
    <w:rsid w:val="660A770A"/>
    <w:rsid w:val="6621F2FA"/>
    <w:rsid w:val="6624D224"/>
    <w:rsid w:val="663C0795"/>
    <w:rsid w:val="663D48B8"/>
    <w:rsid w:val="66498513"/>
    <w:rsid w:val="669E8E21"/>
    <w:rsid w:val="66A7040E"/>
    <w:rsid w:val="66BBC8B8"/>
    <w:rsid w:val="66D30E07"/>
    <w:rsid w:val="66D3DDD0"/>
    <w:rsid w:val="66D89D67"/>
    <w:rsid w:val="66F529D1"/>
    <w:rsid w:val="66F709B4"/>
    <w:rsid w:val="6739B358"/>
    <w:rsid w:val="673B0238"/>
    <w:rsid w:val="67457A38"/>
    <w:rsid w:val="674F516D"/>
    <w:rsid w:val="674F7E2D"/>
    <w:rsid w:val="675AACD4"/>
    <w:rsid w:val="675AC91F"/>
    <w:rsid w:val="6773CBE2"/>
    <w:rsid w:val="67787C28"/>
    <w:rsid w:val="6794751C"/>
    <w:rsid w:val="6799FF16"/>
    <w:rsid w:val="67AA7096"/>
    <w:rsid w:val="67C42E2C"/>
    <w:rsid w:val="67CBAF0A"/>
    <w:rsid w:val="67E082E6"/>
    <w:rsid w:val="67EBF6B7"/>
    <w:rsid w:val="67FC2D43"/>
    <w:rsid w:val="6807D5DD"/>
    <w:rsid w:val="680BF979"/>
    <w:rsid w:val="680E52A0"/>
    <w:rsid w:val="680EB0B3"/>
    <w:rsid w:val="686B9B60"/>
    <w:rsid w:val="6882D6C7"/>
    <w:rsid w:val="6885D5BC"/>
    <w:rsid w:val="688D4D6F"/>
    <w:rsid w:val="68963B04"/>
    <w:rsid w:val="68D68A70"/>
    <w:rsid w:val="68DBC467"/>
    <w:rsid w:val="68F1C4B4"/>
    <w:rsid w:val="69136C9B"/>
    <w:rsid w:val="693FECBD"/>
    <w:rsid w:val="694CBCD2"/>
    <w:rsid w:val="694FF52C"/>
    <w:rsid w:val="696735E9"/>
    <w:rsid w:val="696D189D"/>
    <w:rsid w:val="696DDB70"/>
    <w:rsid w:val="6971F36D"/>
    <w:rsid w:val="697531F1"/>
    <w:rsid w:val="698B5198"/>
    <w:rsid w:val="698E17E0"/>
    <w:rsid w:val="69A8E4E7"/>
    <w:rsid w:val="69B2DDD9"/>
    <w:rsid w:val="69C5E9B0"/>
    <w:rsid w:val="69DC227A"/>
    <w:rsid w:val="69EA1B2E"/>
    <w:rsid w:val="69EDA90A"/>
    <w:rsid w:val="69F96413"/>
    <w:rsid w:val="69FF4AB7"/>
    <w:rsid w:val="6A12AB8A"/>
    <w:rsid w:val="6A22A73B"/>
    <w:rsid w:val="6A31CF61"/>
    <w:rsid w:val="6A526C7A"/>
    <w:rsid w:val="6A55F332"/>
    <w:rsid w:val="6A567389"/>
    <w:rsid w:val="6A584863"/>
    <w:rsid w:val="6A80FC93"/>
    <w:rsid w:val="6A81C064"/>
    <w:rsid w:val="6A84545E"/>
    <w:rsid w:val="6AA75F82"/>
    <w:rsid w:val="6AAD85BB"/>
    <w:rsid w:val="6AB09232"/>
    <w:rsid w:val="6AB6C4E0"/>
    <w:rsid w:val="6AD98777"/>
    <w:rsid w:val="6AE72E6F"/>
    <w:rsid w:val="6AFF3D0C"/>
    <w:rsid w:val="6B0055AB"/>
    <w:rsid w:val="6B034FCC"/>
    <w:rsid w:val="6B2FE1E9"/>
    <w:rsid w:val="6B55A75C"/>
    <w:rsid w:val="6B5DA8C0"/>
    <w:rsid w:val="6B80F54A"/>
    <w:rsid w:val="6B8657BD"/>
    <w:rsid w:val="6B8859A0"/>
    <w:rsid w:val="6B8C2C3F"/>
    <w:rsid w:val="6B9F1BE3"/>
    <w:rsid w:val="6BA18D77"/>
    <w:rsid w:val="6BB6A79E"/>
    <w:rsid w:val="6BC3F5EF"/>
    <w:rsid w:val="6BD47293"/>
    <w:rsid w:val="6BEE2B53"/>
    <w:rsid w:val="6C26360E"/>
    <w:rsid w:val="6C300267"/>
    <w:rsid w:val="6C59A4E6"/>
    <w:rsid w:val="6C642825"/>
    <w:rsid w:val="6C6484D5"/>
    <w:rsid w:val="6C65B098"/>
    <w:rsid w:val="6C665334"/>
    <w:rsid w:val="6C8F9E9C"/>
    <w:rsid w:val="6CAAB87E"/>
    <w:rsid w:val="6CC1CC86"/>
    <w:rsid w:val="6CCC6DC4"/>
    <w:rsid w:val="6CD5FB63"/>
    <w:rsid w:val="6CDAD313"/>
    <w:rsid w:val="6CE69AFD"/>
    <w:rsid w:val="6D0341C5"/>
    <w:rsid w:val="6D0903CD"/>
    <w:rsid w:val="6D16B75F"/>
    <w:rsid w:val="6D17113E"/>
    <w:rsid w:val="6D1772A6"/>
    <w:rsid w:val="6D21D0C9"/>
    <w:rsid w:val="6D411CBE"/>
    <w:rsid w:val="6D530701"/>
    <w:rsid w:val="6D612340"/>
    <w:rsid w:val="6D8FE723"/>
    <w:rsid w:val="6DA30575"/>
    <w:rsid w:val="6DAEB658"/>
    <w:rsid w:val="6DC6E2DD"/>
    <w:rsid w:val="6DD67C41"/>
    <w:rsid w:val="6DFF09FC"/>
    <w:rsid w:val="6E108458"/>
    <w:rsid w:val="6E38FD1F"/>
    <w:rsid w:val="6E43F78E"/>
    <w:rsid w:val="6E477F2B"/>
    <w:rsid w:val="6E553BC2"/>
    <w:rsid w:val="6E55FBB1"/>
    <w:rsid w:val="6E604F11"/>
    <w:rsid w:val="6E72794B"/>
    <w:rsid w:val="6E7F670D"/>
    <w:rsid w:val="6E8D17E4"/>
    <w:rsid w:val="6E91A49C"/>
    <w:rsid w:val="6EF2A92F"/>
    <w:rsid w:val="6EF7A35F"/>
    <w:rsid w:val="6EF842E1"/>
    <w:rsid w:val="6EFD95AA"/>
    <w:rsid w:val="6EFDA33F"/>
    <w:rsid w:val="6F05AA6E"/>
    <w:rsid w:val="6F266547"/>
    <w:rsid w:val="6F2E0685"/>
    <w:rsid w:val="6F53E3D6"/>
    <w:rsid w:val="6F5A40D7"/>
    <w:rsid w:val="6F7F2C2C"/>
    <w:rsid w:val="6F7FA5F5"/>
    <w:rsid w:val="6F9638B5"/>
    <w:rsid w:val="6F9DFA71"/>
    <w:rsid w:val="6FB0F006"/>
    <w:rsid w:val="6FBEFB5E"/>
    <w:rsid w:val="6FC6F99F"/>
    <w:rsid w:val="6FCBE898"/>
    <w:rsid w:val="6FCDEDB8"/>
    <w:rsid w:val="6FCE9FE5"/>
    <w:rsid w:val="6FD317BB"/>
    <w:rsid w:val="6FD6E7A7"/>
    <w:rsid w:val="6FD85A7B"/>
    <w:rsid w:val="6FE11959"/>
    <w:rsid w:val="6FE3A99B"/>
    <w:rsid w:val="6FFD96A0"/>
    <w:rsid w:val="700AEA01"/>
    <w:rsid w:val="700D28DD"/>
    <w:rsid w:val="7038F181"/>
    <w:rsid w:val="703D0843"/>
    <w:rsid w:val="703E39FC"/>
    <w:rsid w:val="703FF7CE"/>
    <w:rsid w:val="7041BFA3"/>
    <w:rsid w:val="7046F97F"/>
    <w:rsid w:val="70561AE0"/>
    <w:rsid w:val="705C7470"/>
    <w:rsid w:val="706E4AD4"/>
    <w:rsid w:val="707B8A5F"/>
    <w:rsid w:val="70889088"/>
    <w:rsid w:val="70B29478"/>
    <w:rsid w:val="70B6AE73"/>
    <w:rsid w:val="70C6915E"/>
    <w:rsid w:val="70DEDA6A"/>
    <w:rsid w:val="70FA2D3A"/>
    <w:rsid w:val="7103A8BA"/>
    <w:rsid w:val="71083550"/>
    <w:rsid w:val="711B7656"/>
    <w:rsid w:val="71297A23"/>
    <w:rsid w:val="713B1C87"/>
    <w:rsid w:val="713CB2FD"/>
    <w:rsid w:val="71487D0D"/>
    <w:rsid w:val="716DE718"/>
    <w:rsid w:val="71719709"/>
    <w:rsid w:val="7173858C"/>
    <w:rsid w:val="718D53C0"/>
    <w:rsid w:val="71913A74"/>
    <w:rsid w:val="719709AA"/>
    <w:rsid w:val="719AC192"/>
    <w:rsid w:val="71A42BE5"/>
    <w:rsid w:val="71AB0B25"/>
    <w:rsid w:val="71C21C2E"/>
    <w:rsid w:val="71C80CDD"/>
    <w:rsid w:val="71D14AF3"/>
    <w:rsid w:val="71DC198F"/>
    <w:rsid w:val="7208E5F5"/>
    <w:rsid w:val="7242DBB0"/>
    <w:rsid w:val="72568A95"/>
    <w:rsid w:val="7256A0EA"/>
    <w:rsid w:val="726637E0"/>
    <w:rsid w:val="72686B1F"/>
    <w:rsid w:val="726E71F1"/>
    <w:rsid w:val="728BD214"/>
    <w:rsid w:val="72ACBEE3"/>
    <w:rsid w:val="72CA6B48"/>
    <w:rsid w:val="72D657CE"/>
    <w:rsid w:val="72DB810E"/>
    <w:rsid w:val="72E1642F"/>
    <w:rsid w:val="7318F6FF"/>
    <w:rsid w:val="731FC7BC"/>
    <w:rsid w:val="7335143E"/>
    <w:rsid w:val="73432E46"/>
    <w:rsid w:val="735430E8"/>
    <w:rsid w:val="7355CFE6"/>
    <w:rsid w:val="736A227E"/>
    <w:rsid w:val="7370927F"/>
    <w:rsid w:val="73773CC7"/>
    <w:rsid w:val="7384E209"/>
    <w:rsid w:val="738AD7DD"/>
    <w:rsid w:val="73955E2A"/>
    <w:rsid w:val="73BF021C"/>
    <w:rsid w:val="73C9D8F8"/>
    <w:rsid w:val="73CA860F"/>
    <w:rsid w:val="73CC1533"/>
    <w:rsid w:val="73F2E89A"/>
    <w:rsid w:val="740CE6A1"/>
    <w:rsid w:val="74182E34"/>
    <w:rsid w:val="742FE364"/>
    <w:rsid w:val="7433F10F"/>
    <w:rsid w:val="743CDFB3"/>
    <w:rsid w:val="74586CA6"/>
    <w:rsid w:val="7466D2AD"/>
    <w:rsid w:val="74862BDE"/>
    <w:rsid w:val="749641AB"/>
    <w:rsid w:val="74B0C298"/>
    <w:rsid w:val="74C84D3F"/>
    <w:rsid w:val="74C9668D"/>
    <w:rsid w:val="74CA4DD3"/>
    <w:rsid w:val="74CAD63A"/>
    <w:rsid w:val="74E82032"/>
    <w:rsid w:val="74F31CE8"/>
    <w:rsid w:val="7503D8FC"/>
    <w:rsid w:val="7506894A"/>
    <w:rsid w:val="7508B8FD"/>
    <w:rsid w:val="7511DF5C"/>
    <w:rsid w:val="751B66C1"/>
    <w:rsid w:val="7533CB7A"/>
    <w:rsid w:val="75489F4E"/>
    <w:rsid w:val="7558600A"/>
    <w:rsid w:val="75638951"/>
    <w:rsid w:val="75717B04"/>
    <w:rsid w:val="7594F15B"/>
    <w:rsid w:val="759ADC62"/>
    <w:rsid w:val="759CD8D6"/>
    <w:rsid w:val="75A33BC5"/>
    <w:rsid w:val="75A82B72"/>
    <w:rsid w:val="75AE7B0A"/>
    <w:rsid w:val="75B9BAA8"/>
    <w:rsid w:val="75BBA6C6"/>
    <w:rsid w:val="75BC1495"/>
    <w:rsid w:val="75BF872B"/>
    <w:rsid w:val="75C2D503"/>
    <w:rsid w:val="75C45F62"/>
    <w:rsid w:val="75CF7E55"/>
    <w:rsid w:val="75D6499E"/>
    <w:rsid w:val="75F547CE"/>
    <w:rsid w:val="75F6BA5B"/>
    <w:rsid w:val="75F7498E"/>
    <w:rsid w:val="75FEA6FF"/>
    <w:rsid w:val="761C8E64"/>
    <w:rsid w:val="762F141B"/>
    <w:rsid w:val="76306EB2"/>
    <w:rsid w:val="763175F0"/>
    <w:rsid w:val="764879B9"/>
    <w:rsid w:val="7689075C"/>
    <w:rsid w:val="76B47104"/>
    <w:rsid w:val="76D54668"/>
    <w:rsid w:val="76E4AEED"/>
    <w:rsid w:val="76ECBD1A"/>
    <w:rsid w:val="76FB7800"/>
    <w:rsid w:val="77082EFF"/>
    <w:rsid w:val="7709D59D"/>
    <w:rsid w:val="7725D693"/>
    <w:rsid w:val="7726EDDC"/>
    <w:rsid w:val="7727A376"/>
    <w:rsid w:val="7730EDD2"/>
    <w:rsid w:val="774C4850"/>
    <w:rsid w:val="775454C7"/>
    <w:rsid w:val="7755A336"/>
    <w:rsid w:val="775F4B21"/>
    <w:rsid w:val="7769EDA8"/>
    <w:rsid w:val="776C7DBF"/>
    <w:rsid w:val="777517ED"/>
    <w:rsid w:val="7790104F"/>
    <w:rsid w:val="779C935E"/>
    <w:rsid w:val="77ABB11D"/>
    <w:rsid w:val="77ACB887"/>
    <w:rsid w:val="77C301D8"/>
    <w:rsid w:val="77CB1EC5"/>
    <w:rsid w:val="77E34294"/>
    <w:rsid w:val="77EE2408"/>
    <w:rsid w:val="77FA0D11"/>
    <w:rsid w:val="780AF067"/>
    <w:rsid w:val="780CA40B"/>
    <w:rsid w:val="780E1C7B"/>
    <w:rsid w:val="780E46DD"/>
    <w:rsid w:val="7817EFC4"/>
    <w:rsid w:val="781AC3BB"/>
    <w:rsid w:val="781E9E4E"/>
    <w:rsid w:val="7832E89C"/>
    <w:rsid w:val="783D3D98"/>
    <w:rsid w:val="78517C26"/>
    <w:rsid w:val="78651A1F"/>
    <w:rsid w:val="786C68B7"/>
    <w:rsid w:val="78745E1B"/>
    <w:rsid w:val="7887FAC5"/>
    <w:rsid w:val="78933F1B"/>
    <w:rsid w:val="78AD8D34"/>
    <w:rsid w:val="78C9356C"/>
    <w:rsid w:val="78DA2EFD"/>
    <w:rsid w:val="78E2EE21"/>
    <w:rsid w:val="78F1A4A2"/>
    <w:rsid w:val="78FE685C"/>
    <w:rsid w:val="79631BDF"/>
    <w:rsid w:val="7964FB9F"/>
    <w:rsid w:val="79724CD1"/>
    <w:rsid w:val="797BA0E7"/>
    <w:rsid w:val="79867045"/>
    <w:rsid w:val="798E1DFF"/>
    <w:rsid w:val="79B6EC7F"/>
    <w:rsid w:val="79D6832F"/>
    <w:rsid w:val="79E185D5"/>
    <w:rsid w:val="7A098EC4"/>
    <w:rsid w:val="7A2BEEC9"/>
    <w:rsid w:val="7A39E4AC"/>
    <w:rsid w:val="7A40DA9A"/>
    <w:rsid w:val="7A566680"/>
    <w:rsid w:val="7A6662FC"/>
    <w:rsid w:val="7A6A6593"/>
    <w:rsid w:val="7A72494E"/>
    <w:rsid w:val="7A729810"/>
    <w:rsid w:val="7A74A3DC"/>
    <w:rsid w:val="7A7E452C"/>
    <w:rsid w:val="7A85A6E4"/>
    <w:rsid w:val="7A97DADD"/>
    <w:rsid w:val="7AB1132D"/>
    <w:rsid w:val="7ABF16E3"/>
    <w:rsid w:val="7AC477EE"/>
    <w:rsid w:val="7AC4A88B"/>
    <w:rsid w:val="7ADA9D07"/>
    <w:rsid w:val="7AE695EB"/>
    <w:rsid w:val="7AFC06A3"/>
    <w:rsid w:val="7AFDF98B"/>
    <w:rsid w:val="7B03F16F"/>
    <w:rsid w:val="7B0A5745"/>
    <w:rsid w:val="7B1A31C6"/>
    <w:rsid w:val="7B1C2003"/>
    <w:rsid w:val="7B24A36F"/>
    <w:rsid w:val="7B25D398"/>
    <w:rsid w:val="7B325CDC"/>
    <w:rsid w:val="7B3E82DF"/>
    <w:rsid w:val="7B4A5247"/>
    <w:rsid w:val="7B4AD6CD"/>
    <w:rsid w:val="7B4BC748"/>
    <w:rsid w:val="7B633B15"/>
    <w:rsid w:val="7B674DED"/>
    <w:rsid w:val="7B67B6DE"/>
    <w:rsid w:val="7B71A812"/>
    <w:rsid w:val="7B8AACB8"/>
    <w:rsid w:val="7BA29B1E"/>
    <w:rsid w:val="7BC316E5"/>
    <w:rsid w:val="7BE9CC14"/>
    <w:rsid w:val="7BEF03C6"/>
    <w:rsid w:val="7BFCF8AE"/>
    <w:rsid w:val="7C09EA89"/>
    <w:rsid w:val="7C0DB496"/>
    <w:rsid w:val="7C0EA7DC"/>
    <w:rsid w:val="7C2503A5"/>
    <w:rsid w:val="7C2CD0B7"/>
    <w:rsid w:val="7C39AF6A"/>
    <w:rsid w:val="7C4B345F"/>
    <w:rsid w:val="7C5740CB"/>
    <w:rsid w:val="7C6E01E9"/>
    <w:rsid w:val="7C77A60E"/>
    <w:rsid w:val="7C81ED08"/>
    <w:rsid w:val="7C82D7AA"/>
    <w:rsid w:val="7C880FCD"/>
    <w:rsid w:val="7C90BF5A"/>
    <w:rsid w:val="7C91FF7C"/>
    <w:rsid w:val="7C98602E"/>
    <w:rsid w:val="7CB4ED4F"/>
    <w:rsid w:val="7CCF8298"/>
    <w:rsid w:val="7CD1C2C6"/>
    <w:rsid w:val="7CDF784D"/>
    <w:rsid w:val="7CEB0D01"/>
    <w:rsid w:val="7CEB1170"/>
    <w:rsid w:val="7D02D6EC"/>
    <w:rsid w:val="7D1B8B00"/>
    <w:rsid w:val="7D228398"/>
    <w:rsid w:val="7D2D3508"/>
    <w:rsid w:val="7D302505"/>
    <w:rsid w:val="7D32C250"/>
    <w:rsid w:val="7D369424"/>
    <w:rsid w:val="7D47F167"/>
    <w:rsid w:val="7D52DEB0"/>
    <w:rsid w:val="7D55CA74"/>
    <w:rsid w:val="7D5E34D1"/>
    <w:rsid w:val="7D6583AC"/>
    <w:rsid w:val="7D7233C1"/>
    <w:rsid w:val="7D736B09"/>
    <w:rsid w:val="7D91D8A3"/>
    <w:rsid w:val="7D97FF9B"/>
    <w:rsid w:val="7D9B0E66"/>
    <w:rsid w:val="7DA0305D"/>
    <w:rsid w:val="7DB2FA57"/>
    <w:rsid w:val="7DB4CE3B"/>
    <w:rsid w:val="7DBC44F3"/>
    <w:rsid w:val="7DDA2C98"/>
    <w:rsid w:val="7DEDF1C0"/>
    <w:rsid w:val="7DF01237"/>
    <w:rsid w:val="7E01CD84"/>
    <w:rsid w:val="7E045796"/>
    <w:rsid w:val="7E08432B"/>
    <w:rsid w:val="7E0FB7C9"/>
    <w:rsid w:val="7E1851B1"/>
    <w:rsid w:val="7E348BF6"/>
    <w:rsid w:val="7E371E4A"/>
    <w:rsid w:val="7E45717A"/>
    <w:rsid w:val="7E4A86E1"/>
    <w:rsid w:val="7E538523"/>
    <w:rsid w:val="7E54473D"/>
    <w:rsid w:val="7E54AEB8"/>
    <w:rsid w:val="7E553DBD"/>
    <w:rsid w:val="7E5B41AE"/>
    <w:rsid w:val="7E6548F2"/>
    <w:rsid w:val="7E747959"/>
    <w:rsid w:val="7E7A9735"/>
    <w:rsid w:val="7E80E4EE"/>
    <w:rsid w:val="7E877C46"/>
    <w:rsid w:val="7E8E1690"/>
    <w:rsid w:val="7EA6E46F"/>
    <w:rsid w:val="7EBFA3E3"/>
    <w:rsid w:val="7ECC6A00"/>
    <w:rsid w:val="7EED1667"/>
    <w:rsid w:val="7EF3A957"/>
    <w:rsid w:val="7F082B59"/>
    <w:rsid w:val="7F14E782"/>
    <w:rsid w:val="7F1B2BF6"/>
    <w:rsid w:val="7F58AB34"/>
    <w:rsid w:val="7F59209D"/>
    <w:rsid w:val="7F71FF9E"/>
    <w:rsid w:val="7F76DB86"/>
    <w:rsid w:val="7F81406C"/>
    <w:rsid w:val="7F87831B"/>
    <w:rsid w:val="7F9F1800"/>
    <w:rsid w:val="7FA188BD"/>
    <w:rsid w:val="7FC31348"/>
    <w:rsid w:val="7FC69162"/>
    <w:rsid w:val="7FCEED87"/>
    <w:rsid w:val="7FE70903"/>
    <w:rsid w:val="7FEDC619"/>
    <w:rsid w:val="7FFE7919"/>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F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08"/>
    <w:rPr>
      <w:rFonts w:ascii="Times New Roman" w:eastAsia="Times New Roman" w:hAnsi="Times New Roman" w:cs="Times New Roman"/>
      <w:lang w:val="hr-HR"/>
    </w:rPr>
  </w:style>
  <w:style w:type="paragraph" w:styleId="Heading1">
    <w:name w:val="heading 1"/>
    <w:basedOn w:val="Normal"/>
    <w:uiPriority w:val="9"/>
    <w:qFormat/>
    <w:pPr>
      <w:spacing w:before="77"/>
      <w:ind w:left="106"/>
      <w:outlineLvl w:val="0"/>
    </w:pPr>
    <w:rPr>
      <w:b/>
      <w:bCs/>
      <w:sz w:val="56"/>
      <w:szCs w:val="56"/>
      <w:u w:val="single" w:color="000000"/>
    </w:rPr>
  </w:style>
  <w:style w:type="paragraph" w:styleId="Heading2">
    <w:name w:val="heading 2"/>
    <w:basedOn w:val="Normal"/>
    <w:link w:val="Heading2Char"/>
    <w:uiPriority w:val="9"/>
    <w:unhideWhenUsed/>
    <w:qFormat/>
    <w:pPr>
      <w:spacing w:before="76"/>
      <w:ind w:left="495" w:hanging="361"/>
      <w:outlineLvl w:val="1"/>
    </w:pPr>
    <w:rPr>
      <w:b/>
      <w:bCs/>
      <w:sz w:val="32"/>
      <w:szCs w:val="32"/>
    </w:rPr>
  </w:style>
  <w:style w:type="paragraph" w:styleId="Heading3">
    <w:name w:val="heading 3"/>
    <w:basedOn w:val="Normal"/>
    <w:link w:val="Heading3Char"/>
    <w:uiPriority w:val="9"/>
    <w:unhideWhenUsed/>
    <w:qFormat/>
    <w:pPr>
      <w:spacing w:before="75"/>
      <w:ind w:left="927"/>
      <w:outlineLvl w:val="2"/>
    </w:pPr>
    <w:rPr>
      <w:b/>
      <w:bCs/>
      <w:sz w:val="28"/>
      <w:szCs w:val="28"/>
    </w:rPr>
  </w:style>
  <w:style w:type="paragraph" w:styleId="Heading4">
    <w:name w:val="heading 4"/>
    <w:basedOn w:val="Normal"/>
    <w:link w:val="Heading4Char"/>
    <w:uiPriority w:val="9"/>
    <w:unhideWhenUsed/>
    <w:qFormat/>
    <w:pPr>
      <w:ind w:left="135"/>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2"/>
      <w:ind w:left="702" w:hanging="568"/>
    </w:pPr>
    <w:rPr>
      <w:b/>
      <w:bCs/>
      <w:sz w:val="24"/>
      <w:szCs w:val="24"/>
    </w:rPr>
  </w:style>
  <w:style w:type="paragraph" w:styleId="TOC2">
    <w:name w:val="toc 2"/>
    <w:basedOn w:val="Normal"/>
    <w:uiPriority w:val="39"/>
    <w:qFormat/>
    <w:pPr>
      <w:spacing w:before="238"/>
      <w:ind w:left="702"/>
    </w:pPr>
    <w:rPr>
      <w:sz w:val="24"/>
      <w:szCs w:val="24"/>
    </w:rPr>
  </w:style>
  <w:style w:type="paragraph" w:styleId="TOC3">
    <w:name w:val="toc 3"/>
    <w:basedOn w:val="Normal"/>
    <w:uiPriority w:val="39"/>
    <w:qFormat/>
    <w:pPr>
      <w:spacing w:before="179"/>
      <w:ind w:left="1269" w:hanging="568"/>
    </w:pPr>
  </w:style>
  <w:style w:type="paragraph" w:styleId="TOC4">
    <w:name w:val="toc 4"/>
    <w:basedOn w:val="Normal"/>
    <w:uiPriority w:val="39"/>
    <w:qFormat/>
    <w:pPr>
      <w:spacing w:before="1"/>
      <w:ind w:left="1269"/>
    </w:pPr>
  </w:style>
  <w:style w:type="paragraph" w:styleId="TOC5">
    <w:name w:val="toc 5"/>
    <w:basedOn w:val="Normal"/>
    <w:uiPriority w:val="39"/>
    <w:qFormat/>
    <w:pPr>
      <w:spacing w:before="2"/>
      <w:ind w:left="1978"/>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aliases w:val="Bullet List,FooterText,Citation List,Recommendation,List Paragraph1,List Paragraph11,List Paragraph2,References,Bullets,List Paragraph (numbered (a)),Numbered List Paragraph,List Paragraph nowy,Liste 1,Numbered Paragraph,Normal 1,lp1"/>
    <w:basedOn w:val="Normal"/>
    <w:link w:val="ListParagraphChar"/>
    <w:uiPriority w:val="34"/>
    <w:qFormat/>
    <w:pPr>
      <w:ind w:left="855" w:hanging="361"/>
    </w:pPr>
  </w:style>
  <w:style w:type="paragraph" w:customStyle="1" w:styleId="TableParagraph">
    <w:name w:val="Table Paragraph"/>
    <w:basedOn w:val="Normal"/>
    <w:uiPriority w:val="1"/>
    <w:qFormat/>
    <w:pPr>
      <w:spacing w:before="159"/>
      <w:ind w:left="151"/>
    </w:pPr>
  </w:style>
  <w:style w:type="paragraph" w:styleId="Header">
    <w:name w:val="header"/>
    <w:basedOn w:val="Normal"/>
    <w:link w:val="HeaderChar"/>
    <w:uiPriority w:val="99"/>
    <w:unhideWhenUsed/>
    <w:rsid w:val="00C27E4D"/>
    <w:pPr>
      <w:tabs>
        <w:tab w:val="center" w:pos="4536"/>
        <w:tab w:val="right" w:pos="9072"/>
      </w:tabs>
    </w:pPr>
  </w:style>
  <w:style w:type="character" w:customStyle="1" w:styleId="HeaderChar">
    <w:name w:val="Header Char"/>
    <w:basedOn w:val="DefaultParagraphFont"/>
    <w:link w:val="Header"/>
    <w:uiPriority w:val="99"/>
    <w:rsid w:val="00C27E4D"/>
    <w:rPr>
      <w:rFonts w:ascii="Times New Roman" w:eastAsia="Times New Roman" w:hAnsi="Times New Roman" w:cs="Times New Roman"/>
    </w:rPr>
  </w:style>
  <w:style w:type="paragraph" w:styleId="Footer">
    <w:name w:val="footer"/>
    <w:basedOn w:val="Normal"/>
    <w:link w:val="FooterChar"/>
    <w:uiPriority w:val="99"/>
    <w:unhideWhenUsed/>
    <w:rsid w:val="00C27E4D"/>
    <w:pPr>
      <w:tabs>
        <w:tab w:val="center" w:pos="4536"/>
        <w:tab w:val="right" w:pos="9072"/>
      </w:tabs>
    </w:pPr>
  </w:style>
  <w:style w:type="character" w:customStyle="1" w:styleId="FooterChar">
    <w:name w:val="Footer Char"/>
    <w:basedOn w:val="DefaultParagraphFont"/>
    <w:link w:val="Footer"/>
    <w:uiPriority w:val="99"/>
    <w:rsid w:val="00C27E4D"/>
    <w:rPr>
      <w:rFonts w:ascii="Times New Roman" w:eastAsia="Times New Roman" w:hAnsi="Times New Roman" w:cs="Times New Roman"/>
    </w:rPr>
  </w:style>
  <w:style w:type="paragraph" w:styleId="TOCHeading">
    <w:name w:val="TOC Heading"/>
    <w:basedOn w:val="Heading1"/>
    <w:next w:val="Normal"/>
    <w:uiPriority w:val="39"/>
    <w:unhideWhenUsed/>
    <w:qFormat/>
    <w:rsid w:val="00851ED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character" w:styleId="Hyperlink">
    <w:name w:val="Hyperlink"/>
    <w:basedOn w:val="DefaultParagraphFont"/>
    <w:uiPriority w:val="99"/>
    <w:unhideWhenUsed/>
    <w:rsid w:val="00851EDA"/>
    <w:rPr>
      <w:color w:val="0000FF" w:themeColor="hyperlink"/>
      <w:u w:val="single"/>
    </w:rPr>
  </w:style>
  <w:style w:type="character" w:customStyle="1" w:styleId="Heading3Char">
    <w:name w:val="Heading 3 Char"/>
    <w:basedOn w:val="DefaultParagraphFont"/>
    <w:link w:val="Heading3"/>
    <w:uiPriority w:val="9"/>
    <w:rsid w:val="00BF18A7"/>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BF18A7"/>
    <w:rPr>
      <w:rFonts w:ascii="Times New Roman" w:eastAsia="Times New Roman" w:hAnsi="Times New Roman" w:cs="Times New Roman"/>
      <w:sz w:val="24"/>
      <w:szCs w:val="24"/>
    </w:rPr>
  </w:style>
  <w:style w:type="paragraph" w:styleId="TOC6">
    <w:name w:val="toc 6"/>
    <w:basedOn w:val="Normal"/>
    <w:next w:val="Normal"/>
    <w:autoRedefine/>
    <w:uiPriority w:val="39"/>
    <w:unhideWhenUsed/>
    <w:rsid w:val="00BD463A"/>
    <w:pPr>
      <w:widowControl/>
      <w:autoSpaceDE/>
      <w:autoSpaceDN/>
      <w:spacing w:after="100" w:line="259" w:lineRule="auto"/>
      <w:ind w:left="1100"/>
    </w:pPr>
    <w:rPr>
      <w:rFonts w:asciiTheme="minorHAnsi" w:eastAsiaTheme="minorEastAsia" w:hAnsiTheme="minorHAnsi" w:cstheme="minorBidi"/>
      <w:lang w:eastAsia="hr-HR"/>
    </w:rPr>
  </w:style>
  <w:style w:type="paragraph" w:styleId="TOC7">
    <w:name w:val="toc 7"/>
    <w:basedOn w:val="Normal"/>
    <w:next w:val="Normal"/>
    <w:autoRedefine/>
    <w:uiPriority w:val="39"/>
    <w:unhideWhenUsed/>
    <w:rsid w:val="00BD463A"/>
    <w:pPr>
      <w:widowControl/>
      <w:autoSpaceDE/>
      <w:autoSpaceDN/>
      <w:spacing w:after="100" w:line="259" w:lineRule="auto"/>
      <w:ind w:left="1320"/>
    </w:pPr>
    <w:rPr>
      <w:rFonts w:asciiTheme="minorHAnsi" w:eastAsiaTheme="minorEastAsia" w:hAnsiTheme="minorHAnsi" w:cstheme="minorBidi"/>
      <w:lang w:eastAsia="hr-HR"/>
    </w:rPr>
  </w:style>
  <w:style w:type="paragraph" w:styleId="TOC8">
    <w:name w:val="toc 8"/>
    <w:basedOn w:val="Normal"/>
    <w:next w:val="Normal"/>
    <w:autoRedefine/>
    <w:uiPriority w:val="39"/>
    <w:unhideWhenUsed/>
    <w:rsid w:val="00BD463A"/>
    <w:pPr>
      <w:widowControl/>
      <w:autoSpaceDE/>
      <w:autoSpaceDN/>
      <w:spacing w:after="100" w:line="259" w:lineRule="auto"/>
      <w:ind w:left="1540"/>
    </w:pPr>
    <w:rPr>
      <w:rFonts w:asciiTheme="minorHAnsi" w:eastAsiaTheme="minorEastAsia" w:hAnsiTheme="minorHAnsi" w:cstheme="minorBidi"/>
      <w:lang w:eastAsia="hr-HR"/>
    </w:rPr>
  </w:style>
  <w:style w:type="paragraph" w:styleId="TOC9">
    <w:name w:val="toc 9"/>
    <w:basedOn w:val="Normal"/>
    <w:next w:val="Normal"/>
    <w:autoRedefine/>
    <w:uiPriority w:val="39"/>
    <w:unhideWhenUsed/>
    <w:rsid w:val="00BD463A"/>
    <w:pPr>
      <w:widowControl/>
      <w:autoSpaceDE/>
      <w:autoSpaceDN/>
      <w:spacing w:after="100" w:line="259" w:lineRule="auto"/>
      <w:ind w:left="1760"/>
    </w:pPr>
    <w:rPr>
      <w:rFonts w:asciiTheme="minorHAnsi" w:eastAsiaTheme="minorEastAsia" w:hAnsiTheme="minorHAnsi" w:cstheme="minorBidi"/>
      <w:lang w:eastAsia="hr-HR"/>
    </w:rPr>
  </w:style>
  <w:style w:type="character" w:customStyle="1" w:styleId="Nerijeenospominjanje1">
    <w:name w:val="Neriješeno spominjanje1"/>
    <w:basedOn w:val="DefaultParagraphFont"/>
    <w:uiPriority w:val="99"/>
    <w:unhideWhenUsed/>
    <w:rsid w:val="00BD463A"/>
    <w:rPr>
      <w:color w:val="605E5C"/>
      <w:shd w:val="clear" w:color="auto" w:fill="E1DFDD"/>
    </w:rPr>
  </w:style>
  <w:style w:type="table" w:styleId="TableGrid">
    <w:name w:val="Table Grid"/>
    <w:basedOn w:val="TableNormal"/>
    <w:uiPriority w:val="39"/>
    <w:rsid w:val="00C6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0B51"/>
    <w:rPr>
      <w:sz w:val="16"/>
      <w:szCs w:val="16"/>
    </w:rPr>
  </w:style>
  <w:style w:type="paragraph" w:styleId="CommentText">
    <w:name w:val="annotation text"/>
    <w:basedOn w:val="Normal"/>
    <w:link w:val="CommentTextChar"/>
    <w:uiPriority w:val="99"/>
    <w:unhideWhenUsed/>
    <w:rsid w:val="00700B51"/>
    <w:rPr>
      <w:sz w:val="20"/>
      <w:szCs w:val="20"/>
    </w:rPr>
  </w:style>
  <w:style w:type="character" w:customStyle="1" w:styleId="CommentTextChar">
    <w:name w:val="Comment Text Char"/>
    <w:basedOn w:val="DefaultParagraphFont"/>
    <w:link w:val="CommentText"/>
    <w:uiPriority w:val="99"/>
    <w:rsid w:val="00700B51"/>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700B51"/>
    <w:rPr>
      <w:b/>
      <w:bCs/>
    </w:rPr>
  </w:style>
  <w:style w:type="character" w:customStyle="1" w:styleId="CommentSubjectChar">
    <w:name w:val="Comment Subject Char"/>
    <w:basedOn w:val="CommentTextChar"/>
    <w:link w:val="CommentSubject"/>
    <w:uiPriority w:val="99"/>
    <w:semiHidden/>
    <w:rsid w:val="00700B51"/>
    <w:rPr>
      <w:rFonts w:ascii="Times New Roman" w:eastAsia="Times New Roman" w:hAnsi="Times New Roman" w:cs="Times New Roman"/>
      <w:b/>
      <w:bCs/>
      <w:sz w:val="20"/>
      <w:szCs w:val="20"/>
      <w:lang w:val="hr-HR"/>
    </w:rPr>
  </w:style>
  <w:style w:type="character" w:styleId="FollowedHyperlink">
    <w:name w:val="FollowedHyperlink"/>
    <w:basedOn w:val="DefaultParagraphFont"/>
    <w:uiPriority w:val="99"/>
    <w:semiHidden/>
    <w:unhideWhenUsed/>
    <w:rsid w:val="0027023B"/>
    <w:rPr>
      <w:color w:val="800080" w:themeColor="followedHyperlink"/>
      <w:u w:val="single"/>
    </w:rPr>
  </w:style>
  <w:style w:type="paragraph" w:styleId="NormalWeb">
    <w:name w:val="Normal (Web)"/>
    <w:basedOn w:val="Normal"/>
    <w:uiPriority w:val="99"/>
    <w:unhideWhenUsed/>
    <w:rsid w:val="0032607E"/>
    <w:rPr>
      <w:sz w:val="24"/>
      <w:szCs w:val="24"/>
    </w:rPr>
  </w:style>
  <w:style w:type="table" w:customStyle="1" w:styleId="Reetkatablice1">
    <w:name w:val="Rešetka tablice1"/>
    <w:basedOn w:val="TableNormal"/>
    <w:next w:val="TableGrid"/>
    <w:uiPriority w:val="39"/>
    <w:rsid w:val="0032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607E"/>
    <w:rPr>
      <w:b/>
      <w:bCs/>
    </w:rPr>
  </w:style>
  <w:style w:type="paragraph" w:styleId="Revision">
    <w:name w:val="Revision"/>
    <w:hidden/>
    <w:uiPriority w:val="99"/>
    <w:semiHidden/>
    <w:rsid w:val="00CE7917"/>
    <w:pPr>
      <w:widowControl/>
      <w:autoSpaceDE/>
      <w:autoSpaceDN/>
    </w:pPr>
    <w:rPr>
      <w:rFonts w:ascii="Times New Roman" w:eastAsia="Times New Roman" w:hAnsi="Times New Roman" w:cs="Times New Roman"/>
      <w:lang w:val="hr-HR"/>
    </w:rPr>
  </w:style>
  <w:style w:type="character" w:customStyle="1" w:styleId="Heading4Char">
    <w:name w:val="Heading 4 Char"/>
    <w:basedOn w:val="DefaultParagraphFont"/>
    <w:link w:val="Heading4"/>
    <w:uiPriority w:val="9"/>
    <w:rsid w:val="00232875"/>
    <w:rPr>
      <w:rFonts w:ascii="Times New Roman" w:eastAsia="Times New Roman" w:hAnsi="Times New Roman" w:cs="Times New Roman"/>
      <w:b/>
      <w:bCs/>
      <w:sz w:val="24"/>
      <w:szCs w:val="24"/>
      <w:lang w:val="hr-HR"/>
    </w:rPr>
  </w:style>
  <w:style w:type="character" w:customStyle="1" w:styleId="normaltextrun">
    <w:name w:val="normaltextrun"/>
    <w:basedOn w:val="DefaultParagraphFont"/>
    <w:rsid w:val="00107402"/>
  </w:style>
  <w:style w:type="paragraph" w:customStyle="1" w:styleId="paragraph">
    <w:name w:val="paragraph"/>
    <w:basedOn w:val="Normal"/>
    <w:rsid w:val="00516C18"/>
    <w:pPr>
      <w:widowControl/>
      <w:autoSpaceDE/>
      <w:autoSpaceDN/>
      <w:spacing w:before="100" w:beforeAutospacing="1" w:after="100" w:afterAutospacing="1"/>
    </w:pPr>
    <w:rPr>
      <w:sz w:val="24"/>
      <w:szCs w:val="24"/>
      <w:lang w:eastAsia="hr-HR"/>
    </w:rPr>
  </w:style>
  <w:style w:type="character" w:customStyle="1" w:styleId="eop">
    <w:name w:val="eop"/>
    <w:basedOn w:val="DefaultParagraphFont"/>
    <w:rsid w:val="00516C18"/>
  </w:style>
  <w:style w:type="character" w:customStyle="1" w:styleId="Heading2Char">
    <w:name w:val="Heading 2 Char"/>
    <w:basedOn w:val="DefaultParagraphFont"/>
    <w:link w:val="Heading2"/>
    <w:uiPriority w:val="9"/>
    <w:rsid w:val="00A2415D"/>
    <w:rPr>
      <w:rFonts w:ascii="Times New Roman" w:eastAsia="Times New Roman" w:hAnsi="Times New Roman" w:cs="Times New Roman"/>
      <w:b/>
      <w:bCs/>
      <w:sz w:val="32"/>
      <w:szCs w:val="32"/>
      <w:lang w:val="hr-HR"/>
    </w:rPr>
  </w:style>
  <w:style w:type="character" w:customStyle="1" w:styleId="ListParagraphChar">
    <w:name w:val="List Paragraph Char"/>
    <w:aliases w:val="Bullet List Char,FooterText Char,Citation List Char,Recommendation Char,List Paragraph1 Char,List Paragraph11 Char,List Paragraph2 Char,References Char,Bullets Char,List Paragraph (numbered (a)) Char,Numbered List Paragraph Char"/>
    <w:link w:val="ListParagraph"/>
    <w:uiPriority w:val="34"/>
    <w:qFormat/>
    <w:locked/>
    <w:rsid w:val="00A2415D"/>
    <w:rPr>
      <w:rFonts w:ascii="Times New Roman" w:eastAsia="Times New Roman" w:hAnsi="Times New Roman" w:cs="Times New Roman"/>
      <w:lang w:val="hr-HR"/>
    </w:rPr>
  </w:style>
  <w:style w:type="character" w:customStyle="1" w:styleId="Spominjanje1">
    <w:name w:val="Spominjanje1"/>
    <w:basedOn w:val="DefaultParagraphFont"/>
    <w:uiPriority w:val="99"/>
    <w:unhideWhenUsed/>
    <w:rsid w:val="00915D86"/>
    <w:rPr>
      <w:color w:val="2B579A"/>
      <w:shd w:val="clear" w:color="auto" w:fill="E6E6E6"/>
    </w:rPr>
  </w:style>
  <w:style w:type="paragraph" w:styleId="FootnoteText">
    <w:name w:val="footnote text"/>
    <w:basedOn w:val="Normal"/>
    <w:link w:val="FootnoteTextChar"/>
    <w:uiPriority w:val="99"/>
    <w:semiHidden/>
    <w:unhideWhenUsed/>
    <w:rsid w:val="006416E2"/>
    <w:pPr>
      <w:widowControl/>
      <w:autoSpaceDE/>
      <w:autoSpaceDN/>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416E2"/>
    <w:rPr>
      <w:rFonts w:ascii="Calibri" w:eastAsia="Calibri" w:hAnsi="Calibri" w:cs="Times New Roman"/>
      <w:sz w:val="20"/>
      <w:szCs w:val="20"/>
      <w:lang w:val="hr-HR"/>
    </w:rPr>
  </w:style>
  <w:style w:type="character" w:styleId="FootnoteReference">
    <w:name w:val="footnote reference"/>
    <w:basedOn w:val="DefaultParagraphFont"/>
    <w:uiPriority w:val="99"/>
    <w:semiHidden/>
    <w:unhideWhenUsed/>
    <w:rsid w:val="006416E2"/>
    <w:rPr>
      <w:vertAlign w:val="superscript"/>
    </w:rPr>
  </w:style>
  <w:style w:type="character" w:customStyle="1" w:styleId="spellingerror">
    <w:name w:val="spellingerror"/>
    <w:basedOn w:val="DefaultParagraphFont"/>
    <w:rsid w:val="003679F8"/>
  </w:style>
  <w:style w:type="character" w:customStyle="1" w:styleId="scxw208407267">
    <w:name w:val="scxw208407267"/>
    <w:basedOn w:val="DefaultParagraphFont"/>
    <w:rsid w:val="009D3999"/>
  </w:style>
  <w:style w:type="table" w:customStyle="1" w:styleId="Reetkatablice2">
    <w:name w:val="Rešetka tablice2"/>
    <w:basedOn w:val="TableNormal"/>
    <w:next w:val="TableGrid"/>
    <w:uiPriority w:val="39"/>
    <w:rsid w:val="00D7493C"/>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37359B"/>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56D"/>
    <w:rPr>
      <w:rFonts w:ascii="Segoe UI" w:eastAsia="Times New Roman" w:hAnsi="Segoe UI" w:cs="Segoe UI"/>
      <w:sz w:val="18"/>
      <w:szCs w:val="18"/>
      <w:lang w:val="hr-HR"/>
    </w:rPr>
  </w:style>
  <w:style w:type="paragraph" w:customStyle="1" w:styleId="Default">
    <w:name w:val="Default"/>
    <w:rsid w:val="00343B4E"/>
    <w:pPr>
      <w:widowControl/>
      <w:adjustRightInd w:val="0"/>
    </w:pPr>
    <w:rPr>
      <w:rFonts w:ascii="Times New Roman" w:hAnsi="Times New Roman" w:cs="Times New Roman"/>
      <w:color w:val="000000"/>
      <w:sz w:val="24"/>
      <w:szCs w:val="24"/>
      <w:lang w:val="hr-HR"/>
    </w:rPr>
  </w:style>
  <w:style w:type="character" w:customStyle="1" w:styleId="Spominjanje2">
    <w:name w:val="Spominjanje2"/>
    <w:basedOn w:val="DefaultParagraphFont"/>
    <w:uiPriority w:val="99"/>
    <w:unhideWhenUsed/>
    <w:rsid w:val="00EB6EF1"/>
    <w:rPr>
      <w:color w:val="2B579A"/>
      <w:shd w:val="clear" w:color="auto" w:fill="E1DFDD"/>
    </w:rPr>
  </w:style>
  <w:style w:type="character" w:customStyle="1" w:styleId="UnresolvedMention">
    <w:name w:val="Unresolved Mention"/>
    <w:basedOn w:val="DefaultParagraphFont"/>
    <w:uiPriority w:val="99"/>
    <w:semiHidden/>
    <w:unhideWhenUsed/>
    <w:rsid w:val="006363AD"/>
    <w:rPr>
      <w:color w:val="605E5C"/>
      <w:shd w:val="clear" w:color="auto" w:fill="E1DFDD"/>
    </w:rPr>
  </w:style>
  <w:style w:type="table" w:customStyle="1" w:styleId="TableGrid0">
    <w:name w:val="Table Grid0"/>
    <w:rsid w:val="00CB4C56"/>
    <w:pPr>
      <w:widowControl/>
      <w:autoSpaceDE/>
      <w:autoSpaceDN/>
    </w:pPr>
    <w:rPr>
      <w:rFonts w:eastAsiaTheme="minorEastAsia"/>
      <w:lang w:val="hr-HR" w:eastAsia="hr-HR"/>
    </w:rPr>
    <w:tblPr>
      <w:tblCellMar>
        <w:top w:w="0" w:type="dxa"/>
        <w:left w:w="0" w:type="dxa"/>
        <w:bottom w:w="0" w:type="dxa"/>
        <w:right w:w="0" w:type="dxa"/>
      </w:tblCellMar>
    </w:tblPr>
  </w:style>
  <w:style w:type="character" w:customStyle="1" w:styleId="Mention">
    <w:name w:val="Mention"/>
    <w:basedOn w:val="DefaultParagraphFont"/>
    <w:uiPriority w:val="99"/>
    <w:unhideWhenUsed/>
    <w:rsid w:val="00CB4C56"/>
    <w:rPr>
      <w:color w:val="2B579A"/>
      <w:shd w:val="clear" w:color="auto" w:fill="E6E6E6"/>
    </w:rPr>
  </w:style>
  <w:style w:type="table" w:styleId="PlainTable1">
    <w:name w:val="Plain Table 1"/>
    <w:basedOn w:val="TableNormal"/>
    <w:uiPriority w:val="41"/>
    <w:rsid w:val="00CB4C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965">
      <w:bodyDiv w:val="1"/>
      <w:marLeft w:val="0"/>
      <w:marRight w:val="0"/>
      <w:marTop w:val="0"/>
      <w:marBottom w:val="0"/>
      <w:divBdr>
        <w:top w:val="none" w:sz="0" w:space="0" w:color="auto"/>
        <w:left w:val="none" w:sz="0" w:space="0" w:color="auto"/>
        <w:bottom w:val="none" w:sz="0" w:space="0" w:color="auto"/>
        <w:right w:val="none" w:sz="0" w:space="0" w:color="auto"/>
      </w:divBdr>
      <w:divsChild>
        <w:div w:id="141242695">
          <w:marLeft w:val="0"/>
          <w:marRight w:val="0"/>
          <w:marTop w:val="0"/>
          <w:marBottom w:val="0"/>
          <w:divBdr>
            <w:top w:val="none" w:sz="0" w:space="0" w:color="auto"/>
            <w:left w:val="none" w:sz="0" w:space="0" w:color="auto"/>
            <w:bottom w:val="none" w:sz="0" w:space="0" w:color="auto"/>
            <w:right w:val="none" w:sz="0" w:space="0" w:color="auto"/>
          </w:divBdr>
        </w:div>
        <w:div w:id="155342639">
          <w:marLeft w:val="0"/>
          <w:marRight w:val="0"/>
          <w:marTop w:val="0"/>
          <w:marBottom w:val="0"/>
          <w:divBdr>
            <w:top w:val="none" w:sz="0" w:space="0" w:color="auto"/>
            <w:left w:val="none" w:sz="0" w:space="0" w:color="auto"/>
            <w:bottom w:val="none" w:sz="0" w:space="0" w:color="auto"/>
            <w:right w:val="none" w:sz="0" w:space="0" w:color="auto"/>
          </w:divBdr>
        </w:div>
        <w:div w:id="438570986">
          <w:marLeft w:val="0"/>
          <w:marRight w:val="0"/>
          <w:marTop w:val="0"/>
          <w:marBottom w:val="0"/>
          <w:divBdr>
            <w:top w:val="none" w:sz="0" w:space="0" w:color="auto"/>
            <w:left w:val="none" w:sz="0" w:space="0" w:color="auto"/>
            <w:bottom w:val="none" w:sz="0" w:space="0" w:color="auto"/>
            <w:right w:val="none" w:sz="0" w:space="0" w:color="auto"/>
          </w:divBdr>
        </w:div>
        <w:div w:id="600458818">
          <w:marLeft w:val="0"/>
          <w:marRight w:val="0"/>
          <w:marTop w:val="0"/>
          <w:marBottom w:val="0"/>
          <w:divBdr>
            <w:top w:val="none" w:sz="0" w:space="0" w:color="auto"/>
            <w:left w:val="none" w:sz="0" w:space="0" w:color="auto"/>
            <w:bottom w:val="none" w:sz="0" w:space="0" w:color="auto"/>
            <w:right w:val="none" w:sz="0" w:space="0" w:color="auto"/>
          </w:divBdr>
        </w:div>
        <w:div w:id="769861211">
          <w:marLeft w:val="0"/>
          <w:marRight w:val="0"/>
          <w:marTop w:val="0"/>
          <w:marBottom w:val="0"/>
          <w:divBdr>
            <w:top w:val="none" w:sz="0" w:space="0" w:color="auto"/>
            <w:left w:val="none" w:sz="0" w:space="0" w:color="auto"/>
            <w:bottom w:val="none" w:sz="0" w:space="0" w:color="auto"/>
            <w:right w:val="none" w:sz="0" w:space="0" w:color="auto"/>
          </w:divBdr>
        </w:div>
        <w:div w:id="811218543">
          <w:marLeft w:val="0"/>
          <w:marRight w:val="0"/>
          <w:marTop w:val="0"/>
          <w:marBottom w:val="0"/>
          <w:divBdr>
            <w:top w:val="none" w:sz="0" w:space="0" w:color="auto"/>
            <w:left w:val="none" w:sz="0" w:space="0" w:color="auto"/>
            <w:bottom w:val="none" w:sz="0" w:space="0" w:color="auto"/>
            <w:right w:val="none" w:sz="0" w:space="0" w:color="auto"/>
          </w:divBdr>
        </w:div>
        <w:div w:id="832332761">
          <w:marLeft w:val="0"/>
          <w:marRight w:val="0"/>
          <w:marTop w:val="0"/>
          <w:marBottom w:val="0"/>
          <w:divBdr>
            <w:top w:val="none" w:sz="0" w:space="0" w:color="auto"/>
            <w:left w:val="none" w:sz="0" w:space="0" w:color="auto"/>
            <w:bottom w:val="none" w:sz="0" w:space="0" w:color="auto"/>
            <w:right w:val="none" w:sz="0" w:space="0" w:color="auto"/>
          </w:divBdr>
        </w:div>
        <w:div w:id="837578030">
          <w:marLeft w:val="0"/>
          <w:marRight w:val="0"/>
          <w:marTop w:val="0"/>
          <w:marBottom w:val="0"/>
          <w:divBdr>
            <w:top w:val="none" w:sz="0" w:space="0" w:color="auto"/>
            <w:left w:val="none" w:sz="0" w:space="0" w:color="auto"/>
            <w:bottom w:val="none" w:sz="0" w:space="0" w:color="auto"/>
            <w:right w:val="none" w:sz="0" w:space="0" w:color="auto"/>
          </w:divBdr>
        </w:div>
        <w:div w:id="873230933">
          <w:marLeft w:val="0"/>
          <w:marRight w:val="0"/>
          <w:marTop w:val="0"/>
          <w:marBottom w:val="0"/>
          <w:divBdr>
            <w:top w:val="none" w:sz="0" w:space="0" w:color="auto"/>
            <w:left w:val="none" w:sz="0" w:space="0" w:color="auto"/>
            <w:bottom w:val="none" w:sz="0" w:space="0" w:color="auto"/>
            <w:right w:val="none" w:sz="0" w:space="0" w:color="auto"/>
          </w:divBdr>
        </w:div>
        <w:div w:id="979379747">
          <w:marLeft w:val="0"/>
          <w:marRight w:val="0"/>
          <w:marTop w:val="0"/>
          <w:marBottom w:val="0"/>
          <w:divBdr>
            <w:top w:val="none" w:sz="0" w:space="0" w:color="auto"/>
            <w:left w:val="none" w:sz="0" w:space="0" w:color="auto"/>
            <w:bottom w:val="none" w:sz="0" w:space="0" w:color="auto"/>
            <w:right w:val="none" w:sz="0" w:space="0" w:color="auto"/>
          </w:divBdr>
        </w:div>
        <w:div w:id="1248809607">
          <w:marLeft w:val="0"/>
          <w:marRight w:val="0"/>
          <w:marTop w:val="0"/>
          <w:marBottom w:val="0"/>
          <w:divBdr>
            <w:top w:val="none" w:sz="0" w:space="0" w:color="auto"/>
            <w:left w:val="none" w:sz="0" w:space="0" w:color="auto"/>
            <w:bottom w:val="none" w:sz="0" w:space="0" w:color="auto"/>
            <w:right w:val="none" w:sz="0" w:space="0" w:color="auto"/>
          </w:divBdr>
        </w:div>
        <w:div w:id="1277130656">
          <w:marLeft w:val="0"/>
          <w:marRight w:val="0"/>
          <w:marTop w:val="0"/>
          <w:marBottom w:val="0"/>
          <w:divBdr>
            <w:top w:val="none" w:sz="0" w:space="0" w:color="auto"/>
            <w:left w:val="none" w:sz="0" w:space="0" w:color="auto"/>
            <w:bottom w:val="none" w:sz="0" w:space="0" w:color="auto"/>
            <w:right w:val="none" w:sz="0" w:space="0" w:color="auto"/>
          </w:divBdr>
        </w:div>
        <w:div w:id="1324898278">
          <w:marLeft w:val="0"/>
          <w:marRight w:val="0"/>
          <w:marTop w:val="0"/>
          <w:marBottom w:val="0"/>
          <w:divBdr>
            <w:top w:val="none" w:sz="0" w:space="0" w:color="auto"/>
            <w:left w:val="none" w:sz="0" w:space="0" w:color="auto"/>
            <w:bottom w:val="none" w:sz="0" w:space="0" w:color="auto"/>
            <w:right w:val="none" w:sz="0" w:space="0" w:color="auto"/>
          </w:divBdr>
        </w:div>
        <w:div w:id="1652364184">
          <w:marLeft w:val="0"/>
          <w:marRight w:val="0"/>
          <w:marTop w:val="0"/>
          <w:marBottom w:val="0"/>
          <w:divBdr>
            <w:top w:val="none" w:sz="0" w:space="0" w:color="auto"/>
            <w:left w:val="none" w:sz="0" w:space="0" w:color="auto"/>
            <w:bottom w:val="none" w:sz="0" w:space="0" w:color="auto"/>
            <w:right w:val="none" w:sz="0" w:space="0" w:color="auto"/>
          </w:divBdr>
        </w:div>
        <w:div w:id="1790127253">
          <w:marLeft w:val="0"/>
          <w:marRight w:val="0"/>
          <w:marTop w:val="0"/>
          <w:marBottom w:val="0"/>
          <w:divBdr>
            <w:top w:val="none" w:sz="0" w:space="0" w:color="auto"/>
            <w:left w:val="none" w:sz="0" w:space="0" w:color="auto"/>
            <w:bottom w:val="none" w:sz="0" w:space="0" w:color="auto"/>
            <w:right w:val="none" w:sz="0" w:space="0" w:color="auto"/>
          </w:divBdr>
        </w:div>
        <w:div w:id="1792242574">
          <w:marLeft w:val="0"/>
          <w:marRight w:val="0"/>
          <w:marTop w:val="0"/>
          <w:marBottom w:val="0"/>
          <w:divBdr>
            <w:top w:val="none" w:sz="0" w:space="0" w:color="auto"/>
            <w:left w:val="none" w:sz="0" w:space="0" w:color="auto"/>
            <w:bottom w:val="none" w:sz="0" w:space="0" w:color="auto"/>
            <w:right w:val="none" w:sz="0" w:space="0" w:color="auto"/>
          </w:divBdr>
        </w:div>
        <w:div w:id="1800217842">
          <w:marLeft w:val="0"/>
          <w:marRight w:val="0"/>
          <w:marTop w:val="0"/>
          <w:marBottom w:val="0"/>
          <w:divBdr>
            <w:top w:val="none" w:sz="0" w:space="0" w:color="auto"/>
            <w:left w:val="none" w:sz="0" w:space="0" w:color="auto"/>
            <w:bottom w:val="none" w:sz="0" w:space="0" w:color="auto"/>
            <w:right w:val="none" w:sz="0" w:space="0" w:color="auto"/>
          </w:divBdr>
        </w:div>
        <w:div w:id="1917864216">
          <w:marLeft w:val="0"/>
          <w:marRight w:val="0"/>
          <w:marTop w:val="0"/>
          <w:marBottom w:val="0"/>
          <w:divBdr>
            <w:top w:val="none" w:sz="0" w:space="0" w:color="auto"/>
            <w:left w:val="none" w:sz="0" w:space="0" w:color="auto"/>
            <w:bottom w:val="none" w:sz="0" w:space="0" w:color="auto"/>
            <w:right w:val="none" w:sz="0" w:space="0" w:color="auto"/>
          </w:divBdr>
        </w:div>
      </w:divsChild>
    </w:div>
    <w:div w:id="73430159">
      <w:bodyDiv w:val="1"/>
      <w:marLeft w:val="0"/>
      <w:marRight w:val="0"/>
      <w:marTop w:val="0"/>
      <w:marBottom w:val="0"/>
      <w:divBdr>
        <w:top w:val="none" w:sz="0" w:space="0" w:color="auto"/>
        <w:left w:val="none" w:sz="0" w:space="0" w:color="auto"/>
        <w:bottom w:val="none" w:sz="0" w:space="0" w:color="auto"/>
        <w:right w:val="none" w:sz="0" w:space="0" w:color="auto"/>
      </w:divBdr>
    </w:div>
    <w:div w:id="103622192">
      <w:bodyDiv w:val="1"/>
      <w:marLeft w:val="0"/>
      <w:marRight w:val="0"/>
      <w:marTop w:val="0"/>
      <w:marBottom w:val="0"/>
      <w:divBdr>
        <w:top w:val="none" w:sz="0" w:space="0" w:color="auto"/>
        <w:left w:val="none" w:sz="0" w:space="0" w:color="auto"/>
        <w:bottom w:val="none" w:sz="0" w:space="0" w:color="auto"/>
        <w:right w:val="none" w:sz="0" w:space="0" w:color="auto"/>
      </w:divBdr>
    </w:div>
    <w:div w:id="214202155">
      <w:bodyDiv w:val="1"/>
      <w:marLeft w:val="0"/>
      <w:marRight w:val="0"/>
      <w:marTop w:val="0"/>
      <w:marBottom w:val="0"/>
      <w:divBdr>
        <w:top w:val="none" w:sz="0" w:space="0" w:color="auto"/>
        <w:left w:val="none" w:sz="0" w:space="0" w:color="auto"/>
        <w:bottom w:val="none" w:sz="0" w:space="0" w:color="auto"/>
        <w:right w:val="none" w:sz="0" w:space="0" w:color="auto"/>
      </w:divBdr>
      <w:divsChild>
        <w:div w:id="495264684">
          <w:marLeft w:val="0"/>
          <w:marRight w:val="0"/>
          <w:marTop w:val="0"/>
          <w:marBottom w:val="0"/>
          <w:divBdr>
            <w:top w:val="none" w:sz="0" w:space="0" w:color="auto"/>
            <w:left w:val="none" w:sz="0" w:space="0" w:color="auto"/>
            <w:bottom w:val="none" w:sz="0" w:space="0" w:color="auto"/>
            <w:right w:val="none" w:sz="0" w:space="0" w:color="auto"/>
          </w:divBdr>
          <w:divsChild>
            <w:div w:id="1896039793">
              <w:marLeft w:val="0"/>
              <w:marRight w:val="0"/>
              <w:marTop w:val="0"/>
              <w:marBottom w:val="0"/>
              <w:divBdr>
                <w:top w:val="none" w:sz="0" w:space="0" w:color="auto"/>
                <w:left w:val="none" w:sz="0" w:space="0" w:color="auto"/>
                <w:bottom w:val="none" w:sz="0" w:space="0" w:color="auto"/>
                <w:right w:val="none" w:sz="0" w:space="0" w:color="auto"/>
              </w:divBdr>
              <w:divsChild>
                <w:div w:id="211119575">
                  <w:marLeft w:val="0"/>
                  <w:marRight w:val="0"/>
                  <w:marTop w:val="0"/>
                  <w:marBottom w:val="0"/>
                  <w:divBdr>
                    <w:top w:val="none" w:sz="0" w:space="0" w:color="auto"/>
                    <w:left w:val="none" w:sz="0" w:space="0" w:color="auto"/>
                    <w:bottom w:val="none" w:sz="0" w:space="0" w:color="auto"/>
                    <w:right w:val="none" w:sz="0" w:space="0" w:color="auto"/>
                  </w:divBdr>
                  <w:divsChild>
                    <w:div w:id="14491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858318">
      <w:bodyDiv w:val="1"/>
      <w:marLeft w:val="0"/>
      <w:marRight w:val="0"/>
      <w:marTop w:val="0"/>
      <w:marBottom w:val="0"/>
      <w:divBdr>
        <w:top w:val="none" w:sz="0" w:space="0" w:color="auto"/>
        <w:left w:val="none" w:sz="0" w:space="0" w:color="auto"/>
        <w:bottom w:val="none" w:sz="0" w:space="0" w:color="auto"/>
        <w:right w:val="none" w:sz="0" w:space="0" w:color="auto"/>
      </w:divBdr>
    </w:div>
    <w:div w:id="314533454">
      <w:bodyDiv w:val="1"/>
      <w:marLeft w:val="0"/>
      <w:marRight w:val="0"/>
      <w:marTop w:val="0"/>
      <w:marBottom w:val="0"/>
      <w:divBdr>
        <w:top w:val="none" w:sz="0" w:space="0" w:color="auto"/>
        <w:left w:val="none" w:sz="0" w:space="0" w:color="auto"/>
        <w:bottom w:val="none" w:sz="0" w:space="0" w:color="auto"/>
        <w:right w:val="none" w:sz="0" w:space="0" w:color="auto"/>
      </w:divBdr>
    </w:div>
    <w:div w:id="411007550">
      <w:bodyDiv w:val="1"/>
      <w:marLeft w:val="0"/>
      <w:marRight w:val="0"/>
      <w:marTop w:val="0"/>
      <w:marBottom w:val="0"/>
      <w:divBdr>
        <w:top w:val="none" w:sz="0" w:space="0" w:color="auto"/>
        <w:left w:val="none" w:sz="0" w:space="0" w:color="auto"/>
        <w:bottom w:val="none" w:sz="0" w:space="0" w:color="auto"/>
        <w:right w:val="none" w:sz="0" w:space="0" w:color="auto"/>
      </w:divBdr>
    </w:div>
    <w:div w:id="430472311">
      <w:bodyDiv w:val="1"/>
      <w:marLeft w:val="0"/>
      <w:marRight w:val="0"/>
      <w:marTop w:val="0"/>
      <w:marBottom w:val="0"/>
      <w:divBdr>
        <w:top w:val="none" w:sz="0" w:space="0" w:color="auto"/>
        <w:left w:val="none" w:sz="0" w:space="0" w:color="auto"/>
        <w:bottom w:val="none" w:sz="0" w:space="0" w:color="auto"/>
        <w:right w:val="none" w:sz="0" w:space="0" w:color="auto"/>
      </w:divBdr>
    </w:div>
    <w:div w:id="529418834">
      <w:bodyDiv w:val="1"/>
      <w:marLeft w:val="0"/>
      <w:marRight w:val="0"/>
      <w:marTop w:val="0"/>
      <w:marBottom w:val="0"/>
      <w:divBdr>
        <w:top w:val="none" w:sz="0" w:space="0" w:color="auto"/>
        <w:left w:val="none" w:sz="0" w:space="0" w:color="auto"/>
        <w:bottom w:val="none" w:sz="0" w:space="0" w:color="auto"/>
        <w:right w:val="none" w:sz="0" w:space="0" w:color="auto"/>
      </w:divBdr>
    </w:div>
    <w:div w:id="635721781">
      <w:bodyDiv w:val="1"/>
      <w:marLeft w:val="0"/>
      <w:marRight w:val="0"/>
      <w:marTop w:val="0"/>
      <w:marBottom w:val="0"/>
      <w:divBdr>
        <w:top w:val="none" w:sz="0" w:space="0" w:color="auto"/>
        <w:left w:val="none" w:sz="0" w:space="0" w:color="auto"/>
        <w:bottom w:val="none" w:sz="0" w:space="0" w:color="auto"/>
        <w:right w:val="none" w:sz="0" w:space="0" w:color="auto"/>
      </w:divBdr>
      <w:divsChild>
        <w:div w:id="109396717">
          <w:marLeft w:val="0"/>
          <w:marRight w:val="0"/>
          <w:marTop w:val="0"/>
          <w:marBottom w:val="0"/>
          <w:divBdr>
            <w:top w:val="none" w:sz="0" w:space="0" w:color="auto"/>
            <w:left w:val="none" w:sz="0" w:space="0" w:color="auto"/>
            <w:bottom w:val="none" w:sz="0" w:space="0" w:color="auto"/>
            <w:right w:val="none" w:sz="0" w:space="0" w:color="auto"/>
          </w:divBdr>
        </w:div>
        <w:div w:id="541524780">
          <w:marLeft w:val="0"/>
          <w:marRight w:val="0"/>
          <w:marTop w:val="0"/>
          <w:marBottom w:val="0"/>
          <w:divBdr>
            <w:top w:val="none" w:sz="0" w:space="0" w:color="auto"/>
            <w:left w:val="none" w:sz="0" w:space="0" w:color="auto"/>
            <w:bottom w:val="none" w:sz="0" w:space="0" w:color="auto"/>
            <w:right w:val="none" w:sz="0" w:space="0" w:color="auto"/>
          </w:divBdr>
        </w:div>
        <w:div w:id="1175683049">
          <w:marLeft w:val="0"/>
          <w:marRight w:val="0"/>
          <w:marTop w:val="0"/>
          <w:marBottom w:val="0"/>
          <w:divBdr>
            <w:top w:val="none" w:sz="0" w:space="0" w:color="auto"/>
            <w:left w:val="none" w:sz="0" w:space="0" w:color="auto"/>
            <w:bottom w:val="none" w:sz="0" w:space="0" w:color="auto"/>
            <w:right w:val="none" w:sz="0" w:space="0" w:color="auto"/>
          </w:divBdr>
        </w:div>
        <w:div w:id="1645543461">
          <w:marLeft w:val="0"/>
          <w:marRight w:val="0"/>
          <w:marTop w:val="0"/>
          <w:marBottom w:val="0"/>
          <w:divBdr>
            <w:top w:val="none" w:sz="0" w:space="0" w:color="auto"/>
            <w:left w:val="none" w:sz="0" w:space="0" w:color="auto"/>
            <w:bottom w:val="none" w:sz="0" w:space="0" w:color="auto"/>
            <w:right w:val="none" w:sz="0" w:space="0" w:color="auto"/>
          </w:divBdr>
        </w:div>
      </w:divsChild>
    </w:div>
    <w:div w:id="637495305">
      <w:bodyDiv w:val="1"/>
      <w:marLeft w:val="0"/>
      <w:marRight w:val="0"/>
      <w:marTop w:val="0"/>
      <w:marBottom w:val="0"/>
      <w:divBdr>
        <w:top w:val="none" w:sz="0" w:space="0" w:color="auto"/>
        <w:left w:val="none" w:sz="0" w:space="0" w:color="auto"/>
        <w:bottom w:val="none" w:sz="0" w:space="0" w:color="auto"/>
        <w:right w:val="none" w:sz="0" w:space="0" w:color="auto"/>
      </w:divBdr>
    </w:div>
    <w:div w:id="766656595">
      <w:bodyDiv w:val="1"/>
      <w:marLeft w:val="0"/>
      <w:marRight w:val="0"/>
      <w:marTop w:val="0"/>
      <w:marBottom w:val="0"/>
      <w:divBdr>
        <w:top w:val="none" w:sz="0" w:space="0" w:color="auto"/>
        <w:left w:val="none" w:sz="0" w:space="0" w:color="auto"/>
        <w:bottom w:val="none" w:sz="0" w:space="0" w:color="auto"/>
        <w:right w:val="none" w:sz="0" w:space="0" w:color="auto"/>
      </w:divBdr>
    </w:div>
    <w:div w:id="792017069">
      <w:bodyDiv w:val="1"/>
      <w:marLeft w:val="0"/>
      <w:marRight w:val="0"/>
      <w:marTop w:val="0"/>
      <w:marBottom w:val="0"/>
      <w:divBdr>
        <w:top w:val="none" w:sz="0" w:space="0" w:color="auto"/>
        <w:left w:val="none" w:sz="0" w:space="0" w:color="auto"/>
        <w:bottom w:val="none" w:sz="0" w:space="0" w:color="auto"/>
        <w:right w:val="none" w:sz="0" w:space="0" w:color="auto"/>
      </w:divBdr>
      <w:divsChild>
        <w:div w:id="291788474">
          <w:marLeft w:val="0"/>
          <w:marRight w:val="0"/>
          <w:marTop w:val="0"/>
          <w:marBottom w:val="0"/>
          <w:divBdr>
            <w:top w:val="none" w:sz="0" w:space="0" w:color="auto"/>
            <w:left w:val="none" w:sz="0" w:space="0" w:color="auto"/>
            <w:bottom w:val="none" w:sz="0" w:space="0" w:color="auto"/>
            <w:right w:val="none" w:sz="0" w:space="0" w:color="auto"/>
          </w:divBdr>
          <w:divsChild>
            <w:div w:id="1754008220">
              <w:marLeft w:val="0"/>
              <w:marRight w:val="0"/>
              <w:marTop w:val="0"/>
              <w:marBottom w:val="0"/>
              <w:divBdr>
                <w:top w:val="none" w:sz="0" w:space="0" w:color="auto"/>
                <w:left w:val="none" w:sz="0" w:space="0" w:color="auto"/>
                <w:bottom w:val="none" w:sz="0" w:space="0" w:color="auto"/>
                <w:right w:val="none" w:sz="0" w:space="0" w:color="auto"/>
              </w:divBdr>
              <w:divsChild>
                <w:div w:id="1946032226">
                  <w:marLeft w:val="0"/>
                  <w:marRight w:val="0"/>
                  <w:marTop w:val="0"/>
                  <w:marBottom w:val="0"/>
                  <w:divBdr>
                    <w:top w:val="none" w:sz="0" w:space="0" w:color="auto"/>
                    <w:left w:val="none" w:sz="0" w:space="0" w:color="auto"/>
                    <w:bottom w:val="none" w:sz="0" w:space="0" w:color="auto"/>
                    <w:right w:val="none" w:sz="0" w:space="0" w:color="auto"/>
                  </w:divBdr>
                  <w:divsChild>
                    <w:div w:id="3700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41470">
      <w:bodyDiv w:val="1"/>
      <w:marLeft w:val="0"/>
      <w:marRight w:val="0"/>
      <w:marTop w:val="0"/>
      <w:marBottom w:val="0"/>
      <w:divBdr>
        <w:top w:val="none" w:sz="0" w:space="0" w:color="auto"/>
        <w:left w:val="none" w:sz="0" w:space="0" w:color="auto"/>
        <w:bottom w:val="none" w:sz="0" w:space="0" w:color="auto"/>
        <w:right w:val="none" w:sz="0" w:space="0" w:color="auto"/>
      </w:divBdr>
    </w:div>
    <w:div w:id="831869845">
      <w:bodyDiv w:val="1"/>
      <w:marLeft w:val="0"/>
      <w:marRight w:val="0"/>
      <w:marTop w:val="0"/>
      <w:marBottom w:val="0"/>
      <w:divBdr>
        <w:top w:val="none" w:sz="0" w:space="0" w:color="auto"/>
        <w:left w:val="none" w:sz="0" w:space="0" w:color="auto"/>
        <w:bottom w:val="none" w:sz="0" w:space="0" w:color="auto"/>
        <w:right w:val="none" w:sz="0" w:space="0" w:color="auto"/>
      </w:divBdr>
    </w:div>
    <w:div w:id="1036348327">
      <w:bodyDiv w:val="1"/>
      <w:marLeft w:val="0"/>
      <w:marRight w:val="0"/>
      <w:marTop w:val="0"/>
      <w:marBottom w:val="0"/>
      <w:divBdr>
        <w:top w:val="none" w:sz="0" w:space="0" w:color="auto"/>
        <w:left w:val="none" w:sz="0" w:space="0" w:color="auto"/>
        <w:bottom w:val="none" w:sz="0" w:space="0" w:color="auto"/>
        <w:right w:val="none" w:sz="0" w:space="0" w:color="auto"/>
      </w:divBdr>
      <w:divsChild>
        <w:div w:id="23136671">
          <w:marLeft w:val="0"/>
          <w:marRight w:val="0"/>
          <w:marTop w:val="0"/>
          <w:marBottom w:val="0"/>
          <w:divBdr>
            <w:top w:val="none" w:sz="0" w:space="0" w:color="auto"/>
            <w:left w:val="none" w:sz="0" w:space="0" w:color="auto"/>
            <w:bottom w:val="none" w:sz="0" w:space="0" w:color="auto"/>
            <w:right w:val="none" w:sz="0" w:space="0" w:color="auto"/>
          </w:divBdr>
          <w:divsChild>
            <w:div w:id="463473725">
              <w:marLeft w:val="0"/>
              <w:marRight w:val="0"/>
              <w:marTop w:val="0"/>
              <w:marBottom w:val="0"/>
              <w:divBdr>
                <w:top w:val="none" w:sz="0" w:space="0" w:color="auto"/>
                <w:left w:val="none" w:sz="0" w:space="0" w:color="auto"/>
                <w:bottom w:val="none" w:sz="0" w:space="0" w:color="auto"/>
                <w:right w:val="none" w:sz="0" w:space="0" w:color="auto"/>
              </w:divBdr>
            </w:div>
          </w:divsChild>
        </w:div>
        <w:div w:id="45304154">
          <w:marLeft w:val="0"/>
          <w:marRight w:val="0"/>
          <w:marTop w:val="0"/>
          <w:marBottom w:val="0"/>
          <w:divBdr>
            <w:top w:val="none" w:sz="0" w:space="0" w:color="auto"/>
            <w:left w:val="none" w:sz="0" w:space="0" w:color="auto"/>
            <w:bottom w:val="none" w:sz="0" w:space="0" w:color="auto"/>
            <w:right w:val="none" w:sz="0" w:space="0" w:color="auto"/>
          </w:divBdr>
          <w:divsChild>
            <w:div w:id="1621451723">
              <w:marLeft w:val="0"/>
              <w:marRight w:val="0"/>
              <w:marTop w:val="0"/>
              <w:marBottom w:val="0"/>
              <w:divBdr>
                <w:top w:val="none" w:sz="0" w:space="0" w:color="auto"/>
                <w:left w:val="none" w:sz="0" w:space="0" w:color="auto"/>
                <w:bottom w:val="none" w:sz="0" w:space="0" w:color="auto"/>
                <w:right w:val="none" w:sz="0" w:space="0" w:color="auto"/>
              </w:divBdr>
            </w:div>
          </w:divsChild>
        </w:div>
        <w:div w:id="90050239">
          <w:marLeft w:val="0"/>
          <w:marRight w:val="0"/>
          <w:marTop w:val="0"/>
          <w:marBottom w:val="0"/>
          <w:divBdr>
            <w:top w:val="none" w:sz="0" w:space="0" w:color="auto"/>
            <w:left w:val="none" w:sz="0" w:space="0" w:color="auto"/>
            <w:bottom w:val="none" w:sz="0" w:space="0" w:color="auto"/>
            <w:right w:val="none" w:sz="0" w:space="0" w:color="auto"/>
          </w:divBdr>
          <w:divsChild>
            <w:div w:id="1756707661">
              <w:marLeft w:val="0"/>
              <w:marRight w:val="0"/>
              <w:marTop w:val="0"/>
              <w:marBottom w:val="0"/>
              <w:divBdr>
                <w:top w:val="none" w:sz="0" w:space="0" w:color="auto"/>
                <w:left w:val="none" w:sz="0" w:space="0" w:color="auto"/>
                <w:bottom w:val="none" w:sz="0" w:space="0" w:color="auto"/>
                <w:right w:val="none" w:sz="0" w:space="0" w:color="auto"/>
              </w:divBdr>
            </w:div>
          </w:divsChild>
        </w:div>
        <w:div w:id="92896197">
          <w:marLeft w:val="0"/>
          <w:marRight w:val="0"/>
          <w:marTop w:val="0"/>
          <w:marBottom w:val="0"/>
          <w:divBdr>
            <w:top w:val="none" w:sz="0" w:space="0" w:color="auto"/>
            <w:left w:val="none" w:sz="0" w:space="0" w:color="auto"/>
            <w:bottom w:val="none" w:sz="0" w:space="0" w:color="auto"/>
            <w:right w:val="none" w:sz="0" w:space="0" w:color="auto"/>
          </w:divBdr>
          <w:divsChild>
            <w:div w:id="1159417124">
              <w:marLeft w:val="0"/>
              <w:marRight w:val="0"/>
              <w:marTop w:val="0"/>
              <w:marBottom w:val="0"/>
              <w:divBdr>
                <w:top w:val="none" w:sz="0" w:space="0" w:color="auto"/>
                <w:left w:val="none" w:sz="0" w:space="0" w:color="auto"/>
                <w:bottom w:val="none" w:sz="0" w:space="0" w:color="auto"/>
                <w:right w:val="none" w:sz="0" w:space="0" w:color="auto"/>
              </w:divBdr>
            </w:div>
          </w:divsChild>
        </w:div>
        <w:div w:id="95832992">
          <w:marLeft w:val="0"/>
          <w:marRight w:val="0"/>
          <w:marTop w:val="0"/>
          <w:marBottom w:val="0"/>
          <w:divBdr>
            <w:top w:val="none" w:sz="0" w:space="0" w:color="auto"/>
            <w:left w:val="none" w:sz="0" w:space="0" w:color="auto"/>
            <w:bottom w:val="none" w:sz="0" w:space="0" w:color="auto"/>
            <w:right w:val="none" w:sz="0" w:space="0" w:color="auto"/>
          </w:divBdr>
          <w:divsChild>
            <w:div w:id="965041666">
              <w:marLeft w:val="0"/>
              <w:marRight w:val="0"/>
              <w:marTop w:val="0"/>
              <w:marBottom w:val="0"/>
              <w:divBdr>
                <w:top w:val="none" w:sz="0" w:space="0" w:color="auto"/>
                <w:left w:val="none" w:sz="0" w:space="0" w:color="auto"/>
                <w:bottom w:val="none" w:sz="0" w:space="0" w:color="auto"/>
                <w:right w:val="none" w:sz="0" w:space="0" w:color="auto"/>
              </w:divBdr>
            </w:div>
          </w:divsChild>
        </w:div>
        <w:div w:id="98455151">
          <w:marLeft w:val="0"/>
          <w:marRight w:val="0"/>
          <w:marTop w:val="0"/>
          <w:marBottom w:val="0"/>
          <w:divBdr>
            <w:top w:val="none" w:sz="0" w:space="0" w:color="auto"/>
            <w:left w:val="none" w:sz="0" w:space="0" w:color="auto"/>
            <w:bottom w:val="none" w:sz="0" w:space="0" w:color="auto"/>
            <w:right w:val="none" w:sz="0" w:space="0" w:color="auto"/>
          </w:divBdr>
          <w:divsChild>
            <w:div w:id="860971752">
              <w:marLeft w:val="0"/>
              <w:marRight w:val="0"/>
              <w:marTop w:val="0"/>
              <w:marBottom w:val="0"/>
              <w:divBdr>
                <w:top w:val="none" w:sz="0" w:space="0" w:color="auto"/>
                <w:left w:val="none" w:sz="0" w:space="0" w:color="auto"/>
                <w:bottom w:val="none" w:sz="0" w:space="0" w:color="auto"/>
                <w:right w:val="none" w:sz="0" w:space="0" w:color="auto"/>
              </w:divBdr>
            </w:div>
          </w:divsChild>
        </w:div>
        <w:div w:id="104468730">
          <w:marLeft w:val="0"/>
          <w:marRight w:val="0"/>
          <w:marTop w:val="0"/>
          <w:marBottom w:val="0"/>
          <w:divBdr>
            <w:top w:val="none" w:sz="0" w:space="0" w:color="auto"/>
            <w:left w:val="none" w:sz="0" w:space="0" w:color="auto"/>
            <w:bottom w:val="none" w:sz="0" w:space="0" w:color="auto"/>
            <w:right w:val="none" w:sz="0" w:space="0" w:color="auto"/>
          </w:divBdr>
          <w:divsChild>
            <w:div w:id="1105417385">
              <w:marLeft w:val="0"/>
              <w:marRight w:val="0"/>
              <w:marTop w:val="0"/>
              <w:marBottom w:val="0"/>
              <w:divBdr>
                <w:top w:val="none" w:sz="0" w:space="0" w:color="auto"/>
                <w:left w:val="none" w:sz="0" w:space="0" w:color="auto"/>
                <w:bottom w:val="none" w:sz="0" w:space="0" w:color="auto"/>
                <w:right w:val="none" w:sz="0" w:space="0" w:color="auto"/>
              </w:divBdr>
            </w:div>
          </w:divsChild>
        </w:div>
        <w:div w:id="149644031">
          <w:marLeft w:val="0"/>
          <w:marRight w:val="0"/>
          <w:marTop w:val="0"/>
          <w:marBottom w:val="0"/>
          <w:divBdr>
            <w:top w:val="none" w:sz="0" w:space="0" w:color="auto"/>
            <w:left w:val="none" w:sz="0" w:space="0" w:color="auto"/>
            <w:bottom w:val="none" w:sz="0" w:space="0" w:color="auto"/>
            <w:right w:val="none" w:sz="0" w:space="0" w:color="auto"/>
          </w:divBdr>
          <w:divsChild>
            <w:div w:id="689180857">
              <w:marLeft w:val="0"/>
              <w:marRight w:val="0"/>
              <w:marTop w:val="0"/>
              <w:marBottom w:val="0"/>
              <w:divBdr>
                <w:top w:val="none" w:sz="0" w:space="0" w:color="auto"/>
                <w:left w:val="none" w:sz="0" w:space="0" w:color="auto"/>
                <w:bottom w:val="none" w:sz="0" w:space="0" w:color="auto"/>
                <w:right w:val="none" w:sz="0" w:space="0" w:color="auto"/>
              </w:divBdr>
            </w:div>
          </w:divsChild>
        </w:div>
        <w:div w:id="174467239">
          <w:marLeft w:val="0"/>
          <w:marRight w:val="0"/>
          <w:marTop w:val="0"/>
          <w:marBottom w:val="0"/>
          <w:divBdr>
            <w:top w:val="none" w:sz="0" w:space="0" w:color="auto"/>
            <w:left w:val="none" w:sz="0" w:space="0" w:color="auto"/>
            <w:bottom w:val="none" w:sz="0" w:space="0" w:color="auto"/>
            <w:right w:val="none" w:sz="0" w:space="0" w:color="auto"/>
          </w:divBdr>
          <w:divsChild>
            <w:div w:id="1331910582">
              <w:marLeft w:val="0"/>
              <w:marRight w:val="0"/>
              <w:marTop w:val="0"/>
              <w:marBottom w:val="0"/>
              <w:divBdr>
                <w:top w:val="none" w:sz="0" w:space="0" w:color="auto"/>
                <w:left w:val="none" w:sz="0" w:space="0" w:color="auto"/>
                <w:bottom w:val="none" w:sz="0" w:space="0" w:color="auto"/>
                <w:right w:val="none" w:sz="0" w:space="0" w:color="auto"/>
              </w:divBdr>
            </w:div>
          </w:divsChild>
        </w:div>
        <w:div w:id="219444172">
          <w:marLeft w:val="0"/>
          <w:marRight w:val="0"/>
          <w:marTop w:val="0"/>
          <w:marBottom w:val="0"/>
          <w:divBdr>
            <w:top w:val="none" w:sz="0" w:space="0" w:color="auto"/>
            <w:left w:val="none" w:sz="0" w:space="0" w:color="auto"/>
            <w:bottom w:val="none" w:sz="0" w:space="0" w:color="auto"/>
            <w:right w:val="none" w:sz="0" w:space="0" w:color="auto"/>
          </w:divBdr>
          <w:divsChild>
            <w:div w:id="1177619100">
              <w:marLeft w:val="0"/>
              <w:marRight w:val="0"/>
              <w:marTop w:val="0"/>
              <w:marBottom w:val="0"/>
              <w:divBdr>
                <w:top w:val="none" w:sz="0" w:space="0" w:color="auto"/>
                <w:left w:val="none" w:sz="0" w:space="0" w:color="auto"/>
                <w:bottom w:val="none" w:sz="0" w:space="0" w:color="auto"/>
                <w:right w:val="none" w:sz="0" w:space="0" w:color="auto"/>
              </w:divBdr>
            </w:div>
          </w:divsChild>
        </w:div>
        <w:div w:id="247739492">
          <w:marLeft w:val="0"/>
          <w:marRight w:val="0"/>
          <w:marTop w:val="0"/>
          <w:marBottom w:val="0"/>
          <w:divBdr>
            <w:top w:val="none" w:sz="0" w:space="0" w:color="auto"/>
            <w:left w:val="none" w:sz="0" w:space="0" w:color="auto"/>
            <w:bottom w:val="none" w:sz="0" w:space="0" w:color="auto"/>
            <w:right w:val="none" w:sz="0" w:space="0" w:color="auto"/>
          </w:divBdr>
          <w:divsChild>
            <w:div w:id="277224560">
              <w:marLeft w:val="0"/>
              <w:marRight w:val="0"/>
              <w:marTop w:val="0"/>
              <w:marBottom w:val="0"/>
              <w:divBdr>
                <w:top w:val="none" w:sz="0" w:space="0" w:color="auto"/>
                <w:left w:val="none" w:sz="0" w:space="0" w:color="auto"/>
                <w:bottom w:val="none" w:sz="0" w:space="0" w:color="auto"/>
                <w:right w:val="none" w:sz="0" w:space="0" w:color="auto"/>
              </w:divBdr>
            </w:div>
          </w:divsChild>
        </w:div>
        <w:div w:id="249320168">
          <w:marLeft w:val="0"/>
          <w:marRight w:val="0"/>
          <w:marTop w:val="0"/>
          <w:marBottom w:val="0"/>
          <w:divBdr>
            <w:top w:val="none" w:sz="0" w:space="0" w:color="auto"/>
            <w:left w:val="none" w:sz="0" w:space="0" w:color="auto"/>
            <w:bottom w:val="none" w:sz="0" w:space="0" w:color="auto"/>
            <w:right w:val="none" w:sz="0" w:space="0" w:color="auto"/>
          </w:divBdr>
          <w:divsChild>
            <w:div w:id="316107957">
              <w:marLeft w:val="0"/>
              <w:marRight w:val="0"/>
              <w:marTop w:val="0"/>
              <w:marBottom w:val="0"/>
              <w:divBdr>
                <w:top w:val="none" w:sz="0" w:space="0" w:color="auto"/>
                <w:left w:val="none" w:sz="0" w:space="0" w:color="auto"/>
                <w:bottom w:val="none" w:sz="0" w:space="0" w:color="auto"/>
                <w:right w:val="none" w:sz="0" w:space="0" w:color="auto"/>
              </w:divBdr>
            </w:div>
          </w:divsChild>
        </w:div>
        <w:div w:id="274411492">
          <w:marLeft w:val="0"/>
          <w:marRight w:val="0"/>
          <w:marTop w:val="0"/>
          <w:marBottom w:val="0"/>
          <w:divBdr>
            <w:top w:val="none" w:sz="0" w:space="0" w:color="auto"/>
            <w:left w:val="none" w:sz="0" w:space="0" w:color="auto"/>
            <w:bottom w:val="none" w:sz="0" w:space="0" w:color="auto"/>
            <w:right w:val="none" w:sz="0" w:space="0" w:color="auto"/>
          </w:divBdr>
          <w:divsChild>
            <w:div w:id="491483598">
              <w:marLeft w:val="0"/>
              <w:marRight w:val="0"/>
              <w:marTop w:val="0"/>
              <w:marBottom w:val="0"/>
              <w:divBdr>
                <w:top w:val="none" w:sz="0" w:space="0" w:color="auto"/>
                <w:left w:val="none" w:sz="0" w:space="0" w:color="auto"/>
                <w:bottom w:val="none" w:sz="0" w:space="0" w:color="auto"/>
                <w:right w:val="none" w:sz="0" w:space="0" w:color="auto"/>
              </w:divBdr>
            </w:div>
          </w:divsChild>
        </w:div>
        <w:div w:id="275334373">
          <w:marLeft w:val="0"/>
          <w:marRight w:val="0"/>
          <w:marTop w:val="0"/>
          <w:marBottom w:val="0"/>
          <w:divBdr>
            <w:top w:val="none" w:sz="0" w:space="0" w:color="auto"/>
            <w:left w:val="none" w:sz="0" w:space="0" w:color="auto"/>
            <w:bottom w:val="none" w:sz="0" w:space="0" w:color="auto"/>
            <w:right w:val="none" w:sz="0" w:space="0" w:color="auto"/>
          </w:divBdr>
          <w:divsChild>
            <w:div w:id="1744638254">
              <w:marLeft w:val="0"/>
              <w:marRight w:val="0"/>
              <w:marTop w:val="0"/>
              <w:marBottom w:val="0"/>
              <w:divBdr>
                <w:top w:val="none" w:sz="0" w:space="0" w:color="auto"/>
                <w:left w:val="none" w:sz="0" w:space="0" w:color="auto"/>
                <w:bottom w:val="none" w:sz="0" w:space="0" w:color="auto"/>
                <w:right w:val="none" w:sz="0" w:space="0" w:color="auto"/>
              </w:divBdr>
            </w:div>
          </w:divsChild>
        </w:div>
        <w:div w:id="285695594">
          <w:marLeft w:val="0"/>
          <w:marRight w:val="0"/>
          <w:marTop w:val="0"/>
          <w:marBottom w:val="0"/>
          <w:divBdr>
            <w:top w:val="none" w:sz="0" w:space="0" w:color="auto"/>
            <w:left w:val="none" w:sz="0" w:space="0" w:color="auto"/>
            <w:bottom w:val="none" w:sz="0" w:space="0" w:color="auto"/>
            <w:right w:val="none" w:sz="0" w:space="0" w:color="auto"/>
          </w:divBdr>
          <w:divsChild>
            <w:div w:id="1807820750">
              <w:marLeft w:val="0"/>
              <w:marRight w:val="0"/>
              <w:marTop w:val="0"/>
              <w:marBottom w:val="0"/>
              <w:divBdr>
                <w:top w:val="none" w:sz="0" w:space="0" w:color="auto"/>
                <w:left w:val="none" w:sz="0" w:space="0" w:color="auto"/>
                <w:bottom w:val="none" w:sz="0" w:space="0" w:color="auto"/>
                <w:right w:val="none" w:sz="0" w:space="0" w:color="auto"/>
              </w:divBdr>
            </w:div>
          </w:divsChild>
        </w:div>
        <w:div w:id="331446905">
          <w:marLeft w:val="0"/>
          <w:marRight w:val="0"/>
          <w:marTop w:val="0"/>
          <w:marBottom w:val="0"/>
          <w:divBdr>
            <w:top w:val="none" w:sz="0" w:space="0" w:color="auto"/>
            <w:left w:val="none" w:sz="0" w:space="0" w:color="auto"/>
            <w:bottom w:val="none" w:sz="0" w:space="0" w:color="auto"/>
            <w:right w:val="none" w:sz="0" w:space="0" w:color="auto"/>
          </w:divBdr>
          <w:divsChild>
            <w:div w:id="170995461">
              <w:marLeft w:val="0"/>
              <w:marRight w:val="0"/>
              <w:marTop w:val="0"/>
              <w:marBottom w:val="0"/>
              <w:divBdr>
                <w:top w:val="none" w:sz="0" w:space="0" w:color="auto"/>
                <w:left w:val="none" w:sz="0" w:space="0" w:color="auto"/>
                <w:bottom w:val="none" w:sz="0" w:space="0" w:color="auto"/>
                <w:right w:val="none" w:sz="0" w:space="0" w:color="auto"/>
              </w:divBdr>
            </w:div>
            <w:div w:id="231814541">
              <w:marLeft w:val="0"/>
              <w:marRight w:val="0"/>
              <w:marTop w:val="0"/>
              <w:marBottom w:val="0"/>
              <w:divBdr>
                <w:top w:val="none" w:sz="0" w:space="0" w:color="auto"/>
                <w:left w:val="none" w:sz="0" w:space="0" w:color="auto"/>
                <w:bottom w:val="none" w:sz="0" w:space="0" w:color="auto"/>
                <w:right w:val="none" w:sz="0" w:space="0" w:color="auto"/>
              </w:divBdr>
            </w:div>
            <w:div w:id="300229351">
              <w:marLeft w:val="0"/>
              <w:marRight w:val="0"/>
              <w:marTop w:val="0"/>
              <w:marBottom w:val="0"/>
              <w:divBdr>
                <w:top w:val="none" w:sz="0" w:space="0" w:color="auto"/>
                <w:left w:val="none" w:sz="0" w:space="0" w:color="auto"/>
                <w:bottom w:val="none" w:sz="0" w:space="0" w:color="auto"/>
                <w:right w:val="none" w:sz="0" w:space="0" w:color="auto"/>
              </w:divBdr>
            </w:div>
            <w:div w:id="308174522">
              <w:marLeft w:val="0"/>
              <w:marRight w:val="0"/>
              <w:marTop w:val="0"/>
              <w:marBottom w:val="0"/>
              <w:divBdr>
                <w:top w:val="none" w:sz="0" w:space="0" w:color="auto"/>
                <w:left w:val="none" w:sz="0" w:space="0" w:color="auto"/>
                <w:bottom w:val="none" w:sz="0" w:space="0" w:color="auto"/>
                <w:right w:val="none" w:sz="0" w:space="0" w:color="auto"/>
              </w:divBdr>
            </w:div>
            <w:div w:id="430928233">
              <w:marLeft w:val="0"/>
              <w:marRight w:val="0"/>
              <w:marTop w:val="0"/>
              <w:marBottom w:val="0"/>
              <w:divBdr>
                <w:top w:val="none" w:sz="0" w:space="0" w:color="auto"/>
                <w:left w:val="none" w:sz="0" w:space="0" w:color="auto"/>
                <w:bottom w:val="none" w:sz="0" w:space="0" w:color="auto"/>
                <w:right w:val="none" w:sz="0" w:space="0" w:color="auto"/>
              </w:divBdr>
            </w:div>
            <w:div w:id="451435188">
              <w:marLeft w:val="0"/>
              <w:marRight w:val="0"/>
              <w:marTop w:val="0"/>
              <w:marBottom w:val="0"/>
              <w:divBdr>
                <w:top w:val="none" w:sz="0" w:space="0" w:color="auto"/>
                <w:left w:val="none" w:sz="0" w:space="0" w:color="auto"/>
                <w:bottom w:val="none" w:sz="0" w:space="0" w:color="auto"/>
                <w:right w:val="none" w:sz="0" w:space="0" w:color="auto"/>
              </w:divBdr>
            </w:div>
            <w:div w:id="472453405">
              <w:marLeft w:val="0"/>
              <w:marRight w:val="0"/>
              <w:marTop w:val="0"/>
              <w:marBottom w:val="0"/>
              <w:divBdr>
                <w:top w:val="none" w:sz="0" w:space="0" w:color="auto"/>
                <w:left w:val="none" w:sz="0" w:space="0" w:color="auto"/>
                <w:bottom w:val="none" w:sz="0" w:space="0" w:color="auto"/>
                <w:right w:val="none" w:sz="0" w:space="0" w:color="auto"/>
              </w:divBdr>
            </w:div>
            <w:div w:id="474447611">
              <w:marLeft w:val="0"/>
              <w:marRight w:val="0"/>
              <w:marTop w:val="0"/>
              <w:marBottom w:val="0"/>
              <w:divBdr>
                <w:top w:val="none" w:sz="0" w:space="0" w:color="auto"/>
                <w:left w:val="none" w:sz="0" w:space="0" w:color="auto"/>
                <w:bottom w:val="none" w:sz="0" w:space="0" w:color="auto"/>
                <w:right w:val="none" w:sz="0" w:space="0" w:color="auto"/>
              </w:divBdr>
            </w:div>
            <w:div w:id="548497560">
              <w:marLeft w:val="0"/>
              <w:marRight w:val="0"/>
              <w:marTop w:val="0"/>
              <w:marBottom w:val="0"/>
              <w:divBdr>
                <w:top w:val="none" w:sz="0" w:space="0" w:color="auto"/>
                <w:left w:val="none" w:sz="0" w:space="0" w:color="auto"/>
                <w:bottom w:val="none" w:sz="0" w:space="0" w:color="auto"/>
                <w:right w:val="none" w:sz="0" w:space="0" w:color="auto"/>
              </w:divBdr>
            </w:div>
            <w:div w:id="802424396">
              <w:marLeft w:val="0"/>
              <w:marRight w:val="0"/>
              <w:marTop w:val="0"/>
              <w:marBottom w:val="0"/>
              <w:divBdr>
                <w:top w:val="none" w:sz="0" w:space="0" w:color="auto"/>
                <w:left w:val="none" w:sz="0" w:space="0" w:color="auto"/>
                <w:bottom w:val="none" w:sz="0" w:space="0" w:color="auto"/>
                <w:right w:val="none" w:sz="0" w:space="0" w:color="auto"/>
              </w:divBdr>
            </w:div>
            <w:div w:id="832918937">
              <w:marLeft w:val="0"/>
              <w:marRight w:val="0"/>
              <w:marTop w:val="0"/>
              <w:marBottom w:val="0"/>
              <w:divBdr>
                <w:top w:val="none" w:sz="0" w:space="0" w:color="auto"/>
                <w:left w:val="none" w:sz="0" w:space="0" w:color="auto"/>
                <w:bottom w:val="none" w:sz="0" w:space="0" w:color="auto"/>
                <w:right w:val="none" w:sz="0" w:space="0" w:color="auto"/>
              </w:divBdr>
            </w:div>
            <w:div w:id="992371299">
              <w:marLeft w:val="0"/>
              <w:marRight w:val="0"/>
              <w:marTop w:val="0"/>
              <w:marBottom w:val="0"/>
              <w:divBdr>
                <w:top w:val="none" w:sz="0" w:space="0" w:color="auto"/>
                <w:left w:val="none" w:sz="0" w:space="0" w:color="auto"/>
                <w:bottom w:val="none" w:sz="0" w:space="0" w:color="auto"/>
                <w:right w:val="none" w:sz="0" w:space="0" w:color="auto"/>
              </w:divBdr>
            </w:div>
            <w:div w:id="1483426943">
              <w:marLeft w:val="0"/>
              <w:marRight w:val="0"/>
              <w:marTop w:val="0"/>
              <w:marBottom w:val="0"/>
              <w:divBdr>
                <w:top w:val="none" w:sz="0" w:space="0" w:color="auto"/>
                <w:left w:val="none" w:sz="0" w:space="0" w:color="auto"/>
                <w:bottom w:val="none" w:sz="0" w:space="0" w:color="auto"/>
                <w:right w:val="none" w:sz="0" w:space="0" w:color="auto"/>
              </w:divBdr>
            </w:div>
            <w:div w:id="1518615790">
              <w:marLeft w:val="0"/>
              <w:marRight w:val="0"/>
              <w:marTop w:val="0"/>
              <w:marBottom w:val="0"/>
              <w:divBdr>
                <w:top w:val="none" w:sz="0" w:space="0" w:color="auto"/>
                <w:left w:val="none" w:sz="0" w:space="0" w:color="auto"/>
                <w:bottom w:val="none" w:sz="0" w:space="0" w:color="auto"/>
                <w:right w:val="none" w:sz="0" w:space="0" w:color="auto"/>
              </w:divBdr>
            </w:div>
            <w:div w:id="1807237385">
              <w:marLeft w:val="0"/>
              <w:marRight w:val="0"/>
              <w:marTop w:val="0"/>
              <w:marBottom w:val="0"/>
              <w:divBdr>
                <w:top w:val="none" w:sz="0" w:space="0" w:color="auto"/>
                <w:left w:val="none" w:sz="0" w:space="0" w:color="auto"/>
                <w:bottom w:val="none" w:sz="0" w:space="0" w:color="auto"/>
                <w:right w:val="none" w:sz="0" w:space="0" w:color="auto"/>
              </w:divBdr>
            </w:div>
            <w:div w:id="1903826439">
              <w:marLeft w:val="0"/>
              <w:marRight w:val="0"/>
              <w:marTop w:val="0"/>
              <w:marBottom w:val="0"/>
              <w:divBdr>
                <w:top w:val="none" w:sz="0" w:space="0" w:color="auto"/>
                <w:left w:val="none" w:sz="0" w:space="0" w:color="auto"/>
                <w:bottom w:val="none" w:sz="0" w:space="0" w:color="auto"/>
                <w:right w:val="none" w:sz="0" w:space="0" w:color="auto"/>
              </w:divBdr>
            </w:div>
            <w:div w:id="1976062162">
              <w:marLeft w:val="0"/>
              <w:marRight w:val="0"/>
              <w:marTop w:val="0"/>
              <w:marBottom w:val="0"/>
              <w:divBdr>
                <w:top w:val="none" w:sz="0" w:space="0" w:color="auto"/>
                <w:left w:val="none" w:sz="0" w:space="0" w:color="auto"/>
                <w:bottom w:val="none" w:sz="0" w:space="0" w:color="auto"/>
                <w:right w:val="none" w:sz="0" w:space="0" w:color="auto"/>
              </w:divBdr>
            </w:div>
          </w:divsChild>
        </w:div>
        <w:div w:id="370809740">
          <w:marLeft w:val="0"/>
          <w:marRight w:val="0"/>
          <w:marTop w:val="0"/>
          <w:marBottom w:val="0"/>
          <w:divBdr>
            <w:top w:val="none" w:sz="0" w:space="0" w:color="auto"/>
            <w:left w:val="none" w:sz="0" w:space="0" w:color="auto"/>
            <w:bottom w:val="none" w:sz="0" w:space="0" w:color="auto"/>
            <w:right w:val="none" w:sz="0" w:space="0" w:color="auto"/>
          </w:divBdr>
          <w:divsChild>
            <w:div w:id="1613049169">
              <w:marLeft w:val="0"/>
              <w:marRight w:val="0"/>
              <w:marTop w:val="0"/>
              <w:marBottom w:val="0"/>
              <w:divBdr>
                <w:top w:val="none" w:sz="0" w:space="0" w:color="auto"/>
                <w:left w:val="none" w:sz="0" w:space="0" w:color="auto"/>
                <w:bottom w:val="none" w:sz="0" w:space="0" w:color="auto"/>
                <w:right w:val="none" w:sz="0" w:space="0" w:color="auto"/>
              </w:divBdr>
            </w:div>
          </w:divsChild>
        </w:div>
        <w:div w:id="375937998">
          <w:marLeft w:val="0"/>
          <w:marRight w:val="0"/>
          <w:marTop w:val="0"/>
          <w:marBottom w:val="0"/>
          <w:divBdr>
            <w:top w:val="none" w:sz="0" w:space="0" w:color="auto"/>
            <w:left w:val="none" w:sz="0" w:space="0" w:color="auto"/>
            <w:bottom w:val="none" w:sz="0" w:space="0" w:color="auto"/>
            <w:right w:val="none" w:sz="0" w:space="0" w:color="auto"/>
          </w:divBdr>
          <w:divsChild>
            <w:div w:id="2137478280">
              <w:marLeft w:val="0"/>
              <w:marRight w:val="0"/>
              <w:marTop w:val="0"/>
              <w:marBottom w:val="0"/>
              <w:divBdr>
                <w:top w:val="none" w:sz="0" w:space="0" w:color="auto"/>
                <w:left w:val="none" w:sz="0" w:space="0" w:color="auto"/>
                <w:bottom w:val="none" w:sz="0" w:space="0" w:color="auto"/>
                <w:right w:val="none" w:sz="0" w:space="0" w:color="auto"/>
              </w:divBdr>
            </w:div>
          </w:divsChild>
        </w:div>
        <w:div w:id="381295597">
          <w:marLeft w:val="0"/>
          <w:marRight w:val="0"/>
          <w:marTop w:val="0"/>
          <w:marBottom w:val="0"/>
          <w:divBdr>
            <w:top w:val="none" w:sz="0" w:space="0" w:color="auto"/>
            <w:left w:val="none" w:sz="0" w:space="0" w:color="auto"/>
            <w:bottom w:val="none" w:sz="0" w:space="0" w:color="auto"/>
            <w:right w:val="none" w:sz="0" w:space="0" w:color="auto"/>
          </w:divBdr>
          <w:divsChild>
            <w:div w:id="1649750480">
              <w:marLeft w:val="0"/>
              <w:marRight w:val="0"/>
              <w:marTop w:val="0"/>
              <w:marBottom w:val="0"/>
              <w:divBdr>
                <w:top w:val="none" w:sz="0" w:space="0" w:color="auto"/>
                <w:left w:val="none" w:sz="0" w:space="0" w:color="auto"/>
                <w:bottom w:val="none" w:sz="0" w:space="0" w:color="auto"/>
                <w:right w:val="none" w:sz="0" w:space="0" w:color="auto"/>
              </w:divBdr>
            </w:div>
          </w:divsChild>
        </w:div>
        <w:div w:id="383989739">
          <w:marLeft w:val="0"/>
          <w:marRight w:val="0"/>
          <w:marTop w:val="0"/>
          <w:marBottom w:val="0"/>
          <w:divBdr>
            <w:top w:val="none" w:sz="0" w:space="0" w:color="auto"/>
            <w:left w:val="none" w:sz="0" w:space="0" w:color="auto"/>
            <w:bottom w:val="none" w:sz="0" w:space="0" w:color="auto"/>
            <w:right w:val="none" w:sz="0" w:space="0" w:color="auto"/>
          </w:divBdr>
          <w:divsChild>
            <w:div w:id="1748650443">
              <w:marLeft w:val="0"/>
              <w:marRight w:val="0"/>
              <w:marTop w:val="0"/>
              <w:marBottom w:val="0"/>
              <w:divBdr>
                <w:top w:val="none" w:sz="0" w:space="0" w:color="auto"/>
                <w:left w:val="none" w:sz="0" w:space="0" w:color="auto"/>
                <w:bottom w:val="none" w:sz="0" w:space="0" w:color="auto"/>
                <w:right w:val="none" w:sz="0" w:space="0" w:color="auto"/>
              </w:divBdr>
            </w:div>
          </w:divsChild>
        </w:div>
        <w:div w:id="389890015">
          <w:marLeft w:val="0"/>
          <w:marRight w:val="0"/>
          <w:marTop w:val="0"/>
          <w:marBottom w:val="0"/>
          <w:divBdr>
            <w:top w:val="none" w:sz="0" w:space="0" w:color="auto"/>
            <w:left w:val="none" w:sz="0" w:space="0" w:color="auto"/>
            <w:bottom w:val="none" w:sz="0" w:space="0" w:color="auto"/>
            <w:right w:val="none" w:sz="0" w:space="0" w:color="auto"/>
          </w:divBdr>
          <w:divsChild>
            <w:div w:id="1422335179">
              <w:marLeft w:val="0"/>
              <w:marRight w:val="0"/>
              <w:marTop w:val="0"/>
              <w:marBottom w:val="0"/>
              <w:divBdr>
                <w:top w:val="none" w:sz="0" w:space="0" w:color="auto"/>
                <w:left w:val="none" w:sz="0" w:space="0" w:color="auto"/>
                <w:bottom w:val="none" w:sz="0" w:space="0" w:color="auto"/>
                <w:right w:val="none" w:sz="0" w:space="0" w:color="auto"/>
              </w:divBdr>
            </w:div>
          </w:divsChild>
        </w:div>
        <w:div w:id="431820699">
          <w:marLeft w:val="0"/>
          <w:marRight w:val="0"/>
          <w:marTop w:val="0"/>
          <w:marBottom w:val="0"/>
          <w:divBdr>
            <w:top w:val="none" w:sz="0" w:space="0" w:color="auto"/>
            <w:left w:val="none" w:sz="0" w:space="0" w:color="auto"/>
            <w:bottom w:val="none" w:sz="0" w:space="0" w:color="auto"/>
            <w:right w:val="none" w:sz="0" w:space="0" w:color="auto"/>
          </w:divBdr>
          <w:divsChild>
            <w:div w:id="361170198">
              <w:marLeft w:val="0"/>
              <w:marRight w:val="0"/>
              <w:marTop w:val="0"/>
              <w:marBottom w:val="0"/>
              <w:divBdr>
                <w:top w:val="none" w:sz="0" w:space="0" w:color="auto"/>
                <w:left w:val="none" w:sz="0" w:space="0" w:color="auto"/>
                <w:bottom w:val="none" w:sz="0" w:space="0" w:color="auto"/>
                <w:right w:val="none" w:sz="0" w:space="0" w:color="auto"/>
              </w:divBdr>
            </w:div>
          </w:divsChild>
        </w:div>
        <w:div w:id="468743734">
          <w:marLeft w:val="0"/>
          <w:marRight w:val="0"/>
          <w:marTop w:val="0"/>
          <w:marBottom w:val="0"/>
          <w:divBdr>
            <w:top w:val="none" w:sz="0" w:space="0" w:color="auto"/>
            <w:left w:val="none" w:sz="0" w:space="0" w:color="auto"/>
            <w:bottom w:val="none" w:sz="0" w:space="0" w:color="auto"/>
            <w:right w:val="none" w:sz="0" w:space="0" w:color="auto"/>
          </w:divBdr>
          <w:divsChild>
            <w:div w:id="1252667679">
              <w:marLeft w:val="0"/>
              <w:marRight w:val="0"/>
              <w:marTop w:val="0"/>
              <w:marBottom w:val="0"/>
              <w:divBdr>
                <w:top w:val="none" w:sz="0" w:space="0" w:color="auto"/>
                <w:left w:val="none" w:sz="0" w:space="0" w:color="auto"/>
                <w:bottom w:val="none" w:sz="0" w:space="0" w:color="auto"/>
                <w:right w:val="none" w:sz="0" w:space="0" w:color="auto"/>
              </w:divBdr>
            </w:div>
          </w:divsChild>
        </w:div>
        <w:div w:id="541284314">
          <w:marLeft w:val="0"/>
          <w:marRight w:val="0"/>
          <w:marTop w:val="0"/>
          <w:marBottom w:val="0"/>
          <w:divBdr>
            <w:top w:val="none" w:sz="0" w:space="0" w:color="auto"/>
            <w:left w:val="none" w:sz="0" w:space="0" w:color="auto"/>
            <w:bottom w:val="none" w:sz="0" w:space="0" w:color="auto"/>
            <w:right w:val="none" w:sz="0" w:space="0" w:color="auto"/>
          </w:divBdr>
          <w:divsChild>
            <w:div w:id="2022587527">
              <w:marLeft w:val="0"/>
              <w:marRight w:val="0"/>
              <w:marTop w:val="0"/>
              <w:marBottom w:val="0"/>
              <w:divBdr>
                <w:top w:val="none" w:sz="0" w:space="0" w:color="auto"/>
                <w:left w:val="none" w:sz="0" w:space="0" w:color="auto"/>
                <w:bottom w:val="none" w:sz="0" w:space="0" w:color="auto"/>
                <w:right w:val="none" w:sz="0" w:space="0" w:color="auto"/>
              </w:divBdr>
            </w:div>
          </w:divsChild>
        </w:div>
        <w:div w:id="592201876">
          <w:marLeft w:val="0"/>
          <w:marRight w:val="0"/>
          <w:marTop w:val="0"/>
          <w:marBottom w:val="0"/>
          <w:divBdr>
            <w:top w:val="none" w:sz="0" w:space="0" w:color="auto"/>
            <w:left w:val="none" w:sz="0" w:space="0" w:color="auto"/>
            <w:bottom w:val="none" w:sz="0" w:space="0" w:color="auto"/>
            <w:right w:val="none" w:sz="0" w:space="0" w:color="auto"/>
          </w:divBdr>
          <w:divsChild>
            <w:div w:id="1651251366">
              <w:marLeft w:val="0"/>
              <w:marRight w:val="0"/>
              <w:marTop w:val="0"/>
              <w:marBottom w:val="0"/>
              <w:divBdr>
                <w:top w:val="none" w:sz="0" w:space="0" w:color="auto"/>
                <w:left w:val="none" w:sz="0" w:space="0" w:color="auto"/>
                <w:bottom w:val="none" w:sz="0" w:space="0" w:color="auto"/>
                <w:right w:val="none" w:sz="0" w:space="0" w:color="auto"/>
              </w:divBdr>
            </w:div>
          </w:divsChild>
        </w:div>
        <w:div w:id="605815674">
          <w:marLeft w:val="0"/>
          <w:marRight w:val="0"/>
          <w:marTop w:val="0"/>
          <w:marBottom w:val="0"/>
          <w:divBdr>
            <w:top w:val="none" w:sz="0" w:space="0" w:color="auto"/>
            <w:left w:val="none" w:sz="0" w:space="0" w:color="auto"/>
            <w:bottom w:val="none" w:sz="0" w:space="0" w:color="auto"/>
            <w:right w:val="none" w:sz="0" w:space="0" w:color="auto"/>
          </w:divBdr>
          <w:divsChild>
            <w:div w:id="1587031968">
              <w:marLeft w:val="0"/>
              <w:marRight w:val="0"/>
              <w:marTop w:val="0"/>
              <w:marBottom w:val="0"/>
              <w:divBdr>
                <w:top w:val="none" w:sz="0" w:space="0" w:color="auto"/>
                <w:left w:val="none" w:sz="0" w:space="0" w:color="auto"/>
                <w:bottom w:val="none" w:sz="0" w:space="0" w:color="auto"/>
                <w:right w:val="none" w:sz="0" w:space="0" w:color="auto"/>
              </w:divBdr>
            </w:div>
          </w:divsChild>
        </w:div>
        <w:div w:id="610863240">
          <w:marLeft w:val="0"/>
          <w:marRight w:val="0"/>
          <w:marTop w:val="0"/>
          <w:marBottom w:val="0"/>
          <w:divBdr>
            <w:top w:val="none" w:sz="0" w:space="0" w:color="auto"/>
            <w:left w:val="none" w:sz="0" w:space="0" w:color="auto"/>
            <w:bottom w:val="none" w:sz="0" w:space="0" w:color="auto"/>
            <w:right w:val="none" w:sz="0" w:space="0" w:color="auto"/>
          </w:divBdr>
          <w:divsChild>
            <w:div w:id="162278998">
              <w:marLeft w:val="0"/>
              <w:marRight w:val="0"/>
              <w:marTop w:val="0"/>
              <w:marBottom w:val="0"/>
              <w:divBdr>
                <w:top w:val="none" w:sz="0" w:space="0" w:color="auto"/>
                <w:left w:val="none" w:sz="0" w:space="0" w:color="auto"/>
                <w:bottom w:val="none" w:sz="0" w:space="0" w:color="auto"/>
                <w:right w:val="none" w:sz="0" w:space="0" w:color="auto"/>
              </w:divBdr>
            </w:div>
          </w:divsChild>
        </w:div>
        <w:div w:id="617683397">
          <w:marLeft w:val="0"/>
          <w:marRight w:val="0"/>
          <w:marTop w:val="0"/>
          <w:marBottom w:val="0"/>
          <w:divBdr>
            <w:top w:val="none" w:sz="0" w:space="0" w:color="auto"/>
            <w:left w:val="none" w:sz="0" w:space="0" w:color="auto"/>
            <w:bottom w:val="none" w:sz="0" w:space="0" w:color="auto"/>
            <w:right w:val="none" w:sz="0" w:space="0" w:color="auto"/>
          </w:divBdr>
          <w:divsChild>
            <w:div w:id="1727143402">
              <w:marLeft w:val="0"/>
              <w:marRight w:val="0"/>
              <w:marTop w:val="0"/>
              <w:marBottom w:val="0"/>
              <w:divBdr>
                <w:top w:val="none" w:sz="0" w:space="0" w:color="auto"/>
                <w:left w:val="none" w:sz="0" w:space="0" w:color="auto"/>
                <w:bottom w:val="none" w:sz="0" w:space="0" w:color="auto"/>
                <w:right w:val="none" w:sz="0" w:space="0" w:color="auto"/>
              </w:divBdr>
            </w:div>
          </w:divsChild>
        </w:div>
        <w:div w:id="663120265">
          <w:marLeft w:val="0"/>
          <w:marRight w:val="0"/>
          <w:marTop w:val="0"/>
          <w:marBottom w:val="0"/>
          <w:divBdr>
            <w:top w:val="none" w:sz="0" w:space="0" w:color="auto"/>
            <w:left w:val="none" w:sz="0" w:space="0" w:color="auto"/>
            <w:bottom w:val="none" w:sz="0" w:space="0" w:color="auto"/>
            <w:right w:val="none" w:sz="0" w:space="0" w:color="auto"/>
          </w:divBdr>
          <w:divsChild>
            <w:div w:id="1787579355">
              <w:marLeft w:val="0"/>
              <w:marRight w:val="0"/>
              <w:marTop w:val="0"/>
              <w:marBottom w:val="0"/>
              <w:divBdr>
                <w:top w:val="none" w:sz="0" w:space="0" w:color="auto"/>
                <w:left w:val="none" w:sz="0" w:space="0" w:color="auto"/>
                <w:bottom w:val="none" w:sz="0" w:space="0" w:color="auto"/>
                <w:right w:val="none" w:sz="0" w:space="0" w:color="auto"/>
              </w:divBdr>
            </w:div>
          </w:divsChild>
        </w:div>
        <w:div w:id="667372049">
          <w:marLeft w:val="0"/>
          <w:marRight w:val="0"/>
          <w:marTop w:val="0"/>
          <w:marBottom w:val="0"/>
          <w:divBdr>
            <w:top w:val="none" w:sz="0" w:space="0" w:color="auto"/>
            <w:left w:val="none" w:sz="0" w:space="0" w:color="auto"/>
            <w:bottom w:val="none" w:sz="0" w:space="0" w:color="auto"/>
            <w:right w:val="none" w:sz="0" w:space="0" w:color="auto"/>
          </w:divBdr>
          <w:divsChild>
            <w:div w:id="1647590298">
              <w:marLeft w:val="0"/>
              <w:marRight w:val="0"/>
              <w:marTop w:val="0"/>
              <w:marBottom w:val="0"/>
              <w:divBdr>
                <w:top w:val="none" w:sz="0" w:space="0" w:color="auto"/>
                <w:left w:val="none" w:sz="0" w:space="0" w:color="auto"/>
                <w:bottom w:val="none" w:sz="0" w:space="0" w:color="auto"/>
                <w:right w:val="none" w:sz="0" w:space="0" w:color="auto"/>
              </w:divBdr>
            </w:div>
          </w:divsChild>
        </w:div>
        <w:div w:id="697924614">
          <w:marLeft w:val="0"/>
          <w:marRight w:val="0"/>
          <w:marTop w:val="0"/>
          <w:marBottom w:val="0"/>
          <w:divBdr>
            <w:top w:val="none" w:sz="0" w:space="0" w:color="auto"/>
            <w:left w:val="none" w:sz="0" w:space="0" w:color="auto"/>
            <w:bottom w:val="none" w:sz="0" w:space="0" w:color="auto"/>
            <w:right w:val="none" w:sz="0" w:space="0" w:color="auto"/>
          </w:divBdr>
          <w:divsChild>
            <w:div w:id="1269315829">
              <w:marLeft w:val="0"/>
              <w:marRight w:val="0"/>
              <w:marTop w:val="0"/>
              <w:marBottom w:val="0"/>
              <w:divBdr>
                <w:top w:val="none" w:sz="0" w:space="0" w:color="auto"/>
                <w:left w:val="none" w:sz="0" w:space="0" w:color="auto"/>
                <w:bottom w:val="none" w:sz="0" w:space="0" w:color="auto"/>
                <w:right w:val="none" w:sz="0" w:space="0" w:color="auto"/>
              </w:divBdr>
            </w:div>
          </w:divsChild>
        </w:div>
        <w:div w:id="704719880">
          <w:marLeft w:val="0"/>
          <w:marRight w:val="0"/>
          <w:marTop w:val="0"/>
          <w:marBottom w:val="0"/>
          <w:divBdr>
            <w:top w:val="none" w:sz="0" w:space="0" w:color="auto"/>
            <w:left w:val="none" w:sz="0" w:space="0" w:color="auto"/>
            <w:bottom w:val="none" w:sz="0" w:space="0" w:color="auto"/>
            <w:right w:val="none" w:sz="0" w:space="0" w:color="auto"/>
          </w:divBdr>
          <w:divsChild>
            <w:div w:id="1115172334">
              <w:marLeft w:val="0"/>
              <w:marRight w:val="0"/>
              <w:marTop w:val="0"/>
              <w:marBottom w:val="0"/>
              <w:divBdr>
                <w:top w:val="none" w:sz="0" w:space="0" w:color="auto"/>
                <w:left w:val="none" w:sz="0" w:space="0" w:color="auto"/>
                <w:bottom w:val="none" w:sz="0" w:space="0" w:color="auto"/>
                <w:right w:val="none" w:sz="0" w:space="0" w:color="auto"/>
              </w:divBdr>
            </w:div>
          </w:divsChild>
        </w:div>
        <w:div w:id="710888200">
          <w:marLeft w:val="0"/>
          <w:marRight w:val="0"/>
          <w:marTop w:val="0"/>
          <w:marBottom w:val="0"/>
          <w:divBdr>
            <w:top w:val="none" w:sz="0" w:space="0" w:color="auto"/>
            <w:left w:val="none" w:sz="0" w:space="0" w:color="auto"/>
            <w:bottom w:val="none" w:sz="0" w:space="0" w:color="auto"/>
            <w:right w:val="none" w:sz="0" w:space="0" w:color="auto"/>
          </w:divBdr>
          <w:divsChild>
            <w:div w:id="1504198878">
              <w:marLeft w:val="0"/>
              <w:marRight w:val="0"/>
              <w:marTop w:val="0"/>
              <w:marBottom w:val="0"/>
              <w:divBdr>
                <w:top w:val="none" w:sz="0" w:space="0" w:color="auto"/>
                <w:left w:val="none" w:sz="0" w:space="0" w:color="auto"/>
                <w:bottom w:val="none" w:sz="0" w:space="0" w:color="auto"/>
                <w:right w:val="none" w:sz="0" w:space="0" w:color="auto"/>
              </w:divBdr>
            </w:div>
          </w:divsChild>
        </w:div>
        <w:div w:id="722027744">
          <w:marLeft w:val="0"/>
          <w:marRight w:val="0"/>
          <w:marTop w:val="0"/>
          <w:marBottom w:val="0"/>
          <w:divBdr>
            <w:top w:val="none" w:sz="0" w:space="0" w:color="auto"/>
            <w:left w:val="none" w:sz="0" w:space="0" w:color="auto"/>
            <w:bottom w:val="none" w:sz="0" w:space="0" w:color="auto"/>
            <w:right w:val="none" w:sz="0" w:space="0" w:color="auto"/>
          </w:divBdr>
          <w:divsChild>
            <w:div w:id="616956035">
              <w:marLeft w:val="0"/>
              <w:marRight w:val="0"/>
              <w:marTop w:val="0"/>
              <w:marBottom w:val="0"/>
              <w:divBdr>
                <w:top w:val="none" w:sz="0" w:space="0" w:color="auto"/>
                <w:left w:val="none" w:sz="0" w:space="0" w:color="auto"/>
                <w:bottom w:val="none" w:sz="0" w:space="0" w:color="auto"/>
                <w:right w:val="none" w:sz="0" w:space="0" w:color="auto"/>
              </w:divBdr>
            </w:div>
          </w:divsChild>
        </w:div>
        <w:div w:id="734355805">
          <w:marLeft w:val="0"/>
          <w:marRight w:val="0"/>
          <w:marTop w:val="0"/>
          <w:marBottom w:val="0"/>
          <w:divBdr>
            <w:top w:val="none" w:sz="0" w:space="0" w:color="auto"/>
            <w:left w:val="none" w:sz="0" w:space="0" w:color="auto"/>
            <w:bottom w:val="none" w:sz="0" w:space="0" w:color="auto"/>
            <w:right w:val="none" w:sz="0" w:space="0" w:color="auto"/>
          </w:divBdr>
          <w:divsChild>
            <w:div w:id="1471091124">
              <w:marLeft w:val="0"/>
              <w:marRight w:val="0"/>
              <w:marTop w:val="0"/>
              <w:marBottom w:val="0"/>
              <w:divBdr>
                <w:top w:val="none" w:sz="0" w:space="0" w:color="auto"/>
                <w:left w:val="none" w:sz="0" w:space="0" w:color="auto"/>
                <w:bottom w:val="none" w:sz="0" w:space="0" w:color="auto"/>
                <w:right w:val="none" w:sz="0" w:space="0" w:color="auto"/>
              </w:divBdr>
            </w:div>
          </w:divsChild>
        </w:div>
        <w:div w:id="747504802">
          <w:marLeft w:val="0"/>
          <w:marRight w:val="0"/>
          <w:marTop w:val="0"/>
          <w:marBottom w:val="0"/>
          <w:divBdr>
            <w:top w:val="none" w:sz="0" w:space="0" w:color="auto"/>
            <w:left w:val="none" w:sz="0" w:space="0" w:color="auto"/>
            <w:bottom w:val="none" w:sz="0" w:space="0" w:color="auto"/>
            <w:right w:val="none" w:sz="0" w:space="0" w:color="auto"/>
          </w:divBdr>
          <w:divsChild>
            <w:div w:id="1239635695">
              <w:marLeft w:val="0"/>
              <w:marRight w:val="0"/>
              <w:marTop w:val="0"/>
              <w:marBottom w:val="0"/>
              <w:divBdr>
                <w:top w:val="none" w:sz="0" w:space="0" w:color="auto"/>
                <w:left w:val="none" w:sz="0" w:space="0" w:color="auto"/>
                <w:bottom w:val="none" w:sz="0" w:space="0" w:color="auto"/>
                <w:right w:val="none" w:sz="0" w:space="0" w:color="auto"/>
              </w:divBdr>
            </w:div>
          </w:divsChild>
        </w:div>
        <w:div w:id="756706387">
          <w:marLeft w:val="0"/>
          <w:marRight w:val="0"/>
          <w:marTop w:val="0"/>
          <w:marBottom w:val="0"/>
          <w:divBdr>
            <w:top w:val="none" w:sz="0" w:space="0" w:color="auto"/>
            <w:left w:val="none" w:sz="0" w:space="0" w:color="auto"/>
            <w:bottom w:val="none" w:sz="0" w:space="0" w:color="auto"/>
            <w:right w:val="none" w:sz="0" w:space="0" w:color="auto"/>
          </w:divBdr>
          <w:divsChild>
            <w:div w:id="1002775209">
              <w:marLeft w:val="0"/>
              <w:marRight w:val="0"/>
              <w:marTop w:val="0"/>
              <w:marBottom w:val="0"/>
              <w:divBdr>
                <w:top w:val="none" w:sz="0" w:space="0" w:color="auto"/>
                <w:left w:val="none" w:sz="0" w:space="0" w:color="auto"/>
                <w:bottom w:val="none" w:sz="0" w:space="0" w:color="auto"/>
                <w:right w:val="none" w:sz="0" w:space="0" w:color="auto"/>
              </w:divBdr>
            </w:div>
          </w:divsChild>
        </w:div>
        <w:div w:id="805199044">
          <w:marLeft w:val="0"/>
          <w:marRight w:val="0"/>
          <w:marTop w:val="0"/>
          <w:marBottom w:val="0"/>
          <w:divBdr>
            <w:top w:val="none" w:sz="0" w:space="0" w:color="auto"/>
            <w:left w:val="none" w:sz="0" w:space="0" w:color="auto"/>
            <w:bottom w:val="none" w:sz="0" w:space="0" w:color="auto"/>
            <w:right w:val="none" w:sz="0" w:space="0" w:color="auto"/>
          </w:divBdr>
          <w:divsChild>
            <w:div w:id="2024437012">
              <w:marLeft w:val="0"/>
              <w:marRight w:val="0"/>
              <w:marTop w:val="0"/>
              <w:marBottom w:val="0"/>
              <w:divBdr>
                <w:top w:val="none" w:sz="0" w:space="0" w:color="auto"/>
                <w:left w:val="none" w:sz="0" w:space="0" w:color="auto"/>
                <w:bottom w:val="none" w:sz="0" w:space="0" w:color="auto"/>
                <w:right w:val="none" w:sz="0" w:space="0" w:color="auto"/>
              </w:divBdr>
            </w:div>
          </w:divsChild>
        </w:div>
        <w:div w:id="808984894">
          <w:marLeft w:val="0"/>
          <w:marRight w:val="0"/>
          <w:marTop w:val="0"/>
          <w:marBottom w:val="0"/>
          <w:divBdr>
            <w:top w:val="none" w:sz="0" w:space="0" w:color="auto"/>
            <w:left w:val="none" w:sz="0" w:space="0" w:color="auto"/>
            <w:bottom w:val="none" w:sz="0" w:space="0" w:color="auto"/>
            <w:right w:val="none" w:sz="0" w:space="0" w:color="auto"/>
          </w:divBdr>
          <w:divsChild>
            <w:div w:id="1961103112">
              <w:marLeft w:val="0"/>
              <w:marRight w:val="0"/>
              <w:marTop w:val="0"/>
              <w:marBottom w:val="0"/>
              <w:divBdr>
                <w:top w:val="none" w:sz="0" w:space="0" w:color="auto"/>
                <w:left w:val="none" w:sz="0" w:space="0" w:color="auto"/>
                <w:bottom w:val="none" w:sz="0" w:space="0" w:color="auto"/>
                <w:right w:val="none" w:sz="0" w:space="0" w:color="auto"/>
              </w:divBdr>
            </w:div>
          </w:divsChild>
        </w:div>
        <w:div w:id="830951159">
          <w:marLeft w:val="0"/>
          <w:marRight w:val="0"/>
          <w:marTop w:val="0"/>
          <w:marBottom w:val="0"/>
          <w:divBdr>
            <w:top w:val="none" w:sz="0" w:space="0" w:color="auto"/>
            <w:left w:val="none" w:sz="0" w:space="0" w:color="auto"/>
            <w:bottom w:val="none" w:sz="0" w:space="0" w:color="auto"/>
            <w:right w:val="none" w:sz="0" w:space="0" w:color="auto"/>
          </w:divBdr>
          <w:divsChild>
            <w:div w:id="725104929">
              <w:marLeft w:val="0"/>
              <w:marRight w:val="0"/>
              <w:marTop w:val="0"/>
              <w:marBottom w:val="0"/>
              <w:divBdr>
                <w:top w:val="none" w:sz="0" w:space="0" w:color="auto"/>
                <w:left w:val="none" w:sz="0" w:space="0" w:color="auto"/>
                <w:bottom w:val="none" w:sz="0" w:space="0" w:color="auto"/>
                <w:right w:val="none" w:sz="0" w:space="0" w:color="auto"/>
              </w:divBdr>
            </w:div>
          </w:divsChild>
        </w:div>
        <w:div w:id="900217011">
          <w:marLeft w:val="0"/>
          <w:marRight w:val="0"/>
          <w:marTop w:val="0"/>
          <w:marBottom w:val="0"/>
          <w:divBdr>
            <w:top w:val="none" w:sz="0" w:space="0" w:color="auto"/>
            <w:left w:val="none" w:sz="0" w:space="0" w:color="auto"/>
            <w:bottom w:val="none" w:sz="0" w:space="0" w:color="auto"/>
            <w:right w:val="none" w:sz="0" w:space="0" w:color="auto"/>
          </w:divBdr>
          <w:divsChild>
            <w:div w:id="2022656477">
              <w:marLeft w:val="0"/>
              <w:marRight w:val="0"/>
              <w:marTop w:val="0"/>
              <w:marBottom w:val="0"/>
              <w:divBdr>
                <w:top w:val="none" w:sz="0" w:space="0" w:color="auto"/>
                <w:left w:val="none" w:sz="0" w:space="0" w:color="auto"/>
                <w:bottom w:val="none" w:sz="0" w:space="0" w:color="auto"/>
                <w:right w:val="none" w:sz="0" w:space="0" w:color="auto"/>
              </w:divBdr>
            </w:div>
          </w:divsChild>
        </w:div>
        <w:div w:id="935593678">
          <w:marLeft w:val="0"/>
          <w:marRight w:val="0"/>
          <w:marTop w:val="0"/>
          <w:marBottom w:val="0"/>
          <w:divBdr>
            <w:top w:val="none" w:sz="0" w:space="0" w:color="auto"/>
            <w:left w:val="none" w:sz="0" w:space="0" w:color="auto"/>
            <w:bottom w:val="none" w:sz="0" w:space="0" w:color="auto"/>
            <w:right w:val="none" w:sz="0" w:space="0" w:color="auto"/>
          </w:divBdr>
          <w:divsChild>
            <w:div w:id="1558541665">
              <w:marLeft w:val="0"/>
              <w:marRight w:val="0"/>
              <w:marTop w:val="0"/>
              <w:marBottom w:val="0"/>
              <w:divBdr>
                <w:top w:val="none" w:sz="0" w:space="0" w:color="auto"/>
                <w:left w:val="none" w:sz="0" w:space="0" w:color="auto"/>
                <w:bottom w:val="none" w:sz="0" w:space="0" w:color="auto"/>
                <w:right w:val="none" w:sz="0" w:space="0" w:color="auto"/>
              </w:divBdr>
            </w:div>
          </w:divsChild>
        </w:div>
        <w:div w:id="951203579">
          <w:marLeft w:val="0"/>
          <w:marRight w:val="0"/>
          <w:marTop w:val="0"/>
          <w:marBottom w:val="0"/>
          <w:divBdr>
            <w:top w:val="none" w:sz="0" w:space="0" w:color="auto"/>
            <w:left w:val="none" w:sz="0" w:space="0" w:color="auto"/>
            <w:bottom w:val="none" w:sz="0" w:space="0" w:color="auto"/>
            <w:right w:val="none" w:sz="0" w:space="0" w:color="auto"/>
          </w:divBdr>
          <w:divsChild>
            <w:div w:id="2060662299">
              <w:marLeft w:val="0"/>
              <w:marRight w:val="0"/>
              <w:marTop w:val="0"/>
              <w:marBottom w:val="0"/>
              <w:divBdr>
                <w:top w:val="none" w:sz="0" w:space="0" w:color="auto"/>
                <w:left w:val="none" w:sz="0" w:space="0" w:color="auto"/>
                <w:bottom w:val="none" w:sz="0" w:space="0" w:color="auto"/>
                <w:right w:val="none" w:sz="0" w:space="0" w:color="auto"/>
              </w:divBdr>
            </w:div>
          </w:divsChild>
        </w:div>
        <w:div w:id="956177830">
          <w:marLeft w:val="0"/>
          <w:marRight w:val="0"/>
          <w:marTop w:val="0"/>
          <w:marBottom w:val="0"/>
          <w:divBdr>
            <w:top w:val="none" w:sz="0" w:space="0" w:color="auto"/>
            <w:left w:val="none" w:sz="0" w:space="0" w:color="auto"/>
            <w:bottom w:val="none" w:sz="0" w:space="0" w:color="auto"/>
            <w:right w:val="none" w:sz="0" w:space="0" w:color="auto"/>
          </w:divBdr>
          <w:divsChild>
            <w:div w:id="291863759">
              <w:marLeft w:val="0"/>
              <w:marRight w:val="0"/>
              <w:marTop w:val="0"/>
              <w:marBottom w:val="0"/>
              <w:divBdr>
                <w:top w:val="none" w:sz="0" w:space="0" w:color="auto"/>
                <w:left w:val="none" w:sz="0" w:space="0" w:color="auto"/>
                <w:bottom w:val="none" w:sz="0" w:space="0" w:color="auto"/>
                <w:right w:val="none" w:sz="0" w:space="0" w:color="auto"/>
              </w:divBdr>
            </w:div>
          </w:divsChild>
        </w:div>
        <w:div w:id="956837200">
          <w:marLeft w:val="0"/>
          <w:marRight w:val="0"/>
          <w:marTop w:val="0"/>
          <w:marBottom w:val="0"/>
          <w:divBdr>
            <w:top w:val="none" w:sz="0" w:space="0" w:color="auto"/>
            <w:left w:val="none" w:sz="0" w:space="0" w:color="auto"/>
            <w:bottom w:val="none" w:sz="0" w:space="0" w:color="auto"/>
            <w:right w:val="none" w:sz="0" w:space="0" w:color="auto"/>
          </w:divBdr>
          <w:divsChild>
            <w:div w:id="664474780">
              <w:marLeft w:val="0"/>
              <w:marRight w:val="0"/>
              <w:marTop w:val="0"/>
              <w:marBottom w:val="0"/>
              <w:divBdr>
                <w:top w:val="none" w:sz="0" w:space="0" w:color="auto"/>
                <w:left w:val="none" w:sz="0" w:space="0" w:color="auto"/>
                <w:bottom w:val="none" w:sz="0" w:space="0" w:color="auto"/>
                <w:right w:val="none" w:sz="0" w:space="0" w:color="auto"/>
              </w:divBdr>
            </w:div>
          </w:divsChild>
        </w:div>
        <w:div w:id="958217217">
          <w:marLeft w:val="0"/>
          <w:marRight w:val="0"/>
          <w:marTop w:val="0"/>
          <w:marBottom w:val="0"/>
          <w:divBdr>
            <w:top w:val="none" w:sz="0" w:space="0" w:color="auto"/>
            <w:left w:val="none" w:sz="0" w:space="0" w:color="auto"/>
            <w:bottom w:val="none" w:sz="0" w:space="0" w:color="auto"/>
            <w:right w:val="none" w:sz="0" w:space="0" w:color="auto"/>
          </w:divBdr>
          <w:divsChild>
            <w:div w:id="1712462488">
              <w:marLeft w:val="0"/>
              <w:marRight w:val="0"/>
              <w:marTop w:val="0"/>
              <w:marBottom w:val="0"/>
              <w:divBdr>
                <w:top w:val="none" w:sz="0" w:space="0" w:color="auto"/>
                <w:left w:val="none" w:sz="0" w:space="0" w:color="auto"/>
                <w:bottom w:val="none" w:sz="0" w:space="0" w:color="auto"/>
                <w:right w:val="none" w:sz="0" w:space="0" w:color="auto"/>
              </w:divBdr>
            </w:div>
          </w:divsChild>
        </w:div>
        <w:div w:id="1001128315">
          <w:marLeft w:val="0"/>
          <w:marRight w:val="0"/>
          <w:marTop w:val="0"/>
          <w:marBottom w:val="0"/>
          <w:divBdr>
            <w:top w:val="none" w:sz="0" w:space="0" w:color="auto"/>
            <w:left w:val="none" w:sz="0" w:space="0" w:color="auto"/>
            <w:bottom w:val="none" w:sz="0" w:space="0" w:color="auto"/>
            <w:right w:val="none" w:sz="0" w:space="0" w:color="auto"/>
          </w:divBdr>
          <w:divsChild>
            <w:div w:id="993408999">
              <w:marLeft w:val="0"/>
              <w:marRight w:val="0"/>
              <w:marTop w:val="0"/>
              <w:marBottom w:val="0"/>
              <w:divBdr>
                <w:top w:val="none" w:sz="0" w:space="0" w:color="auto"/>
                <w:left w:val="none" w:sz="0" w:space="0" w:color="auto"/>
                <w:bottom w:val="none" w:sz="0" w:space="0" w:color="auto"/>
                <w:right w:val="none" w:sz="0" w:space="0" w:color="auto"/>
              </w:divBdr>
            </w:div>
          </w:divsChild>
        </w:div>
        <w:div w:id="1020738977">
          <w:marLeft w:val="0"/>
          <w:marRight w:val="0"/>
          <w:marTop w:val="0"/>
          <w:marBottom w:val="0"/>
          <w:divBdr>
            <w:top w:val="none" w:sz="0" w:space="0" w:color="auto"/>
            <w:left w:val="none" w:sz="0" w:space="0" w:color="auto"/>
            <w:bottom w:val="none" w:sz="0" w:space="0" w:color="auto"/>
            <w:right w:val="none" w:sz="0" w:space="0" w:color="auto"/>
          </w:divBdr>
          <w:divsChild>
            <w:div w:id="1277447635">
              <w:marLeft w:val="0"/>
              <w:marRight w:val="0"/>
              <w:marTop w:val="0"/>
              <w:marBottom w:val="0"/>
              <w:divBdr>
                <w:top w:val="none" w:sz="0" w:space="0" w:color="auto"/>
                <w:left w:val="none" w:sz="0" w:space="0" w:color="auto"/>
                <w:bottom w:val="none" w:sz="0" w:space="0" w:color="auto"/>
                <w:right w:val="none" w:sz="0" w:space="0" w:color="auto"/>
              </w:divBdr>
            </w:div>
          </w:divsChild>
        </w:div>
        <w:div w:id="1040594150">
          <w:marLeft w:val="0"/>
          <w:marRight w:val="0"/>
          <w:marTop w:val="0"/>
          <w:marBottom w:val="0"/>
          <w:divBdr>
            <w:top w:val="none" w:sz="0" w:space="0" w:color="auto"/>
            <w:left w:val="none" w:sz="0" w:space="0" w:color="auto"/>
            <w:bottom w:val="none" w:sz="0" w:space="0" w:color="auto"/>
            <w:right w:val="none" w:sz="0" w:space="0" w:color="auto"/>
          </w:divBdr>
          <w:divsChild>
            <w:div w:id="493106051">
              <w:marLeft w:val="0"/>
              <w:marRight w:val="0"/>
              <w:marTop w:val="0"/>
              <w:marBottom w:val="0"/>
              <w:divBdr>
                <w:top w:val="none" w:sz="0" w:space="0" w:color="auto"/>
                <w:left w:val="none" w:sz="0" w:space="0" w:color="auto"/>
                <w:bottom w:val="none" w:sz="0" w:space="0" w:color="auto"/>
                <w:right w:val="none" w:sz="0" w:space="0" w:color="auto"/>
              </w:divBdr>
            </w:div>
          </w:divsChild>
        </w:div>
        <w:div w:id="1122722595">
          <w:marLeft w:val="0"/>
          <w:marRight w:val="0"/>
          <w:marTop w:val="0"/>
          <w:marBottom w:val="0"/>
          <w:divBdr>
            <w:top w:val="none" w:sz="0" w:space="0" w:color="auto"/>
            <w:left w:val="none" w:sz="0" w:space="0" w:color="auto"/>
            <w:bottom w:val="none" w:sz="0" w:space="0" w:color="auto"/>
            <w:right w:val="none" w:sz="0" w:space="0" w:color="auto"/>
          </w:divBdr>
          <w:divsChild>
            <w:div w:id="1198202223">
              <w:marLeft w:val="0"/>
              <w:marRight w:val="0"/>
              <w:marTop w:val="0"/>
              <w:marBottom w:val="0"/>
              <w:divBdr>
                <w:top w:val="none" w:sz="0" w:space="0" w:color="auto"/>
                <w:left w:val="none" w:sz="0" w:space="0" w:color="auto"/>
                <w:bottom w:val="none" w:sz="0" w:space="0" w:color="auto"/>
                <w:right w:val="none" w:sz="0" w:space="0" w:color="auto"/>
              </w:divBdr>
            </w:div>
          </w:divsChild>
        </w:div>
        <w:div w:id="1178738565">
          <w:marLeft w:val="0"/>
          <w:marRight w:val="0"/>
          <w:marTop w:val="0"/>
          <w:marBottom w:val="0"/>
          <w:divBdr>
            <w:top w:val="none" w:sz="0" w:space="0" w:color="auto"/>
            <w:left w:val="none" w:sz="0" w:space="0" w:color="auto"/>
            <w:bottom w:val="none" w:sz="0" w:space="0" w:color="auto"/>
            <w:right w:val="none" w:sz="0" w:space="0" w:color="auto"/>
          </w:divBdr>
          <w:divsChild>
            <w:div w:id="1422406548">
              <w:marLeft w:val="0"/>
              <w:marRight w:val="0"/>
              <w:marTop w:val="0"/>
              <w:marBottom w:val="0"/>
              <w:divBdr>
                <w:top w:val="none" w:sz="0" w:space="0" w:color="auto"/>
                <w:left w:val="none" w:sz="0" w:space="0" w:color="auto"/>
                <w:bottom w:val="none" w:sz="0" w:space="0" w:color="auto"/>
                <w:right w:val="none" w:sz="0" w:space="0" w:color="auto"/>
              </w:divBdr>
            </w:div>
          </w:divsChild>
        </w:div>
        <w:div w:id="1186553628">
          <w:marLeft w:val="0"/>
          <w:marRight w:val="0"/>
          <w:marTop w:val="0"/>
          <w:marBottom w:val="0"/>
          <w:divBdr>
            <w:top w:val="none" w:sz="0" w:space="0" w:color="auto"/>
            <w:left w:val="none" w:sz="0" w:space="0" w:color="auto"/>
            <w:bottom w:val="none" w:sz="0" w:space="0" w:color="auto"/>
            <w:right w:val="none" w:sz="0" w:space="0" w:color="auto"/>
          </w:divBdr>
          <w:divsChild>
            <w:div w:id="2017071204">
              <w:marLeft w:val="0"/>
              <w:marRight w:val="0"/>
              <w:marTop w:val="0"/>
              <w:marBottom w:val="0"/>
              <w:divBdr>
                <w:top w:val="none" w:sz="0" w:space="0" w:color="auto"/>
                <w:left w:val="none" w:sz="0" w:space="0" w:color="auto"/>
                <w:bottom w:val="none" w:sz="0" w:space="0" w:color="auto"/>
                <w:right w:val="none" w:sz="0" w:space="0" w:color="auto"/>
              </w:divBdr>
            </w:div>
          </w:divsChild>
        </w:div>
        <w:div w:id="1205019119">
          <w:marLeft w:val="0"/>
          <w:marRight w:val="0"/>
          <w:marTop w:val="0"/>
          <w:marBottom w:val="0"/>
          <w:divBdr>
            <w:top w:val="none" w:sz="0" w:space="0" w:color="auto"/>
            <w:left w:val="none" w:sz="0" w:space="0" w:color="auto"/>
            <w:bottom w:val="none" w:sz="0" w:space="0" w:color="auto"/>
            <w:right w:val="none" w:sz="0" w:space="0" w:color="auto"/>
          </w:divBdr>
          <w:divsChild>
            <w:div w:id="2025863514">
              <w:marLeft w:val="0"/>
              <w:marRight w:val="0"/>
              <w:marTop w:val="0"/>
              <w:marBottom w:val="0"/>
              <w:divBdr>
                <w:top w:val="none" w:sz="0" w:space="0" w:color="auto"/>
                <w:left w:val="none" w:sz="0" w:space="0" w:color="auto"/>
                <w:bottom w:val="none" w:sz="0" w:space="0" w:color="auto"/>
                <w:right w:val="none" w:sz="0" w:space="0" w:color="auto"/>
              </w:divBdr>
            </w:div>
          </w:divsChild>
        </w:div>
        <w:div w:id="1217669066">
          <w:marLeft w:val="0"/>
          <w:marRight w:val="0"/>
          <w:marTop w:val="0"/>
          <w:marBottom w:val="0"/>
          <w:divBdr>
            <w:top w:val="none" w:sz="0" w:space="0" w:color="auto"/>
            <w:left w:val="none" w:sz="0" w:space="0" w:color="auto"/>
            <w:bottom w:val="none" w:sz="0" w:space="0" w:color="auto"/>
            <w:right w:val="none" w:sz="0" w:space="0" w:color="auto"/>
          </w:divBdr>
          <w:divsChild>
            <w:div w:id="582759046">
              <w:marLeft w:val="0"/>
              <w:marRight w:val="0"/>
              <w:marTop w:val="0"/>
              <w:marBottom w:val="0"/>
              <w:divBdr>
                <w:top w:val="none" w:sz="0" w:space="0" w:color="auto"/>
                <w:left w:val="none" w:sz="0" w:space="0" w:color="auto"/>
                <w:bottom w:val="none" w:sz="0" w:space="0" w:color="auto"/>
                <w:right w:val="none" w:sz="0" w:space="0" w:color="auto"/>
              </w:divBdr>
            </w:div>
          </w:divsChild>
        </w:div>
        <w:div w:id="1272131010">
          <w:marLeft w:val="0"/>
          <w:marRight w:val="0"/>
          <w:marTop w:val="0"/>
          <w:marBottom w:val="0"/>
          <w:divBdr>
            <w:top w:val="none" w:sz="0" w:space="0" w:color="auto"/>
            <w:left w:val="none" w:sz="0" w:space="0" w:color="auto"/>
            <w:bottom w:val="none" w:sz="0" w:space="0" w:color="auto"/>
            <w:right w:val="none" w:sz="0" w:space="0" w:color="auto"/>
          </w:divBdr>
          <w:divsChild>
            <w:div w:id="766313598">
              <w:marLeft w:val="0"/>
              <w:marRight w:val="0"/>
              <w:marTop w:val="0"/>
              <w:marBottom w:val="0"/>
              <w:divBdr>
                <w:top w:val="none" w:sz="0" w:space="0" w:color="auto"/>
                <w:left w:val="none" w:sz="0" w:space="0" w:color="auto"/>
                <w:bottom w:val="none" w:sz="0" w:space="0" w:color="auto"/>
                <w:right w:val="none" w:sz="0" w:space="0" w:color="auto"/>
              </w:divBdr>
            </w:div>
          </w:divsChild>
        </w:div>
        <w:div w:id="1295982714">
          <w:marLeft w:val="0"/>
          <w:marRight w:val="0"/>
          <w:marTop w:val="0"/>
          <w:marBottom w:val="0"/>
          <w:divBdr>
            <w:top w:val="none" w:sz="0" w:space="0" w:color="auto"/>
            <w:left w:val="none" w:sz="0" w:space="0" w:color="auto"/>
            <w:bottom w:val="none" w:sz="0" w:space="0" w:color="auto"/>
            <w:right w:val="none" w:sz="0" w:space="0" w:color="auto"/>
          </w:divBdr>
          <w:divsChild>
            <w:div w:id="855773664">
              <w:marLeft w:val="0"/>
              <w:marRight w:val="0"/>
              <w:marTop w:val="0"/>
              <w:marBottom w:val="0"/>
              <w:divBdr>
                <w:top w:val="none" w:sz="0" w:space="0" w:color="auto"/>
                <w:left w:val="none" w:sz="0" w:space="0" w:color="auto"/>
                <w:bottom w:val="none" w:sz="0" w:space="0" w:color="auto"/>
                <w:right w:val="none" w:sz="0" w:space="0" w:color="auto"/>
              </w:divBdr>
            </w:div>
          </w:divsChild>
        </w:div>
        <w:div w:id="1296641698">
          <w:marLeft w:val="0"/>
          <w:marRight w:val="0"/>
          <w:marTop w:val="0"/>
          <w:marBottom w:val="0"/>
          <w:divBdr>
            <w:top w:val="none" w:sz="0" w:space="0" w:color="auto"/>
            <w:left w:val="none" w:sz="0" w:space="0" w:color="auto"/>
            <w:bottom w:val="none" w:sz="0" w:space="0" w:color="auto"/>
            <w:right w:val="none" w:sz="0" w:space="0" w:color="auto"/>
          </w:divBdr>
          <w:divsChild>
            <w:div w:id="1754474954">
              <w:marLeft w:val="0"/>
              <w:marRight w:val="0"/>
              <w:marTop w:val="0"/>
              <w:marBottom w:val="0"/>
              <w:divBdr>
                <w:top w:val="none" w:sz="0" w:space="0" w:color="auto"/>
                <w:left w:val="none" w:sz="0" w:space="0" w:color="auto"/>
                <w:bottom w:val="none" w:sz="0" w:space="0" w:color="auto"/>
                <w:right w:val="none" w:sz="0" w:space="0" w:color="auto"/>
              </w:divBdr>
            </w:div>
          </w:divsChild>
        </w:div>
        <w:div w:id="1311639571">
          <w:marLeft w:val="0"/>
          <w:marRight w:val="0"/>
          <w:marTop w:val="0"/>
          <w:marBottom w:val="0"/>
          <w:divBdr>
            <w:top w:val="none" w:sz="0" w:space="0" w:color="auto"/>
            <w:left w:val="none" w:sz="0" w:space="0" w:color="auto"/>
            <w:bottom w:val="none" w:sz="0" w:space="0" w:color="auto"/>
            <w:right w:val="none" w:sz="0" w:space="0" w:color="auto"/>
          </w:divBdr>
          <w:divsChild>
            <w:div w:id="733625981">
              <w:marLeft w:val="0"/>
              <w:marRight w:val="0"/>
              <w:marTop w:val="0"/>
              <w:marBottom w:val="0"/>
              <w:divBdr>
                <w:top w:val="none" w:sz="0" w:space="0" w:color="auto"/>
                <w:left w:val="none" w:sz="0" w:space="0" w:color="auto"/>
                <w:bottom w:val="none" w:sz="0" w:space="0" w:color="auto"/>
                <w:right w:val="none" w:sz="0" w:space="0" w:color="auto"/>
              </w:divBdr>
            </w:div>
          </w:divsChild>
        </w:div>
        <w:div w:id="1329140661">
          <w:marLeft w:val="0"/>
          <w:marRight w:val="0"/>
          <w:marTop w:val="0"/>
          <w:marBottom w:val="0"/>
          <w:divBdr>
            <w:top w:val="none" w:sz="0" w:space="0" w:color="auto"/>
            <w:left w:val="none" w:sz="0" w:space="0" w:color="auto"/>
            <w:bottom w:val="none" w:sz="0" w:space="0" w:color="auto"/>
            <w:right w:val="none" w:sz="0" w:space="0" w:color="auto"/>
          </w:divBdr>
          <w:divsChild>
            <w:div w:id="1654404015">
              <w:marLeft w:val="0"/>
              <w:marRight w:val="0"/>
              <w:marTop w:val="0"/>
              <w:marBottom w:val="0"/>
              <w:divBdr>
                <w:top w:val="none" w:sz="0" w:space="0" w:color="auto"/>
                <w:left w:val="none" w:sz="0" w:space="0" w:color="auto"/>
                <w:bottom w:val="none" w:sz="0" w:space="0" w:color="auto"/>
                <w:right w:val="none" w:sz="0" w:space="0" w:color="auto"/>
              </w:divBdr>
            </w:div>
          </w:divsChild>
        </w:div>
        <w:div w:id="1355424295">
          <w:marLeft w:val="0"/>
          <w:marRight w:val="0"/>
          <w:marTop w:val="0"/>
          <w:marBottom w:val="0"/>
          <w:divBdr>
            <w:top w:val="none" w:sz="0" w:space="0" w:color="auto"/>
            <w:left w:val="none" w:sz="0" w:space="0" w:color="auto"/>
            <w:bottom w:val="none" w:sz="0" w:space="0" w:color="auto"/>
            <w:right w:val="none" w:sz="0" w:space="0" w:color="auto"/>
          </w:divBdr>
          <w:divsChild>
            <w:div w:id="337003607">
              <w:marLeft w:val="0"/>
              <w:marRight w:val="0"/>
              <w:marTop w:val="0"/>
              <w:marBottom w:val="0"/>
              <w:divBdr>
                <w:top w:val="none" w:sz="0" w:space="0" w:color="auto"/>
                <w:left w:val="none" w:sz="0" w:space="0" w:color="auto"/>
                <w:bottom w:val="none" w:sz="0" w:space="0" w:color="auto"/>
                <w:right w:val="none" w:sz="0" w:space="0" w:color="auto"/>
              </w:divBdr>
            </w:div>
          </w:divsChild>
        </w:div>
        <w:div w:id="1370648011">
          <w:marLeft w:val="0"/>
          <w:marRight w:val="0"/>
          <w:marTop w:val="0"/>
          <w:marBottom w:val="0"/>
          <w:divBdr>
            <w:top w:val="none" w:sz="0" w:space="0" w:color="auto"/>
            <w:left w:val="none" w:sz="0" w:space="0" w:color="auto"/>
            <w:bottom w:val="none" w:sz="0" w:space="0" w:color="auto"/>
            <w:right w:val="none" w:sz="0" w:space="0" w:color="auto"/>
          </w:divBdr>
          <w:divsChild>
            <w:div w:id="101732927">
              <w:marLeft w:val="0"/>
              <w:marRight w:val="0"/>
              <w:marTop w:val="0"/>
              <w:marBottom w:val="0"/>
              <w:divBdr>
                <w:top w:val="none" w:sz="0" w:space="0" w:color="auto"/>
                <w:left w:val="none" w:sz="0" w:space="0" w:color="auto"/>
                <w:bottom w:val="none" w:sz="0" w:space="0" w:color="auto"/>
                <w:right w:val="none" w:sz="0" w:space="0" w:color="auto"/>
              </w:divBdr>
            </w:div>
          </w:divsChild>
        </w:div>
        <w:div w:id="1382289743">
          <w:marLeft w:val="0"/>
          <w:marRight w:val="0"/>
          <w:marTop w:val="0"/>
          <w:marBottom w:val="0"/>
          <w:divBdr>
            <w:top w:val="none" w:sz="0" w:space="0" w:color="auto"/>
            <w:left w:val="none" w:sz="0" w:space="0" w:color="auto"/>
            <w:bottom w:val="none" w:sz="0" w:space="0" w:color="auto"/>
            <w:right w:val="none" w:sz="0" w:space="0" w:color="auto"/>
          </w:divBdr>
          <w:divsChild>
            <w:div w:id="1666207588">
              <w:marLeft w:val="0"/>
              <w:marRight w:val="0"/>
              <w:marTop w:val="0"/>
              <w:marBottom w:val="0"/>
              <w:divBdr>
                <w:top w:val="none" w:sz="0" w:space="0" w:color="auto"/>
                <w:left w:val="none" w:sz="0" w:space="0" w:color="auto"/>
                <w:bottom w:val="none" w:sz="0" w:space="0" w:color="auto"/>
                <w:right w:val="none" w:sz="0" w:space="0" w:color="auto"/>
              </w:divBdr>
            </w:div>
          </w:divsChild>
        </w:div>
        <w:div w:id="1459102284">
          <w:marLeft w:val="0"/>
          <w:marRight w:val="0"/>
          <w:marTop w:val="0"/>
          <w:marBottom w:val="0"/>
          <w:divBdr>
            <w:top w:val="none" w:sz="0" w:space="0" w:color="auto"/>
            <w:left w:val="none" w:sz="0" w:space="0" w:color="auto"/>
            <w:bottom w:val="none" w:sz="0" w:space="0" w:color="auto"/>
            <w:right w:val="none" w:sz="0" w:space="0" w:color="auto"/>
          </w:divBdr>
          <w:divsChild>
            <w:div w:id="2048066319">
              <w:marLeft w:val="0"/>
              <w:marRight w:val="0"/>
              <w:marTop w:val="0"/>
              <w:marBottom w:val="0"/>
              <w:divBdr>
                <w:top w:val="none" w:sz="0" w:space="0" w:color="auto"/>
                <w:left w:val="none" w:sz="0" w:space="0" w:color="auto"/>
                <w:bottom w:val="none" w:sz="0" w:space="0" w:color="auto"/>
                <w:right w:val="none" w:sz="0" w:space="0" w:color="auto"/>
              </w:divBdr>
            </w:div>
          </w:divsChild>
        </w:div>
        <w:div w:id="1511722084">
          <w:marLeft w:val="0"/>
          <w:marRight w:val="0"/>
          <w:marTop w:val="0"/>
          <w:marBottom w:val="0"/>
          <w:divBdr>
            <w:top w:val="none" w:sz="0" w:space="0" w:color="auto"/>
            <w:left w:val="none" w:sz="0" w:space="0" w:color="auto"/>
            <w:bottom w:val="none" w:sz="0" w:space="0" w:color="auto"/>
            <w:right w:val="none" w:sz="0" w:space="0" w:color="auto"/>
          </w:divBdr>
          <w:divsChild>
            <w:div w:id="75134796">
              <w:marLeft w:val="0"/>
              <w:marRight w:val="0"/>
              <w:marTop w:val="0"/>
              <w:marBottom w:val="0"/>
              <w:divBdr>
                <w:top w:val="none" w:sz="0" w:space="0" w:color="auto"/>
                <w:left w:val="none" w:sz="0" w:space="0" w:color="auto"/>
                <w:bottom w:val="none" w:sz="0" w:space="0" w:color="auto"/>
                <w:right w:val="none" w:sz="0" w:space="0" w:color="auto"/>
              </w:divBdr>
            </w:div>
          </w:divsChild>
        </w:div>
        <w:div w:id="1513715163">
          <w:marLeft w:val="0"/>
          <w:marRight w:val="0"/>
          <w:marTop w:val="0"/>
          <w:marBottom w:val="0"/>
          <w:divBdr>
            <w:top w:val="none" w:sz="0" w:space="0" w:color="auto"/>
            <w:left w:val="none" w:sz="0" w:space="0" w:color="auto"/>
            <w:bottom w:val="none" w:sz="0" w:space="0" w:color="auto"/>
            <w:right w:val="none" w:sz="0" w:space="0" w:color="auto"/>
          </w:divBdr>
          <w:divsChild>
            <w:div w:id="1467313419">
              <w:marLeft w:val="0"/>
              <w:marRight w:val="0"/>
              <w:marTop w:val="0"/>
              <w:marBottom w:val="0"/>
              <w:divBdr>
                <w:top w:val="none" w:sz="0" w:space="0" w:color="auto"/>
                <w:left w:val="none" w:sz="0" w:space="0" w:color="auto"/>
                <w:bottom w:val="none" w:sz="0" w:space="0" w:color="auto"/>
                <w:right w:val="none" w:sz="0" w:space="0" w:color="auto"/>
              </w:divBdr>
            </w:div>
          </w:divsChild>
        </w:div>
        <w:div w:id="1565796357">
          <w:marLeft w:val="0"/>
          <w:marRight w:val="0"/>
          <w:marTop w:val="0"/>
          <w:marBottom w:val="0"/>
          <w:divBdr>
            <w:top w:val="none" w:sz="0" w:space="0" w:color="auto"/>
            <w:left w:val="none" w:sz="0" w:space="0" w:color="auto"/>
            <w:bottom w:val="none" w:sz="0" w:space="0" w:color="auto"/>
            <w:right w:val="none" w:sz="0" w:space="0" w:color="auto"/>
          </w:divBdr>
          <w:divsChild>
            <w:div w:id="1105344381">
              <w:marLeft w:val="0"/>
              <w:marRight w:val="0"/>
              <w:marTop w:val="0"/>
              <w:marBottom w:val="0"/>
              <w:divBdr>
                <w:top w:val="none" w:sz="0" w:space="0" w:color="auto"/>
                <w:left w:val="none" w:sz="0" w:space="0" w:color="auto"/>
                <w:bottom w:val="none" w:sz="0" w:space="0" w:color="auto"/>
                <w:right w:val="none" w:sz="0" w:space="0" w:color="auto"/>
              </w:divBdr>
            </w:div>
          </w:divsChild>
        </w:div>
        <w:div w:id="1565985271">
          <w:marLeft w:val="0"/>
          <w:marRight w:val="0"/>
          <w:marTop w:val="0"/>
          <w:marBottom w:val="0"/>
          <w:divBdr>
            <w:top w:val="none" w:sz="0" w:space="0" w:color="auto"/>
            <w:left w:val="none" w:sz="0" w:space="0" w:color="auto"/>
            <w:bottom w:val="none" w:sz="0" w:space="0" w:color="auto"/>
            <w:right w:val="none" w:sz="0" w:space="0" w:color="auto"/>
          </w:divBdr>
          <w:divsChild>
            <w:div w:id="2134248935">
              <w:marLeft w:val="0"/>
              <w:marRight w:val="0"/>
              <w:marTop w:val="0"/>
              <w:marBottom w:val="0"/>
              <w:divBdr>
                <w:top w:val="none" w:sz="0" w:space="0" w:color="auto"/>
                <w:left w:val="none" w:sz="0" w:space="0" w:color="auto"/>
                <w:bottom w:val="none" w:sz="0" w:space="0" w:color="auto"/>
                <w:right w:val="none" w:sz="0" w:space="0" w:color="auto"/>
              </w:divBdr>
            </w:div>
          </w:divsChild>
        </w:div>
        <w:div w:id="1572306059">
          <w:marLeft w:val="0"/>
          <w:marRight w:val="0"/>
          <w:marTop w:val="0"/>
          <w:marBottom w:val="0"/>
          <w:divBdr>
            <w:top w:val="none" w:sz="0" w:space="0" w:color="auto"/>
            <w:left w:val="none" w:sz="0" w:space="0" w:color="auto"/>
            <w:bottom w:val="none" w:sz="0" w:space="0" w:color="auto"/>
            <w:right w:val="none" w:sz="0" w:space="0" w:color="auto"/>
          </w:divBdr>
          <w:divsChild>
            <w:div w:id="938950593">
              <w:marLeft w:val="0"/>
              <w:marRight w:val="0"/>
              <w:marTop w:val="0"/>
              <w:marBottom w:val="0"/>
              <w:divBdr>
                <w:top w:val="none" w:sz="0" w:space="0" w:color="auto"/>
                <w:left w:val="none" w:sz="0" w:space="0" w:color="auto"/>
                <w:bottom w:val="none" w:sz="0" w:space="0" w:color="auto"/>
                <w:right w:val="none" w:sz="0" w:space="0" w:color="auto"/>
              </w:divBdr>
            </w:div>
          </w:divsChild>
        </w:div>
        <w:div w:id="1598517905">
          <w:marLeft w:val="0"/>
          <w:marRight w:val="0"/>
          <w:marTop w:val="0"/>
          <w:marBottom w:val="0"/>
          <w:divBdr>
            <w:top w:val="none" w:sz="0" w:space="0" w:color="auto"/>
            <w:left w:val="none" w:sz="0" w:space="0" w:color="auto"/>
            <w:bottom w:val="none" w:sz="0" w:space="0" w:color="auto"/>
            <w:right w:val="none" w:sz="0" w:space="0" w:color="auto"/>
          </w:divBdr>
          <w:divsChild>
            <w:div w:id="583999103">
              <w:marLeft w:val="0"/>
              <w:marRight w:val="0"/>
              <w:marTop w:val="0"/>
              <w:marBottom w:val="0"/>
              <w:divBdr>
                <w:top w:val="none" w:sz="0" w:space="0" w:color="auto"/>
                <w:left w:val="none" w:sz="0" w:space="0" w:color="auto"/>
                <w:bottom w:val="none" w:sz="0" w:space="0" w:color="auto"/>
                <w:right w:val="none" w:sz="0" w:space="0" w:color="auto"/>
              </w:divBdr>
            </w:div>
            <w:div w:id="1008337207">
              <w:marLeft w:val="0"/>
              <w:marRight w:val="0"/>
              <w:marTop w:val="0"/>
              <w:marBottom w:val="0"/>
              <w:divBdr>
                <w:top w:val="none" w:sz="0" w:space="0" w:color="auto"/>
                <w:left w:val="none" w:sz="0" w:space="0" w:color="auto"/>
                <w:bottom w:val="none" w:sz="0" w:space="0" w:color="auto"/>
                <w:right w:val="none" w:sz="0" w:space="0" w:color="auto"/>
              </w:divBdr>
            </w:div>
            <w:div w:id="2127850890">
              <w:marLeft w:val="0"/>
              <w:marRight w:val="0"/>
              <w:marTop w:val="0"/>
              <w:marBottom w:val="0"/>
              <w:divBdr>
                <w:top w:val="none" w:sz="0" w:space="0" w:color="auto"/>
                <w:left w:val="none" w:sz="0" w:space="0" w:color="auto"/>
                <w:bottom w:val="none" w:sz="0" w:space="0" w:color="auto"/>
                <w:right w:val="none" w:sz="0" w:space="0" w:color="auto"/>
              </w:divBdr>
            </w:div>
          </w:divsChild>
        </w:div>
        <w:div w:id="1619406508">
          <w:marLeft w:val="0"/>
          <w:marRight w:val="0"/>
          <w:marTop w:val="0"/>
          <w:marBottom w:val="0"/>
          <w:divBdr>
            <w:top w:val="none" w:sz="0" w:space="0" w:color="auto"/>
            <w:left w:val="none" w:sz="0" w:space="0" w:color="auto"/>
            <w:bottom w:val="none" w:sz="0" w:space="0" w:color="auto"/>
            <w:right w:val="none" w:sz="0" w:space="0" w:color="auto"/>
          </w:divBdr>
          <w:divsChild>
            <w:div w:id="1558315451">
              <w:marLeft w:val="0"/>
              <w:marRight w:val="0"/>
              <w:marTop w:val="0"/>
              <w:marBottom w:val="0"/>
              <w:divBdr>
                <w:top w:val="none" w:sz="0" w:space="0" w:color="auto"/>
                <w:left w:val="none" w:sz="0" w:space="0" w:color="auto"/>
                <w:bottom w:val="none" w:sz="0" w:space="0" w:color="auto"/>
                <w:right w:val="none" w:sz="0" w:space="0" w:color="auto"/>
              </w:divBdr>
            </w:div>
          </w:divsChild>
        </w:div>
        <w:div w:id="1625385940">
          <w:marLeft w:val="0"/>
          <w:marRight w:val="0"/>
          <w:marTop w:val="0"/>
          <w:marBottom w:val="0"/>
          <w:divBdr>
            <w:top w:val="none" w:sz="0" w:space="0" w:color="auto"/>
            <w:left w:val="none" w:sz="0" w:space="0" w:color="auto"/>
            <w:bottom w:val="none" w:sz="0" w:space="0" w:color="auto"/>
            <w:right w:val="none" w:sz="0" w:space="0" w:color="auto"/>
          </w:divBdr>
          <w:divsChild>
            <w:div w:id="1336805269">
              <w:marLeft w:val="0"/>
              <w:marRight w:val="0"/>
              <w:marTop w:val="0"/>
              <w:marBottom w:val="0"/>
              <w:divBdr>
                <w:top w:val="none" w:sz="0" w:space="0" w:color="auto"/>
                <w:left w:val="none" w:sz="0" w:space="0" w:color="auto"/>
                <w:bottom w:val="none" w:sz="0" w:space="0" w:color="auto"/>
                <w:right w:val="none" w:sz="0" w:space="0" w:color="auto"/>
              </w:divBdr>
            </w:div>
          </w:divsChild>
        </w:div>
        <w:div w:id="1627856062">
          <w:marLeft w:val="0"/>
          <w:marRight w:val="0"/>
          <w:marTop w:val="0"/>
          <w:marBottom w:val="0"/>
          <w:divBdr>
            <w:top w:val="none" w:sz="0" w:space="0" w:color="auto"/>
            <w:left w:val="none" w:sz="0" w:space="0" w:color="auto"/>
            <w:bottom w:val="none" w:sz="0" w:space="0" w:color="auto"/>
            <w:right w:val="none" w:sz="0" w:space="0" w:color="auto"/>
          </w:divBdr>
          <w:divsChild>
            <w:div w:id="1433165119">
              <w:marLeft w:val="0"/>
              <w:marRight w:val="0"/>
              <w:marTop w:val="0"/>
              <w:marBottom w:val="0"/>
              <w:divBdr>
                <w:top w:val="none" w:sz="0" w:space="0" w:color="auto"/>
                <w:left w:val="none" w:sz="0" w:space="0" w:color="auto"/>
                <w:bottom w:val="none" w:sz="0" w:space="0" w:color="auto"/>
                <w:right w:val="none" w:sz="0" w:space="0" w:color="auto"/>
              </w:divBdr>
            </w:div>
          </w:divsChild>
        </w:div>
        <w:div w:id="1649817297">
          <w:marLeft w:val="0"/>
          <w:marRight w:val="0"/>
          <w:marTop w:val="0"/>
          <w:marBottom w:val="0"/>
          <w:divBdr>
            <w:top w:val="none" w:sz="0" w:space="0" w:color="auto"/>
            <w:left w:val="none" w:sz="0" w:space="0" w:color="auto"/>
            <w:bottom w:val="none" w:sz="0" w:space="0" w:color="auto"/>
            <w:right w:val="none" w:sz="0" w:space="0" w:color="auto"/>
          </w:divBdr>
          <w:divsChild>
            <w:div w:id="1965580908">
              <w:marLeft w:val="0"/>
              <w:marRight w:val="0"/>
              <w:marTop w:val="0"/>
              <w:marBottom w:val="0"/>
              <w:divBdr>
                <w:top w:val="none" w:sz="0" w:space="0" w:color="auto"/>
                <w:left w:val="none" w:sz="0" w:space="0" w:color="auto"/>
                <w:bottom w:val="none" w:sz="0" w:space="0" w:color="auto"/>
                <w:right w:val="none" w:sz="0" w:space="0" w:color="auto"/>
              </w:divBdr>
            </w:div>
          </w:divsChild>
        </w:div>
        <w:div w:id="1650478112">
          <w:marLeft w:val="0"/>
          <w:marRight w:val="0"/>
          <w:marTop w:val="0"/>
          <w:marBottom w:val="0"/>
          <w:divBdr>
            <w:top w:val="none" w:sz="0" w:space="0" w:color="auto"/>
            <w:left w:val="none" w:sz="0" w:space="0" w:color="auto"/>
            <w:bottom w:val="none" w:sz="0" w:space="0" w:color="auto"/>
            <w:right w:val="none" w:sz="0" w:space="0" w:color="auto"/>
          </w:divBdr>
          <w:divsChild>
            <w:div w:id="53697618">
              <w:marLeft w:val="0"/>
              <w:marRight w:val="0"/>
              <w:marTop w:val="0"/>
              <w:marBottom w:val="0"/>
              <w:divBdr>
                <w:top w:val="none" w:sz="0" w:space="0" w:color="auto"/>
                <w:left w:val="none" w:sz="0" w:space="0" w:color="auto"/>
                <w:bottom w:val="none" w:sz="0" w:space="0" w:color="auto"/>
                <w:right w:val="none" w:sz="0" w:space="0" w:color="auto"/>
              </w:divBdr>
            </w:div>
          </w:divsChild>
        </w:div>
        <w:div w:id="1662923349">
          <w:marLeft w:val="0"/>
          <w:marRight w:val="0"/>
          <w:marTop w:val="0"/>
          <w:marBottom w:val="0"/>
          <w:divBdr>
            <w:top w:val="none" w:sz="0" w:space="0" w:color="auto"/>
            <w:left w:val="none" w:sz="0" w:space="0" w:color="auto"/>
            <w:bottom w:val="none" w:sz="0" w:space="0" w:color="auto"/>
            <w:right w:val="none" w:sz="0" w:space="0" w:color="auto"/>
          </w:divBdr>
          <w:divsChild>
            <w:div w:id="1823154825">
              <w:marLeft w:val="0"/>
              <w:marRight w:val="0"/>
              <w:marTop w:val="0"/>
              <w:marBottom w:val="0"/>
              <w:divBdr>
                <w:top w:val="none" w:sz="0" w:space="0" w:color="auto"/>
                <w:left w:val="none" w:sz="0" w:space="0" w:color="auto"/>
                <w:bottom w:val="none" w:sz="0" w:space="0" w:color="auto"/>
                <w:right w:val="none" w:sz="0" w:space="0" w:color="auto"/>
              </w:divBdr>
            </w:div>
          </w:divsChild>
        </w:div>
        <w:div w:id="1695644058">
          <w:marLeft w:val="0"/>
          <w:marRight w:val="0"/>
          <w:marTop w:val="0"/>
          <w:marBottom w:val="0"/>
          <w:divBdr>
            <w:top w:val="none" w:sz="0" w:space="0" w:color="auto"/>
            <w:left w:val="none" w:sz="0" w:space="0" w:color="auto"/>
            <w:bottom w:val="none" w:sz="0" w:space="0" w:color="auto"/>
            <w:right w:val="none" w:sz="0" w:space="0" w:color="auto"/>
          </w:divBdr>
          <w:divsChild>
            <w:div w:id="163321493">
              <w:marLeft w:val="0"/>
              <w:marRight w:val="0"/>
              <w:marTop w:val="0"/>
              <w:marBottom w:val="0"/>
              <w:divBdr>
                <w:top w:val="none" w:sz="0" w:space="0" w:color="auto"/>
                <w:left w:val="none" w:sz="0" w:space="0" w:color="auto"/>
                <w:bottom w:val="none" w:sz="0" w:space="0" w:color="auto"/>
                <w:right w:val="none" w:sz="0" w:space="0" w:color="auto"/>
              </w:divBdr>
            </w:div>
          </w:divsChild>
        </w:div>
        <w:div w:id="1752770392">
          <w:marLeft w:val="0"/>
          <w:marRight w:val="0"/>
          <w:marTop w:val="0"/>
          <w:marBottom w:val="0"/>
          <w:divBdr>
            <w:top w:val="none" w:sz="0" w:space="0" w:color="auto"/>
            <w:left w:val="none" w:sz="0" w:space="0" w:color="auto"/>
            <w:bottom w:val="none" w:sz="0" w:space="0" w:color="auto"/>
            <w:right w:val="none" w:sz="0" w:space="0" w:color="auto"/>
          </w:divBdr>
          <w:divsChild>
            <w:div w:id="1231649593">
              <w:marLeft w:val="0"/>
              <w:marRight w:val="0"/>
              <w:marTop w:val="0"/>
              <w:marBottom w:val="0"/>
              <w:divBdr>
                <w:top w:val="none" w:sz="0" w:space="0" w:color="auto"/>
                <w:left w:val="none" w:sz="0" w:space="0" w:color="auto"/>
                <w:bottom w:val="none" w:sz="0" w:space="0" w:color="auto"/>
                <w:right w:val="none" w:sz="0" w:space="0" w:color="auto"/>
              </w:divBdr>
            </w:div>
          </w:divsChild>
        </w:div>
        <w:div w:id="1773937537">
          <w:marLeft w:val="0"/>
          <w:marRight w:val="0"/>
          <w:marTop w:val="0"/>
          <w:marBottom w:val="0"/>
          <w:divBdr>
            <w:top w:val="none" w:sz="0" w:space="0" w:color="auto"/>
            <w:left w:val="none" w:sz="0" w:space="0" w:color="auto"/>
            <w:bottom w:val="none" w:sz="0" w:space="0" w:color="auto"/>
            <w:right w:val="none" w:sz="0" w:space="0" w:color="auto"/>
          </w:divBdr>
          <w:divsChild>
            <w:div w:id="1036348463">
              <w:marLeft w:val="0"/>
              <w:marRight w:val="0"/>
              <w:marTop w:val="0"/>
              <w:marBottom w:val="0"/>
              <w:divBdr>
                <w:top w:val="none" w:sz="0" w:space="0" w:color="auto"/>
                <w:left w:val="none" w:sz="0" w:space="0" w:color="auto"/>
                <w:bottom w:val="none" w:sz="0" w:space="0" w:color="auto"/>
                <w:right w:val="none" w:sz="0" w:space="0" w:color="auto"/>
              </w:divBdr>
            </w:div>
          </w:divsChild>
        </w:div>
        <w:div w:id="1965454088">
          <w:marLeft w:val="0"/>
          <w:marRight w:val="0"/>
          <w:marTop w:val="0"/>
          <w:marBottom w:val="0"/>
          <w:divBdr>
            <w:top w:val="none" w:sz="0" w:space="0" w:color="auto"/>
            <w:left w:val="none" w:sz="0" w:space="0" w:color="auto"/>
            <w:bottom w:val="none" w:sz="0" w:space="0" w:color="auto"/>
            <w:right w:val="none" w:sz="0" w:space="0" w:color="auto"/>
          </w:divBdr>
          <w:divsChild>
            <w:div w:id="106823790">
              <w:marLeft w:val="0"/>
              <w:marRight w:val="0"/>
              <w:marTop w:val="0"/>
              <w:marBottom w:val="0"/>
              <w:divBdr>
                <w:top w:val="none" w:sz="0" w:space="0" w:color="auto"/>
                <w:left w:val="none" w:sz="0" w:space="0" w:color="auto"/>
                <w:bottom w:val="none" w:sz="0" w:space="0" w:color="auto"/>
                <w:right w:val="none" w:sz="0" w:space="0" w:color="auto"/>
              </w:divBdr>
            </w:div>
          </w:divsChild>
        </w:div>
        <w:div w:id="1966621841">
          <w:marLeft w:val="0"/>
          <w:marRight w:val="0"/>
          <w:marTop w:val="0"/>
          <w:marBottom w:val="0"/>
          <w:divBdr>
            <w:top w:val="none" w:sz="0" w:space="0" w:color="auto"/>
            <w:left w:val="none" w:sz="0" w:space="0" w:color="auto"/>
            <w:bottom w:val="none" w:sz="0" w:space="0" w:color="auto"/>
            <w:right w:val="none" w:sz="0" w:space="0" w:color="auto"/>
          </w:divBdr>
          <w:divsChild>
            <w:div w:id="1080911462">
              <w:marLeft w:val="0"/>
              <w:marRight w:val="0"/>
              <w:marTop w:val="0"/>
              <w:marBottom w:val="0"/>
              <w:divBdr>
                <w:top w:val="none" w:sz="0" w:space="0" w:color="auto"/>
                <w:left w:val="none" w:sz="0" w:space="0" w:color="auto"/>
                <w:bottom w:val="none" w:sz="0" w:space="0" w:color="auto"/>
                <w:right w:val="none" w:sz="0" w:space="0" w:color="auto"/>
              </w:divBdr>
            </w:div>
          </w:divsChild>
        </w:div>
        <w:div w:id="1969049073">
          <w:marLeft w:val="0"/>
          <w:marRight w:val="0"/>
          <w:marTop w:val="0"/>
          <w:marBottom w:val="0"/>
          <w:divBdr>
            <w:top w:val="none" w:sz="0" w:space="0" w:color="auto"/>
            <w:left w:val="none" w:sz="0" w:space="0" w:color="auto"/>
            <w:bottom w:val="none" w:sz="0" w:space="0" w:color="auto"/>
            <w:right w:val="none" w:sz="0" w:space="0" w:color="auto"/>
          </w:divBdr>
          <w:divsChild>
            <w:div w:id="439572039">
              <w:marLeft w:val="0"/>
              <w:marRight w:val="0"/>
              <w:marTop w:val="0"/>
              <w:marBottom w:val="0"/>
              <w:divBdr>
                <w:top w:val="none" w:sz="0" w:space="0" w:color="auto"/>
                <w:left w:val="none" w:sz="0" w:space="0" w:color="auto"/>
                <w:bottom w:val="none" w:sz="0" w:space="0" w:color="auto"/>
                <w:right w:val="none" w:sz="0" w:space="0" w:color="auto"/>
              </w:divBdr>
            </w:div>
          </w:divsChild>
        </w:div>
        <w:div w:id="1971981757">
          <w:marLeft w:val="0"/>
          <w:marRight w:val="0"/>
          <w:marTop w:val="0"/>
          <w:marBottom w:val="0"/>
          <w:divBdr>
            <w:top w:val="none" w:sz="0" w:space="0" w:color="auto"/>
            <w:left w:val="none" w:sz="0" w:space="0" w:color="auto"/>
            <w:bottom w:val="none" w:sz="0" w:space="0" w:color="auto"/>
            <w:right w:val="none" w:sz="0" w:space="0" w:color="auto"/>
          </w:divBdr>
          <w:divsChild>
            <w:div w:id="1269656757">
              <w:marLeft w:val="0"/>
              <w:marRight w:val="0"/>
              <w:marTop w:val="0"/>
              <w:marBottom w:val="0"/>
              <w:divBdr>
                <w:top w:val="none" w:sz="0" w:space="0" w:color="auto"/>
                <w:left w:val="none" w:sz="0" w:space="0" w:color="auto"/>
                <w:bottom w:val="none" w:sz="0" w:space="0" w:color="auto"/>
                <w:right w:val="none" w:sz="0" w:space="0" w:color="auto"/>
              </w:divBdr>
            </w:div>
          </w:divsChild>
        </w:div>
        <w:div w:id="2036495312">
          <w:marLeft w:val="0"/>
          <w:marRight w:val="0"/>
          <w:marTop w:val="0"/>
          <w:marBottom w:val="0"/>
          <w:divBdr>
            <w:top w:val="none" w:sz="0" w:space="0" w:color="auto"/>
            <w:left w:val="none" w:sz="0" w:space="0" w:color="auto"/>
            <w:bottom w:val="none" w:sz="0" w:space="0" w:color="auto"/>
            <w:right w:val="none" w:sz="0" w:space="0" w:color="auto"/>
          </w:divBdr>
          <w:divsChild>
            <w:div w:id="130829793">
              <w:marLeft w:val="0"/>
              <w:marRight w:val="0"/>
              <w:marTop w:val="0"/>
              <w:marBottom w:val="0"/>
              <w:divBdr>
                <w:top w:val="none" w:sz="0" w:space="0" w:color="auto"/>
                <w:left w:val="none" w:sz="0" w:space="0" w:color="auto"/>
                <w:bottom w:val="none" w:sz="0" w:space="0" w:color="auto"/>
                <w:right w:val="none" w:sz="0" w:space="0" w:color="auto"/>
              </w:divBdr>
            </w:div>
            <w:div w:id="142547533">
              <w:marLeft w:val="0"/>
              <w:marRight w:val="0"/>
              <w:marTop w:val="0"/>
              <w:marBottom w:val="0"/>
              <w:divBdr>
                <w:top w:val="none" w:sz="0" w:space="0" w:color="auto"/>
                <w:left w:val="none" w:sz="0" w:space="0" w:color="auto"/>
                <w:bottom w:val="none" w:sz="0" w:space="0" w:color="auto"/>
                <w:right w:val="none" w:sz="0" w:space="0" w:color="auto"/>
              </w:divBdr>
            </w:div>
            <w:div w:id="164637036">
              <w:marLeft w:val="0"/>
              <w:marRight w:val="0"/>
              <w:marTop w:val="0"/>
              <w:marBottom w:val="0"/>
              <w:divBdr>
                <w:top w:val="none" w:sz="0" w:space="0" w:color="auto"/>
                <w:left w:val="none" w:sz="0" w:space="0" w:color="auto"/>
                <w:bottom w:val="none" w:sz="0" w:space="0" w:color="auto"/>
                <w:right w:val="none" w:sz="0" w:space="0" w:color="auto"/>
              </w:divBdr>
            </w:div>
            <w:div w:id="172114550">
              <w:marLeft w:val="0"/>
              <w:marRight w:val="0"/>
              <w:marTop w:val="0"/>
              <w:marBottom w:val="0"/>
              <w:divBdr>
                <w:top w:val="none" w:sz="0" w:space="0" w:color="auto"/>
                <w:left w:val="none" w:sz="0" w:space="0" w:color="auto"/>
                <w:bottom w:val="none" w:sz="0" w:space="0" w:color="auto"/>
                <w:right w:val="none" w:sz="0" w:space="0" w:color="auto"/>
              </w:divBdr>
            </w:div>
            <w:div w:id="187985920">
              <w:marLeft w:val="0"/>
              <w:marRight w:val="0"/>
              <w:marTop w:val="0"/>
              <w:marBottom w:val="0"/>
              <w:divBdr>
                <w:top w:val="none" w:sz="0" w:space="0" w:color="auto"/>
                <w:left w:val="none" w:sz="0" w:space="0" w:color="auto"/>
                <w:bottom w:val="none" w:sz="0" w:space="0" w:color="auto"/>
                <w:right w:val="none" w:sz="0" w:space="0" w:color="auto"/>
              </w:divBdr>
            </w:div>
            <w:div w:id="260187170">
              <w:marLeft w:val="0"/>
              <w:marRight w:val="0"/>
              <w:marTop w:val="0"/>
              <w:marBottom w:val="0"/>
              <w:divBdr>
                <w:top w:val="none" w:sz="0" w:space="0" w:color="auto"/>
                <w:left w:val="none" w:sz="0" w:space="0" w:color="auto"/>
                <w:bottom w:val="none" w:sz="0" w:space="0" w:color="auto"/>
                <w:right w:val="none" w:sz="0" w:space="0" w:color="auto"/>
              </w:divBdr>
            </w:div>
            <w:div w:id="285818934">
              <w:marLeft w:val="0"/>
              <w:marRight w:val="0"/>
              <w:marTop w:val="0"/>
              <w:marBottom w:val="0"/>
              <w:divBdr>
                <w:top w:val="none" w:sz="0" w:space="0" w:color="auto"/>
                <w:left w:val="none" w:sz="0" w:space="0" w:color="auto"/>
                <w:bottom w:val="none" w:sz="0" w:space="0" w:color="auto"/>
                <w:right w:val="none" w:sz="0" w:space="0" w:color="auto"/>
              </w:divBdr>
            </w:div>
            <w:div w:id="303004385">
              <w:marLeft w:val="0"/>
              <w:marRight w:val="0"/>
              <w:marTop w:val="0"/>
              <w:marBottom w:val="0"/>
              <w:divBdr>
                <w:top w:val="none" w:sz="0" w:space="0" w:color="auto"/>
                <w:left w:val="none" w:sz="0" w:space="0" w:color="auto"/>
                <w:bottom w:val="none" w:sz="0" w:space="0" w:color="auto"/>
                <w:right w:val="none" w:sz="0" w:space="0" w:color="auto"/>
              </w:divBdr>
            </w:div>
            <w:div w:id="369109557">
              <w:marLeft w:val="0"/>
              <w:marRight w:val="0"/>
              <w:marTop w:val="0"/>
              <w:marBottom w:val="0"/>
              <w:divBdr>
                <w:top w:val="none" w:sz="0" w:space="0" w:color="auto"/>
                <w:left w:val="none" w:sz="0" w:space="0" w:color="auto"/>
                <w:bottom w:val="none" w:sz="0" w:space="0" w:color="auto"/>
                <w:right w:val="none" w:sz="0" w:space="0" w:color="auto"/>
              </w:divBdr>
            </w:div>
            <w:div w:id="544759470">
              <w:marLeft w:val="0"/>
              <w:marRight w:val="0"/>
              <w:marTop w:val="0"/>
              <w:marBottom w:val="0"/>
              <w:divBdr>
                <w:top w:val="none" w:sz="0" w:space="0" w:color="auto"/>
                <w:left w:val="none" w:sz="0" w:space="0" w:color="auto"/>
                <w:bottom w:val="none" w:sz="0" w:space="0" w:color="auto"/>
                <w:right w:val="none" w:sz="0" w:space="0" w:color="auto"/>
              </w:divBdr>
            </w:div>
            <w:div w:id="583686969">
              <w:marLeft w:val="0"/>
              <w:marRight w:val="0"/>
              <w:marTop w:val="0"/>
              <w:marBottom w:val="0"/>
              <w:divBdr>
                <w:top w:val="none" w:sz="0" w:space="0" w:color="auto"/>
                <w:left w:val="none" w:sz="0" w:space="0" w:color="auto"/>
                <w:bottom w:val="none" w:sz="0" w:space="0" w:color="auto"/>
                <w:right w:val="none" w:sz="0" w:space="0" w:color="auto"/>
              </w:divBdr>
            </w:div>
            <w:div w:id="645203021">
              <w:marLeft w:val="0"/>
              <w:marRight w:val="0"/>
              <w:marTop w:val="0"/>
              <w:marBottom w:val="0"/>
              <w:divBdr>
                <w:top w:val="none" w:sz="0" w:space="0" w:color="auto"/>
                <w:left w:val="none" w:sz="0" w:space="0" w:color="auto"/>
                <w:bottom w:val="none" w:sz="0" w:space="0" w:color="auto"/>
                <w:right w:val="none" w:sz="0" w:space="0" w:color="auto"/>
              </w:divBdr>
            </w:div>
            <w:div w:id="866872975">
              <w:marLeft w:val="0"/>
              <w:marRight w:val="0"/>
              <w:marTop w:val="0"/>
              <w:marBottom w:val="0"/>
              <w:divBdr>
                <w:top w:val="none" w:sz="0" w:space="0" w:color="auto"/>
                <w:left w:val="none" w:sz="0" w:space="0" w:color="auto"/>
                <w:bottom w:val="none" w:sz="0" w:space="0" w:color="auto"/>
                <w:right w:val="none" w:sz="0" w:space="0" w:color="auto"/>
              </w:divBdr>
            </w:div>
            <w:div w:id="907376011">
              <w:marLeft w:val="0"/>
              <w:marRight w:val="0"/>
              <w:marTop w:val="0"/>
              <w:marBottom w:val="0"/>
              <w:divBdr>
                <w:top w:val="none" w:sz="0" w:space="0" w:color="auto"/>
                <w:left w:val="none" w:sz="0" w:space="0" w:color="auto"/>
                <w:bottom w:val="none" w:sz="0" w:space="0" w:color="auto"/>
                <w:right w:val="none" w:sz="0" w:space="0" w:color="auto"/>
              </w:divBdr>
            </w:div>
            <w:div w:id="923958828">
              <w:marLeft w:val="0"/>
              <w:marRight w:val="0"/>
              <w:marTop w:val="0"/>
              <w:marBottom w:val="0"/>
              <w:divBdr>
                <w:top w:val="none" w:sz="0" w:space="0" w:color="auto"/>
                <w:left w:val="none" w:sz="0" w:space="0" w:color="auto"/>
                <w:bottom w:val="none" w:sz="0" w:space="0" w:color="auto"/>
                <w:right w:val="none" w:sz="0" w:space="0" w:color="auto"/>
              </w:divBdr>
            </w:div>
            <w:div w:id="1004212662">
              <w:marLeft w:val="0"/>
              <w:marRight w:val="0"/>
              <w:marTop w:val="0"/>
              <w:marBottom w:val="0"/>
              <w:divBdr>
                <w:top w:val="none" w:sz="0" w:space="0" w:color="auto"/>
                <w:left w:val="none" w:sz="0" w:space="0" w:color="auto"/>
                <w:bottom w:val="none" w:sz="0" w:space="0" w:color="auto"/>
                <w:right w:val="none" w:sz="0" w:space="0" w:color="auto"/>
              </w:divBdr>
            </w:div>
            <w:div w:id="1032611780">
              <w:marLeft w:val="0"/>
              <w:marRight w:val="0"/>
              <w:marTop w:val="0"/>
              <w:marBottom w:val="0"/>
              <w:divBdr>
                <w:top w:val="none" w:sz="0" w:space="0" w:color="auto"/>
                <w:left w:val="none" w:sz="0" w:space="0" w:color="auto"/>
                <w:bottom w:val="none" w:sz="0" w:space="0" w:color="auto"/>
                <w:right w:val="none" w:sz="0" w:space="0" w:color="auto"/>
              </w:divBdr>
            </w:div>
            <w:div w:id="1035887339">
              <w:marLeft w:val="0"/>
              <w:marRight w:val="0"/>
              <w:marTop w:val="0"/>
              <w:marBottom w:val="0"/>
              <w:divBdr>
                <w:top w:val="none" w:sz="0" w:space="0" w:color="auto"/>
                <w:left w:val="none" w:sz="0" w:space="0" w:color="auto"/>
                <w:bottom w:val="none" w:sz="0" w:space="0" w:color="auto"/>
                <w:right w:val="none" w:sz="0" w:space="0" w:color="auto"/>
              </w:divBdr>
            </w:div>
            <w:div w:id="1036540903">
              <w:marLeft w:val="0"/>
              <w:marRight w:val="0"/>
              <w:marTop w:val="0"/>
              <w:marBottom w:val="0"/>
              <w:divBdr>
                <w:top w:val="none" w:sz="0" w:space="0" w:color="auto"/>
                <w:left w:val="none" w:sz="0" w:space="0" w:color="auto"/>
                <w:bottom w:val="none" w:sz="0" w:space="0" w:color="auto"/>
                <w:right w:val="none" w:sz="0" w:space="0" w:color="auto"/>
              </w:divBdr>
            </w:div>
            <w:div w:id="1156453359">
              <w:marLeft w:val="0"/>
              <w:marRight w:val="0"/>
              <w:marTop w:val="0"/>
              <w:marBottom w:val="0"/>
              <w:divBdr>
                <w:top w:val="none" w:sz="0" w:space="0" w:color="auto"/>
                <w:left w:val="none" w:sz="0" w:space="0" w:color="auto"/>
                <w:bottom w:val="none" w:sz="0" w:space="0" w:color="auto"/>
                <w:right w:val="none" w:sz="0" w:space="0" w:color="auto"/>
              </w:divBdr>
            </w:div>
            <w:div w:id="1178347111">
              <w:marLeft w:val="0"/>
              <w:marRight w:val="0"/>
              <w:marTop w:val="0"/>
              <w:marBottom w:val="0"/>
              <w:divBdr>
                <w:top w:val="none" w:sz="0" w:space="0" w:color="auto"/>
                <w:left w:val="none" w:sz="0" w:space="0" w:color="auto"/>
                <w:bottom w:val="none" w:sz="0" w:space="0" w:color="auto"/>
                <w:right w:val="none" w:sz="0" w:space="0" w:color="auto"/>
              </w:divBdr>
            </w:div>
            <w:div w:id="1234389174">
              <w:marLeft w:val="0"/>
              <w:marRight w:val="0"/>
              <w:marTop w:val="0"/>
              <w:marBottom w:val="0"/>
              <w:divBdr>
                <w:top w:val="none" w:sz="0" w:space="0" w:color="auto"/>
                <w:left w:val="none" w:sz="0" w:space="0" w:color="auto"/>
                <w:bottom w:val="none" w:sz="0" w:space="0" w:color="auto"/>
                <w:right w:val="none" w:sz="0" w:space="0" w:color="auto"/>
              </w:divBdr>
            </w:div>
            <w:div w:id="1333491780">
              <w:marLeft w:val="0"/>
              <w:marRight w:val="0"/>
              <w:marTop w:val="0"/>
              <w:marBottom w:val="0"/>
              <w:divBdr>
                <w:top w:val="none" w:sz="0" w:space="0" w:color="auto"/>
                <w:left w:val="none" w:sz="0" w:space="0" w:color="auto"/>
                <w:bottom w:val="none" w:sz="0" w:space="0" w:color="auto"/>
                <w:right w:val="none" w:sz="0" w:space="0" w:color="auto"/>
              </w:divBdr>
            </w:div>
            <w:div w:id="1341195156">
              <w:marLeft w:val="0"/>
              <w:marRight w:val="0"/>
              <w:marTop w:val="0"/>
              <w:marBottom w:val="0"/>
              <w:divBdr>
                <w:top w:val="none" w:sz="0" w:space="0" w:color="auto"/>
                <w:left w:val="none" w:sz="0" w:space="0" w:color="auto"/>
                <w:bottom w:val="none" w:sz="0" w:space="0" w:color="auto"/>
                <w:right w:val="none" w:sz="0" w:space="0" w:color="auto"/>
              </w:divBdr>
            </w:div>
            <w:div w:id="1368529425">
              <w:marLeft w:val="0"/>
              <w:marRight w:val="0"/>
              <w:marTop w:val="0"/>
              <w:marBottom w:val="0"/>
              <w:divBdr>
                <w:top w:val="none" w:sz="0" w:space="0" w:color="auto"/>
                <w:left w:val="none" w:sz="0" w:space="0" w:color="auto"/>
                <w:bottom w:val="none" w:sz="0" w:space="0" w:color="auto"/>
                <w:right w:val="none" w:sz="0" w:space="0" w:color="auto"/>
              </w:divBdr>
            </w:div>
            <w:div w:id="1520241215">
              <w:marLeft w:val="0"/>
              <w:marRight w:val="0"/>
              <w:marTop w:val="0"/>
              <w:marBottom w:val="0"/>
              <w:divBdr>
                <w:top w:val="none" w:sz="0" w:space="0" w:color="auto"/>
                <w:left w:val="none" w:sz="0" w:space="0" w:color="auto"/>
                <w:bottom w:val="none" w:sz="0" w:space="0" w:color="auto"/>
                <w:right w:val="none" w:sz="0" w:space="0" w:color="auto"/>
              </w:divBdr>
            </w:div>
            <w:div w:id="1592660038">
              <w:marLeft w:val="0"/>
              <w:marRight w:val="0"/>
              <w:marTop w:val="0"/>
              <w:marBottom w:val="0"/>
              <w:divBdr>
                <w:top w:val="none" w:sz="0" w:space="0" w:color="auto"/>
                <w:left w:val="none" w:sz="0" w:space="0" w:color="auto"/>
                <w:bottom w:val="none" w:sz="0" w:space="0" w:color="auto"/>
                <w:right w:val="none" w:sz="0" w:space="0" w:color="auto"/>
              </w:divBdr>
            </w:div>
            <w:div w:id="1593471043">
              <w:marLeft w:val="0"/>
              <w:marRight w:val="0"/>
              <w:marTop w:val="0"/>
              <w:marBottom w:val="0"/>
              <w:divBdr>
                <w:top w:val="none" w:sz="0" w:space="0" w:color="auto"/>
                <w:left w:val="none" w:sz="0" w:space="0" w:color="auto"/>
                <w:bottom w:val="none" w:sz="0" w:space="0" w:color="auto"/>
                <w:right w:val="none" w:sz="0" w:space="0" w:color="auto"/>
              </w:divBdr>
            </w:div>
            <w:div w:id="1656226283">
              <w:marLeft w:val="0"/>
              <w:marRight w:val="0"/>
              <w:marTop w:val="0"/>
              <w:marBottom w:val="0"/>
              <w:divBdr>
                <w:top w:val="none" w:sz="0" w:space="0" w:color="auto"/>
                <w:left w:val="none" w:sz="0" w:space="0" w:color="auto"/>
                <w:bottom w:val="none" w:sz="0" w:space="0" w:color="auto"/>
                <w:right w:val="none" w:sz="0" w:space="0" w:color="auto"/>
              </w:divBdr>
            </w:div>
            <w:div w:id="1672413264">
              <w:marLeft w:val="0"/>
              <w:marRight w:val="0"/>
              <w:marTop w:val="0"/>
              <w:marBottom w:val="0"/>
              <w:divBdr>
                <w:top w:val="none" w:sz="0" w:space="0" w:color="auto"/>
                <w:left w:val="none" w:sz="0" w:space="0" w:color="auto"/>
                <w:bottom w:val="none" w:sz="0" w:space="0" w:color="auto"/>
                <w:right w:val="none" w:sz="0" w:space="0" w:color="auto"/>
              </w:divBdr>
            </w:div>
            <w:div w:id="1673682429">
              <w:marLeft w:val="0"/>
              <w:marRight w:val="0"/>
              <w:marTop w:val="0"/>
              <w:marBottom w:val="0"/>
              <w:divBdr>
                <w:top w:val="none" w:sz="0" w:space="0" w:color="auto"/>
                <w:left w:val="none" w:sz="0" w:space="0" w:color="auto"/>
                <w:bottom w:val="none" w:sz="0" w:space="0" w:color="auto"/>
                <w:right w:val="none" w:sz="0" w:space="0" w:color="auto"/>
              </w:divBdr>
            </w:div>
            <w:div w:id="1682900381">
              <w:marLeft w:val="0"/>
              <w:marRight w:val="0"/>
              <w:marTop w:val="0"/>
              <w:marBottom w:val="0"/>
              <w:divBdr>
                <w:top w:val="none" w:sz="0" w:space="0" w:color="auto"/>
                <w:left w:val="none" w:sz="0" w:space="0" w:color="auto"/>
                <w:bottom w:val="none" w:sz="0" w:space="0" w:color="auto"/>
                <w:right w:val="none" w:sz="0" w:space="0" w:color="auto"/>
              </w:divBdr>
            </w:div>
            <w:div w:id="1690376628">
              <w:marLeft w:val="0"/>
              <w:marRight w:val="0"/>
              <w:marTop w:val="0"/>
              <w:marBottom w:val="0"/>
              <w:divBdr>
                <w:top w:val="none" w:sz="0" w:space="0" w:color="auto"/>
                <w:left w:val="none" w:sz="0" w:space="0" w:color="auto"/>
                <w:bottom w:val="none" w:sz="0" w:space="0" w:color="auto"/>
                <w:right w:val="none" w:sz="0" w:space="0" w:color="auto"/>
              </w:divBdr>
            </w:div>
            <w:div w:id="1898975799">
              <w:marLeft w:val="0"/>
              <w:marRight w:val="0"/>
              <w:marTop w:val="0"/>
              <w:marBottom w:val="0"/>
              <w:divBdr>
                <w:top w:val="none" w:sz="0" w:space="0" w:color="auto"/>
                <w:left w:val="none" w:sz="0" w:space="0" w:color="auto"/>
                <w:bottom w:val="none" w:sz="0" w:space="0" w:color="auto"/>
                <w:right w:val="none" w:sz="0" w:space="0" w:color="auto"/>
              </w:divBdr>
            </w:div>
            <w:div w:id="1968005785">
              <w:marLeft w:val="0"/>
              <w:marRight w:val="0"/>
              <w:marTop w:val="0"/>
              <w:marBottom w:val="0"/>
              <w:divBdr>
                <w:top w:val="none" w:sz="0" w:space="0" w:color="auto"/>
                <w:left w:val="none" w:sz="0" w:space="0" w:color="auto"/>
                <w:bottom w:val="none" w:sz="0" w:space="0" w:color="auto"/>
                <w:right w:val="none" w:sz="0" w:space="0" w:color="auto"/>
              </w:divBdr>
            </w:div>
            <w:div w:id="1977030955">
              <w:marLeft w:val="0"/>
              <w:marRight w:val="0"/>
              <w:marTop w:val="0"/>
              <w:marBottom w:val="0"/>
              <w:divBdr>
                <w:top w:val="none" w:sz="0" w:space="0" w:color="auto"/>
                <w:left w:val="none" w:sz="0" w:space="0" w:color="auto"/>
                <w:bottom w:val="none" w:sz="0" w:space="0" w:color="auto"/>
                <w:right w:val="none" w:sz="0" w:space="0" w:color="auto"/>
              </w:divBdr>
            </w:div>
            <w:div w:id="2071491925">
              <w:marLeft w:val="0"/>
              <w:marRight w:val="0"/>
              <w:marTop w:val="0"/>
              <w:marBottom w:val="0"/>
              <w:divBdr>
                <w:top w:val="none" w:sz="0" w:space="0" w:color="auto"/>
                <w:left w:val="none" w:sz="0" w:space="0" w:color="auto"/>
                <w:bottom w:val="none" w:sz="0" w:space="0" w:color="auto"/>
                <w:right w:val="none" w:sz="0" w:space="0" w:color="auto"/>
              </w:divBdr>
            </w:div>
            <w:div w:id="2123836558">
              <w:marLeft w:val="0"/>
              <w:marRight w:val="0"/>
              <w:marTop w:val="0"/>
              <w:marBottom w:val="0"/>
              <w:divBdr>
                <w:top w:val="none" w:sz="0" w:space="0" w:color="auto"/>
                <w:left w:val="none" w:sz="0" w:space="0" w:color="auto"/>
                <w:bottom w:val="none" w:sz="0" w:space="0" w:color="auto"/>
                <w:right w:val="none" w:sz="0" w:space="0" w:color="auto"/>
              </w:divBdr>
            </w:div>
            <w:div w:id="2136757237">
              <w:marLeft w:val="0"/>
              <w:marRight w:val="0"/>
              <w:marTop w:val="0"/>
              <w:marBottom w:val="0"/>
              <w:divBdr>
                <w:top w:val="none" w:sz="0" w:space="0" w:color="auto"/>
                <w:left w:val="none" w:sz="0" w:space="0" w:color="auto"/>
                <w:bottom w:val="none" w:sz="0" w:space="0" w:color="auto"/>
                <w:right w:val="none" w:sz="0" w:space="0" w:color="auto"/>
              </w:divBdr>
            </w:div>
          </w:divsChild>
        </w:div>
        <w:div w:id="2107261772">
          <w:marLeft w:val="0"/>
          <w:marRight w:val="0"/>
          <w:marTop w:val="0"/>
          <w:marBottom w:val="0"/>
          <w:divBdr>
            <w:top w:val="none" w:sz="0" w:space="0" w:color="auto"/>
            <w:left w:val="none" w:sz="0" w:space="0" w:color="auto"/>
            <w:bottom w:val="none" w:sz="0" w:space="0" w:color="auto"/>
            <w:right w:val="none" w:sz="0" w:space="0" w:color="auto"/>
          </w:divBdr>
          <w:divsChild>
            <w:div w:id="220750845">
              <w:marLeft w:val="0"/>
              <w:marRight w:val="0"/>
              <w:marTop w:val="0"/>
              <w:marBottom w:val="0"/>
              <w:divBdr>
                <w:top w:val="none" w:sz="0" w:space="0" w:color="auto"/>
                <w:left w:val="none" w:sz="0" w:space="0" w:color="auto"/>
                <w:bottom w:val="none" w:sz="0" w:space="0" w:color="auto"/>
                <w:right w:val="none" w:sz="0" w:space="0" w:color="auto"/>
              </w:divBdr>
            </w:div>
          </w:divsChild>
        </w:div>
        <w:div w:id="2129548780">
          <w:marLeft w:val="0"/>
          <w:marRight w:val="0"/>
          <w:marTop w:val="0"/>
          <w:marBottom w:val="0"/>
          <w:divBdr>
            <w:top w:val="none" w:sz="0" w:space="0" w:color="auto"/>
            <w:left w:val="none" w:sz="0" w:space="0" w:color="auto"/>
            <w:bottom w:val="none" w:sz="0" w:space="0" w:color="auto"/>
            <w:right w:val="none" w:sz="0" w:space="0" w:color="auto"/>
          </w:divBdr>
          <w:divsChild>
            <w:div w:id="2102942900">
              <w:marLeft w:val="0"/>
              <w:marRight w:val="0"/>
              <w:marTop w:val="0"/>
              <w:marBottom w:val="0"/>
              <w:divBdr>
                <w:top w:val="none" w:sz="0" w:space="0" w:color="auto"/>
                <w:left w:val="none" w:sz="0" w:space="0" w:color="auto"/>
                <w:bottom w:val="none" w:sz="0" w:space="0" w:color="auto"/>
                <w:right w:val="none" w:sz="0" w:space="0" w:color="auto"/>
              </w:divBdr>
            </w:div>
          </w:divsChild>
        </w:div>
        <w:div w:id="2144929626">
          <w:marLeft w:val="0"/>
          <w:marRight w:val="0"/>
          <w:marTop w:val="0"/>
          <w:marBottom w:val="0"/>
          <w:divBdr>
            <w:top w:val="none" w:sz="0" w:space="0" w:color="auto"/>
            <w:left w:val="none" w:sz="0" w:space="0" w:color="auto"/>
            <w:bottom w:val="none" w:sz="0" w:space="0" w:color="auto"/>
            <w:right w:val="none" w:sz="0" w:space="0" w:color="auto"/>
          </w:divBdr>
          <w:divsChild>
            <w:div w:id="3854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8571">
      <w:bodyDiv w:val="1"/>
      <w:marLeft w:val="0"/>
      <w:marRight w:val="0"/>
      <w:marTop w:val="0"/>
      <w:marBottom w:val="0"/>
      <w:divBdr>
        <w:top w:val="none" w:sz="0" w:space="0" w:color="auto"/>
        <w:left w:val="none" w:sz="0" w:space="0" w:color="auto"/>
        <w:bottom w:val="none" w:sz="0" w:space="0" w:color="auto"/>
        <w:right w:val="none" w:sz="0" w:space="0" w:color="auto"/>
      </w:divBdr>
      <w:divsChild>
        <w:div w:id="8455497">
          <w:marLeft w:val="0"/>
          <w:marRight w:val="0"/>
          <w:marTop w:val="0"/>
          <w:marBottom w:val="0"/>
          <w:divBdr>
            <w:top w:val="none" w:sz="0" w:space="0" w:color="auto"/>
            <w:left w:val="none" w:sz="0" w:space="0" w:color="auto"/>
            <w:bottom w:val="none" w:sz="0" w:space="0" w:color="auto"/>
            <w:right w:val="none" w:sz="0" w:space="0" w:color="auto"/>
          </w:divBdr>
          <w:divsChild>
            <w:div w:id="992220258">
              <w:marLeft w:val="0"/>
              <w:marRight w:val="0"/>
              <w:marTop w:val="0"/>
              <w:marBottom w:val="0"/>
              <w:divBdr>
                <w:top w:val="none" w:sz="0" w:space="0" w:color="auto"/>
                <w:left w:val="none" w:sz="0" w:space="0" w:color="auto"/>
                <w:bottom w:val="none" w:sz="0" w:space="0" w:color="auto"/>
                <w:right w:val="none" w:sz="0" w:space="0" w:color="auto"/>
              </w:divBdr>
              <w:divsChild>
                <w:div w:id="1905139415">
                  <w:marLeft w:val="0"/>
                  <w:marRight w:val="0"/>
                  <w:marTop w:val="0"/>
                  <w:marBottom w:val="0"/>
                  <w:divBdr>
                    <w:top w:val="none" w:sz="0" w:space="0" w:color="auto"/>
                    <w:left w:val="none" w:sz="0" w:space="0" w:color="auto"/>
                    <w:bottom w:val="none" w:sz="0" w:space="0" w:color="auto"/>
                    <w:right w:val="none" w:sz="0" w:space="0" w:color="auto"/>
                  </w:divBdr>
                  <w:divsChild>
                    <w:div w:id="12435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1059">
      <w:bodyDiv w:val="1"/>
      <w:marLeft w:val="0"/>
      <w:marRight w:val="0"/>
      <w:marTop w:val="0"/>
      <w:marBottom w:val="0"/>
      <w:divBdr>
        <w:top w:val="none" w:sz="0" w:space="0" w:color="auto"/>
        <w:left w:val="none" w:sz="0" w:space="0" w:color="auto"/>
        <w:bottom w:val="none" w:sz="0" w:space="0" w:color="auto"/>
        <w:right w:val="none" w:sz="0" w:space="0" w:color="auto"/>
      </w:divBdr>
      <w:divsChild>
        <w:div w:id="1324313483">
          <w:marLeft w:val="0"/>
          <w:marRight w:val="0"/>
          <w:marTop w:val="0"/>
          <w:marBottom w:val="0"/>
          <w:divBdr>
            <w:top w:val="none" w:sz="0" w:space="0" w:color="auto"/>
            <w:left w:val="none" w:sz="0" w:space="0" w:color="auto"/>
            <w:bottom w:val="none" w:sz="0" w:space="0" w:color="auto"/>
            <w:right w:val="none" w:sz="0" w:space="0" w:color="auto"/>
          </w:divBdr>
        </w:div>
        <w:div w:id="1890799453">
          <w:marLeft w:val="0"/>
          <w:marRight w:val="0"/>
          <w:marTop w:val="0"/>
          <w:marBottom w:val="0"/>
          <w:divBdr>
            <w:top w:val="none" w:sz="0" w:space="0" w:color="auto"/>
            <w:left w:val="none" w:sz="0" w:space="0" w:color="auto"/>
            <w:bottom w:val="none" w:sz="0" w:space="0" w:color="auto"/>
            <w:right w:val="none" w:sz="0" w:space="0" w:color="auto"/>
          </w:divBdr>
        </w:div>
      </w:divsChild>
    </w:div>
    <w:div w:id="1377974923">
      <w:bodyDiv w:val="1"/>
      <w:marLeft w:val="0"/>
      <w:marRight w:val="0"/>
      <w:marTop w:val="0"/>
      <w:marBottom w:val="0"/>
      <w:divBdr>
        <w:top w:val="none" w:sz="0" w:space="0" w:color="auto"/>
        <w:left w:val="none" w:sz="0" w:space="0" w:color="auto"/>
        <w:bottom w:val="none" w:sz="0" w:space="0" w:color="auto"/>
        <w:right w:val="none" w:sz="0" w:space="0" w:color="auto"/>
      </w:divBdr>
    </w:div>
    <w:div w:id="1382905482">
      <w:bodyDiv w:val="1"/>
      <w:marLeft w:val="0"/>
      <w:marRight w:val="0"/>
      <w:marTop w:val="0"/>
      <w:marBottom w:val="0"/>
      <w:divBdr>
        <w:top w:val="none" w:sz="0" w:space="0" w:color="auto"/>
        <w:left w:val="none" w:sz="0" w:space="0" w:color="auto"/>
        <w:bottom w:val="none" w:sz="0" w:space="0" w:color="auto"/>
        <w:right w:val="none" w:sz="0" w:space="0" w:color="auto"/>
      </w:divBdr>
      <w:divsChild>
        <w:div w:id="744454061">
          <w:marLeft w:val="0"/>
          <w:marRight w:val="0"/>
          <w:marTop w:val="0"/>
          <w:marBottom w:val="0"/>
          <w:divBdr>
            <w:top w:val="none" w:sz="0" w:space="0" w:color="auto"/>
            <w:left w:val="none" w:sz="0" w:space="0" w:color="auto"/>
            <w:bottom w:val="none" w:sz="0" w:space="0" w:color="auto"/>
            <w:right w:val="none" w:sz="0" w:space="0" w:color="auto"/>
          </w:divBdr>
        </w:div>
        <w:div w:id="1122577463">
          <w:marLeft w:val="0"/>
          <w:marRight w:val="0"/>
          <w:marTop w:val="0"/>
          <w:marBottom w:val="0"/>
          <w:divBdr>
            <w:top w:val="none" w:sz="0" w:space="0" w:color="auto"/>
            <w:left w:val="none" w:sz="0" w:space="0" w:color="auto"/>
            <w:bottom w:val="none" w:sz="0" w:space="0" w:color="auto"/>
            <w:right w:val="none" w:sz="0" w:space="0" w:color="auto"/>
          </w:divBdr>
        </w:div>
      </w:divsChild>
    </w:div>
    <w:div w:id="1425807009">
      <w:bodyDiv w:val="1"/>
      <w:marLeft w:val="0"/>
      <w:marRight w:val="0"/>
      <w:marTop w:val="0"/>
      <w:marBottom w:val="0"/>
      <w:divBdr>
        <w:top w:val="none" w:sz="0" w:space="0" w:color="auto"/>
        <w:left w:val="none" w:sz="0" w:space="0" w:color="auto"/>
        <w:bottom w:val="none" w:sz="0" w:space="0" w:color="auto"/>
        <w:right w:val="none" w:sz="0" w:space="0" w:color="auto"/>
      </w:divBdr>
      <w:divsChild>
        <w:div w:id="874200298">
          <w:marLeft w:val="0"/>
          <w:marRight w:val="0"/>
          <w:marTop w:val="0"/>
          <w:marBottom w:val="0"/>
          <w:divBdr>
            <w:top w:val="none" w:sz="0" w:space="0" w:color="auto"/>
            <w:left w:val="none" w:sz="0" w:space="0" w:color="auto"/>
            <w:bottom w:val="none" w:sz="0" w:space="0" w:color="auto"/>
            <w:right w:val="none" w:sz="0" w:space="0" w:color="auto"/>
          </w:divBdr>
          <w:divsChild>
            <w:div w:id="1690375641">
              <w:marLeft w:val="0"/>
              <w:marRight w:val="0"/>
              <w:marTop w:val="0"/>
              <w:marBottom w:val="0"/>
              <w:divBdr>
                <w:top w:val="none" w:sz="0" w:space="0" w:color="auto"/>
                <w:left w:val="none" w:sz="0" w:space="0" w:color="auto"/>
                <w:bottom w:val="none" w:sz="0" w:space="0" w:color="auto"/>
                <w:right w:val="none" w:sz="0" w:space="0" w:color="auto"/>
              </w:divBdr>
            </w:div>
          </w:divsChild>
        </w:div>
        <w:div w:id="1162623130">
          <w:marLeft w:val="0"/>
          <w:marRight w:val="0"/>
          <w:marTop w:val="0"/>
          <w:marBottom w:val="0"/>
          <w:divBdr>
            <w:top w:val="none" w:sz="0" w:space="0" w:color="auto"/>
            <w:left w:val="none" w:sz="0" w:space="0" w:color="auto"/>
            <w:bottom w:val="none" w:sz="0" w:space="0" w:color="auto"/>
            <w:right w:val="none" w:sz="0" w:space="0" w:color="auto"/>
          </w:divBdr>
          <w:divsChild>
            <w:div w:id="998197835">
              <w:marLeft w:val="0"/>
              <w:marRight w:val="0"/>
              <w:marTop w:val="0"/>
              <w:marBottom w:val="0"/>
              <w:divBdr>
                <w:top w:val="none" w:sz="0" w:space="0" w:color="auto"/>
                <w:left w:val="none" w:sz="0" w:space="0" w:color="auto"/>
                <w:bottom w:val="none" w:sz="0" w:space="0" w:color="auto"/>
                <w:right w:val="none" w:sz="0" w:space="0" w:color="auto"/>
              </w:divBdr>
            </w:div>
          </w:divsChild>
        </w:div>
        <w:div w:id="1244678891">
          <w:marLeft w:val="0"/>
          <w:marRight w:val="0"/>
          <w:marTop w:val="0"/>
          <w:marBottom w:val="0"/>
          <w:divBdr>
            <w:top w:val="none" w:sz="0" w:space="0" w:color="auto"/>
            <w:left w:val="none" w:sz="0" w:space="0" w:color="auto"/>
            <w:bottom w:val="none" w:sz="0" w:space="0" w:color="auto"/>
            <w:right w:val="none" w:sz="0" w:space="0" w:color="auto"/>
          </w:divBdr>
          <w:divsChild>
            <w:div w:id="6132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2873">
      <w:bodyDiv w:val="1"/>
      <w:marLeft w:val="0"/>
      <w:marRight w:val="0"/>
      <w:marTop w:val="0"/>
      <w:marBottom w:val="0"/>
      <w:divBdr>
        <w:top w:val="none" w:sz="0" w:space="0" w:color="auto"/>
        <w:left w:val="none" w:sz="0" w:space="0" w:color="auto"/>
        <w:bottom w:val="none" w:sz="0" w:space="0" w:color="auto"/>
        <w:right w:val="none" w:sz="0" w:space="0" w:color="auto"/>
      </w:divBdr>
      <w:divsChild>
        <w:div w:id="357513396">
          <w:marLeft w:val="0"/>
          <w:marRight w:val="0"/>
          <w:marTop w:val="0"/>
          <w:marBottom w:val="0"/>
          <w:divBdr>
            <w:top w:val="none" w:sz="0" w:space="0" w:color="auto"/>
            <w:left w:val="none" w:sz="0" w:space="0" w:color="auto"/>
            <w:bottom w:val="none" w:sz="0" w:space="0" w:color="auto"/>
            <w:right w:val="none" w:sz="0" w:space="0" w:color="auto"/>
          </w:divBdr>
        </w:div>
        <w:div w:id="392236355">
          <w:marLeft w:val="0"/>
          <w:marRight w:val="0"/>
          <w:marTop w:val="0"/>
          <w:marBottom w:val="0"/>
          <w:divBdr>
            <w:top w:val="none" w:sz="0" w:space="0" w:color="auto"/>
            <w:left w:val="none" w:sz="0" w:space="0" w:color="auto"/>
            <w:bottom w:val="none" w:sz="0" w:space="0" w:color="auto"/>
            <w:right w:val="none" w:sz="0" w:space="0" w:color="auto"/>
          </w:divBdr>
        </w:div>
        <w:div w:id="1334917485">
          <w:marLeft w:val="0"/>
          <w:marRight w:val="0"/>
          <w:marTop w:val="0"/>
          <w:marBottom w:val="0"/>
          <w:divBdr>
            <w:top w:val="none" w:sz="0" w:space="0" w:color="auto"/>
            <w:left w:val="none" w:sz="0" w:space="0" w:color="auto"/>
            <w:bottom w:val="none" w:sz="0" w:space="0" w:color="auto"/>
            <w:right w:val="none" w:sz="0" w:space="0" w:color="auto"/>
          </w:divBdr>
        </w:div>
      </w:divsChild>
    </w:div>
    <w:div w:id="1604723241">
      <w:bodyDiv w:val="1"/>
      <w:marLeft w:val="0"/>
      <w:marRight w:val="0"/>
      <w:marTop w:val="0"/>
      <w:marBottom w:val="0"/>
      <w:divBdr>
        <w:top w:val="none" w:sz="0" w:space="0" w:color="auto"/>
        <w:left w:val="none" w:sz="0" w:space="0" w:color="auto"/>
        <w:bottom w:val="none" w:sz="0" w:space="0" w:color="auto"/>
        <w:right w:val="none" w:sz="0" w:space="0" w:color="auto"/>
      </w:divBdr>
    </w:div>
    <w:div w:id="1630017713">
      <w:bodyDiv w:val="1"/>
      <w:marLeft w:val="0"/>
      <w:marRight w:val="0"/>
      <w:marTop w:val="0"/>
      <w:marBottom w:val="0"/>
      <w:divBdr>
        <w:top w:val="none" w:sz="0" w:space="0" w:color="auto"/>
        <w:left w:val="none" w:sz="0" w:space="0" w:color="auto"/>
        <w:bottom w:val="none" w:sz="0" w:space="0" w:color="auto"/>
        <w:right w:val="none" w:sz="0" w:space="0" w:color="auto"/>
      </w:divBdr>
    </w:div>
    <w:div w:id="1852602761">
      <w:bodyDiv w:val="1"/>
      <w:marLeft w:val="0"/>
      <w:marRight w:val="0"/>
      <w:marTop w:val="0"/>
      <w:marBottom w:val="0"/>
      <w:divBdr>
        <w:top w:val="none" w:sz="0" w:space="0" w:color="auto"/>
        <w:left w:val="none" w:sz="0" w:space="0" w:color="auto"/>
        <w:bottom w:val="none" w:sz="0" w:space="0" w:color="auto"/>
        <w:right w:val="none" w:sz="0" w:space="0" w:color="auto"/>
      </w:divBdr>
      <w:divsChild>
        <w:div w:id="1561862025">
          <w:marLeft w:val="0"/>
          <w:marRight w:val="0"/>
          <w:marTop w:val="0"/>
          <w:marBottom w:val="0"/>
          <w:divBdr>
            <w:top w:val="none" w:sz="0" w:space="0" w:color="auto"/>
            <w:left w:val="none" w:sz="0" w:space="0" w:color="auto"/>
            <w:bottom w:val="none" w:sz="0" w:space="0" w:color="auto"/>
            <w:right w:val="none" w:sz="0" w:space="0" w:color="auto"/>
          </w:divBdr>
          <w:divsChild>
            <w:div w:id="1532303427">
              <w:marLeft w:val="0"/>
              <w:marRight w:val="0"/>
              <w:marTop w:val="0"/>
              <w:marBottom w:val="0"/>
              <w:divBdr>
                <w:top w:val="none" w:sz="0" w:space="0" w:color="auto"/>
                <w:left w:val="none" w:sz="0" w:space="0" w:color="auto"/>
                <w:bottom w:val="none" w:sz="0" w:space="0" w:color="auto"/>
                <w:right w:val="none" w:sz="0" w:space="0" w:color="auto"/>
              </w:divBdr>
              <w:divsChild>
                <w:div w:id="1510365056">
                  <w:marLeft w:val="0"/>
                  <w:marRight w:val="0"/>
                  <w:marTop w:val="0"/>
                  <w:marBottom w:val="0"/>
                  <w:divBdr>
                    <w:top w:val="none" w:sz="0" w:space="0" w:color="auto"/>
                    <w:left w:val="none" w:sz="0" w:space="0" w:color="auto"/>
                    <w:bottom w:val="none" w:sz="0" w:space="0" w:color="auto"/>
                    <w:right w:val="none" w:sz="0" w:space="0" w:color="auto"/>
                  </w:divBdr>
                  <w:divsChild>
                    <w:div w:id="7442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94247">
      <w:bodyDiv w:val="1"/>
      <w:marLeft w:val="0"/>
      <w:marRight w:val="0"/>
      <w:marTop w:val="0"/>
      <w:marBottom w:val="0"/>
      <w:divBdr>
        <w:top w:val="none" w:sz="0" w:space="0" w:color="auto"/>
        <w:left w:val="none" w:sz="0" w:space="0" w:color="auto"/>
        <w:bottom w:val="none" w:sz="0" w:space="0" w:color="auto"/>
        <w:right w:val="none" w:sz="0" w:space="0" w:color="auto"/>
      </w:divBdr>
      <w:divsChild>
        <w:div w:id="792404820">
          <w:marLeft w:val="0"/>
          <w:marRight w:val="0"/>
          <w:marTop w:val="0"/>
          <w:marBottom w:val="0"/>
          <w:divBdr>
            <w:top w:val="none" w:sz="0" w:space="0" w:color="auto"/>
            <w:left w:val="none" w:sz="0" w:space="0" w:color="auto"/>
            <w:bottom w:val="none" w:sz="0" w:space="0" w:color="auto"/>
            <w:right w:val="none" w:sz="0" w:space="0" w:color="auto"/>
          </w:divBdr>
          <w:divsChild>
            <w:div w:id="664434314">
              <w:marLeft w:val="0"/>
              <w:marRight w:val="0"/>
              <w:marTop w:val="0"/>
              <w:marBottom w:val="0"/>
              <w:divBdr>
                <w:top w:val="none" w:sz="0" w:space="0" w:color="auto"/>
                <w:left w:val="none" w:sz="0" w:space="0" w:color="auto"/>
                <w:bottom w:val="none" w:sz="0" w:space="0" w:color="auto"/>
                <w:right w:val="none" w:sz="0" w:space="0" w:color="auto"/>
              </w:divBdr>
              <w:divsChild>
                <w:div w:id="2072650739">
                  <w:marLeft w:val="0"/>
                  <w:marRight w:val="0"/>
                  <w:marTop w:val="0"/>
                  <w:marBottom w:val="0"/>
                  <w:divBdr>
                    <w:top w:val="none" w:sz="0" w:space="0" w:color="auto"/>
                    <w:left w:val="none" w:sz="0" w:space="0" w:color="auto"/>
                    <w:bottom w:val="none" w:sz="0" w:space="0" w:color="auto"/>
                    <w:right w:val="none" w:sz="0" w:space="0" w:color="auto"/>
                  </w:divBdr>
                  <w:divsChild>
                    <w:div w:id="1710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13422">
      <w:bodyDiv w:val="1"/>
      <w:marLeft w:val="0"/>
      <w:marRight w:val="0"/>
      <w:marTop w:val="0"/>
      <w:marBottom w:val="0"/>
      <w:divBdr>
        <w:top w:val="none" w:sz="0" w:space="0" w:color="auto"/>
        <w:left w:val="none" w:sz="0" w:space="0" w:color="auto"/>
        <w:bottom w:val="none" w:sz="0" w:space="0" w:color="auto"/>
        <w:right w:val="none" w:sz="0" w:space="0" w:color="auto"/>
      </w:divBdr>
    </w:div>
    <w:div w:id="1981618080">
      <w:bodyDiv w:val="1"/>
      <w:marLeft w:val="0"/>
      <w:marRight w:val="0"/>
      <w:marTop w:val="0"/>
      <w:marBottom w:val="0"/>
      <w:divBdr>
        <w:top w:val="none" w:sz="0" w:space="0" w:color="auto"/>
        <w:left w:val="none" w:sz="0" w:space="0" w:color="auto"/>
        <w:bottom w:val="none" w:sz="0" w:space="0" w:color="auto"/>
        <w:right w:val="none" w:sz="0" w:space="0" w:color="auto"/>
      </w:divBdr>
      <w:divsChild>
        <w:div w:id="199050461">
          <w:marLeft w:val="0"/>
          <w:marRight w:val="0"/>
          <w:marTop w:val="0"/>
          <w:marBottom w:val="0"/>
          <w:divBdr>
            <w:top w:val="none" w:sz="0" w:space="0" w:color="auto"/>
            <w:left w:val="none" w:sz="0" w:space="0" w:color="auto"/>
            <w:bottom w:val="none" w:sz="0" w:space="0" w:color="auto"/>
            <w:right w:val="none" w:sz="0" w:space="0" w:color="auto"/>
          </w:divBdr>
          <w:divsChild>
            <w:div w:id="1189414045">
              <w:marLeft w:val="0"/>
              <w:marRight w:val="0"/>
              <w:marTop w:val="0"/>
              <w:marBottom w:val="0"/>
              <w:divBdr>
                <w:top w:val="none" w:sz="0" w:space="0" w:color="auto"/>
                <w:left w:val="none" w:sz="0" w:space="0" w:color="auto"/>
                <w:bottom w:val="none" w:sz="0" w:space="0" w:color="auto"/>
                <w:right w:val="none" w:sz="0" w:space="0" w:color="auto"/>
              </w:divBdr>
              <w:divsChild>
                <w:div w:id="1473793538">
                  <w:marLeft w:val="0"/>
                  <w:marRight w:val="0"/>
                  <w:marTop w:val="0"/>
                  <w:marBottom w:val="0"/>
                  <w:divBdr>
                    <w:top w:val="none" w:sz="0" w:space="0" w:color="auto"/>
                    <w:left w:val="none" w:sz="0" w:space="0" w:color="auto"/>
                    <w:bottom w:val="none" w:sz="0" w:space="0" w:color="auto"/>
                    <w:right w:val="none" w:sz="0" w:space="0" w:color="auto"/>
                  </w:divBdr>
                  <w:divsChild>
                    <w:div w:id="3140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3028">
      <w:bodyDiv w:val="1"/>
      <w:marLeft w:val="0"/>
      <w:marRight w:val="0"/>
      <w:marTop w:val="0"/>
      <w:marBottom w:val="0"/>
      <w:divBdr>
        <w:top w:val="none" w:sz="0" w:space="0" w:color="auto"/>
        <w:left w:val="none" w:sz="0" w:space="0" w:color="auto"/>
        <w:bottom w:val="none" w:sz="0" w:space="0" w:color="auto"/>
        <w:right w:val="none" w:sz="0" w:space="0" w:color="auto"/>
      </w:divBdr>
      <w:divsChild>
        <w:div w:id="256906056">
          <w:marLeft w:val="0"/>
          <w:marRight w:val="0"/>
          <w:marTop w:val="0"/>
          <w:marBottom w:val="0"/>
          <w:divBdr>
            <w:top w:val="none" w:sz="0" w:space="0" w:color="auto"/>
            <w:left w:val="none" w:sz="0" w:space="0" w:color="auto"/>
            <w:bottom w:val="none" w:sz="0" w:space="0" w:color="auto"/>
            <w:right w:val="none" w:sz="0" w:space="0" w:color="auto"/>
          </w:divBdr>
        </w:div>
        <w:div w:id="325207654">
          <w:marLeft w:val="0"/>
          <w:marRight w:val="0"/>
          <w:marTop w:val="0"/>
          <w:marBottom w:val="0"/>
          <w:divBdr>
            <w:top w:val="none" w:sz="0" w:space="0" w:color="auto"/>
            <w:left w:val="none" w:sz="0" w:space="0" w:color="auto"/>
            <w:bottom w:val="none" w:sz="0" w:space="0" w:color="auto"/>
            <w:right w:val="none" w:sz="0" w:space="0" w:color="auto"/>
          </w:divBdr>
        </w:div>
        <w:div w:id="429932234">
          <w:marLeft w:val="0"/>
          <w:marRight w:val="0"/>
          <w:marTop w:val="0"/>
          <w:marBottom w:val="0"/>
          <w:divBdr>
            <w:top w:val="none" w:sz="0" w:space="0" w:color="auto"/>
            <w:left w:val="none" w:sz="0" w:space="0" w:color="auto"/>
            <w:bottom w:val="none" w:sz="0" w:space="0" w:color="auto"/>
            <w:right w:val="none" w:sz="0" w:space="0" w:color="auto"/>
          </w:divBdr>
        </w:div>
        <w:div w:id="1066610843">
          <w:marLeft w:val="0"/>
          <w:marRight w:val="0"/>
          <w:marTop w:val="0"/>
          <w:marBottom w:val="0"/>
          <w:divBdr>
            <w:top w:val="none" w:sz="0" w:space="0" w:color="auto"/>
            <w:left w:val="none" w:sz="0" w:space="0" w:color="auto"/>
            <w:bottom w:val="none" w:sz="0" w:space="0" w:color="auto"/>
            <w:right w:val="none" w:sz="0" w:space="0" w:color="auto"/>
          </w:divBdr>
        </w:div>
        <w:div w:id="1108163027">
          <w:marLeft w:val="0"/>
          <w:marRight w:val="0"/>
          <w:marTop w:val="0"/>
          <w:marBottom w:val="0"/>
          <w:divBdr>
            <w:top w:val="none" w:sz="0" w:space="0" w:color="auto"/>
            <w:left w:val="none" w:sz="0" w:space="0" w:color="auto"/>
            <w:bottom w:val="none" w:sz="0" w:space="0" w:color="auto"/>
            <w:right w:val="none" w:sz="0" w:space="0" w:color="auto"/>
          </w:divBdr>
        </w:div>
        <w:div w:id="1269968221">
          <w:marLeft w:val="0"/>
          <w:marRight w:val="0"/>
          <w:marTop w:val="0"/>
          <w:marBottom w:val="0"/>
          <w:divBdr>
            <w:top w:val="none" w:sz="0" w:space="0" w:color="auto"/>
            <w:left w:val="none" w:sz="0" w:space="0" w:color="auto"/>
            <w:bottom w:val="none" w:sz="0" w:space="0" w:color="auto"/>
            <w:right w:val="none" w:sz="0" w:space="0" w:color="auto"/>
          </w:divBdr>
        </w:div>
        <w:div w:id="1331330701">
          <w:marLeft w:val="0"/>
          <w:marRight w:val="0"/>
          <w:marTop w:val="0"/>
          <w:marBottom w:val="0"/>
          <w:divBdr>
            <w:top w:val="none" w:sz="0" w:space="0" w:color="auto"/>
            <w:left w:val="none" w:sz="0" w:space="0" w:color="auto"/>
            <w:bottom w:val="none" w:sz="0" w:space="0" w:color="auto"/>
            <w:right w:val="none" w:sz="0" w:space="0" w:color="auto"/>
          </w:divBdr>
        </w:div>
        <w:div w:id="1471947266">
          <w:marLeft w:val="0"/>
          <w:marRight w:val="0"/>
          <w:marTop w:val="0"/>
          <w:marBottom w:val="0"/>
          <w:divBdr>
            <w:top w:val="none" w:sz="0" w:space="0" w:color="auto"/>
            <w:left w:val="none" w:sz="0" w:space="0" w:color="auto"/>
            <w:bottom w:val="none" w:sz="0" w:space="0" w:color="auto"/>
            <w:right w:val="none" w:sz="0" w:space="0" w:color="auto"/>
          </w:divBdr>
        </w:div>
        <w:div w:id="1677151066">
          <w:marLeft w:val="0"/>
          <w:marRight w:val="0"/>
          <w:marTop w:val="0"/>
          <w:marBottom w:val="0"/>
          <w:divBdr>
            <w:top w:val="none" w:sz="0" w:space="0" w:color="auto"/>
            <w:left w:val="none" w:sz="0" w:space="0" w:color="auto"/>
            <w:bottom w:val="none" w:sz="0" w:space="0" w:color="auto"/>
            <w:right w:val="none" w:sz="0" w:space="0" w:color="auto"/>
          </w:divBdr>
        </w:div>
        <w:div w:id="17170441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zs.gov.hr/" TargetMode="External"/><Relationship Id="rId18" Type="http://schemas.openxmlformats.org/officeDocument/2006/relationships/footer" Target="footer1.xml"/><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17.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hrvatska2030.hr/"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yperlink" Target="https://narodne-novine.nn.hr/clanci/sluzbeni/2022_12_151_2349.html" TargetMode="External"/><Relationship Id="rId2" Type="http://schemas.openxmlformats.org/officeDocument/2006/relationships/customXml" Target="../customXml/item2.xml"/><Relationship Id="rId16" Type="http://schemas.openxmlformats.org/officeDocument/2006/relationships/hyperlink" Target="https://narodne-novine.nn.hr/clanci/sluzbeni/2023_04_44_772.html" TargetMode="External"/><Relationship Id="rId20" Type="http://schemas.openxmlformats.org/officeDocument/2006/relationships/image" Target="media/image3.e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yperlink" Target="https://narodne-novine.nn.hr/clanci/sluzbeni/2017_12_123_2798.htm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rodne-novine.nn.hr/clanci/sluzbeni/2022_12_151_2349.html"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vlada.gov.hr/UserDocsImages/2016/Sjednice/2021/Velja%C4%8Da/42%20sjednica%20VRH/42%20-%207.doc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rodne-novine.nn.hr/clanci/sluzbeni/2017_12_123_2798.html" TargetMode="External"/><Relationship Id="rId22" Type="http://schemas.openxmlformats.org/officeDocument/2006/relationships/image" Target="media/image5.emf"/><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_rels/footnotes.xml.rels><?xml version="1.0" encoding="UTF-8" standalone="yes"?>
<Relationships xmlns="http://schemas.openxmlformats.org/package/2006/relationships"><Relationship Id="rId2" Type="http://schemas.openxmlformats.org/officeDocument/2006/relationships/hyperlink" Target="https://www.imd.org/wp-content/uploads/2023/02/all_criteria_list_wcy_2022.pdf" TargetMode="External"/><Relationship Id="rId1" Type="http://schemas.openxmlformats.org/officeDocument/2006/relationships/hyperlink" Target="https://ec.europa.eu/regional_policy/assets/regional-competitiven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7a2af0-3c4d-462f-a8c1-eded84cc76a1">
      <Terms xmlns="http://schemas.microsoft.com/office/infopath/2007/PartnerControls"/>
    </lcf76f155ced4ddcb4097134ff3c332f>
    <TaxCatchAll xmlns="1fee7bf6-0178-4b90-9348-e91dc6fe0c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23CAAC38371245AEFDE3FB1B578B08" ma:contentTypeVersion="17" ma:contentTypeDescription="Create a new document." ma:contentTypeScope="" ma:versionID="8240a44e531497888b88d370e4b661b7">
  <xsd:schema xmlns:xsd="http://www.w3.org/2001/XMLSchema" xmlns:xs="http://www.w3.org/2001/XMLSchema" xmlns:p="http://schemas.microsoft.com/office/2006/metadata/properties" xmlns:ns2="bf7a2af0-3c4d-462f-a8c1-eded84cc76a1" xmlns:ns3="1fee7bf6-0178-4b90-9348-e91dc6fe0c66" targetNamespace="http://schemas.microsoft.com/office/2006/metadata/properties" ma:root="true" ma:fieldsID="239957cf151dc48439942281df456a4d" ns2:_="" ns3:_="">
    <xsd:import namespace="bf7a2af0-3c4d-462f-a8c1-eded84cc76a1"/>
    <xsd:import namespace="1fee7bf6-0178-4b90-9348-e91dc6fe0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a2af0-3c4d-462f-a8c1-eded84cc7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0ee974-192f-4353-9d1c-3274f95f45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ee7bf6-0178-4b90-9348-e91dc6fe0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1dc842-e7db-48b3-aa1f-581c1a6365cf}" ma:internalName="TaxCatchAll" ma:showField="CatchAllData" ma:web="1fee7bf6-0178-4b90-9348-e91dc6fe0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BC62-78DD-4453-B48B-6F5D9890AABE}">
  <ds:schemaRefs>
    <ds:schemaRef ds:uri="http://schemas.microsoft.com/sharepoint/v3/contenttype/forms"/>
  </ds:schemaRefs>
</ds:datastoreItem>
</file>

<file path=customXml/itemProps2.xml><?xml version="1.0" encoding="utf-8"?>
<ds:datastoreItem xmlns:ds="http://schemas.openxmlformats.org/officeDocument/2006/customXml" ds:itemID="{8FC7CD71-2CFF-4DD3-83A6-9B1E2F20B405}">
  <ds:schemaRefs>
    <ds:schemaRef ds:uri="http://schemas.microsoft.com/office/2006/documentManagement/types"/>
    <ds:schemaRef ds:uri="bf7a2af0-3c4d-462f-a8c1-eded84cc76a1"/>
    <ds:schemaRef ds:uri="http://purl.org/dc/elements/1.1/"/>
    <ds:schemaRef ds:uri="http://schemas.microsoft.com/office/2006/metadata/properties"/>
    <ds:schemaRef ds:uri="http://purl.org/dc/terms/"/>
    <ds:schemaRef ds:uri="1fee7bf6-0178-4b90-9348-e91dc6fe0c6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FA149EC-CF91-47E0-B9EA-0678422A0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a2af0-3c4d-462f-a8c1-eded84cc76a1"/>
    <ds:schemaRef ds:uri="1fee7bf6-0178-4b90-9348-e91dc6fe0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6B091-93F7-4589-B390-7FF5CFB5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48709</Words>
  <Characters>277647</Characters>
  <Application>Microsoft Office Word</Application>
  <DocSecurity>0</DocSecurity>
  <Lines>2313</Lines>
  <Paragraphs>651</Paragraphs>
  <ScaleCrop>false</ScaleCrop>
  <HeadingPairs>
    <vt:vector size="2" baseType="variant">
      <vt:variant>
        <vt:lpstr>Title</vt:lpstr>
      </vt:variant>
      <vt:variant>
        <vt:i4>1</vt:i4>
      </vt:variant>
    </vt:vector>
  </HeadingPairs>
  <TitlesOfParts>
    <vt:vector size="1" baseType="lpstr">
      <vt:lpstr>GI NRS 2030 (2022)</vt:lpstr>
    </vt:vector>
  </TitlesOfParts>
  <Manager/>
  <Company/>
  <LinksUpToDate>false</LinksUpToDate>
  <CharactersWithSpaces>325705</CharactersWithSpaces>
  <SharedDoc>false</SharedDoc>
  <HyperlinkBase/>
  <HLinks>
    <vt:vector size="348" baseType="variant">
      <vt:variant>
        <vt:i4>262251</vt:i4>
      </vt:variant>
      <vt:variant>
        <vt:i4>314</vt:i4>
      </vt:variant>
      <vt:variant>
        <vt:i4>0</vt:i4>
      </vt:variant>
      <vt:variant>
        <vt:i4>5</vt:i4>
      </vt:variant>
      <vt:variant>
        <vt:lpwstr>https://narodne-novine.nn.hr/clanci/sluzbeni/2022_12_151_2349.html</vt:lpwstr>
      </vt:variant>
      <vt:variant>
        <vt:lpwstr/>
      </vt:variant>
      <vt:variant>
        <vt:i4>524396</vt:i4>
      </vt:variant>
      <vt:variant>
        <vt:i4>311</vt:i4>
      </vt:variant>
      <vt:variant>
        <vt:i4>0</vt:i4>
      </vt:variant>
      <vt:variant>
        <vt:i4>5</vt:i4>
      </vt:variant>
      <vt:variant>
        <vt:lpwstr>https://narodne-novine.nn.hr/clanci/sluzbeni/2017_12_123_2798.html</vt:lpwstr>
      </vt:variant>
      <vt:variant>
        <vt:lpwstr/>
      </vt:variant>
      <vt:variant>
        <vt:i4>7274555</vt:i4>
      </vt:variant>
      <vt:variant>
        <vt:i4>308</vt:i4>
      </vt:variant>
      <vt:variant>
        <vt:i4>0</vt:i4>
      </vt:variant>
      <vt:variant>
        <vt:i4>5</vt:i4>
      </vt:variant>
      <vt:variant>
        <vt:lpwstr>https://vlada.gov.hr/UserDocsImages/2016/Sjednice/2021/Velja%C4%8Da/42 sjednica VRH/42 - 7.docx</vt:lpwstr>
      </vt:variant>
      <vt:variant>
        <vt:lpwstr/>
      </vt:variant>
      <vt:variant>
        <vt:i4>7798841</vt:i4>
      </vt:variant>
      <vt:variant>
        <vt:i4>305</vt:i4>
      </vt:variant>
      <vt:variant>
        <vt:i4>0</vt:i4>
      </vt:variant>
      <vt:variant>
        <vt:i4>5</vt:i4>
      </vt:variant>
      <vt:variant>
        <vt:lpwstr>http://www.hrvatska2030.hr/</vt:lpwstr>
      </vt:variant>
      <vt:variant>
        <vt:lpwstr/>
      </vt:variant>
      <vt:variant>
        <vt:i4>5767226</vt:i4>
      </vt:variant>
      <vt:variant>
        <vt:i4>302</vt:i4>
      </vt:variant>
      <vt:variant>
        <vt:i4>0</vt:i4>
      </vt:variant>
      <vt:variant>
        <vt:i4>5</vt:i4>
      </vt:variant>
      <vt:variant>
        <vt:lpwstr>https://narodne-novine.nn.hr/clanci/sluzbeni/2023_04_44_772.html</vt:lpwstr>
      </vt:variant>
      <vt:variant>
        <vt:lpwstr/>
      </vt:variant>
      <vt:variant>
        <vt:i4>262251</vt:i4>
      </vt:variant>
      <vt:variant>
        <vt:i4>299</vt:i4>
      </vt:variant>
      <vt:variant>
        <vt:i4>0</vt:i4>
      </vt:variant>
      <vt:variant>
        <vt:i4>5</vt:i4>
      </vt:variant>
      <vt:variant>
        <vt:lpwstr>https://narodne-novine.nn.hr/clanci/sluzbeni/2022_12_151_2349.html</vt:lpwstr>
      </vt:variant>
      <vt:variant>
        <vt:lpwstr/>
      </vt:variant>
      <vt:variant>
        <vt:i4>524396</vt:i4>
      </vt:variant>
      <vt:variant>
        <vt:i4>296</vt:i4>
      </vt:variant>
      <vt:variant>
        <vt:i4>0</vt:i4>
      </vt:variant>
      <vt:variant>
        <vt:i4>5</vt:i4>
      </vt:variant>
      <vt:variant>
        <vt:lpwstr>https://narodne-novine.nn.hr/clanci/sluzbeni/2017_12_123_2798.html</vt:lpwstr>
      </vt:variant>
      <vt:variant>
        <vt:lpwstr/>
      </vt:variant>
      <vt:variant>
        <vt:i4>7733294</vt:i4>
      </vt:variant>
      <vt:variant>
        <vt:i4>293</vt:i4>
      </vt:variant>
      <vt:variant>
        <vt:i4>0</vt:i4>
      </vt:variant>
      <vt:variant>
        <vt:i4>5</vt:i4>
      </vt:variant>
      <vt:variant>
        <vt:lpwstr>https://dzs.gov.hr/</vt:lpwstr>
      </vt:variant>
      <vt:variant>
        <vt:lpwstr/>
      </vt:variant>
      <vt:variant>
        <vt:i4>1179698</vt:i4>
      </vt:variant>
      <vt:variant>
        <vt:i4>286</vt:i4>
      </vt:variant>
      <vt:variant>
        <vt:i4>0</vt:i4>
      </vt:variant>
      <vt:variant>
        <vt:i4>5</vt:i4>
      </vt:variant>
      <vt:variant>
        <vt:lpwstr/>
      </vt:variant>
      <vt:variant>
        <vt:lpwstr>_Toc156819414</vt:lpwstr>
      </vt:variant>
      <vt:variant>
        <vt:i4>1179698</vt:i4>
      </vt:variant>
      <vt:variant>
        <vt:i4>280</vt:i4>
      </vt:variant>
      <vt:variant>
        <vt:i4>0</vt:i4>
      </vt:variant>
      <vt:variant>
        <vt:i4>5</vt:i4>
      </vt:variant>
      <vt:variant>
        <vt:lpwstr/>
      </vt:variant>
      <vt:variant>
        <vt:lpwstr>_Toc156819413</vt:lpwstr>
      </vt:variant>
      <vt:variant>
        <vt:i4>1179698</vt:i4>
      </vt:variant>
      <vt:variant>
        <vt:i4>274</vt:i4>
      </vt:variant>
      <vt:variant>
        <vt:i4>0</vt:i4>
      </vt:variant>
      <vt:variant>
        <vt:i4>5</vt:i4>
      </vt:variant>
      <vt:variant>
        <vt:lpwstr/>
      </vt:variant>
      <vt:variant>
        <vt:lpwstr>_Toc156819412</vt:lpwstr>
      </vt:variant>
      <vt:variant>
        <vt:i4>1179698</vt:i4>
      </vt:variant>
      <vt:variant>
        <vt:i4>268</vt:i4>
      </vt:variant>
      <vt:variant>
        <vt:i4>0</vt:i4>
      </vt:variant>
      <vt:variant>
        <vt:i4>5</vt:i4>
      </vt:variant>
      <vt:variant>
        <vt:lpwstr/>
      </vt:variant>
      <vt:variant>
        <vt:lpwstr>_Toc156819411</vt:lpwstr>
      </vt:variant>
      <vt:variant>
        <vt:i4>1179698</vt:i4>
      </vt:variant>
      <vt:variant>
        <vt:i4>262</vt:i4>
      </vt:variant>
      <vt:variant>
        <vt:i4>0</vt:i4>
      </vt:variant>
      <vt:variant>
        <vt:i4>5</vt:i4>
      </vt:variant>
      <vt:variant>
        <vt:lpwstr/>
      </vt:variant>
      <vt:variant>
        <vt:lpwstr>_Toc156819410</vt:lpwstr>
      </vt:variant>
      <vt:variant>
        <vt:i4>1245234</vt:i4>
      </vt:variant>
      <vt:variant>
        <vt:i4>256</vt:i4>
      </vt:variant>
      <vt:variant>
        <vt:i4>0</vt:i4>
      </vt:variant>
      <vt:variant>
        <vt:i4>5</vt:i4>
      </vt:variant>
      <vt:variant>
        <vt:lpwstr/>
      </vt:variant>
      <vt:variant>
        <vt:lpwstr>_Toc156819409</vt:lpwstr>
      </vt:variant>
      <vt:variant>
        <vt:i4>1245234</vt:i4>
      </vt:variant>
      <vt:variant>
        <vt:i4>250</vt:i4>
      </vt:variant>
      <vt:variant>
        <vt:i4>0</vt:i4>
      </vt:variant>
      <vt:variant>
        <vt:i4>5</vt:i4>
      </vt:variant>
      <vt:variant>
        <vt:lpwstr/>
      </vt:variant>
      <vt:variant>
        <vt:lpwstr>_Toc156819408</vt:lpwstr>
      </vt:variant>
      <vt:variant>
        <vt:i4>1245234</vt:i4>
      </vt:variant>
      <vt:variant>
        <vt:i4>244</vt:i4>
      </vt:variant>
      <vt:variant>
        <vt:i4>0</vt:i4>
      </vt:variant>
      <vt:variant>
        <vt:i4>5</vt:i4>
      </vt:variant>
      <vt:variant>
        <vt:lpwstr/>
      </vt:variant>
      <vt:variant>
        <vt:lpwstr>_Toc156819407</vt:lpwstr>
      </vt:variant>
      <vt:variant>
        <vt:i4>1245234</vt:i4>
      </vt:variant>
      <vt:variant>
        <vt:i4>238</vt:i4>
      </vt:variant>
      <vt:variant>
        <vt:i4>0</vt:i4>
      </vt:variant>
      <vt:variant>
        <vt:i4>5</vt:i4>
      </vt:variant>
      <vt:variant>
        <vt:lpwstr/>
      </vt:variant>
      <vt:variant>
        <vt:lpwstr>_Toc156819406</vt:lpwstr>
      </vt:variant>
      <vt:variant>
        <vt:i4>1245234</vt:i4>
      </vt:variant>
      <vt:variant>
        <vt:i4>232</vt:i4>
      </vt:variant>
      <vt:variant>
        <vt:i4>0</vt:i4>
      </vt:variant>
      <vt:variant>
        <vt:i4>5</vt:i4>
      </vt:variant>
      <vt:variant>
        <vt:lpwstr/>
      </vt:variant>
      <vt:variant>
        <vt:lpwstr>_Toc156819405</vt:lpwstr>
      </vt:variant>
      <vt:variant>
        <vt:i4>1245234</vt:i4>
      </vt:variant>
      <vt:variant>
        <vt:i4>226</vt:i4>
      </vt:variant>
      <vt:variant>
        <vt:i4>0</vt:i4>
      </vt:variant>
      <vt:variant>
        <vt:i4>5</vt:i4>
      </vt:variant>
      <vt:variant>
        <vt:lpwstr/>
      </vt:variant>
      <vt:variant>
        <vt:lpwstr>_Toc156819404</vt:lpwstr>
      </vt:variant>
      <vt:variant>
        <vt:i4>1245234</vt:i4>
      </vt:variant>
      <vt:variant>
        <vt:i4>220</vt:i4>
      </vt:variant>
      <vt:variant>
        <vt:i4>0</vt:i4>
      </vt:variant>
      <vt:variant>
        <vt:i4>5</vt:i4>
      </vt:variant>
      <vt:variant>
        <vt:lpwstr/>
      </vt:variant>
      <vt:variant>
        <vt:lpwstr>_Toc156819403</vt:lpwstr>
      </vt:variant>
      <vt:variant>
        <vt:i4>1245234</vt:i4>
      </vt:variant>
      <vt:variant>
        <vt:i4>214</vt:i4>
      </vt:variant>
      <vt:variant>
        <vt:i4>0</vt:i4>
      </vt:variant>
      <vt:variant>
        <vt:i4>5</vt:i4>
      </vt:variant>
      <vt:variant>
        <vt:lpwstr/>
      </vt:variant>
      <vt:variant>
        <vt:lpwstr>_Toc156819402</vt:lpwstr>
      </vt:variant>
      <vt:variant>
        <vt:i4>1245234</vt:i4>
      </vt:variant>
      <vt:variant>
        <vt:i4>208</vt:i4>
      </vt:variant>
      <vt:variant>
        <vt:i4>0</vt:i4>
      </vt:variant>
      <vt:variant>
        <vt:i4>5</vt:i4>
      </vt:variant>
      <vt:variant>
        <vt:lpwstr/>
      </vt:variant>
      <vt:variant>
        <vt:lpwstr>_Toc156819401</vt:lpwstr>
      </vt:variant>
      <vt:variant>
        <vt:i4>1245234</vt:i4>
      </vt:variant>
      <vt:variant>
        <vt:i4>202</vt:i4>
      </vt:variant>
      <vt:variant>
        <vt:i4>0</vt:i4>
      </vt:variant>
      <vt:variant>
        <vt:i4>5</vt:i4>
      </vt:variant>
      <vt:variant>
        <vt:lpwstr/>
      </vt:variant>
      <vt:variant>
        <vt:lpwstr>_Toc156819400</vt:lpwstr>
      </vt:variant>
      <vt:variant>
        <vt:i4>1703989</vt:i4>
      </vt:variant>
      <vt:variant>
        <vt:i4>196</vt:i4>
      </vt:variant>
      <vt:variant>
        <vt:i4>0</vt:i4>
      </vt:variant>
      <vt:variant>
        <vt:i4>5</vt:i4>
      </vt:variant>
      <vt:variant>
        <vt:lpwstr/>
      </vt:variant>
      <vt:variant>
        <vt:lpwstr>_Toc156819399</vt:lpwstr>
      </vt:variant>
      <vt:variant>
        <vt:i4>1703989</vt:i4>
      </vt:variant>
      <vt:variant>
        <vt:i4>190</vt:i4>
      </vt:variant>
      <vt:variant>
        <vt:i4>0</vt:i4>
      </vt:variant>
      <vt:variant>
        <vt:i4>5</vt:i4>
      </vt:variant>
      <vt:variant>
        <vt:lpwstr/>
      </vt:variant>
      <vt:variant>
        <vt:lpwstr>_Toc156819398</vt:lpwstr>
      </vt:variant>
      <vt:variant>
        <vt:i4>1703989</vt:i4>
      </vt:variant>
      <vt:variant>
        <vt:i4>184</vt:i4>
      </vt:variant>
      <vt:variant>
        <vt:i4>0</vt:i4>
      </vt:variant>
      <vt:variant>
        <vt:i4>5</vt:i4>
      </vt:variant>
      <vt:variant>
        <vt:lpwstr/>
      </vt:variant>
      <vt:variant>
        <vt:lpwstr>_Toc156819397</vt:lpwstr>
      </vt:variant>
      <vt:variant>
        <vt:i4>1703989</vt:i4>
      </vt:variant>
      <vt:variant>
        <vt:i4>178</vt:i4>
      </vt:variant>
      <vt:variant>
        <vt:i4>0</vt:i4>
      </vt:variant>
      <vt:variant>
        <vt:i4>5</vt:i4>
      </vt:variant>
      <vt:variant>
        <vt:lpwstr/>
      </vt:variant>
      <vt:variant>
        <vt:lpwstr>_Toc156819396</vt:lpwstr>
      </vt:variant>
      <vt:variant>
        <vt:i4>1703989</vt:i4>
      </vt:variant>
      <vt:variant>
        <vt:i4>172</vt:i4>
      </vt:variant>
      <vt:variant>
        <vt:i4>0</vt:i4>
      </vt:variant>
      <vt:variant>
        <vt:i4>5</vt:i4>
      </vt:variant>
      <vt:variant>
        <vt:lpwstr/>
      </vt:variant>
      <vt:variant>
        <vt:lpwstr>_Toc156819395</vt:lpwstr>
      </vt:variant>
      <vt:variant>
        <vt:i4>1703989</vt:i4>
      </vt:variant>
      <vt:variant>
        <vt:i4>166</vt:i4>
      </vt:variant>
      <vt:variant>
        <vt:i4>0</vt:i4>
      </vt:variant>
      <vt:variant>
        <vt:i4>5</vt:i4>
      </vt:variant>
      <vt:variant>
        <vt:lpwstr/>
      </vt:variant>
      <vt:variant>
        <vt:lpwstr>_Toc156819394</vt:lpwstr>
      </vt:variant>
      <vt:variant>
        <vt:i4>1703989</vt:i4>
      </vt:variant>
      <vt:variant>
        <vt:i4>160</vt:i4>
      </vt:variant>
      <vt:variant>
        <vt:i4>0</vt:i4>
      </vt:variant>
      <vt:variant>
        <vt:i4>5</vt:i4>
      </vt:variant>
      <vt:variant>
        <vt:lpwstr/>
      </vt:variant>
      <vt:variant>
        <vt:lpwstr>_Toc156819393</vt:lpwstr>
      </vt:variant>
      <vt:variant>
        <vt:i4>1703989</vt:i4>
      </vt:variant>
      <vt:variant>
        <vt:i4>154</vt:i4>
      </vt:variant>
      <vt:variant>
        <vt:i4>0</vt:i4>
      </vt:variant>
      <vt:variant>
        <vt:i4>5</vt:i4>
      </vt:variant>
      <vt:variant>
        <vt:lpwstr/>
      </vt:variant>
      <vt:variant>
        <vt:lpwstr>_Toc156819392</vt:lpwstr>
      </vt:variant>
      <vt:variant>
        <vt:i4>1703989</vt:i4>
      </vt:variant>
      <vt:variant>
        <vt:i4>148</vt:i4>
      </vt:variant>
      <vt:variant>
        <vt:i4>0</vt:i4>
      </vt:variant>
      <vt:variant>
        <vt:i4>5</vt:i4>
      </vt:variant>
      <vt:variant>
        <vt:lpwstr/>
      </vt:variant>
      <vt:variant>
        <vt:lpwstr>_Toc156819391</vt:lpwstr>
      </vt:variant>
      <vt:variant>
        <vt:i4>1703989</vt:i4>
      </vt:variant>
      <vt:variant>
        <vt:i4>142</vt:i4>
      </vt:variant>
      <vt:variant>
        <vt:i4>0</vt:i4>
      </vt:variant>
      <vt:variant>
        <vt:i4>5</vt:i4>
      </vt:variant>
      <vt:variant>
        <vt:lpwstr/>
      </vt:variant>
      <vt:variant>
        <vt:lpwstr>_Toc156819390</vt:lpwstr>
      </vt:variant>
      <vt:variant>
        <vt:i4>1769525</vt:i4>
      </vt:variant>
      <vt:variant>
        <vt:i4>136</vt:i4>
      </vt:variant>
      <vt:variant>
        <vt:i4>0</vt:i4>
      </vt:variant>
      <vt:variant>
        <vt:i4>5</vt:i4>
      </vt:variant>
      <vt:variant>
        <vt:lpwstr/>
      </vt:variant>
      <vt:variant>
        <vt:lpwstr>_Toc156819389</vt:lpwstr>
      </vt:variant>
      <vt:variant>
        <vt:i4>1769525</vt:i4>
      </vt:variant>
      <vt:variant>
        <vt:i4>130</vt:i4>
      </vt:variant>
      <vt:variant>
        <vt:i4>0</vt:i4>
      </vt:variant>
      <vt:variant>
        <vt:i4>5</vt:i4>
      </vt:variant>
      <vt:variant>
        <vt:lpwstr/>
      </vt:variant>
      <vt:variant>
        <vt:lpwstr>_Toc156819388</vt:lpwstr>
      </vt:variant>
      <vt:variant>
        <vt:i4>1769525</vt:i4>
      </vt:variant>
      <vt:variant>
        <vt:i4>124</vt:i4>
      </vt:variant>
      <vt:variant>
        <vt:i4>0</vt:i4>
      </vt:variant>
      <vt:variant>
        <vt:i4>5</vt:i4>
      </vt:variant>
      <vt:variant>
        <vt:lpwstr/>
      </vt:variant>
      <vt:variant>
        <vt:lpwstr>_Toc156819387</vt:lpwstr>
      </vt:variant>
      <vt:variant>
        <vt:i4>1769525</vt:i4>
      </vt:variant>
      <vt:variant>
        <vt:i4>118</vt:i4>
      </vt:variant>
      <vt:variant>
        <vt:i4>0</vt:i4>
      </vt:variant>
      <vt:variant>
        <vt:i4>5</vt:i4>
      </vt:variant>
      <vt:variant>
        <vt:lpwstr/>
      </vt:variant>
      <vt:variant>
        <vt:lpwstr>_Toc156819386</vt:lpwstr>
      </vt:variant>
      <vt:variant>
        <vt:i4>1769525</vt:i4>
      </vt:variant>
      <vt:variant>
        <vt:i4>112</vt:i4>
      </vt:variant>
      <vt:variant>
        <vt:i4>0</vt:i4>
      </vt:variant>
      <vt:variant>
        <vt:i4>5</vt:i4>
      </vt:variant>
      <vt:variant>
        <vt:lpwstr/>
      </vt:variant>
      <vt:variant>
        <vt:lpwstr>_Toc156819385</vt:lpwstr>
      </vt:variant>
      <vt:variant>
        <vt:i4>1769525</vt:i4>
      </vt:variant>
      <vt:variant>
        <vt:i4>106</vt:i4>
      </vt:variant>
      <vt:variant>
        <vt:i4>0</vt:i4>
      </vt:variant>
      <vt:variant>
        <vt:i4>5</vt:i4>
      </vt:variant>
      <vt:variant>
        <vt:lpwstr/>
      </vt:variant>
      <vt:variant>
        <vt:lpwstr>_Toc156819384</vt:lpwstr>
      </vt:variant>
      <vt:variant>
        <vt:i4>1769525</vt:i4>
      </vt:variant>
      <vt:variant>
        <vt:i4>100</vt:i4>
      </vt:variant>
      <vt:variant>
        <vt:i4>0</vt:i4>
      </vt:variant>
      <vt:variant>
        <vt:i4>5</vt:i4>
      </vt:variant>
      <vt:variant>
        <vt:lpwstr/>
      </vt:variant>
      <vt:variant>
        <vt:lpwstr>_Toc156819383</vt:lpwstr>
      </vt:variant>
      <vt:variant>
        <vt:i4>1769525</vt:i4>
      </vt:variant>
      <vt:variant>
        <vt:i4>94</vt:i4>
      </vt:variant>
      <vt:variant>
        <vt:i4>0</vt:i4>
      </vt:variant>
      <vt:variant>
        <vt:i4>5</vt:i4>
      </vt:variant>
      <vt:variant>
        <vt:lpwstr/>
      </vt:variant>
      <vt:variant>
        <vt:lpwstr>_Toc156819382</vt:lpwstr>
      </vt:variant>
      <vt:variant>
        <vt:i4>1769525</vt:i4>
      </vt:variant>
      <vt:variant>
        <vt:i4>88</vt:i4>
      </vt:variant>
      <vt:variant>
        <vt:i4>0</vt:i4>
      </vt:variant>
      <vt:variant>
        <vt:i4>5</vt:i4>
      </vt:variant>
      <vt:variant>
        <vt:lpwstr/>
      </vt:variant>
      <vt:variant>
        <vt:lpwstr>_Toc156819381</vt:lpwstr>
      </vt:variant>
      <vt:variant>
        <vt:i4>1769525</vt:i4>
      </vt:variant>
      <vt:variant>
        <vt:i4>82</vt:i4>
      </vt:variant>
      <vt:variant>
        <vt:i4>0</vt:i4>
      </vt:variant>
      <vt:variant>
        <vt:i4>5</vt:i4>
      </vt:variant>
      <vt:variant>
        <vt:lpwstr/>
      </vt:variant>
      <vt:variant>
        <vt:lpwstr>_Toc156819380</vt:lpwstr>
      </vt:variant>
      <vt:variant>
        <vt:i4>1310773</vt:i4>
      </vt:variant>
      <vt:variant>
        <vt:i4>76</vt:i4>
      </vt:variant>
      <vt:variant>
        <vt:i4>0</vt:i4>
      </vt:variant>
      <vt:variant>
        <vt:i4>5</vt:i4>
      </vt:variant>
      <vt:variant>
        <vt:lpwstr/>
      </vt:variant>
      <vt:variant>
        <vt:lpwstr>_Toc156819379</vt:lpwstr>
      </vt:variant>
      <vt:variant>
        <vt:i4>1310773</vt:i4>
      </vt:variant>
      <vt:variant>
        <vt:i4>70</vt:i4>
      </vt:variant>
      <vt:variant>
        <vt:i4>0</vt:i4>
      </vt:variant>
      <vt:variant>
        <vt:i4>5</vt:i4>
      </vt:variant>
      <vt:variant>
        <vt:lpwstr/>
      </vt:variant>
      <vt:variant>
        <vt:lpwstr>_Toc156819378</vt:lpwstr>
      </vt:variant>
      <vt:variant>
        <vt:i4>1310773</vt:i4>
      </vt:variant>
      <vt:variant>
        <vt:i4>64</vt:i4>
      </vt:variant>
      <vt:variant>
        <vt:i4>0</vt:i4>
      </vt:variant>
      <vt:variant>
        <vt:i4>5</vt:i4>
      </vt:variant>
      <vt:variant>
        <vt:lpwstr/>
      </vt:variant>
      <vt:variant>
        <vt:lpwstr>_Toc156819377</vt:lpwstr>
      </vt:variant>
      <vt:variant>
        <vt:i4>1310773</vt:i4>
      </vt:variant>
      <vt:variant>
        <vt:i4>58</vt:i4>
      </vt:variant>
      <vt:variant>
        <vt:i4>0</vt:i4>
      </vt:variant>
      <vt:variant>
        <vt:i4>5</vt:i4>
      </vt:variant>
      <vt:variant>
        <vt:lpwstr/>
      </vt:variant>
      <vt:variant>
        <vt:lpwstr>_Toc156819376</vt:lpwstr>
      </vt:variant>
      <vt:variant>
        <vt:i4>1310773</vt:i4>
      </vt:variant>
      <vt:variant>
        <vt:i4>52</vt:i4>
      </vt:variant>
      <vt:variant>
        <vt:i4>0</vt:i4>
      </vt:variant>
      <vt:variant>
        <vt:i4>5</vt:i4>
      </vt:variant>
      <vt:variant>
        <vt:lpwstr/>
      </vt:variant>
      <vt:variant>
        <vt:lpwstr>_Toc156819375</vt:lpwstr>
      </vt:variant>
      <vt:variant>
        <vt:i4>1310773</vt:i4>
      </vt:variant>
      <vt:variant>
        <vt:i4>46</vt:i4>
      </vt:variant>
      <vt:variant>
        <vt:i4>0</vt:i4>
      </vt:variant>
      <vt:variant>
        <vt:i4>5</vt:i4>
      </vt:variant>
      <vt:variant>
        <vt:lpwstr/>
      </vt:variant>
      <vt:variant>
        <vt:lpwstr>_Toc156819374</vt:lpwstr>
      </vt:variant>
      <vt:variant>
        <vt:i4>1310773</vt:i4>
      </vt:variant>
      <vt:variant>
        <vt:i4>40</vt:i4>
      </vt:variant>
      <vt:variant>
        <vt:i4>0</vt:i4>
      </vt:variant>
      <vt:variant>
        <vt:i4>5</vt:i4>
      </vt:variant>
      <vt:variant>
        <vt:lpwstr/>
      </vt:variant>
      <vt:variant>
        <vt:lpwstr>_Toc156819373</vt:lpwstr>
      </vt:variant>
      <vt:variant>
        <vt:i4>1310773</vt:i4>
      </vt:variant>
      <vt:variant>
        <vt:i4>34</vt:i4>
      </vt:variant>
      <vt:variant>
        <vt:i4>0</vt:i4>
      </vt:variant>
      <vt:variant>
        <vt:i4>5</vt:i4>
      </vt:variant>
      <vt:variant>
        <vt:lpwstr/>
      </vt:variant>
      <vt:variant>
        <vt:lpwstr>_Toc156819372</vt:lpwstr>
      </vt:variant>
      <vt:variant>
        <vt:i4>1310773</vt:i4>
      </vt:variant>
      <vt:variant>
        <vt:i4>28</vt:i4>
      </vt:variant>
      <vt:variant>
        <vt:i4>0</vt:i4>
      </vt:variant>
      <vt:variant>
        <vt:i4>5</vt:i4>
      </vt:variant>
      <vt:variant>
        <vt:lpwstr/>
      </vt:variant>
      <vt:variant>
        <vt:lpwstr>_Toc156819371</vt:lpwstr>
      </vt:variant>
      <vt:variant>
        <vt:i4>1310773</vt:i4>
      </vt:variant>
      <vt:variant>
        <vt:i4>22</vt:i4>
      </vt:variant>
      <vt:variant>
        <vt:i4>0</vt:i4>
      </vt:variant>
      <vt:variant>
        <vt:i4>5</vt:i4>
      </vt:variant>
      <vt:variant>
        <vt:lpwstr/>
      </vt:variant>
      <vt:variant>
        <vt:lpwstr>_Toc156819370</vt:lpwstr>
      </vt:variant>
      <vt:variant>
        <vt:i4>1376309</vt:i4>
      </vt:variant>
      <vt:variant>
        <vt:i4>16</vt:i4>
      </vt:variant>
      <vt:variant>
        <vt:i4>0</vt:i4>
      </vt:variant>
      <vt:variant>
        <vt:i4>5</vt:i4>
      </vt:variant>
      <vt:variant>
        <vt:lpwstr/>
      </vt:variant>
      <vt:variant>
        <vt:lpwstr>_Toc156819369</vt:lpwstr>
      </vt:variant>
      <vt:variant>
        <vt:i4>1376309</vt:i4>
      </vt:variant>
      <vt:variant>
        <vt:i4>10</vt:i4>
      </vt:variant>
      <vt:variant>
        <vt:i4>0</vt:i4>
      </vt:variant>
      <vt:variant>
        <vt:i4>5</vt:i4>
      </vt:variant>
      <vt:variant>
        <vt:lpwstr/>
      </vt:variant>
      <vt:variant>
        <vt:lpwstr>_Toc156819368</vt:lpwstr>
      </vt:variant>
      <vt:variant>
        <vt:i4>1376309</vt:i4>
      </vt:variant>
      <vt:variant>
        <vt:i4>4</vt:i4>
      </vt:variant>
      <vt:variant>
        <vt:i4>0</vt:i4>
      </vt:variant>
      <vt:variant>
        <vt:i4>5</vt:i4>
      </vt:variant>
      <vt:variant>
        <vt:lpwstr/>
      </vt:variant>
      <vt:variant>
        <vt:lpwstr>_Toc156819367</vt:lpwstr>
      </vt:variant>
      <vt:variant>
        <vt:i4>2162725</vt:i4>
      </vt:variant>
      <vt:variant>
        <vt:i4>3</vt:i4>
      </vt:variant>
      <vt:variant>
        <vt:i4>0</vt:i4>
      </vt:variant>
      <vt:variant>
        <vt:i4>5</vt:i4>
      </vt:variant>
      <vt:variant>
        <vt:lpwstr>https://www.imd.org/wp-content/uploads/2023/02/all_criteria_list_wcy_2022.pdf</vt:lpwstr>
      </vt:variant>
      <vt:variant>
        <vt:lpwstr/>
      </vt:variant>
      <vt:variant>
        <vt:i4>5898258</vt:i4>
      </vt:variant>
      <vt:variant>
        <vt:i4>0</vt:i4>
      </vt:variant>
      <vt:variant>
        <vt:i4>0</vt:i4>
      </vt:variant>
      <vt:variant>
        <vt:i4>5</vt:i4>
      </vt:variant>
      <vt:variant>
        <vt:lpwstr>https://ec.europa.eu/regional_policy/assets/regional-competitiveness/index.html</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NRS 2030 (2022)</dc:title>
  <dc:subject/>
  <dc:creator/>
  <cp:keywords>0123</cp:keywords>
  <dc:description/>
  <cp:lastModifiedBy/>
  <cp:revision>1</cp:revision>
  <dcterms:created xsi:type="dcterms:W3CDTF">2024-01-22T13:41:00Z</dcterms:created>
  <dcterms:modified xsi:type="dcterms:W3CDTF">2024-01-31T09:48:00Z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0x0101000523CAAC38371245AEFDE3FB1B578B08</vt:lpwstr>
  </property>
  <property fmtid="{D5CDD505-2E9C-101B-9397-08002B2CF9AE}" pid="3" name="MediaServiceImageTags">
    <vt:lpwstr/>
  </property>
  <property fmtid="{D5CDD505-2E9C-101B-9397-08002B2CF9AE}" pid="4" name="_dlc_DocIdItemGuid">
    <vt:lpwstr>67dec286-aac7-46f7-a098-562a2889936e</vt:lpwstr>
  </property>
  <property fmtid="{D5CDD505-2E9C-101B-9397-08002B2CF9AE}" pid="5" name="GrammarlyDocumentId">
    <vt:lpwstr>84c584ffff339e439ad6d570292d64652be2963856ba9adf671ccf4915e831ff</vt:lpwstr>
  </property>
</Properties>
</file>