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8E14A" w14:textId="77777777" w:rsidR="002D01E1" w:rsidRDefault="002D01E1" w:rsidP="000D3FF3">
      <w:pPr>
        <w:pStyle w:val="t-9-8"/>
        <w:spacing w:before="0" w:beforeAutospacing="0" w:after="0" w:afterAutospacing="0"/>
        <w:jc w:val="right"/>
        <w:rPr>
          <w:color w:val="000000"/>
        </w:rPr>
      </w:pPr>
    </w:p>
    <w:p w14:paraId="6437C566" w14:textId="77777777" w:rsidR="002D01E1" w:rsidRPr="0051599E" w:rsidRDefault="002D01E1" w:rsidP="002D01E1">
      <w:pPr>
        <w:spacing w:before="103"/>
        <w:jc w:val="center"/>
        <w:rPr>
          <w:rFonts w:eastAsia="Times New Roman" w:cs="Times New Roman"/>
          <w:szCs w:val="24"/>
          <w:lang w:eastAsia="hr-HR"/>
        </w:rPr>
      </w:pPr>
      <w:r w:rsidRPr="0051599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36B71B63" wp14:editId="29A286D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99E">
        <w:rPr>
          <w:rFonts w:eastAsia="Times New Roman" w:cs="Times New Roman"/>
          <w:szCs w:val="24"/>
          <w:lang w:eastAsia="hr-HR"/>
        </w:rPr>
        <w:fldChar w:fldCharType="begin"/>
      </w:r>
      <w:r w:rsidRPr="0051599E">
        <w:rPr>
          <w:rFonts w:eastAsia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51599E">
        <w:rPr>
          <w:rFonts w:eastAsia="Times New Roman" w:cs="Times New Roman"/>
          <w:szCs w:val="24"/>
          <w:lang w:eastAsia="hr-HR"/>
        </w:rPr>
        <w:fldChar w:fldCharType="end"/>
      </w:r>
    </w:p>
    <w:p w14:paraId="4A9CBB16" w14:textId="77777777" w:rsidR="002D01E1" w:rsidRPr="002D01E1" w:rsidRDefault="002D01E1" w:rsidP="002D01E1">
      <w:pPr>
        <w:spacing w:before="103" w:after="1680"/>
        <w:jc w:val="center"/>
        <w:rPr>
          <w:rFonts w:eastAsia="Times New Roman" w:cs="Times New Roman"/>
          <w:sz w:val="28"/>
          <w:szCs w:val="24"/>
          <w:lang w:eastAsia="hr-HR"/>
        </w:rPr>
      </w:pPr>
      <w:r w:rsidRPr="002D01E1">
        <w:rPr>
          <w:rFonts w:eastAsia="Times New Roman" w:cs="Times New Roman"/>
          <w:sz w:val="28"/>
          <w:szCs w:val="24"/>
          <w:lang w:eastAsia="hr-HR"/>
        </w:rPr>
        <w:t>VLADA REPUBLIKE HRVATSKE</w:t>
      </w:r>
    </w:p>
    <w:p w14:paraId="79C21D72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26F0922E" w14:textId="70DADED6" w:rsidR="002D01E1" w:rsidRPr="002D01E1" w:rsidRDefault="002D01E1" w:rsidP="002D01E1">
      <w:pPr>
        <w:spacing w:before="103" w:after="2400"/>
        <w:jc w:val="right"/>
        <w:rPr>
          <w:rFonts w:eastAsia="Times New Roman" w:cs="Times New Roman"/>
          <w:szCs w:val="24"/>
          <w:lang w:eastAsia="hr-HR"/>
        </w:rPr>
      </w:pPr>
      <w:r w:rsidRPr="002D01E1">
        <w:rPr>
          <w:rFonts w:eastAsia="Times New Roman" w:cs="Times New Roman"/>
          <w:szCs w:val="24"/>
          <w:lang w:eastAsia="hr-HR"/>
        </w:rPr>
        <w:t xml:space="preserve">Zagreb, </w:t>
      </w:r>
      <w:r w:rsidR="00884B4A">
        <w:rPr>
          <w:rFonts w:eastAsia="Times New Roman" w:cs="Times New Roman"/>
          <w:szCs w:val="24"/>
          <w:lang w:eastAsia="hr-HR"/>
        </w:rPr>
        <w:t>8. veljače</w:t>
      </w:r>
      <w:r w:rsidRPr="002D01E1">
        <w:rPr>
          <w:rFonts w:eastAsia="Times New Roman" w:cs="Times New Roman"/>
          <w:szCs w:val="24"/>
          <w:lang w:eastAsia="hr-HR"/>
        </w:rPr>
        <w:t xml:space="preserve"> 2024.</w:t>
      </w:r>
    </w:p>
    <w:p w14:paraId="7624BA9C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  <w:r w:rsidRPr="002D01E1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6985408C" w14:textId="77777777" w:rsidR="002D01E1" w:rsidRPr="002D01E1" w:rsidRDefault="002D01E1" w:rsidP="002D01E1">
      <w:pPr>
        <w:tabs>
          <w:tab w:val="right" w:pos="1701"/>
          <w:tab w:val="left" w:pos="1843"/>
        </w:tabs>
        <w:spacing w:before="103"/>
        <w:ind w:left="1843" w:hanging="1843"/>
        <w:jc w:val="both"/>
        <w:rPr>
          <w:rFonts w:eastAsia="Times New Roman" w:cs="Times New Roman"/>
          <w:b/>
          <w:smallCaps/>
          <w:szCs w:val="24"/>
          <w:lang w:eastAsia="hr-HR"/>
        </w:rPr>
        <w:sectPr w:rsidR="002D01E1" w:rsidRPr="002D01E1" w:rsidSect="00E44CF1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D01E1" w:rsidRPr="002D01E1" w14:paraId="71D9D166" w14:textId="77777777" w:rsidTr="00AE0BE3">
        <w:tc>
          <w:tcPr>
            <w:tcW w:w="1951" w:type="dxa"/>
            <w:shd w:val="clear" w:color="auto" w:fill="auto"/>
          </w:tcPr>
          <w:p w14:paraId="380A34EB" w14:textId="77777777" w:rsidR="002D01E1" w:rsidRPr="002D01E1" w:rsidRDefault="002D01E1" w:rsidP="002D01E1">
            <w:pPr>
              <w:spacing w:before="103"/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2D01E1">
              <w:rPr>
                <w:rFonts w:eastAsia="Times New Roman" w:cs="Times New Roman"/>
                <w:b/>
                <w:smallCaps/>
                <w:szCs w:val="24"/>
                <w:lang w:eastAsia="hr-HR"/>
              </w:rPr>
              <w:t>Predlagatelj</w:t>
            </w:r>
            <w:r w:rsidRPr="002D01E1">
              <w:rPr>
                <w:rFonts w:eastAsia="Times New Roman" w:cs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A9CF116" w14:textId="77777777" w:rsidR="002D01E1" w:rsidRPr="002D01E1" w:rsidRDefault="002D01E1" w:rsidP="002D01E1">
            <w:pPr>
              <w:spacing w:before="103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2D01E1">
              <w:rPr>
                <w:rFonts w:eastAsia="Times New Roman" w:cs="Times New Roman"/>
                <w:szCs w:val="24"/>
                <w:lang w:eastAsia="hr-HR"/>
              </w:rPr>
              <w:t>Ministarstvo financija</w:t>
            </w:r>
          </w:p>
        </w:tc>
      </w:tr>
    </w:tbl>
    <w:p w14:paraId="4C43325C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  <w:r w:rsidRPr="002D01E1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48EFDA73" w14:textId="77777777" w:rsidR="002D01E1" w:rsidRPr="002D01E1" w:rsidRDefault="002D01E1" w:rsidP="002D01E1">
      <w:pPr>
        <w:tabs>
          <w:tab w:val="right" w:pos="1701"/>
          <w:tab w:val="left" w:pos="1843"/>
        </w:tabs>
        <w:spacing w:before="103"/>
        <w:ind w:left="1843" w:hanging="1843"/>
        <w:jc w:val="both"/>
        <w:rPr>
          <w:rFonts w:eastAsia="Times New Roman" w:cs="Times New Roman"/>
          <w:b/>
          <w:smallCaps/>
          <w:szCs w:val="24"/>
          <w:lang w:eastAsia="hr-HR"/>
        </w:rPr>
        <w:sectPr w:rsidR="002D01E1" w:rsidRPr="002D01E1" w:rsidSect="006B5B4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D01E1" w:rsidRPr="002D01E1" w14:paraId="31E8B999" w14:textId="77777777" w:rsidTr="00AE0BE3">
        <w:trPr>
          <w:trHeight w:val="275"/>
        </w:trPr>
        <w:tc>
          <w:tcPr>
            <w:tcW w:w="1951" w:type="dxa"/>
            <w:shd w:val="clear" w:color="auto" w:fill="auto"/>
          </w:tcPr>
          <w:p w14:paraId="349C3E40" w14:textId="77777777" w:rsidR="002D01E1" w:rsidRPr="002D01E1" w:rsidRDefault="002D01E1" w:rsidP="002D01E1">
            <w:pPr>
              <w:spacing w:before="103"/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2D01E1">
              <w:rPr>
                <w:rFonts w:eastAsia="Times New Roman" w:cs="Times New Roman"/>
                <w:b/>
                <w:smallCaps/>
                <w:szCs w:val="24"/>
                <w:lang w:eastAsia="hr-HR"/>
              </w:rPr>
              <w:t>Predmet</w:t>
            </w:r>
            <w:r w:rsidRPr="002D01E1">
              <w:rPr>
                <w:rFonts w:eastAsia="Times New Roman" w:cs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90CFA3C" w14:textId="77777777" w:rsidR="002D01E1" w:rsidRPr="002D01E1" w:rsidRDefault="002D01E1" w:rsidP="002D01E1">
            <w:pPr>
              <w:spacing w:before="103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2D01E1">
              <w:rPr>
                <w:rFonts w:eastAsia="Times New Roman" w:cs="Times New Roman"/>
                <w:bCs/>
                <w:szCs w:val="24"/>
                <w:lang w:eastAsia="hr-HR"/>
              </w:rPr>
              <w:t>Prijedlog odluke o visini dnevnice za službeno putovanje u inozemstvo za korisnike koji se financiraju iz sredstava državnog proračuna</w:t>
            </w:r>
          </w:p>
        </w:tc>
      </w:tr>
    </w:tbl>
    <w:p w14:paraId="4824E857" w14:textId="77777777" w:rsidR="002D01E1" w:rsidRPr="002D01E1" w:rsidRDefault="002D01E1" w:rsidP="002D01E1">
      <w:pPr>
        <w:tabs>
          <w:tab w:val="left" w:pos="1843"/>
        </w:tabs>
        <w:spacing w:before="103"/>
        <w:ind w:left="1843" w:hanging="1843"/>
        <w:jc w:val="both"/>
        <w:rPr>
          <w:rFonts w:eastAsia="Times New Roman" w:cs="Times New Roman"/>
          <w:szCs w:val="24"/>
          <w:lang w:eastAsia="hr-HR"/>
        </w:rPr>
      </w:pPr>
      <w:r w:rsidRPr="002D01E1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4AF22F91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48179EF9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4D3A935E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5B345FFA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0352EA11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1EEA4566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1C752EE1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56942988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0D0A1E4D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583925EB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2370A02F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32BDEF8F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3B9C1B8A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6ED947C2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20A2DA62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</w:pPr>
    </w:p>
    <w:p w14:paraId="22A0B3A6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szCs w:val="24"/>
          <w:lang w:eastAsia="hr-HR"/>
        </w:rPr>
        <w:sectPr w:rsidR="002D01E1" w:rsidRPr="002D01E1" w:rsidSect="006B5B4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A18BD2D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  <w:r w:rsidRPr="002D01E1">
        <w:rPr>
          <w:rFonts w:eastAsia="Times New Roman" w:cs="Times New Roman"/>
          <w:b/>
          <w:bCs/>
          <w:szCs w:val="24"/>
          <w:lang w:eastAsia="hr-HR"/>
        </w:rPr>
        <w:lastRenderedPageBreak/>
        <w:t>VLADA REPUBLIKE HRVATSKE</w:t>
      </w:r>
    </w:p>
    <w:p w14:paraId="721E20F7" w14:textId="77777777" w:rsidR="002D01E1" w:rsidRPr="002D01E1" w:rsidRDefault="002D01E1" w:rsidP="002D01E1">
      <w:pPr>
        <w:pBdr>
          <w:bottom w:val="single" w:sz="12" w:space="1" w:color="auto"/>
        </w:pBd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08E397B9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14:paraId="1E404E94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14:paraId="24134A5A" w14:textId="77777777" w:rsidR="002D01E1" w:rsidRPr="002D01E1" w:rsidRDefault="002D01E1" w:rsidP="002D01E1">
      <w:pPr>
        <w:spacing w:before="103"/>
        <w:ind w:left="7200"/>
        <w:jc w:val="both"/>
        <w:rPr>
          <w:rFonts w:eastAsia="Times New Roman" w:cs="Times New Roman"/>
          <w:b/>
          <w:bCs/>
          <w:szCs w:val="24"/>
          <w:lang w:eastAsia="hr-HR"/>
        </w:rPr>
      </w:pPr>
      <w:r w:rsidRPr="002D01E1">
        <w:rPr>
          <w:rFonts w:eastAsia="Times New Roman" w:cs="Times New Roman"/>
          <w:b/>
          <w:bCs/>
          <w:szCs w:val="24"/>
          <w:lang w:eastAsia="hr-HR"/>
        </w:rPr>
        <w:tab/>
      </w:r>
      <w:r w:rsidRPr="002D01E1">
        <w:rPr>
          <w:rFonts w:eastAsia="Times New Roman" w:cs="Times New Roman"/>
          <w:b/>
          <w:bCs/>
          <w:szCs w:val="24"/>
          <w:lang w:eastAsia="hr-HR"/>
        </w:rPr>
        <w:tab/>
      </w:r>
      <w:r w:rsidRPr="002D01E1">
        <w:rPr>
          <w:rFonts w:eastAsia="Times New Roman" w:cs="Times New Roman"/>
          <w:b/>
          <w:bCs/>
          <w:szCs w:val="24"/>
          <w:lang w:eastAsia="hr-HR"/>
        </w:rPr>
        <w:tab/>
      </w:r>
      <w:r w:rsidRPr="002D01E1">
        <w:rPr>
          <w:rFonts w:eastAsia="Times New Roman" w:cs="Times New Roman"/>
          <w:b/>
          <w:bCs/>
          <w:szCs w:val="24"/>
          <w:lang w:eastAsia="hr-HR"/>
        </w:rPr>
        <w:tab/>
      </w:r>
      <w:r w:rsidRPr="002D01E1">
        <w:rPr>
          <w:rFonts w:eastAsia="Times New Roman" w:cs="Times New Roman"/>
          <w:b/>
          <w:bCs/>
          <w:szCs w:val="24"/>
          <w:lang w:eastAsia="hr-HR"/>
        </w:rPr>
        <w:tab/>
      </w:r>
      <w:r w:rsidRPr="002D01E1">
        <w:rPr>
          <w:rFonts w:eastAsia="Times New Roman" w:cs="Times New Roman"/>
          <w:b/>
          <w:bCs/>
          <w:szCs w:val="24"/>
          <w:lang w:eastAsia="hr-HR"/>
        </w:rPr>
        <w:tab/>
      </w:r>
      <w:r w:rsidRPr="002D01E1">
        <w:rPr>
          <w:rFonts w:eastAsia="Times New Roman" w:cs="Times New Roman"/>
          <w:b/>
          <w:bCs/>
          <w:szCs w:val="24"/>
          <w:lang w:eastAsia="hr-HR"/>
        </w:rPr>
        <w:tab/>
      </w:r>
    </w:p>
    <w:p w14:paraId="13181638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14:paraId="1E192CAD" w14:textId="77777777" w:rsidR="002D01E1" w:rsidRPr="002D01E1" w:rsidRDefault="002D01E1" w:rsidP="002D01E1">
      <w:pPr>
        <w:spacing w:before="103"/>
        <w:jc w:val="right"/>
        <w:rPr>
          <w:rFonts w:eastAsia="Times New Roman" w:cs="Times New Roman"/>
          <w:b/>
          <w:bCs/>
          <w:szCs w:val="24"/>
          <w:lang w:eastAsia="hr-HR"/>
        </w:rPr>
      </w:pPr>
    </w:p>
    <w:p w14:paraId="46D3A384" w14:textId="77777777" w:rsidR="002D01E1" w:rsidRPr="002D01E1" w:rsidRDefault="002D01E1" w:rsidP="002D01E1">
      <w:pPr>
        <w:spacing w:before="103"/>
        <w:jc w:val="right"/>
        <w:rPr>
          <w:rFonts w:eastAsia="Times New Roman" w:cs="Times New Roman"/>
          <w:b/>
          <w:bCs/>
          <w:szCs w:val="24"/>
          <w:lang w:eastAsia="hr-HR"/>
        </w:rPr>
      </w:pPr>
    </w:p>
    <w:p w14:paraId="4034E169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14:paraId="47B8468C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14:paraId="037734B1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14:paraId="0F2D16E3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14:paraId="4FD3B8DD" w14:textId="77777777" w:rsidR="002D01E1" w:rsidRPr="002D01E1" w:rsidRDefault="002D01E1" w:rsidP="002D01E1">
      <w:pPr>
        <w:spacing w:before="103"/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14:paraId="0867CB2F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  <w:r w:rsidRPr="002D01E1">
        <w:rPr>
          <w:rFonts w:eastAsia="Times New Roman" w:cs="Times New Roman"/>
          <w:b/>
          <w:bCs/>
          <w:szCs w:val="24"/>
          <w:lang w:eastAsia="hr-HR"/>
        </w:rPr>
        <w:t>PRIJEDLOG ODLUKE O VISINI DNEVNICE ZA SLUŽBENO PUTOVANJE U INOZEMSTVO ZA KORISNIKE KOJI SE FINANCIRAJU IZ SREDSTAVA DRŽAVNOG PRORAČUNA</w:t>
      </w:r>
    </w:p>
    <w:p w14:paraId="10EA75D6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0DB74938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4B809ED8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205A9279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4DB1E2CE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3C56D12D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69A38B1B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421C69E5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57173CEC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3189158F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730CD108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4DBC280D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46595636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6C4D2723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66E35B87" w14:textId="77777777" w:rsidR="002D01E1" w:rsidRPr="002D01E1" w:rsidRDefault="002D01E1" w:rsidP="002D01E1">
      <w:pPr>
        <w:spacing w:before="103"/>
        <w:jc w:val="center"/>
        <w:rPr>
          <w:rFonts w:eastAsia="Times New Roman" w:cs="Times New Roman"/>
          <w:b/>
          <w:bCs/>
          <w:szCs w:val="24"/>
          <w:lang w:eastAsia="hr-HR"/>
        </w:rPr>
      </w:pPr>
    </w:p>
    <w:p w14:paraId="3B3B46F3" w14:textId="6BF419C0" w:rsidR="002D01E1" w:rsidRPr="002D01E1" w:rsidRDefault="002D01E1" w:rsidP="002D01E1">
      <w:pPr>
        <w:spacing w:before="103"/>
        <w:jc w:val="center"/>
        <w:rPr>
          <w:rFonts w:ascii="Calibri" w:eastAsia="Calibri" w:hAnsi="Calibri" w:cs="Times New Roman"/>
          <w:sz w:val="22"/>
        </w:rPr>
      </w:pPr>
      <w:r w:rsidRPr="002D01E1">
        <w:rPr>
          <w:rFonts w:eastAsia="Times New Roman" w:cs="Times New Roman"/>
          <w:b/>
          <w:bCs/>
          <w:szCs w:val="24"/>
          <w:lang w:eastAsia="hr-HR"/>
        </w:rPr>
        <w:t xml:space="preserve">Zagreb, </w:t>
      </w:r>
      <w:r w:rsidR="00A01F1E">
        <w:rPr>
          <w:rFonts w:eastAsia="Times New Roman" w:cs="Times New Roman"/>
          <w:b/>
          <w:bCs/>
          <w:szCs w:val="24"/>
          <w:lang w:eastAsia="hr-HR"/>
        </w:rPr>
        <w:t>veljača</w:t>
      </w:r>
      <w:bookmarkStart w:id="0" w:name="_GoBack"/>
      <w:bookmarkEnd w:id="0"/>
      <w:r w:rsidRPr="002D01E1">
        <w:rPr>
          <w:rFonts w:eastAsia="Times New Roman" w:cs="Times New Roman"/>
          <w:b/>
          <w:bCs/>
          <w:szCs w:val="24"/>
          <w:lang w:eastAsia="hr-HR"/>
        </w:rPr>
        <w:t xml:space="preserve"> 2024.</w:t>
      </w:r>
    </w:p>
    <w:p w14:paraId="6C1DAA3F" w14:textId="77777777" w:rsidR="002D01E1" w:rsidRDefault="002D01E1">
      <w:pPr>
        <w:rPr>
          <w:rFonts w:eastAsia="Times New Roman" w:cs="Times New Roman"/>
          <w:color w:val="000000"/>
          <w:szCs w:val="24"/>
          <w:lang w:eastAsia="hr-HR"/>
        </w:rPr>
      </w:pPr>
    </w:p>
    <w:p w14:paraId="49192826" w14:textId="77777777" w:rsidR="002D01E1" w:rsidRDefault="002D01E1" w:rsidP="000D3FF3">
      <w:pPr>
        <w:pStyle w:val="t-9-8"/>
        <w:spacing w:before="0" w:beforeAutospacing="0" w:after="0" w:afterAutospacing="0"/>
        <w:jc w:val="right"/>
        <w:rPr>
          <w:color w:val="000000"/>
        </w:rPr>
      </w:pPr>
    </w:p>
    <w:p w14:paraId="65261DFB" w14:textId="77777777" w:rsidR="002D01E1" w:rsidRDefault="002D01E1">
      <w:pPr>
        <w:rPr>
          <w:rFonts w:eastAsia="Times New Roman" w:cs="Times New Roman"/>
          <w:color w:val="000000"/>
          <w:szCs w:val="24"/>
          <w:lang w:eastAsia="hr-HR"/>
        </w:rPr>
      </w:pPr>
      <w:r>
        <w:rPr>
          <w:color w:val="000000"/>
        </w:rPr>
        <w:br w:type="page"/>
      </w:r>
    </w:p>
    <w:p w14:paraId="025920C5" w14:textId="77777777" w:rsidR="00027F61" w:rsidRPr="00614F6D" w:rsidRDefault="00027F61" w:rsidP="000D3FF3">
      <w:pPr>
        <w:pStyle w:val="t-9-8"/>
        <w:spacing w:before="0" w:beforeAutospacing="0" w:after="0" w:afterAutospacing="0"/>
        <w:jc w:val="right"/>
        <w:rPr>
          <w:color w:val="000000"/>
        </w:rPr>
      </w:pPr>
      <w:r w:rsidRPr="00614F6D">
        <w:rPr>
          <w:color w:val="000000"/>
        </w:rPr>
        <w:lastRenderedPageBreak/>
        <w:t>PRIJEDLOG</w:t>
      </w:r>
    </w:p>
    <w:p w14:paraId="304ADF56" w14:textId="77777777" w:rsidR="00027F61" w:rsidRPr="00614F6D" w:rsidRDefault="00027F61" w:rsidP="000D3FF3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614F6D">
        <w:rPr>
          <w:color w:val="000000"/>
        </w:rPr>
        <w:t xml:space="preserve">Na temelju </w:t>
      </w:r>
      <w:r w:rsidR="007F2F3A">
        <w:rPr>
          <w:color w:val="000000"/>
        </w:rPr>
        <w:t xml:space="preserve">članka </w:t>
      </w:r>
      <w:r w:rsidR="007B7C92">
        <w:rPr>
          <w:color w:val="000000"/>
        </w:rPr>
        <w:t>29</w:t>
      </w:r>
      <w:r w:rsidR="007F2F3A">
        <w:rPr>
          <w:color w:val="000000"/>
        </w:rPr>
        <w:t xml:space="preserve">. </w:t>
      </w:r>
      <w:r w:rsidR="007B7C92">
        <w:rPr>
          <w:color w:val="000000"/>
        </w:rPr>
        <w:t xml:space="preserve">stavka 2. </w:t>
      </w:r>
      <w:r w:rsidR="007F2F3A">
        <w:rPr>
          <w:color w:val="000000"/>
        </w:rPr>
        <w:t xml:space="preserve">Zakona o izvršavanju Državnog proračuna </w:t>
      </w:r>
      <w:r w:rsidR="005D2B8A">
        <w:rPr>
          <w:color w:val="000000"/>
        </w:rPr>
        <w:t xml:space="preserve">Republike Hrvatske </w:t>
      </w:r>
      <w:r w:rsidR="00F77EC4">
        <w:rPr>
          <w:color w:val="000000"/>
        </w:rPr>
        <w:t>za 20</w:t>
      </w:r>
      <w:r w:rsidR="003F5500">
        <w:rPr>
          <w:color w:val="000000"/>
        </w:rPr>
        <w:t>2</w:t>
      </w:r>
      <w:r w:rsidR="007B7C92">
        <w:rPr>
          <w:color w:val="000000"/>
        </w:rPr>
        <w:t>4</w:t>
      </w:r>
      <w:r w:rsidR="007F2F3A">
        <w:rPr>
          <w:color w:val="000000"/>
        </w:rPr>
        <w:t xml:space="preserve">. </w:t>
      </w:r>
      <w:r w:rsidR="005D2B8A">
        <w:rPr>
          <w:color w:val="000000"/>
        </w:rPr>
        <w:t>g</w:t>
      </w:r>
      <w:r w:rsidR="0009422B">
        <w:rPr>
          <w:color w:val="000000"/>
        </w:rPr>
        <w:t>odinu (Narodne novine, br. 149/23</w:t>
      </w:r>
      <w:r w:rsidR="007F2F3A">
        <w:rPr>
          <w:color w:val="000000"/>
        </w:rPr>
        <w:t xml:space="preserve">) </w:t>
      </w:r>
      <w:r w:rsidRPr="00614F6D">
        <w:rPr>
          <w:color w:val="000000"/>
        </w:rPr>
        <w:t>Vlada Republike Hrvatske je n</w:t>
      </w:r>
      <w:r w:rsidR="000525AA">
        <w:rPr>
          <w:color w:val="000000"/>
        </w:rPr>
        <w:t>a</w:t>
      </w:r>
      <w:r w:rsidR="007B7C92">
        <w:rPr>
          <w:color w:val="000000"/>
        </w:rPr>
        <w:t xml:space="preserve"> sjednici održanoj ________ 2024</w:t>
      </w:r>
      <w:r w:rsidRPr="00614F6D">
        <w:rPr>
          <w:color w:val="000000"/>
        </w:rPr>
        <w:t>. godine donijela</w:t>
      </w:r>
    </w:p>
    <w:p w14:paraId="4366C1CF" w14:textId="77777777" w:rsidR="007407F9" w:rsidRPr="00614F6D" w:rsidRDefault="007407F9" w:rsidP="000D3FF3">
      <w:pPr>
        <w:pStyle w:val="clanak-"/>
        <w:spacing w:before="0" w:beforeAutospacing="0" w:after="0" w:afterAutospacing="0"/>
        <w:rPr>
          <w:color w:val="000000"/>
        </w:rPr>
      </w:pPr>
    </w:p>
    <w:p w14:paraId="5825EB54" w14:textId="77777777" w:rsidR="00B31A73" w:rsidRPr="00614F6D" w:rsidRDefault="00B31A73" w:rsidP="000D3FF3">
      <w:pPr>
        <w:pStyle w:val="tb-na16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614F6D">
        <w:rPr>
          <w:bCs w:val="0"/>
          <w:color w:val="000000"/>
          <w:sz w:val="24"/>
          <w:szCs w:val="24"/>
        </w:rPr>
        <w:t xml:space="preserve">ODLUKU O VISINI </w:t>
      </w:r>
      <w:r w:rsidR="003F5500">
        <w:rPr>
          <w:bCs w:val="0"/>
          <w:color w:val="000000"/>
          <w:sz w:val="24"/>
          <w:szCs w:val="24"/>
        </w:rPr>
        <w:t>DNEVNICE</w:t>
      </w:r>
      <w:r w:rsidRPr="00614F6D">
        <w:rPr>
          <w:bCs w:val="0"/>
          <w:color w:val="000000"/>
          <w:sz w:val="24"/>
          <w:szCs w:val="24"/>
        </w:rPr>
        <w:t xml:space="preserve"> </w:t>
      </w:r>
      <w:r w:rsidR="003F5500">
        <w:rPr>
          <w:bCs w:val="0"/>
          <w:color w:val="000000"/>
          <w:sz w:val="24"/>
          <w:szCs w:val="24"/>
        </w:rPr>
        <w:t>ZA SLUŽBENO PUTOVANJE U INOZEMSTVO</w:t>
      </w:r>
    </w:p>
    <w:p w14:paraId="41C1DA25" w14:textId="77777777" w:rsidR="0076560E" w:rsidRPr="00614F6D" w:rsidRDefault="003F5500" w:rsidP="000D3FF3">
      <w:pPr>
        <w:pStyle w:val="tb-na16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ZA KORISNIKE KOJI SE FINANCIRAJU IZ SREDST</w:t>
      </w:r>
      <w:r w:rsidR="00E55D37">
        <w:rPr>
          <w:bCs w:val="0"/>
          <w:color w:val="000000"/>
          <w:sz w:val="24"/>
          <w:szCs w:val="24"/>
        </w:rPr>
        <w:t>A</w:t>
      </w:r>
      <w:r>
        <w:rPr>
          <w:bCs w:val="0"/>
          <w:color w:val="000000"/>
          <w:sz w:val="24"/>
          <w:szCs w:val="24"/>
        </w:rPr>
        <w:t>VA</w:t>
      </w:r>
      <w:r w:rsidR="000525AA">
        <w:rPr>
          <w:bCs w:val="0"/>
          <w:color w:val="000000"/>
          <w:sz w:val="24"/>
          <w:szCs w:val="24"/>
        </w:rPr>
        <w:t xml:space="preserve"> DRŽAVNOG PRORAČUNA</w:t>
      </w:r>
    </w:p>
    <w:p w14:paraId="44DA951C" w14:textId="77777777" w:rsidR="007407F9" w:rsidRPr="00614F6D" w:rsidRDefault="007407F9" w:rsidP="000D3FF3">
      <w:pPr>
        <w:pStyle w:val="clanak-"/>
        <w:spacing w:before="0" w:beforeAutospacing="0" w:after="0" w:afterAutospacing="0"/>
        <w:jc w:val="left"/>
        <w:rPr>
          <w:b/>
          <w:color w:val="000000"/>
        </w:rPr>
      </w:pPr>
    </w:p>
    <w:p w14:paraId="10971A95" w14:textId="77777777" w:rsidR="000D3FF3" w:rsidRPr="00614F6D" w:rsidRDefault="000D3FF3" w:rsidP="000D3FF3">
      <w:pPr>
        <w:pStyle w:val="clanak-"/>
        <w:spacing w:before="0" w:beforeAutospacing="0" w:after="0" w:afterAutospacing="0"/>
        <w:ind w:left="720"/>
        <w:jc w:val="left"/>
        <w:rPr>
          <w:b/>
          <w:color w:val="000000"/>
        </w:rPr>
      </w:pPr>
    </w:p>
    <w:p w14:paraId="0FE37D94" w14:textId="77777777" w:rsidR="006047AF" w:rsidRPr="00614F6D" w:rsidRDefault="00027F61" w:rsidP="001A4ADA">
      <w:pPr>
        <w:pStyle w:val="clanak-"/>
        <w:spacing w:before="240" w:beforeAutospacing="0" w:after="0" w:afterAutospacing="0"/>
        <w:rPr>
          <w:b/>
          <w:color w:val="000000"/>
        </w:rPr>
      </w:pPr>
      <w:r w:rsidRPr="00614F6D">
        <w:rPr>
          <w:b/>
          <w:color w:val="000000"/>
        </w:rPr>
        <w:t>I.</w:t>
      </w:r>
    </w:p>
    <w:p w14:paraId="25555A21" w14:textId="77777777" w:rsidR="000525AA" w:rsidRDefault="000525AA" w:rsidP="001A4ADA">
      <w:pPr>
        <w:spacing w:before="240"/>
        <w:jc w:val="both"/>
        <w:rPr>
          <w:bCs/>
        </w:rPr>
      </w:pPr>
      <w:r>
        <w:rPr>
          <w:bCs/>
        </w:rPr>
        <w:t>Dnevnica za službeno putovanje u inozemstvo za korisnike koji se financiraju iz sredstava</w:t>
      </w:r>
      <w:r w:rsidR="00D10A77">
        <w:rPr>
          <w:bCs/>
        </w:rPr>
        <w:t xml:space="preserve"> državnog</w:t>
      </w:r>
      <w:r>
        <w:rPr>
          <w:bCs/>
        </w:rPr>
        <w:t xml:space="preserve"> proračuna, kojima se ti troškovi priznaju u materijalne troškove, za pojedine države</w:t>
      </w:r>
      <w:r w:rsidR="00AC1002">
        <w:rPr>
          <w:bCs/>
        </w:rPr>
        <w:t>/područja</w:t>
      </w:r>
      <w:r>
        <w:rPr>
          <w:bCs/>
        </w:rPr>
        <w:t xml:space="preserve"> iznosi:</w:t>
      </w:r>
    </w:p>
    <w:p w14:paraId="566F62C7" w14:textId="77777777" w:rsidR="000525AA" w:rsidRDefault="000525AA" w:rsidP="000D3FF3">
      <w:pPr>
        <w:rPr>
          <w:bCs/>
        </w:rPr>
      </w:pPr>
    </w:p>
    <w:p w14:paraId="0A2D4E61" w14:textId="77777777" w:rsidR="000525AA" w:rsidRDefault="000525AA" w:rsidP="000D3FF3">
      <w:pPr>
        <w:rPr>
          <w:bCs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36"/>
        <w:gridCol w:w="4504"/>
        <w:gridCol w:w="4394"/>
      </w:tblGrid>
      <w:tr w:rsidR="005658B3" w:rsidRPr="005658B3" w14:paraId="04DEC90D" w14:textId="77777777" w:rsidTr="00B13BFA">
        <w:trPr>
          <w:trHeight w:val="141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89CD" w14:textId="77777777" w:rsidR="005658B3" w:rsidRPr="005658B3" w:rsidRDefault="005658B3" w:rsidP="005658B3">
            <w:pPr>
              <w:rPr>
                <w:rFonts w:eastAsia="Times New Roman" w:cs="Times New Roman"/>
                <w:b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b/>
                <w:sz w:val="22"/>
                <w:lang w:eastAsia="hr-HR"/>
              </w:rPr>
              <w:t>RED. BR.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378B" w14:textId="77777777" w:rsidR="005658B3" w:rsidRPr="005658B3" w:rsidRDefault="00E45634" w:rsidP="005658B3">
            <w:pPr>
              <w:jc w:val="center"/>
              <w:rPr>
                <w:rFonts w:eastAsia="Times New Roman" w:cs="Times New Roman"/>
                <w:b/>
                <w:sz w:val="22"/>
                <w:lang w:eastAsia="hr-HR"/>
              </w:rPr>
            </w:pPr>
            <w:r>
              <w:rPr>
                <w:rFonts w:eastAsia="Calibri" w:cs="Times New Roman"/>
                <w:b/>
                <w:szCs w:val="24"/>
              </w:rPr>
              <w:t>IME</w:t>
            </w:r>
            <w:r w:rsidR="005658B3" w:rsidRPr="005658B3">
              <w:rPr>
                <w:rFonts w:eastAsia="Calibri" w:cs="Times New Roman"/>
                <w:b/>
                <w:szCs w:val="24"/>
              </w:rPr>
              <w:t xml:space="preserve"> DRŽAVE</w:t>
            </w:r>
            <w:r w:rsidR="00AC1002">
              <w:rPr>
                <w:rFonts w:eastAsia="Calibri" w:cs="Times New Roman"/>
                <w:b/>
                <w:szCs w:val="24"/>
              </w:rPr>
              <w:t>/</w:t>
            </w:r>
            <w:r>
              <w:rPr>
                <w:rFonts w:eastAsia="Calibri" w:cs="Times New Roman"/>
                <w:b/>
                <w:szCs w:val="24"/>
              </w:rPr>
              <w:t xml:space="preserve">NAZIV </w:t>
            </w:r>
            <w:r w:rsidR="00AC1002">
              <w:rPr>
                <w:rFonts w:eastAsia="Calibri" w:cs="Times New Roman"/>
                <w:b/>
                <w:szCs w:val="24"/>
              </w:rPr>
              <w:t>PODRUČJA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A092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b/>
                <w:sz w:val="22"/>
                <w:lang w:eastAsia="hr-HR"/>
              </w:rPr>
            </w:pPr>
            <w:r>
              <w:rPr>
                <w:rFonts w:eastAsia="Calibri" w:cs="Times New Roman"/>
                <w:b/>
                <w:szCs w:val="24"/>
              </w:rPr>
              <w:t>IZNOS DNEVNICE</w:t>
            </w:r>
          </w:p>
        </w:tc>
      </w:tr>
      <w:tr w:rsidR="005658B3" w:rsidRPr="005658B3" w14:paraId="7F702D6F" w14:textId="77777777" w:rsidTr="00B13BFA">
        <w:trPr>
          <w:trHeight w:val="3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9A30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128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Islamska Republika Afganistan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B9CF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7500ED3F" w14:textId="77777777" w:rsidTr="001A4ADA">
        <w:trPr>
          <w:trHeight w:val="17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099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2.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A37A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Albanija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5830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EUR</w:t>
            </w:r>
          </w:p>
        </w:tc>
      </w:tr>
      <w:tr w:rsidR="005658B3" w:rsidRPr="005658B3" w14:paraId="2622362E" w14:textId="77777777" w:rsidTr="001A4ADA">
        <w:trPr>
          <w:trHeight w:val="2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727D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3.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EC4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Alžirska Narodna Demokratska Republika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A860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2070D384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4B3F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4.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5CC4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Kneževina Andora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C3D7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69CB3EE2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4293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D026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Angola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3E56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3934692E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558B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6.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8F7C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Argentinska Republika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7A8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55,00 USD</w:t>
            </w:r>
          </w:p>
        </w:tc>
      </w:tr>
      <w:tr w:rsidR="005658B3" w:rsidRPr="005658B3" w14:paraId="007467F5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8B0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9CA5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Armenija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556F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EUR</w:t>
            </w:r>
          </w:p>
        </w:tc>
      </w:tr>
      <w:tr w:rsidR="005658B3" w:rsidRPr="005658B3" w14:paraId="3742A54F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D34F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451B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Australija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061E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100,00 USD</w:t>
            </w:r>
          </w:p>
        </w:tc>
      </w:tr>
      <w:tr w:rsidR="005658B3" w:rsidRPr="005658B3" w14:paraId="0051988E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9D92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A3A9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Austrija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5806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617C1DF8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1FC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10.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FFB8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Azerbajdžan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34EC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55,00 USD</w:t>
            </w:r>
          </w:p>
        </w:tc>
      </w:tr>
      <w:tr w:rsidR="005658B3" w:rsidRPr="005658B3" w14:paraId="7DBCC262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A3EF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11.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F6CB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Kraljevina Belgija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409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19C08A34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36F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12.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7ED2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 Bjelarus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223E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EUR</w:t>
            </w:r>
          </w:p>
        </w:tc>
      </w:tr>
      <w:tr w:rsidR="005658B3" w:rsidRPr="005658B3" w14:paraId="62B7CFEC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B307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13.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C79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Višenacionalna Država Bolivija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DB74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456388F8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8852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14.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87BB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Bosna i Hercegovina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F7E3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EUR</w:t>
            </w:r>
          </w:p>
        </w:tc>
      </w:tr>
      <w:tr w:rsidR="005658B3" w:rsidRPr="005658B3" w14:paraId="551B72EF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7334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15.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54F3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Savezna Republika Brazil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DDEC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55,00 USD</w:t>
            </w:r>
          </w:p>
        </w:tc>
      </w:tr>
      <w:tr w:rsidR="005658B3" w:rsidRPr="005658B3" w14:paraId="1A0A4E8E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309D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16.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BF31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Bugarska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192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70,00 EUR</w:t>
            </w:r>
          </w:p>
        </w:tc>
      </w:tr>
      <w:tr w:rsidR="005658B3" w:rsidRPr="005658B3" w14:paraId="761AC7D8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6020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17.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75F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Cipar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629C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80,00 EUR</w:t>
            </w:r>
          </w:p>
        </w:tc>
      </w:tr>
      <w:tr w:rsidR="005658B3" w:rsidRPr="005658B3" w14:paraId="7FB79F0B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AD1D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18.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3749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Crna Gora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A7D6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EUR</w:t>
            </w:r>
          </w:p>
        </w:tc>
      </w:tr>
      <w:tr w:rsidR="005658B3" w:rsidRPr="005658B3" w14:paraId="3331ABEE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7530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19.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8696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Češka Republika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DB4B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80,00 EUR</w:t>
            </w:r>
          </w:p>
        </w:tc>
      </w:tr>
      <w:tr w:rsidR="005658B3" w:rsidRPr="005658B3" w14:paraId="48715F71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A194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20.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759F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Čile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19D9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55,00 USD</w:t>
            </w:r>
          </w:p>
        </w:tc>
      </w:tr>
      <w:tr w:rsidR="005658B3" w:rsidRPr="005658B3" w14:paraId="585ACC7D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4213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21.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AC71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Kraljevina Danska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4736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0FCF4630" w14:textId="77777777" w:rsidTr="001A4ADA">
        <w:trPr>
          <w:trHeight w:val="31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CA80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22.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6A57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Demokratska Narodna Republika Koreja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5D48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1B731ABF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474D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23.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20BB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Arapska Republika Egipat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B8C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55,00 USD</w:t>
            </w:r>
          </w:p>
        </w:tc>
      </w:tr>
      <w:tr w:rsidR="005658B3" w:rsidRPr="005658B3" w14:paraId="5D237D85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BF8B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24.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0D25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Estonija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E929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80,00 EUR</w:t>
            </w:r>
          </w:p>
        </w:tc>
      </w:tr>
      <w:tr w:rsidR="005658B3" w:rsidRPr="005658B3" w14:paraId="42609125" w14:textId="77777777" w:rsidTr="001A4ADA">
        <w:trPr>
          <w:trHeight w:val="33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36ED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25.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F33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Savezna Demokratska Republika Etiopija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86DD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48273F81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0F83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26.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CA9D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Filipini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C173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37CF375C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12E7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27.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5F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Finska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F574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45CEFBF1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A48F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28.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B726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Francuska Republika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054B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57DF9371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365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29.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A12D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Helenska Republika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F9C4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70,00 EUR</w:t>
            </w:r>
          </w:p>
        </w:tc>
      </w:tr>
      <w:tr w:rsidR="005658B3" w:rsidRPr="005658B3" w14:paraId="7ACD2AAE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3B94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30.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7B54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Gruzija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01D6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EUR</w:t>
            </w:r>
          </w:p>
        </w:tc>
      </w:tr>
      <w:tr w:rsidR="005658B3" w:rsidRPr="005658B3" w14:paraId="68D74101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6167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31.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091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Indija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ED7A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09A0AE78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A958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lastRenderedPageBreak/>
              <w:t>32.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509D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Indonezija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FD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2A348C37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DBED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33.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4F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Irak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3B58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60,00 USD</w:t>
            </w:r>
          </w:p>
        </w:tc>
      </w:tr>
      <w:tr w:rsidR="005658B3" w:rsidRPr="005658B3" w14:paraId="4FE01D57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ED60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34.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5C14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Islamska Republika Iran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7429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60,00 USD</w:t>
            </w:r>
          </w:p>
        </w:tc>
      </w:tr>
      <w:tr w:rsidR="005658B3" w:rsidRPr="005658B3" w14:paraId="7C8DBB9C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6147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35.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D65C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Irska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3AAD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21176F00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BC9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36.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21A2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Island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81A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23EE1225" w14:textId="77777777" w:rsidTr="00B13BFA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8BA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37.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841C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Talijanska Republika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D63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80,00 EUR</w:t>
            </w:r>
          </w:p>
        </w:tc>
      </w:tr>
      <w:tr w:rsidR="005658B3" w:rsidRPr="005658B3" w14:paraId="433C5659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CB3D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38.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CD0A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Država Izrael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9F11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85,00 USD</w:t>
            </w:r>
          </w:p>
        </w:tc>
      </w:tr>
      <w:tr w:rsidR="005658B3" w:rsidRPr="005658B3" w14:paraId="659520F2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61E1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39.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F4DD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Jamajka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B380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62D029D8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00A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40.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C73C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Japan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F3BB" w14:textId="77777777" w:rsidR="005658B3" w:rsidRPr="005658B3" w:rsidRDefault="007B7C92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85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,00 USD</w:t>
            </w:r>
          </w:p>
        </w:tc>
      </w:tr>
      <w:tr w:rsidR="005658B3" w:rsidRPr="005658B3" w14:paraId="67601E79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264C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41.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21DB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Jemen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85C8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0F66C467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F979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42.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77EB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Hašemitska Kraljevina Jordan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27A5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7817A0A7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66A0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43.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05B4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Južna Afrika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B4B6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55,00 USD</w:t>
            </w:r>
          </w:p>
        </w:tc>
      </w:tr>
      <w:tr w:rsidR="005658B3" w:rsidRPr="005658B3" w14:paraId="723FDD56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0E4B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44.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352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Kanada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E8B3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100,00 USD</w:t>
            </w:r>
          </w:p>
        </w:tc>
      </w:tr>
      <w:tr w:rsidR="005658B3" w:rsidRPr="005658B3" w14:paraId="5B886013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22E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45.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D384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 xml:space="preserve">Država Katar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1445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100,00 USD</w:t>
            </w:r>
          </w:p>
        </w:tc>
      </w:tr>
      <w:tr w:rsidR="005658B3" w:rsidRPr="005658B3" w14:paraId="601B37AC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9DE9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46.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A16C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Kazahstan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ABC3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75,00 USD</w:t>
            </w:r>
          </w:p>
        </w:tc>
      </w:tr>
      <w:tr w:rsidR="005658B3" w:rsidRPr="005658B3" w14:paraId="76882D45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A78A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47.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1BB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Kenija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439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22227677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A39B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48.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4EBF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Narodna Republika Kina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BC45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55,00 USD</w:t>
            </w:r>
          </w:p>
        </w:tc>
      </w:tr>
      <w:tr w:rsidR="005658B3" w:rsidRPr="005658B3" w14:paraId="75B5465E" w14:textId="77777777" w:rsidTr="00B13BFA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6D14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49.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546F" w14:textId="77777777" w:rsidR="005658B3" w:rsidRPr="005658B3" w:rsidRDefault="005658B3" w:rsidP="007F08BF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 xml:space="preserve">Posebno </w:t>
            </w:r>
            <w:r w:rsidR="007F08BF">
              <w:rPr>
                <w:rFonts w:eastAsia="Times New Roman" w:cs="Times New Roman"/>
                <w:sz w:val="22"/>
                <w:lang w:eastAsia="hr-HR"/>
              </w:rPr>
              <w:t>u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 xml:space="preserve">pravno </w:t>
            </w:r>
            <w:r w:rsidR="007F08BF">
              <w:rPr>
                <w:rFonts w:eastAsia="Times New Roman" w:cs="Times New Roman"/>
                <w:sz w:val="22"/>
                <w:lang w:eastAsia="hr-HR"/>
              </w:rPr>
              <w:t>p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odručje Hong Kong</w:t>
            </w:r>
            <w:r w:rsidR="00AC1002">
              <w:rPr>
                <w:rFonts w:eastAsia="Times New Roman" w:cs="Times New Roman"/>
                <w:sz w:val="22"/>
                <w:lang w:eastAsia="hr-HR"/>
              </w:rPr>
              <w:t xml:space="preserve"> </w:t>
            </w:r>
            <w:r w:rsidR="007F08BF">
              <w:rPr>
                <w:rFonts w:eastAsia="Times New Roman" w:cs="Times New Roman"/>
                <w:sz w:val="22"/>
                <w:lang w:eastAsia="hr-HR"/>
              </w:rPr>
              <w:t>Narodne Republike Kine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FAB2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100,00 USD</w:t>
            </w:r>
          </w:p>
        </w:tc>
      </w:tr>
      <w:tr w:rsidR="005658B3" w:rsidRPr="005658B3" w14:paraId="5491DFDE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7DD5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50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2D9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 xml:space="preserve">Kirgiska Republika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ED0D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61109916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20CF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51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AB3F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Kolumbija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6813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55,00 USD</w:t>
            </w:r>
          </w:p>
        </w:tc>
      </w:tr>
      <w:tr w:rsidR="005658B3" w:rsidRPr="005658B3" w14:paraId="035FAE56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851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52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B7C5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Kongo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F36E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209EA969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D7E3" w14:textId="77777777" w:rsidR="005658B3" w:rsidRPr="005658B3" w:rsidRDefault="005658B3" w:rsidP="00DB1D28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3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CD3F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Kosovo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C30C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45,00 EUR</w:t>
            </w:r>
          </w:p>
        </w:tc>
      </w:tr>
      <w:tr w:rsidR="005658B3" w:rsidRPr="005658B3" w14:paraId="57F4CD3E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D2FA" w14:textId="77777777" w:rsidR="005658B3" w:rsidRPr="005658B3" w:rsidRDefault="005658B3" w:rsidP="00DB1D28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4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6C48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Kuba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C71F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5A18BCEC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A5AD" w14:textId="77777777" w:rsidR="005658B3" w:rsidRPr="005658B3" w:rsidRDefault="005658B3" w:rsidP="00DB1D28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5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DC19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Država Kuvajt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ADC2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85,00 USD</w:t>
            </w:r>
          </w:p>
        </w:tc>
      </w:tr>
      <w:tr w:rsidR="005658B3" w:rsidRPr="005658B3" w14:paraId="2A32DA81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9496" w14:textId="77777777" w:rsidR="005658B3" w:rsidRPr="005658B3" w:rsidRDefault="005658B3" w:rsidP="00425139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6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F2B7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Latvija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4779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70,00 EUR</w:t>
            </w:r>
          </w:p>
        </w:tc>
      </w:tr>
      <w:tr w:rsidR="005658B3" w:rsidRPr="005658B3" w14:paraId="37205170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4FEA" w14:textId="77777777" w:rsidR="005658B3" w:rsidRPr="005658B3" w:rsidRDefault="005658B3" w:rsidP="00DB1D28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7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C809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 xml:space="preserve">Libanonska Republika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B6D7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559C3F6E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0EED" w14:textId="77777777" w:rsidR="005658B3" w:rsidRPr="005658B3" w:rsidRDefault="005658B3" w:rsidP="00DB1D28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8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80BF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Liberija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19E6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72A11246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459C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59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6C07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Država Libija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3A23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55,00 USD</w:t>
            </w:r>
          </w:p>
        </w:tc>
      </w:tr>
      <w:tr w:rsidR="005658B3" w:rsidRPr="005658B3" w14:paraId="6FC36EDA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0529" w14:textId="77777777" w:rsidR="005658B3" w:rsidRPr="005658B3" w:rsidRDefault="00DB1D28" w:rsidP="00425139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6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0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C7F1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Kneževina Lihtenštajn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3E6C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80,00 EUR</w:t>
            </w:r>
          </w:p>
        </w:tc>
      </w:tr>
      <w:tr w:rsidR="005658B3" w:rsidRPr="005658B3" w14:paraId="1F43018B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52F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61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0CC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Litva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27C9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80,00 EUR</w:t>
            </w:r>
          </w:p>
        </w:tc>
      </w:tr>
      <w:tr w:rsidR="005658B3" w:rsidRPr="005658B3" w14:paraId="5750CA4E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FBD3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62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AEAF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Veliko Vojvodstvo Luksemburg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5207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42CED261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0487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63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81F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Mađarska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A3AD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70,00 EUR</w:t>
            </w:r>
          </w:p>
        </w:tc>
      </w:tr>
      <w:tr w:rsidR="005658B3" w:rsidRPr="005658B3" w14:paraId="48ADF48A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A55D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64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AE43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Malezija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1323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75,00 USD</w:t>
            </w:r>
          </w:p>
        </w:tc>
      </w:tr>
      <w:tr w:rsidR="005658B3" w:rsidRPr="005658B3" w14:paraId="32986876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2F45" w14:textId="77777777" w:rsidR="005658B3" w:rsidRPr="005658B3" w:rsidRDefault="005658B3" w:rsidP="00DB1D28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6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5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3B6F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Malta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1B92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06BF2FD2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4818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66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704C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Sjedinjene Meksičke Države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FA8F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55,00 USD</w:t>
            </w:r>
          </w:p>
        </w:tc>
      </w:tr>
      <w:tr w:rsidR="005658B3" w:rsidRPr="005658B3" w14:paraId="33FC494D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461B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67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6A34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Kneževina Monako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120D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80,00 EUR</w:t>
            </w:r>
          </w:p>
        </w:tc>
      </w:tr>
      <w:tr w:rsidR="005658B3" w:rsidRPr="005658B3" w14:paraId="1CF601F3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DADF" w14:textId="77777777" w:rsidR="005658B3" w:rsidRPr="005658B3" w:rsidRDefault="005658B3" w:rsidP="00DB1D28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6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8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9D4B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Mozambik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F886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389BD2C6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95E1" w14:textId="77777777" w:rsidR="005658B3" w:rsidRPr="005658B3" w:rsidRDefault="00425139" w:rsidP="00DB1D28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69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A0F8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Kraljevina Nizozemska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27D4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51F7F4E2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8FD" w14:textId="77777777" w:rsidR="005658B3" w:rsidRPr="005658B3" w:rsidRDefault="00DB1D28" w:rsidP="00425139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7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0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18D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Kraljevina Norveška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60CA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1C678250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513A" w14:textId="77777777" w:rsidR="005658B3" w:rsidRPr="005658B3" w:rsidRDefault="00DB1D28" w:rsidP="00425139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7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1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F0B7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Novi Zeland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83BB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85,00 USD</w:t>
            </w:r>
          </w:p>
        </w:tc>
      </w:tr>
      <w:tr w:rsidR="005658B3" w:rsidRPr="005658B3" w14:paraId="3D63CF60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07C3" w14:textId="77777777" w:rsidR="005658B3" w:rsidRPr="005658B3" w:rsidRDefault="005658B3" w:rsidP="00425139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2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8F5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Savezna Republika Njemačka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695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4F1B70BC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6945" w14:textId="77777777" w:rsidR="005658B3" w:rsidRPr="005658B3" w:rsidRDefault="005658B3" w:rsidP="00DB1D28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3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5C46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Islamska Republika Pakistan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BF6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3791B908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CA5D" w14:textId="77777777" w:rsidR="005658B3" w:rsidRPr="005658B3" w:rsidRDefault="005658B3" w:rsidP="00DB1D28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4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4B79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Panama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13D5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75,00 USD</w:t>
            </w:r>
          </w:p>
        </w:tc>
      </w:tr>
      <w:tr w:rsidR="005658B3" w:rsidRPr="005658B3" w14:paraId="639B1B68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475D" w14:textId="77777777" w:rsidR="005658B3" w:rsidRPr="005658B3" w:rsidRDefault="005658B3" w:rsidP="00DB1D28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5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A45C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Peru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34B6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55,00 USD</w:t>
            </w:r>
          </w:p>
        </w:tc>
      </w:tr>
      <w:tr w:rsidR="005658B3" w:rsidRPr="005658B3" w14:paraId="5C416F36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5732" w14:textId="77777777" w:rsidR="005658B3" w:rsidRPr="005658B3" w:rsidRDefault="005658B3" w:rsidP="00DB1D28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6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0105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Poljska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C6DA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70,00 EUR</w:t>
            </w:r>
          </w:p>
        </w:tc>
      </w:tr>
      <w:tr w:rsidR="005658B3" w:rsidRPr="005658B3" w14:paraId="32A0F03A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5889" w14:textId="77777777" w:rsidR="005658B3" w:rsidRPr="005658B3" w:rsidRDefault="005658B3" w:rsidP="00425139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7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B85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 xml:space="preserve">Portugalska Republika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886F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70,00 EUR</w:t>
            </w:r>
          </w:p>
        </w:tc>
      </w:tr>
      <w:tr w:rsidR="005658B3" w:rsidRPr="005658B3" w14:paraId="66E2ED65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BC1B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78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4C3F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Koreja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F111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85,00 USD</w:t>
            </w:r>
          </w:p>
        </w:tc>
      </w:tr>
      <w:tr w:rsidR="005658B3" w:rsidRPr="005658B3" w14:paraId="40C4384A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1BD3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79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4937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 Moldova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9B79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EUR</w:t>
            </w:r>
          </w:p>
        </w:tc>
      </w:tr>
      <w:tr w:rsidR="005658B3" w:rsidRPr="005658B3" w14:paraId="74FDA72D" w14:textId="77777777" w:rsidTr="001A4AD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45BA" w14:textId="77777777" w:rsidR="005658B3" w:rsidRPr="005658B3" w:rsidRDefault="005658B3" w:rsidP="00425139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0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B80C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 xml:space="preserve">Republika Sjeverna Makedonija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F7F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EUR</w:t>
            </w:r>
          </w:p>
        </w:tc>
      </w:tr>
      <w:tr w:rsidR="005658B3" w:rsidRPr="005658B3" w14:paraId="7417C81E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55EB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81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F9DB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Rumunjska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0619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70,00 EUR</w:t>
            </w:r>
          </w:p>
        </w:tc>
      </w:tr>
      <w:tr w:rsidR="005658B3" w:rsidRPr="005658B3" w14:paraId="32E0F335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1B56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82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9691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Ruska Federacija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4131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75,00 USD</w:t>
            </w:r>
          </w:p>
        </w:tc>
      </w:tr>
      <w:tr w:rsidR="005658B3" w:rsidRPr="005658B3" w14:paraId="461E6A87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FC23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83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BA48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 xml:space="preserve">Republika San Marino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7D4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084769E4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A712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84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11D6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Kraljevina Saudijska Arabija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36B5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100,00 USD</w:t>
            </w:r>
          </w:p>
        </w:tc>
      </w:tr>
      <w:tr w:rsidR="005658B3" w:rsidRPr="005658B3" w14:paraId="64840ADA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2C8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85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79E9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Senegal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D5E2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26B77915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3F89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86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4BA7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Singapur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1A2F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100,00 USD</w:t>
            </w:r>
          </w:p>
        </w:tc>
      </w:tr>
      <w:tr w:rsidR="005658B3" w:rsidRPr="005658B3" w14:paraId="14065A48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E5C8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87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0A9C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Sirijska Arapska Republika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0486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3D31B5D7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2837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88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9853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Sjedinjene Američke Države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99E5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100,00 USD</w:t>
            </w:r>
          </w:p>
        </w:tc>
      </w:tr>
      <w:tr w:rsidR="005658B3" w:rsidRPr="005658B3" w14:paraId="59C2E30B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D62B" w14:textId="77777777" w:rsidR="005658B3" w:rsidRPr="005658B3" w:rsidRDefault="00425139" w:rsidP="00425139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89.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FA06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Slovačka Republika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A02E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70,00 EUR</w:t>
            </w:r>
          </w:p>
        </w:tc>
      </w:tr>
      <w:tr w:rsidR="005658B3" w:rsidRPr="005658B3" w14:paraId="2DC934F4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1123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90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3405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Slovenija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8886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80,00 EUR</w:t>
            </w:r>
          </w:p>
        </w:tc>
      </w:tr>
      <w:tr w:rsidR="005658B3" w:rsidRPr="005658B3" w14:paraId="752A8EF8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37EE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91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5D49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Srbija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795C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EUR</w:t>
            </w:r>
          </w:p>
        </w:tc>
      </w:tr>
      <w:tr w:rsidR="005658B3" w:rsidRPr="005658B3" w14:paraId="03E4F44C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40B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92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4630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Sudan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7394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12C12EC1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C115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lastRenderedPageBreak/>
              <w:t>93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0252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Kraljevina Španjolska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C668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80,00 EUR</w:t>
            </w:r>
          </w:p>
        </w:tc>
      </w:tr>
      <w:tr w:rsidR="005658B3" w:rsidRPr="005658B3" w14:paraId="763E7D3C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6F54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94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B71A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Kraljevina Švedska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50E1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18872875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5B29" w14:textId="77777777" w:rsidR="005658B3" w:rsidRPr="005658B3" w:rsidRDefault="005658B3" w:rsidP="00425139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5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112D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Švicarska Konfederacija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F104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90,00 EUR</w:t>
            </w:r>
          </w:p>
        </w:tc>
      </w:tr>
      <w:tr w:rsidR="005658B3" w:rsidRPr="005658B3" w14:paraId="1298F6EA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C9AD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96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BC07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 Tadžikistan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2BA3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3FD50C27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3BAA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97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9544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Kraljevina Tajland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77F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55,00 USD</w:t>
            </w:r>
          </w:p>
        </w:tc>
      </w:tr>
      <w:tr w:rsidR="005658B3" w:rsidRPr="005658B3" w14:paraId="38D8FB7C" w14:textId="77777777" w:rsidTr="00B13BFA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05EA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98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C25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Tunis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5A67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23B383B1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8442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99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CB5E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Turkmenistan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A480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55,00 USD</w:t>
            </w:r>
          </w:p>
        </w:tc>
      </w:tr>
      <w:tr w:rsidR="005658B3" w:rsidRPr="005658B3" w14:paraId="63892A53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D1D4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100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7228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Turska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2E98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70,00 EUR</w:t>
            </w:r>
          </w:p>
        </w:tc>
      </w:tr>
      <w:tr w:rsidR="005658B3" w:rsidRPr="005658B3" w14:paraId="01C52BBC" w14:textId="77777777" w:rsidTr="00B13BFA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9955" w14:textId="77777777" w:rsidR="005658B3" w:rsidRPr="005658B3" w:rsidRDefault="00425139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>
              <w:rPr>
                <w:rFonts w:eastAsia="Times New Roman" w:cs="Times New Roman"/>
                <w:sz w:val="22"/>
                <w:lang w:eastAsia="hr-HR"/>
              </w:rPr>
              <w:t>101</w:t>
            </w:r>
            <w:r w:rsidR="005658B3"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09EC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Ujedinjena Kraljevina Velike Britanije i Sjeverne Irske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9DD7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80,00 EUR</w:t>
            </w:r>
          </w:p>
        </w:tc>
      </w:tr>
      <w:tr w:rsidR="005658B3" w:rsidRPr="005658B3" w14:paraId="37853B3F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6A9F" w14:textId="77777777" w:rsidR="005658B3" w:rsidRPr="005658B3" w:rsidRDefault="005658B3" w:rsidP="00425139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10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2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0665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Ujedinjeni Arapski Emirati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16BD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100,00 USD</w:t>
            </w:r>
          </w:p>
        </w:tc>
      </w:tr>
      <w:tr w:rsidR="005658B3" w:rsidRPr="005658B3" w14:paraId="2337B046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B54F" w14:textId="77777777" w:rsidR="005658B3" w:rsidRPr="005658B3" w:rsidRDefault="005658B3" w:rsidP="00425139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10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3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4DE0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Ukrajina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4A5D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70,00 EUR</w:t>
            </w:r>
          </w:p>
        </w:tc>
      </w:tr>
      <w:tr w:rsidR="005658B3" w:rsidRPr="005658B3" w14:paraId="25C8F55A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22C8" w14:textId="77777777" w:rsidR="005658B3" w:rsidRPr="005658B3" w:rsidRDefault="005658B3" w:rsidP="00425139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10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4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12B8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Republika Uzbekistan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024C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  <w:tr w:rsidR="005658B3" w:rsidRPr="005658B3" w14:paraId="0B3E0A42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4C12" w14:textId="77777777" w:rsidR="005658B3" w:rsidRPr="005658B3" w:rsidRDefault="005658B3" w:rsidP="00425139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10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5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283B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Država Vatikanskoga Grada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232C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80,00 EUR</w:t>
            </w:r>
          </w:p>
        </w:tc>
      </w:tr>
      <w:tr w:rsidR="005658B3" w:rsidRPr="005658B3" w14:paraId="0C09496A" w14:textId="77777777" w:rsidTr="00B13BFA">
        <w:trPr>
          <w:trHeight w:val="30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2D16" w14:textId="77777777" w:rsidR="005658B3" w:rsidRPr="005658B3" w:rsidRDefault="005658B3" w:rsidP="00425139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10</w:t>
            </w:r>
            <w:r w:rsidR="00425139">
              <w:rPr>
                <w:rFonts w:eastAsia="Times New Roman" w:cs="Times New Roman"/>
                <w:sz w:val="22"/>
                <w:lang w:eastAsia="hr-HR"/>
              </w:rPr>
              <w:t>6</w:t>
            </w:r>
            <w:r w:rsidRPr="005658B3">
              <w:rPr>
                <w:rFonts w:eastAsia="Times New Roman" w:cs="Times New Roman"/>
                <w:sz w:val="22"/>
                <w:lang w:eastAsia="hr-HR"/>
              </w:rPr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9E26" w14:textId="77777777" w:rsidR="005658B3" w:rsidRPr="005658B3" w:rsidRDefault="005658B3" w:rsidP="005658B3">
            <w:pPr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sve druge države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0CFE" w14:textId="77777777" w:rsidR="005658B3" w:rsidRPr="005658B3" w:rsidRDefault="005658B3" w:rsidP="005658B3">
            <w:pPr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5658B3">
              <w:rPr>
                <w:rFonts w:eastAsia="Times New Roman" w:cs="Times New Roman"/>
                <w:sz w:val="22"/>
                <w:lang w:eastAsia="hr-HR"/>
              </w:rPr>
              <w:t>50,00 USD</w:t>
            </w:r>
          </w:p>
        </w:tc>
      </w:tr>
    </w:tbl>
    <w:p w14:paraId="5B521284" w14:textId="77777777" w:rsidR="00B13BFA" w:rsidRDefault="00B13BFA" w:rsidP="000525A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769D35D4" w14:textId="77777777" w:rsidR="00E506D4" w:rsidRDefault="000525AA" w:rsidP="001A4ADA">
      <w:pPr>
        <w:pStyle w:val="NormalWeb"/>
        <w:spacing w:before="240" w:beforeAutospacing="0" w:after="0" w:afterAutospacing="0"/>
        <w:jc w:val="center"/>
        <w:rPr>
          <w:b/>
          <w:bCs/>
        </w:rPr>
      </w:pPr>
      <w:r>
        <w:rPr>
          <w:b/>
          <w:bCs/>
        </w:rPr>
        <w:t>II.</w:t>
      </w:r>
    </w:p>
    <w:p w14:paraId="08270B18" w14:textId="77777777" w:rsidR="000525AA" w:rsidRDefault="000525AA" w:rsidP="001A4ADA">
      <w:pPr>
        <w:pStyle w:val="NormalWeb"/>
        <w:spacing w:before="240" w:beforeAutospacing="0" w:after="0" w:afterAutospacing="0"/>
        <w:jc w:val="both"/>
        <w:rPr>
          <w:bCs/>
        </w:rPr>
      </w:pPr>
      <w:r w:rsidRPr="000525AA">
        <w:rPr>
          <w:bCs/>
        </w:rPr>
        <w:t xml:space="preserve">Danom stupanja na snagu ove odluke </w:t>
      </w:r>
      <w:r w:rsidR="007A3B64">
        <w:rPr>
          <w:bCs/>
        </w:rPr>
        <w:t xml:space="preserve">stavlja se van snage </w:t>
      </w:r>
      <w:r w:rsidRPr="000525AA">
        <w:rPr>
          <w:bCs/>
        </w:rPr>
        <w:t xml:space="preserve">Odluka o visini </w:t>
      </w:r>
      <w:r>
        <w:rPr>
          <w:bCs/>
        </w:rPr>
        <w:t xml:space="preserve">dnevnice za službeno putovanje u inozemstvo za korisnike koji se financiraju iz sredstava državnog proračuna (Narodne novine, br. </w:t>
      </w:r>
      <w:r w:rsidR="00CC06ED">
        <w:rPr>
          <w:bCs/>
        </w:rPr>
        <w:t xml:space="preserve">8/06). </w:t>
      </w:r>
    </w:p>
    <w:p w14:paraId="5CE13B9C" w14:textId="77777777" w:rsidR="00CC06ED" w:rsidRDefault="00CC06ED" w:rsidP="00DD787F">
      <w:pPr>
        <w:pStyle w:val="NormalWeb"/>
        <w:spacing w:before="0" w:beforeAutospacing="0" w:after="0" w:afterAutospacing="0"/>
        <w:rPr>
          <w:bCs/>
        </w:rPr>
      </w:pPr>
    </w:p>
    <w:p w14:paraId="47B8A9BC" w14:textId="77777777" w:rsidR="00CC06ED" w:rsidRDefault="00CC06ED" w:rsidP="00860FD3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860FD3">
        <w:rPr>
          <w:b/>
          <w:bCs/>
        </w:rPr>
        <w:t>III.</w:t>
      </w:r>
    </w:p>
    <w:p w14:paraId="125477E0" w14:textId="77777777" w:rsidR="00860FD3" w:rsidRPr="00860FD3" w:rsidRDefault="00860FD3" w:rsidP="00860FD3">
      <w:pPr>
        <w:pStyle w:val="NormalWeb"/>
        <w:jc w:val="both"/>
        <w:rPr>
          <w:bCs/>
        </w:rPr>
      </w:pPr>
      <w:r w:rsidRPr="00860FD3">
        <w:rPr>
          <w:bCs/>
        </w:rPr>
        <w:t xml:space="preserve">Ova Odluka stupa na snagu </w:t>
      </w:r>
      <w:r>
        <w:rPr>
          <w:bCs/>
        </w:rPr>
        <w:t>danom</w:t>
      </w:r>
      <w:r w:rsidRPr="00860FD3">
        <w:rPr>
          <w:bCs/>
        </w:rPr>
        <w:t xml:space="preserve"> </w:t>
      </w:r>
      <w:r w:rsidR="00685091">
        <w:rPr>
          <w:bCs/>
        </w:rPr>
        <w:t>donošenja, a objavit će se</w:t>
      </w:r>
      <w:r w:rsidR="00685091" w:rsidRPr="00860FD3">
        <w:rPr>
          <w:bCs/>
        </w:rPr>
        <w:t xml:space="preserve"> </w:t>
      </w:r>
      <w:r w:rsidRPr="00860FD3">
        <w:rPr>
          <w:bCs/>
        </w:rPr>
        <w:t xml:space="preserve">u "Narodnim novinama". </w:t>
      </w:r>
    </w:p>
    <w:p w14:paraId="4D879967" w14:textId="77777777" w:rsidR="00860FD3" w:rsidRPr="00860FD3" w:rsidRDefault="00860FD3" w:rsidP="00860FD3">
      <w:pPr>
        <w:pStyle w:val="NormalWeb"/>
        <w:jc w:val="center"/>
        <w:rPr>
          <w:b/>
          <w:bCs/>
        </w:rPr>
      </w:pPr>
    </w:p>
    <w:p w14:paraId="6614D3C4" w14:textId="77777777" w:rsidR="00860FD3" w:rsidRPr="00860FD3" w:rsidRDefault="00860FD3" w:rsidP="00860FD3">
      <w:pPr>
        <w:pStyle w:val="NormalWeb"/>
        <w:rPr>
          <w:bCs/>
        </w:rPr>
      </w:pPr>
      <w:r w:rsidRPr="00860FD3">
        <w:rPr>
          <w:bCs/>
        </w:rPr>
        <w:t xml:space="preserve">KLASA: </w:t>
      </w:r>
    </w:p>
    <w:p w14:paraId="480CEDC1" w14:textId="77777777" w:rsidR="00860FD3" w:rsidRPr="00860FD3" w:rsidRDefault="00860FD3" w:rsidP="00860FD3">
      <w:pPr>
        <w:pStyle w:val="NormalWeb"/>
        <w:rPr>
          <w:bCs/>
        </w:rPr>
      </w:pPr>
      <w:r w:rsidRPr="00860FD3">
        <w:rPr>
          <w:bCs/>
        </w:rPr>
        <w:t>URBROJ:</w:t>
      </w:r>
    </w:p>
    <w:p w14:paraId="3309E001" w14:textId="77777777" w:rsidR="00860FD3" w:rsidRPr="00860FD3" w:rsidRDefault="00860FD3" w:rsidP="00860FD3">
      <w:pPr>
        <w:pStyle w:val="NormalWeb"/>
        <w:rPr>
          <w:bCs/>
        </w:rPr>
      </w:pPr>
      <w:r w:rsidRPr="00860FD3">
        <w:rPr>
          <w:bCs/>
        </w:rPr>
        <w:t>Zagreb,</w:t>
      </w:r>
    </w:p>
    <w:p w14:paraId="1CE34681" w14:textId="77777777" w:rsidR="00860FD3" w:rsidRPr="00860FD3" w:rsidRDefault="00860FD3" w:rsidP="00860FD3">
      <w:pPr>
        <w:pStyle w:val="NormalWeb"/>
        <w:ind w:left="4956" w:firstLine="708"/>
        <w:rPr>
          <w:b/>
          <w:bCs/>
        </w:rPr>
      </w:pPr>
      <w:r w:rsidRPr="00860FD3">
        <w:rPr>
          <w:b/>
          <w:bCs/>
        </w:rPr>
        <w:t>PREDSJEDNIK</w:t>
      </w:r>
    </w:p>
    <w:p w14:paraId="561488EC" w14:textId="77777777" w:rsidR="00860FD3" w:rsidRPr="00860FD3" w:rsidRDefault="00860FD3" w:rsidP="00860FD3">
      <w:pPr>
        <w:pStyle w:val="NormalWeb"/>
        <w:rPr>
          <w:b/>
          <w:bCs/>
        </w:rPr>
      </w:pPr>
    </w:p>
    <w:p w14:paraId="6CD59934" w14:textId="77777777" w:rsidR="00860FD3" w:rsidRPr="00860FD3" w:rsidRDefault="00860FD3" w:rsidP="00860FD3">
      <w:pPr>
        <w:pStyle w:val="NormalWeb"/>
        <w:ind w:left="4248" w:firstLine="708"/>
        <w:rPr>
          <w:b/>
          <w:bCs/>
        </w:rPr>
      </w:pPr>
      <w:r w:rsidRPr="00860FD3">
        <w:rPr>
          <w:b/>
          <w:bCs/>
        </w:rPr>
        <w:t>mr. sc. Andrej Plenković, v. r.</w:t>
      </w:r>
    </w:p>
    <w:p w14:paraId="59634711" w14:textId="77777777" w:rsidR="009E0F01" w:rsidRPr="009E0F01" w:rsidRDefault="007B7C92" w:rsidP="007B7C92">
      <w:pPr>
        <w:jc w:val="center"/>
        <w:rPr>
          <w:rFonts w:ascii="Calibri" w:eastAsia="Calibri" w:hAnsi="Calibri" w:cs="Times New Roman"/>
          <w:sz w:val="22"/>
        </w:rPr>
      </w:pPr>
      <w:r w:rsidRPr="009E0F01">
        <w:rPr>
          <w:rFonts w:ascii="Calibri" w:eastAsia="Calibri" w:hAnsi="Calibri" w:cs="Times New Roman"/>
          <w:sz w:val="22"/>
        </w:rPr>
        <w:t xml:space="preserve"> </w:t>
      </w:r>
    </w:p>
    <w:p w14:paraId="50AA35A9" w14:textId="77777777" w:rsidR="00716DBB" w:rsidRDefault="00716DBB">
      <w:pPr>
        <w:rPr>
          <w:rFonts w:eastAsia="Times New Roman" w:cs="Times New Roman"/>
          <w:b/>
          <w:bCs/>
          <w:szCs w:val="24"/>
          <w:lang w:eastAsia="hr-HR"/>
        </w:rPr>
      </w:pPr>
      <w:r>
        <w:rPr>
          <w:b/>
          <w:bCs/>
        </w:rPr>
        <w:br w:type="page"/>
      </w:r>
    </w:p>
    <w:p w14:paraId="2CD9701C" w14:textId="77777777" w:rsidR="00716DBB" w:rsidRDefault="00716DBB" w:rsidP="00716DBB">
      <w:pPr>
        <w:jc w:val="center"/>
        <w:rPr>
          <w:rFonts w:cs="Times New Roman"/>
          <w:b/>
        </w:rPr>
      </w:pPr>
      <w:r w:rsidRPr="005A4BA3">
        <w:rPr>
          <w:rFonts w:cs="Times New Roman"/>
          <w:b/>
        </w:rPr>
        <w:lastRenderedPageBreak/>
        <w:t>OBRAZLOŽENJE</w:t>
      </w:r>
    </w:p>
    <w:p w14:paraId="2CAEA23D" w14:textId="77777777" w:rsidR="00716DBB" w:rsidRPr="005A4BA3" w:rsidRDefault="00716DBB" w:rsidP="00716DBB">
      <w:pPr>
        <w:jc w:val="center"/>
        <w:rPr>
          <w:rFonts w:cs="Times New Roman"/>
          <w:b/>
        </w:rPr>
      </w:pPr>
    </w:p>
    <w:p w14:paraId="4292BD40" w14:textId="77777777" w:rsidR="00716DBB" w:rsidRDefault="00716DBB" w:rsidP="00716DBB">
      <w:pPr>
        <w:jc w:val="both"/>
        <w:rPr>
          <w:rFonts w:cs="Times New Roman"/>
        </w:rPr>
      </w:pPr>
      <w:r w:rsidRPr="001203F1">
        <w:rPr>
          <w:rFonts w:cs="Times New Roman"/>
        </w:rPr>
        <w:t xml:space="preserve">Sukladno članku </w:t>
      </w:r>
      <w:r>
        <w:rPr>
          <w:rFonts w:cs="Times New Roman"/>
        </w:rPr>
        <w:t>29</w:t>
      </w:r>
      <w:r w:rsidRPr="001203F1">
        <w:rPr>
          <w:rFonts w:cs="Times New Roman"/>
        </w:rPr>
        <w:t>.</w:t>
      </w:r>
      <w:r>
        <w:rPr>
          <w:rFonts w:cs="Times New Roman"/>
        </w:rPr>
        <w:t xml:space="preserve"> stavku 2.</w:t>
      </w:r>
      <w:r w:rsidRPr="001203F1">
        <w:rPr>
          <w:rFonts w:cs="Times New Roman"/>
        </w:rPr>
        <w:t xml:space="preserve"> Zakona o izvršavanju Državnog proračuna Republike Hrvatske za 202</w:t>
      </w:r>
      <w:r>
        <w:rPr>
          <w:rFonts w:cs="Times New Roman"/>
        </w:rPr>
        <w:t>4</w:t>
      </w:r>
      <w:r w:rsidRPr="001203F1">
        <w:rPr>
          <w:rFonts w:cs="Times New Roman"/>
        </w:rPr>
        <w:t>. godinu (</w:t>
      </w:r>
      <w:r>
        <w:rPr>
          <w:rFonts w:cs="Times New Roman"/>
        </w:rPr>
        <w:t>„</w:t>
      </w:r>
      <w:r w:rsidRPr="001203F1">
        <w:rPr>
          <w:rFonts w:cs="Times New Roman"/>
        </w:rPr>
        <w:t>Narodne novine</w:t>
      </w:r>
      <w:r>
        <w:rPr>
          <w:rFonts w:cs="Times New Roman"/>
        </w:rPr>
        <w:t>“</w:t>
      </w:r>
      <w:r w:rsidRPr="001203F1">
        <w:rPr>
          <w:rFonts w:cs="Times New Roman"/>
        </w:rPr>
        <w:t>, br</w:t>
      </w:r>
      <w:r>
        <w:rPr>
          <w:rFonts w:cs="Times New Roman"/>
        </w:rPr>
        <w:t>. 149/23</w:t>
      </w:r>
      <w:r w:rsidRPr="001203F1">
        <w:rPr>
          <w:rFonts w:cs="Times New Roman"/>
        </w:rPr>
        <w:t>) Vlada Republike Hrvatske donosi odluku o visini dnevnic</w:t>
      </w:r>
      <w:r>
        <w:rPr>
          <w:rFonts w:cs="Times New Roman"/>
        </w:rPr>
        <w:t>e</w:t>
      </w:r>
      <w:r w:rsidRPr="001203F1">
        <w:rPr>
          <w:rFonts w:cs="Times New Roman"/>
        </w:rPr>
        <w:t xml:space="preserve"> za služben</w:t>
      </w:r>
      <w:r>
        <w:rPr>
          <w:rFonts w:cs="Times New Roman"/>
        </w:rPr>
        <w:t>a</w:t>
      </w:r>
      <w:r w:rsidRPr="001203F1">
        <w:rPr>
          <w:rFonts w:cs="Times New Roman"/>
        </w:rPr>
        <w:t xml:space="preserve"> putovanj</w:t>
      </w:r>
      <w:r>
        <w:rPr>
          <w:rFonts w:cs="Times New Roman"/>
        </w:rPr>
        <w:t>a</w:t>
      </w:r>
      <w:r w:rsidRPr="001203F1">
        <w:rPr>
          <w:rFonts w:cs="Times New Roman"/>
        </w:rPr>
        <w:t xml:space="preserve"> u inozemstvo </w:t>
      </w:r>
      <w:r>
        <w:rPr>
          <w:rFonts w:cs="Times New Roman"/>
        </w:rPr>
        <w:t>za korisnike koji se financiraju iz sredstava državnog proračuna.</w:t>
      </w:r>
    </w:p>
    <w:p w14:paraId="127317D8" w14:textId="77777777" w:rsidR="00716DBB" w:rsidRDefault="00716DBB" w:rsidP="00716DBB">
      <w:pPr>
        <w:jc w:val="both"/>
        <w:rPr>
          <w:rFonts w:cs="Times New Roman"/>
        </w:rPr>
      </w:pPr>
    </w:p>
    <w:p w14:paraId="646679E8" w14:textId="77777777" w:rsidR="00716DBB" w:rsidRDefault="00716DBB" w:rsidP="00716DBB">
      <w:pPr>
        <w:jc w:val="both"/>
        <w:rPr>
          <w:rFonts w:cs="Times New Roman"/>
        </w:rPr>
      </w:pPr>
      <w:r>
        <w:rPr>
          <w:rFonts w:cs="Times New Roman"/>
        </w:rPr>
        <w:t xml:space="preserve">Uzimajući u obzir da je važeća </w:t>
      </w:r>
      <w:r w:rsidRPr="00C82DC5">
        <w:rPr>
          <w:rFonts w:cs="Times New Roman"/>
          <w:i/>
        </w:rPr>
        <w:t>Odluk</w:t>
      </w:r>
      <w:r>
        <w:rPr>
          <w:rFonts w:cs="Times New Roman"/>
          <w:i/>
        </w:rPr>
        <w:t>a</w:t>
      </w:r>
      <w:r w:rsidRPr="00C82DC5">
        <w:rPr>
          <w:rFonts w:cs="Times New Roman"/>
          <w:i/>
        </w:rPr>
        <w:t xml:space="preserve"> o visini dnevnice za službeno putovanje u inozemstvo za korisnike koji se financiraju iz sredstava državnog proračuna</w:t>
      </w:r>
      <w:r w:rsidRPr="001203F1">
        <w:rPr>
          <w:rFonts w:cs="Times New Roman"/>
        </w:rPr>
        <w:t xml:space="preserve"> (</w:t>
      </w:r>
      <w:r>
        <w:rPr>
          <w:rFonts w:cs="Times New Roman"/>
        </w:rPr>
        <w:t>„</w:t>
      </w:r>
      <w:r w:rsidRPr="001203F1">
        <w:rPr>
          <w:rFonts w:cs="Times New Roman"/>
        </w:rPr>
        <w:t>Narodne novine</w:t>
      </w:r>
      <w:r>
        <w:rPr>
          <w:rFonts w:cs="Times New Roman"/>
        </w:rPr>
        <w:t>“</w:t>
      </w:r>
      <w:r w:rsidRPr="001203F1">
        <w:rPr>
          <w:rFonts w:cs="Times New Roman"/>
        </w:rPr>
        <w:t>, br. 8/06</w:t>
      </w:r>
      <w:r>
        <w:rPr>
          <w:rFonts w:cs="Times New Roman"/>
        </w:rPr>
        <w:t>.; dalje u tekstu: trenutno važeća Odluka</w:t>
      </w:r>
      <w:r w:rsidRPr="001203F1">
        <w:rPr>
          <w:rFonts w:cs="Times New Roman"/>
        </w:rPr>
        <w:t>)</w:t>
      </w:r>
      <w:r>
        <w:rPr>
          <w:rFonts w:cs="Times New Roman"/>
        </w:rPr>
        <w:t xml:space="preserve"> još iz 2006. godine, daje se prijedlog za donošenje nove Odluke o visini dnevnice za službeno putovanje u inozemstvo za korisnike koji se financiraju iz sredstava državnog proračuna (dalje u tekstu: Prijedlog odluke). </w:t>
      </w:r>
    </w:p>
    <w:p w14:paraId="4A5F9B36" w14:textId="77777777" w:rsidR="00716DBB" w:rsidRDefault="00716DBB" w:rsidP="00716DBB">
      <w:pPr>
        <w:jc w:val="both"/>
        <w:rPr>
          <w:rFonts w:cs="Times New Roman"/>
        </w:rPr>
      </w:pPr>
    </w:p>
    <w:p w14:paraId="50D24FF7" w14:textId="77777777" w:rsidR="00716DBB" w:rsidRDefault="00716DBB" w:rsidP="00716DBB">
      <w:pPr>
        <w:jc w:val="both"/>
        <w:rPr>
          <w:rFonts w:cs="Times New Roman"/>
        </w:rPr>
      </w:pPr>
      <w:r>
        <w:rPr>
          <w:rFonts w:cs="Times New Roman"/>
        </w:rPr>
        <w:t>U</w:t>
      </w:r>
      <w:r w:rsidRPr="001203F1">
        <w:rPr>
          <w:rFonts w:cs="Times New Roman"/>
        </w:rPr>
        <w:t xml:space="preserve"> odnosu na trenutno važeću </w:t>
      </w:r>
      <w:r>
        <w:rPr>
          <w:rFonts w:cs="Times New Roman"/>
        </w:rPr>
        <w:t xml:space="preserve">Odluku, uvažavajući porast troškova života u proteklim godinama, Prijedlogom odluke </w:t>
      </w:r>
      <w:r w:rsidRPr="001203F1">
        <w:rPr>
          <w:rFonts w:cs="Times New Roman"/>
        </w:rPr>
        <w:t>predlaže se povećanje iznosa dnevnica za službeno putovanje u inozemstvo</w:t>
      </w:r>
      <w:r>
        <w:rPr>
          <w:rFonts w:cs="Times New Roman"/>
        </w:rPr>
        <w:t>.</w:t>
      </w:r>
      <w:r w:rsidRPr="001203F1">
        <w:rPr>
          <w:rFonts w:cs="Times New Roman"/>
        </w:rPr>
        <w:t xml:space="preserve"> </w:t>
      </w:r>
    </w:p>
    <w:p w14:paraId="2F529F68" w14:textId="77777777" w:rsidR="00716DBB" w:rsidRPr="001203F1" w:rsidRDefault="00716DBB" w:rsidP="00716DBB">
      <w:pPr>
        <w:jc w:val="both"/>
        <w:rPr>
          <w:rFonts w:cs="Times New Roman"/>
        </w:rPr>
      </w:pPr>
    </w:p>
    <w:p w14:paraId="0FBA291C" w14:textId="77777777" w:rsidR="00716DBB" w:rsidRDefault="00716DBB" w:rsidP="00716DBB">
      <w:pPr>
        <w:jc w:val="both"/>
        <w:rPr>
          <w:rFonts w:cs="Times New Roman"/>
        </w:rPr>
      </w:pPr>
      <w:r>
        <w:rPr>
          <w:rFonts w:cs="Times New Roman"/>
        </w:rPr>
        <w:t>Osnovni kriterij za utvrđivanje visine dnevnica je visina BDP-a</w:t>
      </w:r>
      <w:r w:rsidRPr="00D52A8A">
        <w:rPr>
          <w:rFonts w:cs="Times New Roman"/>
        </w:rPr>
        <w:t xml:space="preserve"> po stanovniku prema paritetu kupovne moći</w:t>
      </w:r>
      <w:r>
        <w:rPr>
          <w:rFonts w:cs="Times New Roman"/>
        </w:rPr>
        <w:t>, koji je primijenjen i kod izračuna visine dnevnica za službena putovanja u inozemstvo u trenutno važećoj Odluci. U Prijedlogu odluke korišteni su podaci o visini BDP-a</w:t>
      </w:r>
      <w:r w:rsidRPr="00D52A8A">
        <w:rPr>
          <w:rFonts w:cs="Times New Roman"/>
        </w:rPr>
        <w:t xml:space="preserve"> po stanovniku prema paritetu kupovne moći</w:t>
      </w:r>
      <w:r>
        <w:rPr>
          <w:rFonts w:cs="Times New Roman"/>
        </w:rPr>
        <w:t xml:space="preserve"> za 2022. godinu preuzeti s internetske stranice Međunarodnog monetarnog fonda (iz svibnja 2023.).  </w:t>
      </w:r>
    </w:p>
    <w:p w14:paraId="73C7BFDB" w14:textId="77777777" w:rsidR="00716DBB" w:rsidRDefault="00716DBB" w:rsidP="00716DBB">
      <w:pPr>
        <w:jc w:val="both"/>
        <w:rPr>
          <w:rFonts w:cs="Times New Roman"/>
        </w:rPr>
      </w:pPr>
    </w:p>
    <w:p w14:paraId="51182699" w14:textId="77777777" w:rsidR="00716DBB" w:rsidRDefault="00716DBB" w:rsidP="00716DBB">
      <w:pPr>
        <w:jc w:val="both"/>
        <w:rPr>
          <w:rFonts w:cs="Times New Roman"/>
        </w:rPr>
      </w:pPr>
      <w:r>
        <w:rPr>
          <w:rFonts w:cs="Times New Roman"/>
        </w:rPr>
        <w:t>Nadalje, utvrđeni su razredi osnovnog kriterija s pripadajućom visinom dnevnice u valuti EUR i USD kako je iskazano u Tablici 1. Prijedlog visine dnevnica prema osnovnom kriteriju.</w:t>
      </w:r>
    </w:p>
    <w:p w14:paraId="268DA71B" w14:textId="77777777" w:rsidR="00716DBB" w:rsidRDefault="00716DBB" w:rsidP="00716DBB">
      <w:pPr>
        <w:jc w:val="both"/>
        <w:rPr>
          <w:rFonts w:cs="Times New Roman"/>
        </w:rPr>
      </w:pPr>
    </w:p>
    <w:p w14:paraId="23508363" w14:textId="77777777" w:rsidR="00716DBB" w:rsidRDefault="00716DBB" w:rsidP="00716DBB">
      <w:pPr>
        <w:jc w:val="both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>Tablica 1</w:t>
      </w:r>
      <w:r w:rsidRPr="00547025">
        <w:rPr>
          <w:rFonts w:eastAsia="Times New Roman" w:cs="Times New Roman"/>
          <w:b/>
          <w:bCs/>
          <w:szCs w:val="24"/>
          <w:lang w:eastAsia="hr-HR"/>
        </w:rPr>
        <w:t xml:space="preserve">. Prijedlog visine dnevnica prema </w:t>
      </w:r>
      <w:r>
        <w:rPr>
          <w:rFonts w:eastAsia="Times New Roman" w:cs="Times New Roman"/>
          <w:b/>
          <w:bCs/>
          <w:szCs w:val="24"/>
          <w:lang w:eastAsia="hr-HR"/>
        </w:rPr>
        <w:t>osnovnom kriteriju</w:t>
      </w:r>
      <w:r w:rsidRPr="00547025">
        <w:rPr>
          <w:rFonts w:eastAsia="Times New Roman" w:cs="Times New Roman"/>
          <w:b/>
          <w:bCs/>
          <w:szCs w:val="24"/>
          <w:lang w:eastAsia="hr-HR"/>
        </w:rPr>
        <w:t xml:space="preserve"> </w:t>
      </w:r>
    </w:p>
    <w:p w14:paraId="62CD38DE" w14:textId="77777777" w:rsidR="00716DBB" w:rsidRPr="005A4BA3" w:rsidRDefault="00716DBB" w:rsidP="00716DBB">
      <w:pPr>
        <w:jc w:val="both"/>
        <w:rPr>
          <w:rFonts w:cs="Times New Roman"/>
        </w:rPr>
      </w:pPr>
    </w:p>
    <w:tbl>
      <w:tblPr>
        <w:tblW w:w="6242" w:type="dxa"/>
        <w:jc w:val="center"/>
        <w:tblLook w:val="04A0" w:firstRow="1" w:lastRow="0" w:firstColumn="1" w:lastColumn="0" w:noHBand="0" w:noVBand="1"/>
      </w:tblPr>
      <w:tblGrid>
        <w:gridCol w:w="3248"/>
        <w:gridCol w:w="1497"/>
        <w:gridCol w:w="1497"/>
      </w:tblGrid>
      <w:tr w:rsidR="00716DBB" w:rsidRPr="00547025" w14:paraId="214E641E" w14:textId="77777777" w:rsidTr="00AE0BE3">
        <w:trPr>
          <w:trHeight w:val="30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768F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/>
                <w:bCs/>
                <w:szCs w:val="24"/>
                <w:lang w:eastAsia="hr-HR"/>
              </w:rPr>
              <w:t>BDP po stanovniku prema paritetu kupovne moći (razredi)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4AF4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/>
                <w:bCs/>
                <w:szCs w:val="24"/>
                <w:lang w:eastAsia="hr-HR"/>
              </w:rPr>
              <w:t>IZNOS DNEVNICE (USD)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7FC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/>
                <w:bCs/>
                <w:szCs w:val="24"/>
                <w:lang w:eastAsia="hr-HR"/>
              </w:rPr>
              <w:t>IZNOS DNEVNICE (EUR)</w:t>
            </w:r>
          </w:p>
        </w:tc>
      </w:tr>
      <w:tr w:rsidR="00716DBB" w:rsidRPr="00547025" w14:paraId="6967687D" w14:textId="77777777" w:rsidTr="00AE0BE3">
        <w:trPr>
          <w:trHeight w:val="300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9702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Cs/>
                <w:szCs w:val="24"/>
                <w:lang w:eastAsia="hr-HR"/>
              </w:rPr>
              <w:t>do 15.000 USD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05D7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Cs/>
                <w:szCs w:val="24"/>
                <w:lang w:eastAsia="hr-HR"/>
              </w:rPr>
              <w:t>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C1FA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Cs/>
                <w:szCs w:val="24"/>
                <w:lang w:eastAsia="hr-HR"/>
              </w:rPr>
              <w:t>45,00</w:t>
            </w:r>
          </w:p>
        </w:tc>
      </w:tr>
      <w:tr w:rsidR="00716DBB" w:rsidRPr="00547025" w14:paraId="6329C835" w14:textId="77777777" w:rsidTr="00AE0BE3">
        <w:trPr>
          <w:trHeight w:val="300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66FD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Cs/>
                <w:szCs w:val="24"/>
                <w:lang w:eastAsia="hr-HR"/>
              </w:rPr>
              <w:t>od 15.000 do 30.000 USD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E11C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Cs/>
                <w:szCs w:val="24"/>
                <w:lang w:eastAsia="hr-HR"/>
              </w:rPr>
              <w:t>55,00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C9EA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Cs/>
                <w:szCs w:val="24"/>
                <w:lang w:eastAsia="hr-HR"/>
              </w:rPr>
              <w:t>50,00</w:t>
            </w:r>
          </w:p>
        </w:tc>
      </w:tr>
      <w:tr w:rsidR="00716DBB" w:rsidRPr="00547025" w14:paraId="025463BD" w14:textId="77777777" w:rsidTr="00AE0BE3">
        <w:trPr>
          <w:trHeight w:val="300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DEB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Cs/>
                <w:szCs w:val="24"/>
                <w:lang w:eastAsia="hr-HR"/>
              </w:rPr>
              <w:t>od 30.000 do 45.000 USD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4317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Cs/>
                <w:szCs w:val="24"/>
                <w:lang w:eastAsia="hr-HR"/>
              </w:rPr>
              <w:t>75,00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B794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Cs/>
                <w:szCs w:val="24"/>
                <w:lang w:eastAsia="hr-HR"/>
              </w:rPr>
              <w:t>70,00</w:t>
            </w:r>
          </w:p>
        </w:tc>
      </w:tr>
      <w:tr w:rsidR="00716DBB" w:rsidRPr="00547025" w14:paraId="09572884" w14:textId="77777777" w:rsidTr="00AE0BE3">
        <w:trPr>
          <w:trHeight w:val="300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FB42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Cs/>
                <w:szCs w:val="24"/>
                <w:lang w:eastAsia="hr-HR"/>
              </w:rPr>
              <w:t>Od 45.000 do 55.000 USD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1CA0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Cs/>
                <w:szCs w:val="24"/>
                <w:lang w:eastAsia="hr-HR"/>
              </w:rPr>
              <w:t>85,00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E418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Cs/>
                <w:szCs w:val="24"/>
                <w:lang w:eastAsia="hr-HR"/>
              </w:rPr>
              <w:t>80,00</w:t>
            </w:r>
          </w:p>
        </w:tc>
      </w:tr>
      <w:tr w:rsidR="00716DBB" w:rsidRPr="00547025" w14:paraId="2E111298" w14:textId="77777777" w:rsidTr="00AE0BE3">
        <w:trPr>
          <w:trHeight w:val="300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017B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Cs/>
                <w:szCs w:val="24"/>
                <w:lang w:eastAsia="hr-HR"/>
              </w:rPr>
              <w:t>iznad 55.000 USD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BEFD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Cs/>
                <w:szCs w:val="24"/>
                <w:lang w:eastAsia="hr-HR"/>
              </w:rPr>
              <w:t>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CF71" w14:textId="77777777" w:rsidR="00716DBB" w:rsidRPr="00547025" w:rsidRDefault="00716DBB" w:rsidP="00AE0BE3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547025">
              <w:rPr>
                <w:rFonts w:eastAsia="Times New Roman" w:cs="Times New Roman"/>
                <w:bCs/>
                <w:szCs w:val="24"/>
                <w:lang w:eastAsia="hr-HR"/>
              </w:rPr>
              <w:t>90,00</w:t>
            </w:r>
          </w:p>
        </w:tc>
      </w:tr>
    </w:tbl>
    <w:p w14:paraId="60032450" w14:textId="77777777" w:rsidR="00716DBB" w:rsidRDefault="00716DBB" w:rsidP="00716DBB">
      <w:pPr>
        <w:jc w:val="both"/>
        <w:rPr>
          <w:rFonts w:cs="Times New Roman"/>
        </w:rPr>
      </w:pPr>
    </w:p>
    <w:p w14:paraId="7394FBC2" w14:textId="77777777" w:rsidR="00716DBB" w:rsidRDefault="00716DBB" w:rsidP="00716DBB">
      <w:pPr>
        <w:jc w:val="both"/>
        <w:rPr>
          <w:rFonts w:cs="Times New Roman"/>
        </w:rPr>
      </w:pPr>
      <w:r>
        <w:rPr>
          <w:rFonts w:cs="Times New Roman"/>
        </w:rPr>
        <w:t>Također, u</w:t>
      </w:r>
      <w:r w:rsidRPr="001203F1">
        <w:rPr>
          <w:rFonts w:cs="Times New Roman"/>
        </w:rPr>
        <w:t xml:space="preserve"> </w:t>
      </w:r>
      <w:r>
        <w:rPr>
          <w:rFonts w:cs="Times New Roman"/>
        </w:rPr>
        <w:t xml:space="preserve">odnosu na </w:t>
      </w:r>
      <w:r w:rsidRPr="005A4BA3">
        <w:rPr>
          <w:rFonts w:cs="Times New Roman"/>
        </w:rPr>
        <w:t>trenutno važeću Odluku</w:t>
      </w:r>
      <w:r>
        <w:rPr>
          <w:rFonts w:cs="Times New Roman"/>
        </w:rPr>
        <w:t>,</w:t>
      </w:r>
      <w:r w:rsidRPr="001203F1">
        <w:rPr>
          <w:rFonts w:cs="Times New Roman"/>
        </w:rPr>
        <w:t xml:space="preserve"> </w:t>
      </w:r>
      <w:r>
        <w:rPr>
          <w:rFonts w:cs="Times New Roman"/>
        </w:rPr>
        <w:t>kojom je bila propisana</w:t>
      </w:r>
      <w:r w:rsidRPr="001203F1">
        <w:rPr>
          <w:rFonts w:cs="Times New Roman"/>
        </w:rPr>
        <w:t xml:space="preserve"> visina dnevnica za 98 država</w:t>
      </w:r>
      <w:r w:rsidR="00D72007">
        <w:rPr>
          <w:rFonts w:cs="Times New Roman"/>
        </w:rPr>
        <w:t>/područja</w:t>
      </w:r>
      <w:r>
        <w:rPr>
          <w:rFonts w:cs="Times New Roman"/>
        </w:rPr>
        <w:t xml:space="preserve">, ovim </w:t>
      </w:r>
      <w:r w:rsidRPr="001203F1">
        <w:rPr>
          <w:rFonts w:cs="Times New Roman"/>
        </w:rPr>
        <w:t xml:space="preserve">Prijedlogom odluke </w:t>
      </w:r>
      <w:r>
        <w:rPr>
          <w:rFonts w:cs="Times New Roman"/>
        </w:rPr>
        <w:t>određuje se visina dnevnica za</w:t>
      </w:r>
      <w:r w:rsidRPr="001203F1">
        <w:rPr>
          <w:rFonts w:cs="Times New Roman"/>
        </w:rPr>
        <w:t xml:space="preserve"> 10</w:t>
      </w:r>
      <w:r w:rsidR="00425139">
        <w:rPr>
          <w:rFonts w:cs="Times New Roman"/>
        </w:rPr>
        <w:t>5</w:t>
      </w:r>
      <w:r w:rsidRPr="001203F1">
        <w:rPr>
          <w:rFonts w:cs="Times New Roman"/>
        </w:rPr>
        <w:t xml:space="preserve"> država</w:t>
      </w:r>
      <w:r w:rsidR="00D72007">
        <w:rPr>
          <w:rFonts w:cs="Times New Roman"/>
        </w:rPr>
        <w:t>/područja</w:t>
      </w:r>
      <w:r>
        <w:rPr>
          <w:rFonts w:cs="Times New Roman"/>
        </w:rPr>
        <w:t>.</w:t>
      </w:r>
    </w:p>
    <w:p w14:paraId="358B347E" w14:textId="77777777" w:rsidR="00716DBB" w:rsidRDefault="00716DBB" w:rsidP="00716DBB">
      <w:pPr>
        <w:jc w:val="both"/>
        <w:rPr>
          <w:rFonts w:cs="Times New Roman"/>
        </w:rPr>
      </w:pPr>
    </w:p>
    <w:p w14:paraId="386998B8" w14:textId="77777777" w:rsidR="00716DBB" w:rsidRDefault="00716DBB" w:rsidP="00716DBB">
      <w:pPr>
        <w:jc w:val="both"/>
        <w:rPr>
          <w:rFonts w:cs="Times New Roman"/>
        </w:rPr>
      </w:pPr>
      <w:r>
        <w:rPr>
          <w:rFonts w:cs="Times New Roman"/>
        </w:rPr>
        <w:t xml:space="preserve">Na popis se dodaju države: </w:t>
      </w:r>
      <w:r w:rsidRPr="00C82DC5">
        <w:rPr>
          <w:rFonts w:cs="Times New Roman"/>
        </w:rPr>
        <w:t>Republika Srbija, Crna Gora, Republika Kosovo koje nisu postojale 2006. godine</w:t>
      </w:r>
      <w:r>
        <w:rPr>
          <w:rFonts w:cs="Times New Roman"/>
        </w:rPr>
        <w:t xml:space="preserve"> te </w:t>
      </w:r>
      <w:r w:rsidRPr="00C82DC5">
        <w:rPr>
          <w:rFonts w:cs="Times New Roman"/>
        </w:rPr>
        <w:t>tri europske države: Država Vatikanskoga Grada, Republika San Marino i Kneževina Lihtenštajn, prethodno svrstane u kategoriju</w:t>
      </w:r>
      <w:r>
        <w:rPr>
          <w:rFonts w:cs="Times New Roman"/>
        </w:rPr>
        <w:t xml:space="preserve"> </w:t>
      </w:r>
      <w:r w:rsidRPr="00C82DC5">
        <w:rPr>
          <w:rFonts w:cs="Times New Roman"/>
        </w:rPr>
        <w:t>„sve druge države“</w:t>
      </w:r>
      <w:r>
        <w:rPr>
          <w:rFonts w:cs="Times New Roman"/>
        </w:rPr>
        <w:t xml:space="preserve"> kojoj pripada najniža dnevnica.</w:t>
      </w:r>
    </w:p>
    <w:p w14:paraId="4614A79B" w14:textId="77777777" w:rsidR="00716DBB" w:rsidRDefault="00716DBB" w:rsidP="00716DBB">
      <w:pPr>
        <w:jc w:val="both"/>
        <w:rPr>
          <w:rFonts w:cs="Times New Roman"/>
        </w:rPr>
      </w:pPr>
    </w:p>
    <w:p w14:paraId="216EBA34" w14:textId="77777777" w:rsidR="00716DBB" w:rsidRDefault="00716DBB" w:rsidP="00716DBB">
      <w:pPr>
        <w:jc w:val="both"/>
        <w:rPr>
          <w:rFonts w:cs="Times New Roman"/>
        </w:rPr>
      </w:pPr>
      <w:r>
        <w:rPr>
          <w:rFonts w:cs="Times New Roman"/>
        </w:rPr>
        <w:t>Osim osnovnog kriterija tj.</w:t>
      </w:r>
      <w:r w:rsidRPr="00716DBB">
        <w:rPr>
          <w:rFonts w:cs="Times New Roman"/>
        </w:rPr>
        <w:t xml:space="preserve"> </w:t>
      </w:r>
      <w:r w:rsidRPr="00E65A3D">
        <w:rPr>
          <w:rFonts w:cs="Times New Roman"/>
        </w:rPr>
        <w:t>visin</w:t>
      </w:r>
      <w:r>
        <w:rPr>
          <w:rFonts w:cs="Times New Roman"/>
        </w:rPr>
        <w:t>e</w:t>
      </w:r>
      <w:r w:rsidRPr="00E65A3D">
        <w:rPr>
          <w:rFonts w:cs="Times New Roman"/>
        </w:rPr>
        <w:t xml:space="preserve"> </w:t>
      </w:r>
      <w:r>
        <w:rPr>
          <w:rFonts w:cs="Times New Roman"/>
        </w:rPr>
        <w:t>BDP</w:t>
      </w:r>
      <w:r w:rsidRPr="00E65A3D">
        <w:rPr>
          <w:rFonts w:cs="Times New Roman"/>
        </w:rPr>
        <w:t xml:space="preserve"> po stanovniku prema paritetu kupovne moći</w:t>
      </w:r>
      <w:r>
        <w:rPr>
          <w:rFonts w:cs="Times New Roman"/>
        </w:rPr>
        <w:t xml:space="preserve">, za Državu </w:t>
      </w:r>
      <w:r w:rsidR="00425139">
        <w:rPr>
          <w:rFonts w:cs="Times New Roman"/>
        </w:rPr>
        <w:t>Katar i</w:t>
      </w:r>
      <w:r w:rsidRPr="00C82DC5">
        <w:rPr>
          <w:rFonts w:cs="Times New Roman"/>
        </w:rPr>
        <w:t xml:space="preserve"> Kraljevin</w:t>
      </w:r>
      <w:r>
        <w:rPr>
          <w:rFonts w:cs="Times New Roman"/>
        </w:rPr>
        <w:t>u</w:t>
      </w:r>
      <w:r w:rsidRPr="00C82DC5">
        <w:rPr>
          <w:rFonts w:cs="Times New Roman"/>
        </w:rPr>
        <w:t xml:space="preserve"> Tajland </w:t>
      </w:r>
      <w:r>
        <w:rPr>
          <w:rFonts w:cs="Times New Roman"/>
        </w:rPr>
        <w:t>primijenjen je i kriterij</w:t>
      </w:r>
      <w:r w:rsidRPr="00E65A3D">
        <w:rPr>
          <w:rFonts w:cs="Times New Roman"/>
        </w:rPr>
        <w:t xml:space="preserve"> </w:t>
      </w:r>
      <w:r>
        <w:rPr>
          <w:rFonts w:cs="Times New Roman"/>
        </w:rPr>
        <w:t>robne razmjene s Republikom Hrvatskom temeljem kojeg su spomenute države izdvojene iz</w:t>
      </w:r>
      <w:r w:rsidRPr="00E65A3D">
        <w:rPr>
          <w:rFonts w:cs="Times New Roman"/>
        </w:rPr>
        <w:t xml:space="preserve"> </w:t>
      </w:r>
      <w:r>
        <w:rPr>
          <w:rFonts w:cs="Times New Roman"/>
        </w:rPr>
        <w:t xml:space="preserve">kategorije </w:t>
      </w:r>
      <w:r w:rsidRPr="00C82DC5">
        <w:rPr>
          <w:rFonts w:cs="Times New Roman"/>
        </w:rPr>
        <w:t>„sve druge države“</w:t>
      </w:r>
      <w:r>
        <w:rPr>
          <w:rFonts w:cs="Times New Roman"/>
        </w:rPr>
        <w:t xml:space="preserve"> koja nosi najnižu dnevnicu. Naime, sa spomenutim državama</w:t>
      </w:r>
      <w:r w:rsidRPr="00C82DC5">
        <w:rPr>
          <w:rFonts w:cs="Times New Roman"/>
        </w:rPr>
        <w:t xml:space="preserve"> prema podacima Državnog zavoda za statistiku</w:t>
      </w:r>
      <w:r w:rsidDel="00BE2270">
        <w:rPr>
          <w:rFonts w:cs="Times New Roman"/>
        </w:rPr>
        <w:t xml:space="preserve"> </w:t>
      </w:r>
      <w:r w:rsidRPr="00C82DC5">
        <w:rPr>
          <w:rFonts w:cs="Times New Roman"/>
        </w:rPr>
        <w:t xml:space="preserve">Republika Hrvatska ima </w:t>
      </w:r>
      <w:r>
        <w:rPr>
          <w:rFonts w:cs="Times New Roman"/>
        </w:rPr>
        <w:t>značajniju</w:t>
      </w:r>
      <w:r w:rsidRPr="00C82DC5">
        <w:rPr>
          <w:rFonts w:cs="Times New Roman"/>
        </w:rPr>
        <w:t xml:space="preserve"> robnu razmjenu</w:t>
      </w:r>
      <w:r>
        <w:rPr>
          <w:rStyle w:val="FootnoteReference"/>
          <w:rFonts w:cs="Times New Roman"/>
        </w:rPr>
        <w:footnoteReference w:id="1"/>
      </w:r>
      <w:r w:rsidRPr="00C82DC5">
        <w:rPr>
          <w:rFonts w:cs="Times New Roman"/>
        </w:rPr>
        <w:t>.</w:t>
      </w:r>
      <w:r>
        <w:rPr>
          <w:rFonts w:cs="Times New Roman"/>
        </w:rPr>
        <w:t xml:space="preserve"> Kriterij robne razmjene primijenjen je samo za one države u kategoriji „sve druge države“ koje primjenom osnovnog kriterija</w:t>
      </w:r>
      <w:r w:rsidRPr="00E65A3D">
        <w:t xml:space="preserve"> </w:t>
      </w:r>
      <w:r w:rsidRPr="00E65A3D">
        <w:rPr>
          <w:rFonts w:cs="Times New Roman"/>
        </w:rPr>
        <w:t xml:space="preserve">tj. </w:t>
      </w:r>
      <w:r>
        <w:rPr>
          <w:rFonts w:cs="Times New Roman"/>
        </w:rPr>
        <w:t>visine BDP-a</w:t>
      </w:r>
      <w:r w:rsidRPr="00E65A3D">
        <w:rPr>
          <w:rFonts w:cs="Times New Roman"/>
        </w:rPr>
        <w:t xml:space="preserve"> po stanovniku prema paritetu kupovne moći</w:t>
      </w:r>
      <w:r>
        <w:rPr>
          <w:rFonts w:cs="Times New Roman"/>
        </w:rPr>
        <w:t xml:space="preserve"> ostvaruju viši iznos dnevnice od utvrđenog za kategoriju „sve druge države“ . </w:t>
      </w:r>
    </w:p>
    <w:p w14:paraId="7D51F9F5" w14:textId="77777777" w:rsidR="00716DBB" w:rsidRDefault="00716DBB" w:rsidP="00716DBB">
      <w:pPr>
        <w:jc w:val="both"/>
        <w:rPr>
          <w:rFonts w:cs="Times New Roman"/>
        </w:rPr>
      </w:pPr>
    </w:p>
    <w:p w14:paraId="4CEF205E" w14:textId="77777777" w:rsidR="00716DBB" w:rsidRDefault="00716DBB" w:rsidP="00716DBB">
      <w:pPr>
        <w:spacing w:line="276" w:lineRule="auto"/>
        <w:jc w:val="both"/>
        <w:rPr>
          <w:rFonts w:cs="Times New Roman"/>
        </w:rPr>
      </w:pPr>
      <w:r w:rsidRPr="00BE2270">
        <w:rPr>
          <w:rFonts w:cs="Times New Roman"/>
        </w:rPr>
        <w:t>Za</w:t>
      </w:r>
      <w:r w:rsidRPr="00502EF0">
        <w:rPr>
          <w:rFonts w:cs="Times New Roman"/>
        </w:rPr>
        <w:t xml:space="preserve"> pojedine države nije primijenjen osnovni kriterij </w:t>
      </w:r>
      <w:r>
        <w:rPr>
          <w:rFonts w:cs="Times New Roman"/>
        </w:rPr>
        <w:t>tj.</w:t>
      </w:r>
      <w:r w:rsidRPr="00E65A3D">
        <w:t xml:space="preserve"> </w:t>
      </w:r>
      <w:r w:rsidRPr="00E65A3D">
        <w:rPr>
          <w:rFonts w:cs="Times New Roman"/>
        </w:rPr>
        <w:t>visin</w:t>
      </w:r>
      <w:r>
        <w:rPr>
          <w:rFonts w:cs="Times New Roman"/>
        </w:rPr>
        <w:t>a</w:t>
      </w:r>
      <w:r w:rsidRPr="00E65A3D">
        <w:rPr>
          <w:rFonts w:cs="Times New Roman"/>
        </w:rPr>
        <w:t xml:space="preserve"> BDP</w:t>
      </w:r>
      <w:r>
        <w:rPr>
          <w:rFonts w:cs="Times New Roman"/>
        </w:rPr>
        <w:t>-a</w:t>
      </w:r>
      <w:r w:rsidRPr="00E65A3D">
        <w:rPr>
          <w:rFonts w:cs="Times New Roman"/>
        </w:rPr>
        <w:t xml:space="preserve"> po stanovniku prema paritetu kupovne moći</w:t>
      </w:r>
      <w:r>
        <w:rPr>
          <w:rFonts w:cs="Times New Roman"/>
        </w:rPr>
        <w:t xml:space="preserve"> </w:t>
      </w:r>
      <w:r w:rsidRPr="00AA2681">
        <w:rPr>
          <w:rFonts w:cs="Times New Roman"/>
        </w:rPr>
        <w:t xml:space="preserve">jer nije bilo dostupnih podataka </w:t>
      </w:r>
      <w:r w:rsidRPr="00BE2270">
        <w:rPr>
          <w:rFonts w:cs="Times New Roman"/>
        </w:rPr>
        <w:t>(Islamska Republika Afganistan, Libanonska Republika, Republika Kuba,) te je za njih određen najniži iznos dnevnice</w:t>
      </w:r>
      <w:r>
        <w:rPr>
          <w:rFonts w:cs="Times New Roman"/>
        </w:rPr>
        <w:t xml:space="preserve">, </w:t>
      </w:r>
      <w:r w:rsidRPr="00E65A3D">
        <w:rPr>
          <w:rFonts w:cs="Times New Roman"/>
        </w:rPr>
        <w:t xml:space="preserve">kao i kod izračuna visine dnevnica </w:t>
      </w:r>
      <w:r>
        <w:rPr>
          <w:rFonts w:cs="Times New Roman"/>
        </w:rPr>
        <w:t>z</w:t>
      </w:r>
      <w:r w:rsidRPr="00E65A3D">
        <w:rPr>
          <w:rFonts w:cs="Times New Roman"/>
        </w:rPr>
        <w:t>a službena putovanja u inozemstvo u trenutno važećoj Odluci</w:t>
      </w:r>
      <w:r>
        <w:rPr>
          <w:rFonts w:cs="Times New Roman"/>
        </w:rPr>
        <w:t xml:space="preserve">. Također, nije bilo dostupnih podataka za </w:t>
      </w:r>
      <w:r w:rsidRPr="004A0E43">
        <w:rPr>
          <w:rFonts w:cs="Times New Roman"/>
        </w:rPr>
        <w:t>Sirijsk</w:t>
      </w:r>
      <w:r>
        <w:rPr>
          <w:rFonts w:cs="Times New Roman"/>
        </w:rPr>
        <w:t>u</w:t>
      </w:r>
      <w:r w:rsidRPr="004A0E43">
        <w:rPr>
          <w:rFonts w:cs="Times New Roman"/>
        </w:rPr>
        <w:t xml:space="preserve"> Arapsk</w:t>
      </w:r>
      <w:r>
        <w:rPr>
          <w:rFonts w:cs="Times New Roman"/>
        </w:rPr>
        <w:t>u</w:t>
      </w:r>
      <w:r w:rsidRPr="004A0E43">
        <w:rPr>
          <w:rFonts w:cs="Times New Roman"/>
        </w:rPr>
        <w:t xml:space="preserve"> Republik</w:t>
      </w:r>
      <w:r>
        <w:rPr>
          <w:rFonts w:cs="Times New Roman"/>
        </w:rPr>
        <w:t xml:space="preserve">u i </w:t>
      </w:r>
      <w:r w:rsidRPr="004A0E43">
        <w:rPr>
          <w:rFonts w:cs="Times New Roman"/>
        </w:rPr>
        <w:t>Demokratsk</w:t>
      </w:r>
      <w:r>
        <w:rPr>
          <w:rFonts w:cs="Times New Roman"/>
        </w:rPr>
        <w:t>u</w:t>
      </w:r>
      <w:r w:rsidRPr="004A0E43">
        <w:rPr>
          <w:rFonts w:cs="Times New Roman"/>
        </w:rPr>
        <w:t xml:space="preserve"> Narodn</w:t>
      </w:r>
      <w:r>
        <w:rPr>
          <w:rFonts w:cs="Times New Roman"/>
        </w:rPr>
        <w:t>u</w:t>
      </w:r>
      <w:r w:rsidRPr="004A0E43">
        <w:rPr>
          <w:rFonts w:cs="Times New Roman"/>
        </w:rPr>
        <w:t xml:space="preserve"> Republik</w:t>
      </w:r>
      <w:r>
        <w:rPr>
          <w:rFonts w:cs="Times New Roman"/>
        </w:rPr>
        <w:t>u</w:t>
      </w:r>
      <w:r w:rsidRPr="004A0E43">
        <w:rPr>
          <w:rFonts w:cs="Times New Roman"/>
        </w:rPr>
        <w:t xml:space="preserve"> Korej</w:t>
      </w:r>
      <w:r>
        <w:rPr>
          <w:rFonts w:cs="Times New Roman"/>
        </w:rPr>
        <w:t xml:space="preserve">u te se za iste predlaže zadržati iznos najniže dnevnice iako su u trenutno važećoj Odluci bile iznimka jer im je utvrđen veći iznos dnevnice od one koje bi se utvrdile primjenom osnovnog kriterija.   </w:t>
      </w:r>
    </w:p>
    <w:p w14:paraId="0CB99370" w14:textId="77777777" w:rsidR="00716DBB" w:rsidRDefault="00716DBB" w:rsidP="00716DBB">
      <w:pPr>
        <w:spacing w:line="276" w:lineRule="auto"/>
        <w:jc w:val="both"/>
        <w:rPr>
          <w:rFonts w:cs="Times New Roman"/>
        </w:rPr>
      </w:pPr>
    </w:p>
    <w:p w14:paraId="4659E8A2" w14:textId="77777777" w:rsidR="00716DBB" w:rsidRPr="00502EF0" w:rsidRDefault="00716DBB" w:rsidP="00716DBB">
      <w:pPr>
        <w:spacing w:line="276" w:lineRule="auto"/>
        <w:jc w:val="both"/>
        <w:rPr>
          <w:rFonts w:cs="Times New Roman"/>
        </w:rPr>
      </w:pPr>
      <w:r w:rsidRPr="005A4BA3">
        <w:rPr>
          <w:rFonts w:cs="Times New Roman"/>
        </w:rPr>
        <w:t xml:space="preserve">Iznimke su i dnevnice određene za države </w:t>
      </w:r>
      <w:r>
        <w:rPr>
          <w:rFonts w:cs="Times New Roman"/>
        </w:rPr>
        <w:t xml:space="preserve">za </w:t>
      </w:r>
      <w:r w:rsidRPr="00502EF0">
        <w:rPr>
          <w:rFonts w:cs="Times New Roman"/>
        </w:rPr>
        <w:t>koje</w:t>
      </w:r>
      <w:r>
        <w:rPr>
          <w:rFonts w:cs="Times New Roman"/>
        </w:rPr>
        <w:t xml:space="preserve"> bi primjenom osnovnog kriterija tj. visine</w:t>
      </w:r>
      <w:r w:rsidRPr="00E65A3D">
        <w:rPr>
          <w:rFonts w:cs="Times New Roman"/>
        </w:rPr>
        <w:t xml:space="preserve"> BDP</w:t>
      </w:r>
      <w:r>
        <w:rPr>
          <w:rFonts w:cs="Times New Roman"/>
        </w:rPr>
        <w:t>-a</w:t>
      </w:r>
      <w:r w:rsidRPr="00E65A3D">
        <w:rPr>
          <w:rFonts w:cs="Times New Roman"/>
        </w:rPr>
        <w:t xml:space="preserve"> po stanovniku prema paritetu kupovne moći</w:t>
      </w:r>
      <w:r>
        <w:rPr>
          <w:rFonts w:cs="Times New Roman"/>
        </w:rPr>
        <w:t xml:space="preserve"> u</w:t>
      </w:r>
      <w:r w:rsidRPr="00E65A3D">
        <w:rPr>
          <w:rFonts w:cs="Times New Roman"/>
        </w:rPr>
        <w:t xml:space="preserve"> </w:t>
      </w:r>
      <w:r>
        <w:rPr>
          <w:rFonts w:cs="Times New Roman"/>
        </w:rPr>
        <w:t xml:space="preserve">Prijedlogu odluke bio utvrđen niži iznos dnevnice od onog utvrđenog u trenutno važećoj Odluci i koje su i tada </w:t>
      </w:r>
      <w:r w:rsidRPr="00A969E4">
        <w:rPr>
          <w:rFonts w:cs="Times New Roman"/>
        </w:rPr>
        <w:t>bile iz</w:t>
      </w:r>
      <w:r w:rsidRPr="005A4BA3">
        <w:rPr>
          <w:rFonts w:cs="Times New Roman"/>
        </w:rPr>
        <w:t>uzete</w:t>
      </w:r>
      <w:r w:rsidRPr="00502EF0">
        <w:rPr>
          <w:rFonts w:cs="Times New Roman"/>
        </w:rPr>
        <w:t xml:space="preserve"> </w:t>
      </w:r>
      <w:r w:rsidRPr="005A4BA3">
        <w:rPr>
          <w:rFonts w:cs="Times New Roman"/>
        </w:rPr>
        <w:t>od</w:t>
      </w:r>
      <w:r w:rsidRPr="00502EF0">
        <w:rPr>
          <w:rFonts w:cs="Times New Roman"/>
        </w:rPr>
        <w:t xml:space="preserve"> primjene</w:t>
      </w:r>
      <w:r w:rsidRPr="005A4BA3">
        <w:rPr>
          <w:rFonts w:cs="Times New Roman"/>
        </w:rPr>
        <w:t xml:space="preserve"> osnovnog</w:t>
      </w:r>
      <w:r w:rsidRPr="00BE2270">
        <w:rPr>
          <w:rFonts w:cs="Times New Roman"/>
        </w:rPr>
        <w:t xml:space="preserve"> kriterija </w:t>
      </w:r>
      <w:r w:rsidRPr="00502EF0">
        <w:rPr>
          <w:rFonts w:cs="Times New Roman"/>
        </w:rPr>
        <w:t>(</w:t>
      </w:r>
      <w:r>
        <w:rPr>
          <w:rFonts w:cs="Times New Roman"/>
        </w:rPr>
        <w:t>Republika Irak i Islamska Republika Iran</w:t>
      </w:r>
      <w:r w:rsidRPr="00502EF0">
        <w:rPr>
          <w:rFonts w:cs="Times New Roman"/>
        </w:rPr>
        <w:t>).</w:t>
      </w:r>
    </w:p>
    <w:p w14:paraId="023E6A7E" w14:textId="77777777" w:rsidR="00716DBB" w:rsidRPr="00502EF0" w:rsidRDefault="00716DBB" w:rsidP="00716DBB">
      <w:pPr>
        <w:spacing w:line="276" w:lineRule="auto"/>
        <w:jc w:val="both"/>
        <w:rPr>
          <w:rFonts w:cs="Times New Roman"/>
        </w:rPr>
      </w:pPr>
    </w:p>
    <w:p w14:paraId="2F881CDF" w14:textId="77777777" w:rsidR="00716DBB" w:rsidRDefault="00716DBB" w:rsidP="00716DBB">
      <w:pPr>
        <w:spacing w:line="276" w:lineRule="auto"/>
        <w:jc w:val="both"/>
        <w:rPr>
          <w:rFonts w:cs="Times New Roman"/>
        </w:rPr>
      </w:pPr>
      <w:r w:rsidRPr="00502EF0">
        <w:rPr>
          <w:rFonts w:cs="Times New Roman"/>
        </w:rPr>
        <w:t xml:space="preserve">Također, podaci o visini osnovnog kriterija </w:t>
      </w:r>
      <w:r w:rsidRPr="008F1999">
        <w:rPr>
          <w:rFonts w:cs="Times New Roman"/>
        </w:rPr>
        <w:t>tj. visin</w:t>
      </w:r>
      <w:r>
        <w:rPr>
          <w:rFonts w:cs="Times New Roman"/>
        </w:rPr>
        <w:t>i</w:t>
      </w:r>
      <w:r w:rsidRPr="008F1999">
        <w:rPr>
          <w:rFonts w:cs="Times New Roman"/>
        </w:rPr>
        <w:t xml:space="preserve"> </w:t>
      </w:r>
      <w:r>
        <w:rPr>
          <w:rFonts w:cs="Times New Roman"/>
        </w:rPr>
        <w:t>BDP-a</w:t>
      </w:r>
      <w:r w:rsidRPr="008F1999">
        <w:rPr>
          <w:rFonts w:cs="Times New Roman"/>
        </w:rPr>
        <w:t xml:space="preserve"> po stanovniku prema paritetu kupovne moći </w:t>
      </w:r>
      <w:r>
        <w:rPr>
          <w:rFonts w:cs="Times New Roman"/>
        </w:rPr>
        <w:t>nisu dostupni</w:t>
      </w:r>
      <w:r w:rsidRPr="00502EF0">
        <w:rPr>
          <w:rFonts w:cs="Times New Roman"/>
        </w:rPr>
        <w:t xml:space="preserve"> za </w:t>
      </w:r>
      <w:r w:rsidRPr="00AA2681">
        <w:rPr>
          <w:rFonts w:cs="Times New Roman"/>
        </w:rPr>
        <w:t xml:space="preserve"> Kneževinu Lihtenštajn, Monako i</w:t>
      </w:r>
      <w:r w:rsidRPr="00BE2270">
        <w:rPr>
          <w:rFonts w:cs="Times New Roman"/>
        </w:rPr>
        <w:t xml:space="preserve"> Državu Vatikanskog Grada</w:t>
      </w:r>
      <w:r>
        <w:rPr>
          <w:rFonts w:cs="Times New Roman"/>
        </w:rPr>
        <w:t xml:space="preserve"> </w:t>
      </w:r>
      <w:r w:rsidRPr="00BE2270">
        <w:rPr>
          <w:rFonts w:cs="Times New Roman"/>
        </w:rPr>
        <w:t xml:space="preserve">za koje </w:t>
      </w:r>
      <w:r>
        <w:rPr>
          <w:rFonts w:cs="Times New Roman"/>
        </w:rPr>
        <w:t xml:space="preserve">se </w:t>
      </w:r>
      <w:r w:rsidRPr="00BE2270">
        <w:rPr>
          <w:rFonts w:cs="Times New Roman"/>
        </w:rPr>
        <w:t>predlaže iznos dnevnice od 80,00 EUR.</w:t>
      </w:r>
    </w:p>
    <w:p w14:paraId="13C85A3A" w14:textId="77777777" w:rsidR="00716DBB" w:rsidRDefault="00716DBB" w:rsidP="00716DBB">
      <w:pPr>
        <w:spacing w:line="276" w:lineRule="auto"/>
        <w:jc w:val="both"/>
        <w:rPr>
          <w:rFonts w:cs="Times New Roman"/>
        </w:rPr>
      </w:pPr>
    </w:p>
    <w:p w14:paraId="083A2AEE" w14:textId="77777777" w:rsidR="00716DBB" w:rsidRPr="00547025" w:rsidRDefault="00716DBB" w:rsidP="00716DBB">
      <w:p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szCs w:val="24"/>
          <w:lang w:eastAsia="hr-HR"/>
        </w:rPr>
        <w:t>Zbog izvanrednih okolnosti u Prijedlogu odluke predlaže se za Ukrajinu visina dnevnice u iznosu od 70,00 EUR umjesto 45,00 EUR koliko bi iznosila primjenom osnovnog kriterija</w:t>
      </w:r>
      <w:r w:rsidRPr="008F1999">
        <w:rPr>
          <w:rFonts w:cs="Times New Roman"/>
        </w:rPr>
        <w:t xml:space="preserve"> </w:t>
      </w:r>
      <w:r>
        <w:rPr>
          <w:rFonts w:cs="Times New Roman"/>
        </w:rPr>
        <w:t xml:space="preserve">tj. </w:t>
      </w:r>
      <w:r w:rsidRPr="00E65A3D">
        <w:rPr>
          <w:rFonts w:cs="Times New Roman"/>
        </w:rPr>
        <w:t>visin</w:t>
      </w:r>
      <w:r>
        <w:rPr>
          <w:rFonts w:cs="Times New Roman"/>
        </w:rPr>
        <w:t>e</w:t>
      </w:r>
      <w:r w:rsidRPr="00E65A3D">
        <w:rPr>
          <w:rFonts w:cs="Times New Roman"/>
        </w:rPr>
        <w:t xml:space="preserve"> </w:t>
      </w:r>
      <w:r>
        <w:rPr>
          <w:rFonts w:cs="Times New Roman"/>
        </w:rPr>
        <w:t>BDP-a</w:t>
      </w:r>
      <w:r w:rsidRPr="00E65A3D">
        <w:rPr>
          <w:rFonts w:cs="Times New Roman"/>
        </w:rPr>
        <w:t xml:space="preserve"> po stanovniku prema paritetu kupovne moći</w:t>
      </w:r>
      <w:r>
        <w:rPr>
          <w:rFonts w:cs="Times New Roman"/>
        </w:rPr>
        <w:t>.</w:t>
      </w:r>
      <w:r w:rsidDel="008F1999">
        <w:rPr>
          <w:rFonts w:eastAsia="Times New Roman" w:cs="Times New Roman"/>
          <w:szCs w:val="24"/>
          <w:lang w:eastAsia="hr-HR"/>
        </w:rPr>
        <w:t xml:space="preserve"> </w:t>
      </w:r>
    </w:p>
    <w:p w14:paraId="3A8DA75B" w14:textId="77777777" w:rsidR="00716DBB" w:rsidRPr="00547025" w:rsidRDefault="00716DBB" w:rsidP="00716DBB">
      <w:pPr>
        <w:jc w:val="both"/>
        <w:rPr>
          <w:rFonts w:cs="Times New Roman"/>
        </w:rPr>
      </w:pPr>
    </w:p>
    <w:p w14:paraId="675A1F0E" w14:textId="77777777" w:rsidR="00860FD3" w:rsidRPr="00860FD3" w:rsidRDefault="00860FD3" w:rsidP="00860FD3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sectPr w:rsidR="00860FD3" w:rsidRPr="00860FD3" w:rsidSect="001B4AF8">
      <w:pgSz w:w="11906" w:h="16838"/>
      <w:pgMar w:top="1276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92615" w14:textId="77777777" w:rsidR="00716DBB" w:rsidRDefault="00716DBB" w:rsidP="00716DBB">
      <w:r>
        <w:separator/>
      </w:r>
    </w:p>
  </w:endnote>
  <w:endnote w:type="continuationSeparator" w:id="0">
    <w:p w14:paraId="6656B5CA" w14:textId="77777777" w:rsidR="00716DBB" w:rsidRDefault="00716DBB" w:rsidP="0071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7D363" w14:textId="77777777" w:rsidR="002D01E1" w:rsidRPr="009F3C33" w:rsidRDefault="002D01E1" w:rsidP="006B5B47">
    <w:pPr>
      <w:pStyle w:val="Podnoje1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9F3C3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6437E" w14:textId="77777777" w:rsidR="00716DBB" w:rsidRDefault="00716DBB" w:rsidP="00716DBB">
      <w:r>
        <w:separator/>
      </w:r>
    </w:p>
  </w:footnote>
  <w:footnote w:type="continuationSeparator" w:id="0">
    <w:p w14:paraId="7937DF5C" w14:textId="77777777" w:rsidR="00716DBB" w:rsidRDefault="00716DBB" w:rsidP="00716DBB">
      <w:r>
        <w:continuationSeparator/>
      </w:r>
    </w:p>
  </w:footnote>
  <w:footnote w:id="1">
    <w:p w14:paraId="6F80BB2A" w14:textId="77777777" w:rsidR="00716DBB" w:rsidRDefault="00716DBB" w:rsidP="00716DBB">
      <w:r>
        <w:rPr>
          <w:rStyle w:val="FootnoteReference"/>
        </w:rPr>
        <w:footnoteRef/>
      </w:r>
      <w:r>
        <w:t xml:space="preserve"> </w:t>
      </w:r>
      <w:r w:rsidRPr="005B3B7C">
        <w:rPr>
          <w:rFonts w:cs="Times New Roman"/>
        </w:rPr>
        <w:t>Robna razmjena Republike Hrvatske s inozemstvom – privremeni podaci od siječnja do prosinca 2022. i za siječanj 2023. od 10. ožujka 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3FE"/>
    <w:multiLevelType w:val="hybridMultilevel"/>
    <w:tmpl w:val="6086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7445"/>
    <w:multiLevelType w:val="hybridMultilevel"/>
    <w:tmpl w:val="5AC4A9A6"/>
    <w:lvl w:ilvl="0" w:tplc="DF320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66D"/>
    <w:multiLevelType w:val="hybridMultilevel"/>
    <w:tmpl w:val="D8945212"/>
    <w:lvl w:ilvl="0" w:tplc="7F267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2D4"/>
    <w:multiLevelType w:val="hybridMultilevel"/>
    <w:tmpl w:val="E97CE3B8"/>
    <w:lvl w:ilvl="0" w:tplc="E0D6FB0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CA1"/>
    <w:multiLevelType w:val="hybridMultilevel"/>
    <w:tmpl w:val="D0B8B8B8"/>
    <w:lvl w:ilvl="0" w:tplc="B6764CD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46BD"/>
    <w:multiLevelType w:val="hybridMultilevel"/>
    <w:tmpl w:val="47B66C56"/>
    <w:lvl w:ilvl="0" w:tplc="AD12FE0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DC6CB0"/>
    <w:multiLevelType w:val="hybridMultilevel"/>
    <w:tmpl w:val="BA562BC4"/>
    <w:lvl w:ilvl="0" w:tplc="041A0011">
      <w:start w:val="1"/>
      <w:numFmt w:val="decimal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F77262"/>
    <w:multiLevelType w:val="hybridMultilevel"/>
    <w:tmpl w:val="812026C6"/>
    <w:lvl w:ilvl="0" w:tplc="7F267C3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AC40C2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22DF3"/>
    <w:multiLevelType w:val="hybridMultilevel"/>
    <w:tmpl w:val="2128525E"/>
    <w:lvl w:ilvl="0" w:tplc="EDB25A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FA1B75"/>
    <w:multiLevelType w:val="hybridMultilevel"/>
    <w:tmpl w:val="FCE6A1D0"/>
    <w:lvl w:ilvl="0" w:tplc="EDB25A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467506"/>
    <w:multiLevelType w:val="hybridMultilevel"/>
    <w:tmpl w:val="C474339E"/>
    <w:lvl w:ilvl="0" w:tplc="7F267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5226D"/>
    <w:multiLevelType w:val="hybridMultilevel"/>
    <w:tmpl w:val="FC0C11BA"/>
    <w:lvl w:ilvl="0" w:tplc="AD12F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6076"/>
    <w:multiLevelType w:val="hybridMultilevel"/>
    <w:tmpl w:val="5222626C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150B9"/>
    <w:multiLevelType w:val="hybridMultilevel"/>
    <w:tmpl w:val="3DF677C4"/>
    <w:lvl w:ilvl="0" w:tplc="E0D6FB0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F54D9"/>
    <w:multiLevelType w:val="hybridMultilevel"/>
    <w:tmpl w:val="25E08B58"/>
    <w:lvl w:ilvl="0" w:tplc="7F267C3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1489F"/>
    <w:multiLevelType w:val="hybridMultilevel"/>
    <w:tmpl w:val="FC0C11BA"/>
    <w:lvl w:ilvl="0" w:tplc="AD12F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24077"/>
    <w:multiLevelType w:val="hybridMultilevel"/>
    <w:tmpl w:val="0026018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5EAC"/>
    <w:multiLevelType w:val="hybridMultilevel"/>
    <w:tmpl w:val="8BD842F6"/>
    <w:lvl w:ilvl="0" w:tplc="AD12F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061CB"/>
    <w:multiLevelType w:val="hybridMultilevel"/>
    <w:tmpl w:val="1D441C6E"/>
    <w:lvl w:ilvl="0" w:tplc="60ECB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A7E90"/>
    <w:multiLevelType w:val="hybridMultilevel"/>
    <w:tmpl w:val="EF16E036"/>
    <w:lvl w:ilvl="0" w:tplc="7F267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51A13"/>
    <w:multiLevelType w:val="hybridMultilevel"/>
    <w:tmpl w:val="0CD6E9B2"/>
    <w:lvl w:ilvl="0" w:tplc="7F267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9062F"/>
    <w:multiLevelType w:val="hybridMultilevel"/>
    <w:tmpl w:val="C474339E"/>
    <w:lvl w:ilvl="0" w:tplc="7F267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22694"/>
    <w:multiLevelType w:val="hybridMultilevel"/>
    <w:tmpl w:val="0CD6E9B2"/>
    <w:lvl w:ilvl="0" w:tplc="7F267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E038D"/>
    <w:multiLevelType w:val="hybridMultilevel"/>
    <w:tmpl w:val="80C22BBE"/>
    <w:lvl w:ilvl="0" w:tplc="AD12F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D744A"/>
    <w:multiLevelType w:val="hybridMultilevel"/>
    <w:tmpl w:val="2BFA81AE"/>
    <w:lvl w:ilvl="0" w:tplc="7F267C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DF1D6D"/>
    <w:multiLevelType w:val="hybridMultilevel"/>
    <w:tmpl w:val="A46EAA08"/>
    <w:lvl w:ilvl="0" w:tplc="A4A4A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80EAF"/>
    <w:multiLevelType w:val="hybridMultilevel"/>
    <w:tmpl w:val="12CEE3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F21AB"/>
    <w:multiLevelType w:val="hybridMultilevel"/>
    <w:tmpl w:val="C13489B0"/>
    <w:lvl w:ilvl="0" w:tplc="DF3200D8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99380A"/>
    <w:multiLevelType w:val="hybridMultilevel"/>
    <w:tmpl w:val="A20C46CA"/>
    <w:lvl w:ilvl="0" w:tplc="DF320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922D0"/>
    <w:multiLevelType w:val="hybridMultilevel"/>
    <w:tmpl w:val="96F6EC76"/>
    <w:lvl w:ilvl="0" w:tplc="AD12F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63E71"/>
    <w:multiLevelType w:val="hybridMultilevel"/>
    <w:tmpl w:val="E39A1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A5F4C"/>
    <w:multiLevelType w:val="hybridMultilevel"/>
    <w:tmpl w:val="C86A1E52"/>
    <w:lvl w:ilvl="0" w:tplc="FAE4C2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E4C6D"/>
    <w:multiLevelType w:val="hybridMultilevel"/>
    <w:tmpl w:val="7C7401E8"/>
    <w:lvl w:ilvl="0" w:tplc="DF320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9E0"/>
    <w:multiLevelType w:val="hybridMultilevel"/>
    <w:tmpl w:val="61D0E6E2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F696595"/>
    <w:multiLevelType w:val="hybridMultilevel"/>
    <w:tmpl w:val="7FA686BA"/>
    <w:lvl w:ilvl="0" w:tplc="60ECB6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8319BB"/>
    <w:multiLevelType w:val="hybridMultilevel"/>
    <w:tmpl w:val="887458BA"/>
    <w:lvl w:ilvl="0" w:tplc="7F267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00EC9"/>
    <w:multiLevelType w:val="hybridMultilevel"/>
    <w:tmpl w:val="D05014D0"/>
    <w:lvl w:ilvl="0" w:tplc="E0D6FB0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0"/>
  </w:num>
  <w:num w:numId="5">
    <w:abstractNumId w:val="18"/>
  </w:num>
  <w:num w:numId="6">
    <w:abstractNumId w:val="1"/>
  </w:num>
  <w:num w:numId="7">
    <w:abstractNumId w:val="5"/>
  </w:num>
  <w:num w:numId="8">
    <w:abstractNumId w:val="7"/>
  </w:num>
  <w:num w:numId="9">
    <w:abstractNumId w:val="17"/>
  </w:num>
  <w:num w:numId="10">
    <w:abstractNumId w:val="11"/>
  </w:num>
  <w:num w:numId="11">
    <w:abstractNumId w:val="29"/>
  </w:num>
  <w:num w:numId="12">
    <w:abstractNumId w:val="23"/>
  </w:num>
  <w:num w:numId="13">
    <w:abstractNumId w:val="19"/>
  </w:num>
  <w:num w:numId="14">
    <w:abstractNumId w:val="2"/>
  </w:num>
  <w:num w:numId="15">
    <w:abstractNumId w:val="22"/>
  </w:num>
  <w:num w:numId="16">
    <w:abstractNumId w:val="35"/>
  </w:num>
  <w:num w:numId="17">
    <w:abstractNumId w:val="9"/>
  </w:num>
  <w:num w:numId="18">
    <w:abstractNumId w:val="8"/>
  </w:num>
  <w:num w:numId="19">
    <w:abstractNumId w:val="24"/>
  </w:num>
  <w:num w:numId="20">
    <w:abstractNumId w:val="14"/>
  </w:num>
  <w:num w:numId="21">
    <w:abstractNumId w:val="21"/>
  </w:num>
  <w:num w:numId="22">
    <w:abstractNumId w:val="6"/>
  </w:num>
  <w:num w:numId="23">
    <w:abstractNumId w:val="27"/>
  </w:num>
  <w:num w:numId="24">
    <w:abstractNumId w:val="32"/>
  </w:num>
  <w:num w:numId="25">
    <w:abstractNumId w:val="30"/>
  </w:num>
  <w:num w:numId="26">
    <w:abstractNumId w:val="36"/>
  </w:num>
  <w:num w:numId="27">
    <w:abstractNumId w:val="13"/>
  </w:num>
  <w:num w:numId="28">
    <w:abstractNumId w:val="20"/>
  </w:num>
  <w:num w:numId="29">
    <w:abstractNumId w:val="3"/>
  </w:num>
  <w:num w:numId="30">
    <w:abstractNumId w:val="10"/>
  </w:num>
  <w:num w:numId="31">
    <w:abstractNumId w:val="33"/>
  </w:num>
  <w:num w:numId="32">
    <w:abstractNumId w:val="28"/>
  </w:num>
  <w:num w:numId="33">
    <w:abstractNumId w:val="26"/>
  </w:num>
  <w:num w:numId="34">
    <w:abstractNumId w:val="4"/>
  </w:num>
  <w:num w:numId="35">
    <w:abstractNumId w:val="34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0F"/>
    <w:rsid w:val="000100AF"/>
    <w:rsid w:val="0002542E"/>
    <w:rsid w:val="00027F61"/>
    <w:rsid w:val="00035A2E"/>
    <w:rsid w:val="000525AA"/>
    <w:rsid w:val="0006724F"/>
    <w:rsid w:val="000932EE"/>
    <w:rsid w:val="0009422B"/>
    <w:rsid w:val="000A7F14"/>
    <w:rsid w:val="000B15CB"/>
    <w:rsid w:val="000B6571"/>
    <w:rsid w:val="000D3FF3"/>
    <w:rsid w:val="00111178"/>
    <w:rsid w:val="001271BB"/>
    <w:rsid w:val="00135665"/>
    <w:rsid w:val="001376E4"/>
    <w:rsid w:val="001515B7"/>
    <w:rsid w:val="00153F47"/>
    <w:rsid w:val="00157297"/>
    <w:rsid w:val="0016394C"/>
    <w:rsid w:val="00182BF4"/>
    <w:rsid w:val="00183337"/>
    <w:rsid w:val="00183C60"/>
    <w:rsid w:val="00183EE7"/>
    <w:rsid w:val="0018551F"/>
    <w:rsid w:val="0019425C"/>
    <w:rsid w:val="001A32A7"/>
    <w:rsid w:val="001A4ADA"/>
    <w:rsid w:val="001B0300"/>
    <w:rsid w:val="001B06FA"/>
    <w:rsid w:val="001B4AF8"/>
    <w:rsid w:val="001B6281"/>
    <w:rsid w:val="001C158B"/>
    <w:rsid w:val="001C6985"/>
    <w:rsid w:val="001D6A9F"/>
    <w:rsid w:val="001D6AFE"/>
    <w:rsid w:val="001E2E38"/>
    <w:rsid w:val="001E3C0C"/>
    <w:rsid w:val="001E3FA6"/>
    <w:rsid w:val="0020146A"/>
    <w:rsid w:val="002019F4"/>
    <w:rsid w:val="00211250"/>
    <w:rsid w:val="00216483"/>
    <w:rsid w:val="00217845"/>
    <w:rsid w:val="00224918"/>
    <w:rsid w:val="002322F3"/>
    <w:rsid w:val="00235D53"/>
    <w:rsid w:val="00236143"/>
    <w:rsid w:val="00254726"/>
    <w:rsid w:val="0026778E"/>
    <w:rsid w:val="00276C9A"/>
    <w:rsid w:val="00282FD1"/>
    <w:rsid w:val="002914E1"/>
    <w:rsid w:val="002A6E99"/>
    <w:rsid w:val="002C159C"/>
    <w:rsid w:val="002C34ED"/>
    <w:rsid w:val="002D01E1"/>
    <w:rsid w:val="002D1190"/>
    <w:rsid w:val="002E2279"/>
    <w:rsid w:val="002F40D5"/>
    <w:rsid w:val="00303E24"/>
    <w:rsid w:val="0033247C"/>
    <w:rsid w:val="00334962"/>
    <w:rsid w:val="00341ED1"/>
    <w:rsid w:val="00350663"/>
    <w:rsid w:val="003840A1"/>
    <w:rsid w:val="00384C01"/>
    <w:rsid w:val="0038645A"/>
    <w:rsid w:val="003915DE"/>
    <w:rsid w:val="003A298C"/>
    <w:rsid w:val="003B1D96"/>
    <w:rsid w:val="003B3968"/>
    <w:rsid w:val="003B6C9D"/>
    <w:rsid w:val="003C5A0C"/>
    <w:rsid w:val="003C61DA"/>
    <w:rsid w:val="003D0911"/>
    <w:rsid w:val="003D19E0"/>
    <w:rsid w:val="003D4F59"/>
    <w:rsid w:val="003E1ED2"/>
    <w:rsid w:val="003F5500"/>
    <w:rsid w:val="00402AF8"/>
    <w:rsid w:val="00413548"/>
    <w:rsid w:val="00425139"/>
    <w:rsid w:val="00425CB3"/>
    <w:rsid w:val="00426FB1"/>
    <w:rsid w:val="00434B71"/>
    <w:rsid w:val="004350F7"/>
    <w:rsid w:val="004418E0"/>
    <w:rsid w:val="00451B1D"/>
    <w:rsid w:val="00465382"/>
    <w:rsid w:val="004834A2"/>
    <w:rsid w:val="00486435"/>
    <w:rsid w:val="0049103A"/>
    <w:rsid w:val="00495BCF"/>
    <w:rsid w:val="004B0A44"/>
    <w:rsid w:val="004B44D8"/>
    <w:rsid w:val="004B727D"/>
    <w:rsid w:val="004C3F4C"/>
    <w:rsid w:val="004D3BE0"/>
    <w:rsid w:val="004D71C6"/>
    <w:rsid w:val="004D78E0"/>
    <w:rsid w:val="004F341E"/>
    <w:rsid w:val="0050101A"/>
    <w:rsid w:val="0051015F"/>
    <w:rsid w:val="0051167E"/>
    <w:rsid w:val="00516B8C"/>
    <w:rsid w:val="005228FD"/>
    <w:rsid w:val="00550C88"/>
    <w:rsid w:val="005605A7"/>
    <w:rsid w:val="00560BDA"/>
    <w:rsid w:val="005658B3"/>
    <w:rsid w:val="00572AE0"/>
    <w:rsid w:val="005772C9"/>
    <w:rsid w:val="005775BD"/>
    <w:rsid w:val="00586F43"/>
    <w:rsid w:val="00594509"/>
    <w:rsid w:val="005A23EA"/>
    <w:rsid w:val="005A557A"/>
    <w:rsid w:val="005A59C2"/>
    <w:rsid w:val="005B5873"/>
    <w:rsid w:val="005D0E6F"/>
    <w:rsid w:val="005D2B8A"/>
    <w:rsid w:val="005F3D9B"/>
    <w:rsid w:val="006047AF"/>
    <w:rsid w:val="00614F6D"/>
    <w:rsid w:val="00620B49"/>
    <w:rsid w:val="006333C5"/>
    <w:rsid w:val="006520EB"/>
    <w:rsid w:val="00655F7E"/>
    <w:rsid w:val="006731CD"/>
    <w:rsid w:val="00683218"/>
    <w:rsid w:val="00685091"/>
    <w:rsid w:val="00693337"/>
    <w:rsid w:val="00695360"/>
    <w:rsid w:val="006D5075"/>
    <w:rsid w:val="006D60CD"/>
    <w:rsid w:val="00712F5D"/>
    <w:rsid w:val="00716DBB"/>
    <w:rsid w:val="007407F9"/>
    <w:rsid w:val="00742563"/>
    <w:rsid w:val="007626E3"/>
    <w:rsid w:val="0076560E"/>
    <w:rsid w:val="00777E29"/>
    <w:rsid w:val="007874FC"/>
    <w:rsid w:val="007947A9"/>
    <w:rsid w:val="007A0AEB"/>
    <w:rsid w:val="007A3B64"/>
    <w:rsid w:val="007A4394"/>
    <w:rsid w:val="007B7C92"/>
    <w:rsid w:val="007C0D6C"/>
    <w:rsid w:val="007D6730"/>
    <w:rsid w:val="007E0CCE"/>
    <w:rsid w:val="007E1DB0"/>
    <w:rsid w:val="007F08BF"/>
    <w:rsid w:val="007F2F3A"/>
    <w:rsid w:val="007F4194"/>
    <w:rsid w:val="00801046"/>
    <w:rsid w:val="00812B2F"/>
    <w:rsid w:val="008178C6"/>
    <w:rsid w:val="0082046B"/>
    <w:rsid w:val="00825B7A"/>
    <w:rsid w:val="00827A72"/>
    <w:rsid w:val="00837660"/>
    <w:rsid w:val="00860FD3"/>
    <w:rsid w:val="00870B76"/>
    <w:rsid w:val="008749A5"/>
    <w:rsid w:val="008803D4"/>
    <w:rsid w:val="00884B4A"/>
    <w:rsid w:val="008850A5"/>
    <w:rsid w:val="00897ACA"/>
    <w:rsid w:val="008A309D"/>
    <w:rsid w:val="008A56E5"/>
    <w:rsid w:val="008B2E01"/>
    <w:rsid w:val="008B634D"/>
    <w:rsid w:val="008C5A87"/>
    <w:rsid w:val="008D210A"/>
    <w:rsid w:val="008D22D1"/>
    <w:rsid w:val="008D573E"/>
    <w:rsid w:val="009062BF"/>
    <w:rsid w:val="00911573"/>
    <w:rsid w:val="009207D0"/>
    <w:rsid w:val="0092405A"/>
    <w:rsid w:val="00927D73"/>
    <w:rsid w:val="0093382B"/>
    <w:rsid w:val="009636FE"/>
    <w:rsid w:val="009729A2"/>
    <w:rsid w:val="009774C6"/>
    <w:rsid w:val="00993C84"/>
    <w:rsid w:val="009A22B6"/>
    <w:rsid w:val="009B28BE"/>
    <w:rsid w:val="009B2955"/>
    <w:rsid w:val="009B57E8"/>
    <w:rsid w:val="009B6199"/>
    <w:rsid w:val="009C26A8"/>
    <w:rsid w:val="009C552B"/>
    <w:rsid w:val="009D1E22"/>
    <w:rsid w:val="009D43CF"/>
    <w:rsid w:val="009E0F01"/>
    <w:rsid w:val="009E4C3C"/>
    <w:rsid w:val="00A01815"/>
    <w:rsid w:val="00A01F1E"/>
    <w:rsid w:val="00A13E9F"/>
    <w:rsid w:val="00A158F6"/>
    <w:rsid w:val="00A16CD2"/>
    <w:rsid w:val="00A17814"/>
    <w:rsid w:val="00A20902"/>
    <w:rsid w:val="00A4131B"/>
    <w:rsid w:val="00A46916"/>
    <w:rsid w:val="00A50C41"/>
    <w:rsid w:val="00A52C20"/>
    <w:rsid w:val="00A57068"/>
    <w:rsid w:val="00A63500"/>
    <w:rsid w:val="00A83D28"/>
    <w:rsid w:val="00A9582B"/>
    <w:rsid w:val="00A96B37"/>
    <w:rsid w:val="00AA0D42"/>
    <w:rsid w:val="00AA6D3C"/>
    <w:rsid w:val="00AA71E6"/>
    <w:rsid w:val="00AB1809"/>
    <w:rsid w:val="00AC1002"/>
    <w:rsid w:val="00AD204E"/>
    <w:rsid w:val="00AF022C"/>
    <w:rsid w:val="00AF1151"/>
    <w:rsid w:val="00B13BFA"/>
    <w:rsid w:val="00B205C7"/>
    <w:rsid w:val="00B2476E"/>
    <w:rsid w:val="00B31A73"/>
    <w:rsid w:val="00B36F88"/>
    <w:rsid w:val="00B549A9"/>
    <w:rsid w:val="00B70C22"/>
    <w:rsid w:val="00B87AB1"/>
    <w:rsid w:val="00B95D57"/>
    <w:rsid w:val="00BA3674"/>
    <w:rsid w:val="00BA764C"/>
    <w:rsid w:val="00BC0DF2"/>
    <w:rsid w:val="00BD19D4"/>
    <w:rsid w:val="00BD1E1E"/>
    <w:rsid w:val="00BE536D"/>
    <w:rsid w:val="00BF19A3"/>
    <w:rsid w:val="00C005C1"/>
    <w:rsid w:val="00C04070"/>
    <w:rsid w:val="00C0415B"/>
    <w:rsid w:val="00C051E2"/>
    <w:rsid w:val="00C1711C"/>
    <w:rsid w:val="00C32F75"/>
    <w:rsid w:val="00C41EFE"/>
    <w:rsid w:val="00C42660"/>
    <w:rsid w:val="00C44E01"/>
    <w:rsid w:val="00C508F2"/>
    <w:rsid w:val="00C62FAB"/>
    <w:rsid w:val="00C64BB1"/>
    <w:rsid w:val="00C706CA"/>
    <w:rsid w:val="00C72D83"/>
    <w:rsid w:val="00C874A8"/>
    <w:rsid w:val="00C93246"/>
    <w:rsid w:val="00C93CCB"/>
    <w:rsid w:val="00CA1B48"/>
    <w:rsid w:val="00CA2C7B"/>
    <w:rsid w:val="00CC06ED"/>
    <w:rsid w:val="00CD5FB4"/>
    <w:rsid w:val="00CE49E7"/>
    <w:rsid w:val="00D10A77"/>
    <w:rsid w:val="00D35A20"/>
    <w:rsid w:val="00D41EA7"/>
    <w:rsid w:val="00D61264"/>
    <w:rsid w:val="00D63BF1"/>
    <w:rsid w:val="00D72007"/>
    <w:rsid w:val="00D75219"/>
    <w:rsid w:val="00D81FC8"/>
    <w:rsid w:val="00D834E6"/>
    <w:rsid w:val="00D913D8"/>
    <w:rsid w:val="00D94D61"/>
    <w:rsid w:val="00D96C8F"/>
    <w:rsid w:val="00DA0DDC"/>
    <w:rsid w:val="00DB1D28"/>
    <w:rsid w:val="00DC5153"/>
    <w:rsid w:val="00DD787F"/>
    <w:rsid w:val="00E0580C"/>
    <w:rsid w:val="00E1240D"/>
    <w:rsid w:val="00E17F69"/>
    <w:rsid w:val="00E45634"/>
    <w:rsid w:val="00E506D4"/>
    <w:rsid w:val="00E55A7D"/>
    <w:rsid w:val="00E55D37"/>
    <w:rsid w:val="00E850C0"/>
    <w:rsid w:val="00E928B6"/>
    <w:rsid w:val="00E948CA"/>
    <w:rsid w:val="00E951F7"/>
    <w:rsid w:val="00E97244"/>
    <w:rsid w:val="00EA0C42"/>
    <w:rsid w:val="00EA0FDB"/>
    <w:rsid w:val="00EB774F"/>
    <w:rsid w:val="00EB7E7B"/>
    <w:rsid w:val="00EC2985"/>
    <w:rsid w:val="00EC7FC6"/>
    <w:rsid w:val="00ED6CA6"/>
    <w:rsid w:val="00F02B49"/>
    <w:rsid w:val="00F16445"/>
    <w:rsid w:val="00F17720"/>
    <w:rsid w:val="00F232ED"/>
    <w:rsid w:val="00F300BB"/>
    <w:rsid w:val="00F47588"/>
    <w:rsid w:val="00F57CA8"/>
    <w:rsid w:val="00F7200F"/>
    <w:rsid w:val="00F744D8"/>
    <w:rsid w:val="00F75C13"/>
    <w:rsid w:val="00F769DD"/>
    <w:rsid w:val="00F77EC4"/>
    <w:rsid w:val="00F80468"/>
    <w:rsid w:val="00FA0218"/>
    <w:rsid w:val="00FB4482"/>
    <w:rsid w:val="00FB5A41"/>
    <w:rsid w:val="00FC7C6D"/>
    <w:rsid w:val="00FE489F"/>
    <w:rsid w:val="00FF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4FAD"/>
  <w15:docId w15:val="{51D4B528-D44F-4727-BDF5-BB412503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027F6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customStyle="1" w:styleId="t-12-9-fett-s">
    <w:name w:val="t-12-9-fett-s"/>
    <w:basedOn w:val="Normal"/>
    <w:rsid w:val="00027F6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027F6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027F6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027F6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027F6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broj-d">
    <w:name w:val="broj-d"/>
    <w:basedOn w:val="Normal"/>
    <w:rsid w:val="00027F61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6"/>
      <w:szCs w:val="26"/>
      <w:lang w:eastAsia="hr-HR"/>
    </w:rPr>
  </w:style>
  <w:style w:type="paragraph" w:customStyle="1" w:styleId="tb-na18">
    <w:name w:val="tb-na18"/>
    <w:basedOn w:val="Normal"/>
    <w:rsid w:val="00027F6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40"/>
      <w:szCs w:val="40"/>
      <w:lang w:eastAsia="hr-HR"/>
    </w:rPr>
  </w:style>
  <w:style w:type="character" w:styleId="CommentReference">
    <w:name w:val="annotation reference"/>
    <w:basedOn w:val="DefaultParagraphFont"/>
    <w:semiHidden/>
    <w:unhideWhenUsed/>
    <w:rsid w:val="00425C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5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5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B57E8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styleId="NoSpacing">
    <w:name w:val="No Spacing"/>
    <w:uiPriority w:val="1"/>
    <w:qFormat/>
    <w:rsid w:val="00993C84"/>
  </w:style>
  <w:style w:type="paragraph" w:styleId="ListParagraph">
    <w:name w:val="List Paragraph"/>
    <w:basedOn w:val="Normal"/>
    <w:uiPriority w:val="34"/>
    <w:qFormat/>
    <w:rsid w:val="00303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1C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D71C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39"/>
    <w:rsid w:val="009E0F0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716DBB"/>
    <w:rPr>
      <w:vertAlign w:val="superscript"/>
    </w:rPr>
  </w:style>
  <w:style w:type="paragraph" w:customStyle="1" w:styleId="Podnoje1">
    <w:name w:val="Podnožje1"/>
    <w:basedOn w:val="Normal"/>
    <w:next w:val="Footer"/>
    <w:link w:val="PodnojeChar"/>
    <w:uiPriority w:val="99"/>
    <w:semiHidden/>
    <w:unhideWhenUsed/>
    <w:rsid w:val="002D01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Podnoje1"/>
    <w:uiPriority w:val="99"/>
    <w:semiHidden/>
    <w:rsid w:val="002D01E1"/>
  </w:style>
  <w:style w:type="paragraph" w:styleId="Footer">
    <w:name w:val="footer"/>
    <w:basedOn w:val="Normal"/>
    <w:link w:val="FooterChar"/>
    <w:uiPriority w:val="99"/>
    <w:semiHidden/>
    <w:unhideWhenUsed/>
    <w:rsid w:val="002D01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60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6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862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5086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4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9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9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1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CB1D-AB68-434D-AF00-2F6F7BC0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1490</Words>
  <Characters>8495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 Uglešić</cp:lastModifiedBy>
  <cp:revision>35</cp:revision>
  <cp:lastPrinted>2024-01-03T10:10:00Z</cp:lastPrinted>
  <dcterms:created xsi:type="dcterms:W3CDTF">2023-05-18T10:26:00Z</dcterms:created>
  <dcterms:modified xsi:type="dcterms:W3CDTF">2024-02-05T13:35:00Z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1848914075</vt:i4>
  </property>
</Properties>
</file>